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59646906"/>
        <w:docPartObj>
          <w:docPartGallery w:val="Cover Pages"/>
          <w:docPartUnique/>
        </w:docPartObj>
      </w:sdtPr>
      <w:sdtEndPr>
        <w:rPr>
          <w:b w:val="0"/>
          <w:color w:val="auto"/>
          <w:sz w:val="40"/>
          <w:szCs w:val="22"/>
          <w14:ligatures w14:val="standardContextual"/>
        </w:rPr>
      </w:sdtEndPr>
      <w:sdtContent>
        <w:p w14:paraId="7C156B2C" w14:textId="77777777" w:rsidR="0047616C" w:rsidRPr="00AB5ADF" w:rsidRDefault="0094078C" w:rsidP="00733B0F">
          <w:pPr>
            <w:pStyle w:val="Title"/>
          </w:pPr>
          <w:r w:rsidRPr="00AB5ADF">
            <w:t>National Syphilis Surveillance Report</w:t>
          </w:r>
        </w:p>
        <w:p w14:paraId="5CBD71A4" w14:textId="1AA94CF4" w:rsidR="0047616C" w:rsidRPr="00AB5ADF" w:rsidRDefault="0094078C" w:rsidP="00AB5ADF">
          <w:pPr>
            <w:pStyle w:val="Subtitle"/>
          </w:pPr>
          <w:r w:rsidRPr="00AB5ADF">
            <w:t xml:space="preserve">Quarter </w:t>
          </w:r>
          <w:r w:rsidR="00E44541" w:rsidRPr="00AB5ADF">
            <w:t>1</w:t>
          </w:r>
          <w:r w:rsidRPr="00AB5ADF">
            <w:t xml:space="preserve"> 202</w:t>
          </w:r>
          <w:r w:rsidR="00054786" w:rsidRPr="00AB5ADF">
            <w:t>6</w:t>
          </w:r>
        </w:p>
      </w:sdtContent>
    </w:sdt>
    <w:p w14:paraId="35425ACD" w14:textId="77777777" w:rsidR="005C5DBE" w:rsidRPr="009A2544" w:rsidRDefault="0047616C" w:rsidP="00733B0F">
      <w:pPr>
        <w:pStyle w:val="Title"/>
        <w:sectPr w:rsidR="005C5DBE" w:rsidRPr="009A2544" w:rsidSect="005F0659">
          <w:headerReference w:type="even" r:id="rId11"/>
          <w:footerReference w:type="even" r:id="rId12"/>
          <w:footerReference w:type="default" r:id="rId13"/>
          <w:headerReference w:type="first" r:id="rId14"/>
          <w:footerReference w:type="first" r:id="rId15"/>
          <w:pgSz w:w="11900" w:h="16840"/>
          <w:pgMar w:top="1134" w:right="1134" w:bottom="1134" w:left="1134" w:header="709" w:footer="527" w:gutter="0"/>
          <w:pgNumType w:start="0"/>
          <w:cols w:space="708"/>
          <w:titlePg/>
          <w:docGrid w:linePitch="360"/>
        </w:sectPr>
      </w:pPr>
      <w:r w:rsidRPr="009A2544">
        <w:br w:type="page"/>
      </w:r>
    </w:p>
    <w:p w14:paraId="040DD587" w14:textId="77777777" w:rsidR="00C14BF9" w:rsidRPr="009A2544" w:rsidRDefault="00C14BF9" w:rsidP="00B51CBC">
      <w:pPr>
        <w:pStyle w:val="Copyrighttext"/>
      </w:pPr>
      <w:r w:rsidRPr="009A2544">
        <w:lastRenderedPageBreak/>
        <w:t>© Commonwealth of Australia as represented by the Australian Centre for Disease Control</w:t>
      </w:r>
    </w:p>
    <w:p w14:paraId="21C54A6D" w14:textId="51B1988D" w:rsidR="00C14BF9" w:rsidRPr="009A2544" w:rsidRDefault="00C14BF9" w:rsidP="00B51CBC">
      <w:pPr>
        <w:pStyle w:val="Copyrighttext"/>
      </w:pPr>
      <w:r w:rsidRPr="009A2544">
        <w:t xml:space="preserve">Title: </w:t>
      </w:r>
      <w:r w:rsidR="0094078C" w:rsidRPr="009A2544">
        <w:t xml:space="preserve">National Syphilis Surveillance Report – Quarter </w:t>
      </w:r>
      <w:r w:rsidR="00054786" w:rsidRPr="009A2544">
        <w:t>1</w:t>
      </w:r>
      <w:r w:rsidR="0094078C" w:rsidRPr="009A2544">
        <w:t xml:space="preserve"> 202</w:t>
      </w:r>
      <w:r w:rsidR="00054786" w:rsidRPr="009A2544">
        <w:t>6</w:t>
      </w:r>
    </w:p>
    <w:p w14:paraId="28C4FBC9" w14:textId="77777777" w:rsidR="00C14BF9" w:rsidRPr="00694CD0" w:rsidRDefault="00C14BF9" w:rsidP="00694CD0">
      <w:pPr>
        <w:pStyle w:val="Copyrighttext"/>
        <w:rPr>
          <w:rStyle w:val="Strong"/>
        </w:rPr>
      </w:pPr>
      <w:r w:rsidRPr="00694CD0">
        <w:rPr>
          <w:rStyle w:val="Strong"/>
        </w:rPr>
        <w:t>Creative Commons Licence</w:t>
      </w:r>
    </w:p>
    <w:p w14:paraId="27FC0CBC" w14:textId="77777777" w:rsidR="00C14BF9" w:rsidRPr="009A2544" w:rsidRDefault="00C14BF9" w:rsidP="00B51CBC">
      <w:pPr>
        <w:pStyle w:val="Copyrighttext"/>
      </w:pPr>
      <w:r w:rsidRPr="009A2544">
        <w:t>This publication is licensed under the Creative Commons Attribution 4.0 International Public License available from https://creativecommons.org/licenses/by/4.0/legalcode (“Licence”). You must read and understand the Licence before using any material from this publication.</w:t>
      </w:r>
    </w:p>
    <w:p w14:paraId="0B81636A" w14:textId="77777777" w:rsidR="00C14BF9" w:rsidRPr="00694CD0" w:rsidRDefault="00C14BF9" w:rsidP="00694CD0">
      <w:pPr>
        <w:pStyle w:val="Copyrighttext"/>
        <w:rPr>
          <w:rStyle w:val="Strong"/>
        </w:rPr>
      </w:pPr>
      <w:r w:rsidRPr="00694CD0">
        <w:rPr>
          <w:rStyle w:val="Strong"/>
        </w:rPr>
        <w:t>Restrictions</w:t>
      </w:r>
    </w:p>
    <w:p w14:paraId="7DCF882F" w14:textId="77777777" w:rsidR="00C14BF9" w:rsidRPr="009A2544" w:rsidRDefault="00C14BF9" w:rsidP="00B51CBC">
      <w:pPr>
        <w:pStyle w:val="Copyrighttext"/>
      </w:pPr>
      <w:r w:rsidRPr="009A2544">
        <w:t>The Licence may not give you all the permissions necessary for your intended use. For example, other rights (such as publicity, privacy and moral rights) may limit how you use the material found in this publication.</w:t>
      </w:r>
    </w:p>
    <w:p w14:paraId="1DA8797F" w14:textId="77777777" w:rsidR="00C14BF9" w:rsidRPr="009A2544" w:rsidRDefault="00C14BF9" w:rsidP="00B51CBC">
      <w:pPr>
        <w:pStyle w:val="Copyrighttext"/>
      </w:pPr>
      <w:r w:rsidRPr="009A2544">
        <w:t>The Licence does not cover, and there is no permission given for, use of any of the following material found in this publication:</w:t>
      </w:r>
    </w:p>
    <w:p w14:paraId="6349D1E1" w14:textId="77777777" w:rsidR="00C14BF9" w:rsidRPr="009A2544" w:rsidRDefault="00C14BF9" w:rsidP="007B04D3">
      <w:pPr>
        <w:pStyle w:val="Copyrightbulletlist"/>
      </w:pPr>
      <w:r w:rsidRPr="009A2544">
        <w:t>the Commonwealth Coat of Arms. (</w:t>
      </w:r>
      <w:proofErr w:type="gramStart"/>
      <w:r w:rsidRPr="009A2544">
        <w:t>by</w:t>
      </w:r>
      <w:proofErr w:type="gramEnd"/>
      <w:r w:rsidRPr="009A2544">
        <w:t xml:space="preserve"> way of information, the terms under which the Coat of Arms may be used can be found on the Department of Prime Minister and Cabinet website</w:t>
      </w:r>
    </w:p>
    <w:p w14:paraId="22058F4A" w14:textId="77777777" w:rsidR="00C14BF9" w:rsidRPr="009A2544" w:rsidRDefault="00C14BF9" w:rsidP="007B04D3">
      <w:pPr>
        <w:pStyle w:val="Copyrightbulletlist"/>
      </w:pPr>
      <w:r w:rsidRPr="009A2544">
        <w:t>any logos and trademarks;</w:t>
      </w:r>
    </w:p>
    <w:p w14:paraId="4A56C899" w14:textId="77777777" w:rsidR="00C14BF9" w:rsidRPr="009A2544" w:rsidRDefault="00C14BF9" w:rsidP="007B04D3">
      <w:pPr>
        <w:pStyle w:val="Copyrightbulletlist"/>
      </w:pPr>
      <w:r w:rsidRPr="009A2544">
        <w:t>any photographs and images;</w:t>
      </w:r>
    </w:p>
    <w:p w14:paraId="7E5A70B1" w14:textId="77777777" w:rsidR="00C14BF9" w:rsidRPr="009A2544" w:rsidRDefault="00C14BF9" w:rsidP="007B04D3">
      <w:pPr>
        <w:pStyle w:val="Copyrightbulletlist"/>
      </w:pPr>
      <w:r w:rsidRPr="009A2544">
        <w:t>any signatures; and</w:t>
      </w:r>
    </w:p>
    <w:p w14:paraId="6EA231B5" w14:textId="7C2731BA" w:rsidR="00C14BF9" w:rsidRPr="009A2544" w:rsidRDefault="00C14BF9" w:rsidP="007B04D3">
      <w:pPr>
        <w:pStyle w:val="Copyrightbulletlist"/>
      </w:pPr>
      <w:r w:rsidRPr="009A2544">
        <w:t xml:space="preserve">any material belonging to third parties. The </w:t>
      </w:r>
      <w:proofErr w:type="gramStart"/>
      <w:r w:rsidRPr="009A2544">
        <w:t>third party</w:t>
      </w:r>
      <w:proofErr w:type="gramEnd"/>
      <w:r w:rsidRPr="009A2544">
        <w:t xml:space="preserve"> elements must be included here or have a footnote reference throughout the document showing where they are</w:t>
      </w:r>
      <w:r w:rsidR="007B04D3">
        <w:t>.</w:t>
      </w:r>
    </w:p>
    <w:p w14:paraId="5F59CCE3" w14:textId="77777777" w:rsidR="00C14BF9" w:rsidRPr="00694CD0" w:rsidRDefault="00C14BF9" w:rsidP="00694CD0">
      <w:pPr>
        <w:pStyle w:val="Copyrighttext"/>
        <w:rPr>
          <w:rStyle w:val="Strong"/>
        </w:rPr>
      </w:pPr>
      <w:r w:rsidRPr="00694CD0">
        <w:rPr>
          <w:rStyle w:val="Strong"/>
        </w:rPr>
        <w:t>Attribution</w:t>
      </w:r>
    </w:p>
    <w:p w14:paraId="1315FC1B" w14:textId="77777777" w:rsidR="00C14BF9" w:rsidRPr="009A2544" w:rsidRDefault="00C14BF9" w:rsidP="00B51CBC">
      <w:pPr>
        <w:pStyle w:val="Copyrighttext"/>
      </w:pPr>
      <w:r w:rsidRPr="009A2544">
        <w:t xml:space="preserve">Without limiting your obligations under the Licence, the </w:t>
      </w:r>
      <w:r w:rsidR="000701F4" w:rsidRPr="009A2544">
        <w:t xml:space="preserve">Australian Centre for Disease Control </w:t>
      </w:r>
      <w:r w:rsidRPr="009A2544">
        <w:t xml:space="preserve">requests that you attribute this publication in your work. Any reasonable form of words may be used </w:t>
      </w:r>
      <w:proofErr w:type="gramStart"/>
      <w:r w:rsidRPr="009A2544">
        <w:t>provided that</w:t>
      </w:r>
      <w:proofErr w:type="gramEnd"/>
      <w:r w:rsidRPr="009A2544">
        <w:t xml:space="preserve"> you:</w:t>
      </w:r>
    </w:p>
    <w:p w14:paraId="4D7550E7" w14:textId="77777777" w:rsidR="00C14BF9" w:rsidRPr="009A2544" w:rsidRDefault="00C14BF9" w:rsidP="007B04D3">
      <w:pPr>
        <w:pStyle w:val="Copyrightbulletlist"/>
      </w:pPr>
      <w:r w:rsidRPr="009A2544">
        <w:t xml:space="preserve">include a reference to this publication and </w:t>
      </w:r>
      <w:proofErr w:type="gramStart"/>
      <w:r w:rsidRPr="009A2544">
        <w:t>where</w:t>
      </w:r>
      <w:proofErr w:type="gramEnd"/>
      <w:r w:rsidRPr="009A2544">
        <w:t>, practicable, the relevant page numbers;</w:t>
      </w:r>
    </w:p>
    <w:p w14:paraId="28AD977E" w14:textId="77777777" w:rsidR="00C14BF9" w:rsidRPr="009A2544" w:rsidRDefault="00C14BF9" w:rsidP="007B04D3">
      <w:pPr>
        <w:pStyle w:val="Copyrightbulletlist"/>
      </w:pPr>
      <w:r w:rsidRPr="009A2544">
        <w:t>make it clear that you have permission to use the material under the Creative Commons Attribution 4.0 International Public License;</w:t>
      </w:r>
    </w:p>
    <w:p w14:paraId="269993FE" w14:textId="77777777" w:rsidR="00C14BF9" w:rsidRPr="009A2544" w:rsidRDefault="00C14BF9" w:rsidP="007B04D3">
      <w:pPr>
        <w:pStyle w:val="Copyrightbulletlist"/>
      </w:pPr>
      <w:r w:rsidRPr="009A2544">
        <w:t xml:space="preserve">make it clear </w:t>
      </w:r>
      <w:proofErr w:type="gramStart"/>
      <w:r w:rsidRPr="009A2544">
        <w:t>whether or not</w:t>
      </w:r>
      <w:proofErr w:type="gramEnd"/>
      <w:r w:rsidRPr="009A2544">
        <w:t xml:space="preserve"> you have changed the material used from this publication;</w:t>
      </w:r>
    </w:p>
    <w:p w14:paraId="6CCF3B3B" w14:textId="12E18863" w:rsidR="00C14BF9" w:rsidRPr="009A2544" w:rsidRDefault="00C14BF9" w:rsidP="007B04D3">
      <w:pPr>
        <w:pStyle w:val="Copyrightbulletlist"/>
      </w:pPr>
      <w:r w:rsidRPr="009A2544">
        <w:t>include a copyright notice in relation to the material used. In the case of no change to the material, the words “© Commonwealth of Australia (Australian Centre for Disease Control) 20</w:t>
      </w:r>
      <w:r w:rsidR="00A10426" w:rsidRPr="009A2544">
        <w:t>26</w:t>
      </w:r>
      <w:r w:rsidRPr="009A2544">
        <w:t>” may be used. In the case where the material has been changed or adapted, the words: “Based on Commonwealth of Australia (Australian Centre for Disease Control) material” may be used; and</w:t>
      </w:r>
    </w:p>
    <w:p w14:paraId="65203CF8" w14:textId="77777777" w:rsidR="00C14BF9" w:rsidRPr="009A2544" w:rsidRDefault="00C14BF9" w:rsidP="007B04D3">
      <w:pPr>
        <w:pStyle w:val="Copyrightbulletlist"/>
      </w:pPr>
      <w:r w:rsidRPr="009A2544">
        <w:t>do not suggest that the Australian Centre for Disease Control endorses you or your use of the material.</w:t>
      </w:r>
    </w:p>
    <w:p w14:paraId="20CFDDB9" w14:textId="77777777" w:rsidR="00C14BF9" w:rsidRPr="00694CD0" w:rsidRDefault="00C14BF9" w:rsidP="00694CD0">
      <w:pPr>
        <w:pStyle w:val="Copyrighttext"/>
        <w:rPr>
          <w:rStyle w:val="Strong"/>
        </w:rPr>
      </w:pPr>
      <w:r w:rsidRPr="00694CD0">
        <w:rPr>
          <w:rStyle w:val="Strong"/>
        </w:rPr>
        <w:t>Enquiries</w:t>
      </w:r>
    </w:p>
    <w:p w14:paraId="6179BDB3" w14:textId="77777777" w:rsidR="00C14BF9" w:rsidRPr="009A2544" w:rsidRDefault="00C14BF9" w:rsidP="00B51CBC">
      <w:pPr>
        <w:pStyle w:val="Copyrighttext"/>
      </w:pPr>
      <w:r w:rsidRPr="009A2544">
        <w:t xml:space="preserve">Enquiries regarding any other use of this publication should be addressed to the </w:t>
      </w:r>
      <w:r w:rsidR="000701F4" w:rsidRPr="009A2544">
        <w:t xml:space="preserve">Communication and Public Information Section, Strategy and Engagement Branch, Australian Centre for Disease Control, GPO Box </w:t>
      </w:r>
      <w:r w:rsidR="00DC3272" w:rsidRPr="009A2544">
        <w:t>798</w:t>
      </w:r>
      <w:r w:rsidR="000701F4" w:rsidRPr="009A2544">
        <w:t xml:space="preserve">, </w:t>
      </w:r>
      <w:r w:rsidRPr="009A2544">
        <w:t xml:space="preserve">Canberra ACT 2601, or via e-mail to </w:t>
      </w:r>
      <w:hyperlink r:id="rId16" w:history="1">
        <w:r w:rsidR="000701F4" w:rsidRPr="009A2544">
          <w:rPr>
            <w:rStyle w:val="Hyperlink"/>
          </w:rPr>
          <w:t>CDCComms@cdc.gov.au</w:t>
        </w:r>
      </w:hyperlink>
      <w:r w:rsidR="000701F4" w:rsidRPr="009A2544">
        <w:t>.</w:t>
      </w:r>
    </w:p>
    <w:p w14:paraId="166F5E69" w14:textId="77777777" w:rsidR="00C14BF9" w:rsidRPr="00694CD0" w:rsidRDefault="00C14BF9" w:rsidP="00694CD0">
      <w:pPr>
        <w:rPr>
          <w:lang w:eastAsia="en-GB"/>
        </w:rPr>
      </w:pPr>
      <w:r w:rsidRPr="009A2544">
        <w:br w:type="page"/>
      </w:r>
    </w:p>
    <w:sdt>
      <w:sdtPr>
        <w:rPr>
          <w:rFonts w:asciiTheme="minorHAnsi" w:eastAsiaTheme="minorEastAsia" w:hAnsiTheme="minorHAnsi"/>
          <w:bCs w:val="0"/>
          <w:iCs w:val="0"/>
          <w:noProof/>
          <w:color w:val="auto"/>
          <w:sz w:val="24"/>
          <w:lang w:eastAsia="en-AU"/>
        </w:rPr>
        <w:id w:val="-294442415"/>
        <w:docPartObj>
          <w:docPartGallery w:val="Table of Contents"/>
          <w:docPartUnique/>
        </w:docPartObj>
      </w:sdtPr>
      <w:sdtContent>
        <w:p w14:paraId="4985A894" w14:textId="77777777" w:rsidR="00F40769" w:rsidRPr="009A2544" w:rsidRDefault="00F40769" w:rsidP="009A428A">
          <w:pPr>
            <w:pStyle w:val="TOCHeading"/>
          </w:pPr>
          <w:r w:rsidRPr="009A2544">
            <w:t>Contents</w:t>
          </w:r>
        </w:p>
        <w:p w14:paraId="32C78D51" w14:textId="151D2ADD" w:rsidR="009A428A" w:rsidRDefault="00F40769">
          <w:pPr>
            <w:pStyle w:val="TOC1"/>
          </w:pPr>
          <w:r w:rsidRPr="009A2544">
            <w:rPr>
              <w:bCs/>
              <w:iCs/>
            </w:rPr>
            <w:fldChar w:fldCharType="begin"/>
          </w:r>
          <w:r w:rsidRPr="009A2544">
            <w:instrText xml:space="preserve"> TOC \o "1-3" \h \z \u </w:instrText>
          </w:r>
          <w:r w:rsidRPr="009A2544">
            <w:rPr>
              <w:bCs/>
              <w:iCs/>
            </w:rPr>
            <w:fldChar w:fldCharType="separate"/>
          </w:r>
          <w:hyperlink w:anchor="_Toc241658035" w:history="1">
            <w:r w:rsidR="009A428A" w:rsidRPr="00827A20">
              <w:rPr>
                <w:rStyle w:val="Hyperlink"/>
              </w:rPr>
              <w:t>Introduction</w:t>
            </w:r>
            <w:r w:rsidR="009A428A">
              <w:rPr>
                <w:webHidden/>
              </w:rPr>
              <w:tab/>
            </w:r>
            <w:r w:rsidR="009A428A">
              <w:rPr>
                <w:webHidden/>
              </w:rPr>
              <w:fldChar w:fldCharType="begin"/>
            </w:r>
            <w:r w:rsidR="009A428A">
              <w:rPr>
                <w:webHidden/>
              </w:rPr>
              <w:instrText xml:space="preserve"> PAGEREF _Toc241658035 \h </w:instrText>
            </w:r>
            <w:r w:rsidR="009A428A">
              <w:rPr>
                <w:webHidden/>
              </w:rPr>
            </w:r>
            <w:r w:rsidR="009A428A">
              <w:rPr>
                <w:webHidden/>
              </w:rPr>
              <w:fldChar w:fldCharType="separate"/>
            </w:r>
            <w:r w:rsidR="009A428A">
              <w:rPr>
                <w:webHidden/>
              </w:rPr>
              <w:t>4</w:t>
            </w:r>
            <w:r w:rsidR="009A428A">
              <w:rPr>
                <w:webHidden/>
              </w:rPr>
              <w:fldChar w:fldCharType="end"/>
            </w:r>
          </w:hyperlink>
        </w:p>
        <w:p w14:paraId="2C853837" w14:textId="3AEAC3EF" w:rsidR="009A428A" w:rsidRDefault="009A428A">
          <w:pPr>
            <w:pStyle w:val="TOC2"/>
          </w:pPr>
          <w:hyperlink w:anchor="_Toc241658036" w:history="1">
            <w:r w:rsidRPr="00827A20">
              <w:rPr>
                <w:rStyle w:val="Hyperlink"/>
              </w:rPr>
              <w:t>Reporting</w:t>
            </w:r>
            <w:r>
              <w:rPr>
                <w:webHidden/>
              </w:rPr>
              <w:tab/>
            </w:r>
            <w:r>
              <w:rPr>
                <w:webHidden/>
              </w:rPr>
              <w:fldChar w:fldCharType="begin"/>
            </w:r>
            <w:r>
              <w:rPr>
                <w:webHidden/>
              </w:rPr>
              <w:instrText xml:space="preserve"> PAGEREF _Toc241658036 \h </w:instrText>
            </w:r>
            <w:r>
              <w:rPr>
                <w:webHidden/>
              </w:rPr>
            </w:r>
            <w:r>
              <w:rPr>
                <w:webHidden/>
              </w:rPr>
              <w:fldChar w:fldCharType="separate"/>
            </w:r>
            <w:r>
              <w:rPr>
                <w:webHidden/>
              </w:rPr>
              <w:t>4</w:t>
            </w:r>
            <w:r>
              <w:rPr>
                <w:webHidden/>
              </w:rPr>
              <w:fldChar w:fldCharType="end"/>
            </w:r>
          </w:hyperlink>
        </w:p>
        <w:p w14:paraId="0DCA5D04" w14:textId="44ADDBB3" w:rsidR="009A428A" w:rsidRDefault="009A428A">
          <w:pPr>
            <w:pStyle w:val="TOC2"/>
          </w:pPr>
          <w:hyperlink w:anchor="_Toc241658037" w:history="1">
            <w:r w:rsidRPr="00827A20">
              <w:rPr>
                <w:rStyle w:val="Hyperlink"/>
              </w:rPr>
              <w:t>Guidance</w:t>
            </w:r>
            <w:r>
              <w:rPr>
                <w:webHidden/>
              </w:rPr>
              <w:tab/>
            </w:r>
            <w:r>
              <w:rPr>
                <w:webHidden/>
              </w:rPr>
              <w:fldChar w:fldCharType="begin"/>
            </w:r>
            <w:r>
              <w:rPr>
                <w:webHidden/>
              </w:rPr>
              <w:instrText xml:space="preserve"> PAGEREF _Toc241658037 \h </w:instrText>
            </w:r>
            <w:r>
              <w:rPr>
                <w:webHidden/>
              </w:rPr>
            </w:r>
            <w:r>
              <w:rPr>
                <w:webHidden/>
              </w:rPr>
              <w:fldChar w:fldCharType="separate"/>
            </w:r>
            <w:r>
              <w:rPr>
                <w:webHidden/>
              </w:rPr>
              <w:t>4</w:t>
            </w:r>
            <w:r>
              <w:rPr>
                <w:webHidden/>
              </w:rPr>
              <w:fldChar w:fldCharType="end"/>
            </w:r>
          </w:hyperlink>
        </w:p>
        <w:p w14:paraId="275F1D6C" w14:textId="0846E5B6" w:rsidR="009A428A" w:rsidRDefault="009A428A">
          <w:pPr>
            <w:pStyle w:val="TOC2"/>
          </w:pPr>
          <w:hyperlink w:anchor="_Toc241658038" w:history="1">
            <w:r w:rsidRPr="00827A20">
              <w:rPr>
                <w:rStyle w:val="Hyperlink"/>
              </w:rPr>
              <w:t>Terminology</w:t>
            </w:r>
            <w:r>
              <w:rPr>
                <w:webHidden/>
              </w:rPr>
              <w:tab/>
            </w:r>
            <w:r>
              <w:rPr>
                <w:webHidden/>
              </w:rPr>
              <w:fldChar w:fldCharType="begin"/>
            </w:r>
            <w:r>
              <w:rPr>
                <w:webHidden/>
              </w:rPr>
              <w:instrText xml:space="preserve"> PAGEREF _Toc241658038 \h </w:instrText>
            </w:r>
            <w:r>
              <w:rPr>
                <w:webHidden/>
              </w:rPr>
            </w:r>
            <w:r>
              <w:rPr>
                <w:webHidden/>
              </w:rPr>
              <w:fldChar w:fldCharType="separate"/>
            </w:r>
            <w:r>
              <w:rPr>
                <w:webHidden/>
              </w:rPr>
              <w:t>5</w:t>
            </w:r>
            <w:r>
              <w:rPr>
                <w:webHidden/>
              </w:rPr>
              <w:fldChar w:fldCharType="end"/>
            </w:r>
          </w:hyperlink>
        </w:p>
        <w:p w14:paraId="06F89034" w14:textId="1B22E655" w:rsidR="009A428A" w:rsidRDefault="009A428A">
          <w:pPr>
            <w:pStyle w:val="TOC1"/>
          </w:pPr>
          <w:hyperlink w:anchor="_Toc241658039" w:history="1">
            <w:r w:rsidRPr="00827A20">
              <w:rPr>
                <w:rStyle w:val="Hyperlink"/>
              </w:rPr>
              <w:t>Goal 1: Strengthen prevention and testing strategies for syphilis in priority populations and settings, targeting high-burden area</w:t>
            </w:r>
            <w:r>
              <w:rPr>
                <w:webHidden/>
              </w:rPr>
              <w:tab/>
            </w:r>
            <w:r>
              <w:rPr>
                <w:webHidden/>
              </w:rPr>
              <w:fldChar w:fldCharType="begin"/>
            </w:r>
            <w:r>
              <w:rPr>
                <w:webHidden/>
              </w:rPr>
              <w:instrText xml:space="preserve"> PAGEREF _Toc241658039 \h </w:instrText>
            </w:r>
            <w:r>
              <w:rPr>
                <w:webHidden/>
              </w:rPr>
            </w:r>
            <w:r>
              <w:rPr>
                <w:webHidden/>
              </w:rPr>
              <w:fldChar w:fldCharType="separate"/>
            </w:r>
            <w:r>
              <w:rPr>
                <w:webHidden/>
              </w:rPr>
              <w:t>10</w:t>
            </w:r>
            <w:r>
              <w:rPr>
                <w:webHidden/>
              </w:rPr>
              <w:fldChar w:fldCharType="end"/>
            </w:r>
          </w:hyperlink>
        </w:p>
        <w:p w14:paraId="08C0D7D0" w14:textId="65A5A0CF" w:rsidR="009A428A" w:rsidRDefault="009A428A">
          <w:pPr>
            <w:pStyle w:val="TOC2"/>
          </w:pPr>
          <w:hyperlink w:anchor="_Toc241658040" w:history="1">
            <w:r w:rsidRPr="00827A20">
              <w:rPr>
                <w:rStyle w:val="Hyperlink"/>
              </w:rPr>
              <w:t>Indicators 1.2 and 1.3 – Syphilis tests</w:t>
            </w:r>
            <w:r>
              <w:rPr>
                <w:webHidden/>
              </w:rPr>
              <w:tab/>
            </w:r>
            <w:r>
              <w:rPr>
                <w:webHidden/>
              </w:rPr>
              <w:fldChar w:fldCharType="begin"/>
            </w:r>
            <w:r>
              <w:rPr>
                <w:webHidden/>
              </w:rPr>
              <w:instrText xml:space="preserve"> PAGEREF _Toc241658040 \h </w:instrText>
            </w:r>
            <w:r>
              <w:rPr>
                <w:webHidden/>
              </w:rPr>
            </w:r>
            <w:r>
              <w:rPr>
                <w:webHidden/>
              </w:rPr>
              <w:fldChar w:fldCharType="separate"/>
            </w:r>
            <w:r>
              <w:rPr>
                <w:webHidden/>
              </w:rPr>
              <w:t>11</w:t>
            </w:r>
            <w:r>
              <w:rPr>
                <w:webHidden/>
              </w:rPr>
              <w:fldChar w:fldCharType="end"/>
            </w:r>
          </w:hyperlink>
        </w:p>
        <w:p w14:paraId="6923ED86" w14:textId="737991D8" w:rsidR="009A428A" w:rsidRDefault="009A428A">
          <w:pPr>
            <w:pStyle w:val="TOC1"/>
          </w:pPr>
          <w:hyperlink w:anchor="_Toc241658041" w:history="1">
            <w:r w:rsidRPr="00827A20">
              <w:rPr>
                <w:rStyle w:val="Hyperlink"/>
              </w:rPr>
              <w:t>Goal 2: Reduce ongoing transmission and incidence of syphilis across priority populations</w:t>
            </w:r>
            <w:r>
              <w:rPr>
                <w:webHidden/>
              </w:rPr>
              <w:tab/>
            </w:r>
            <w:r>
              <w:rPr>
                <w:webHidden/>
              </w:rPr>
              <w:fldChar w:fldCharType="begin"/>
            </w:r>
            <w:r>
              <w:rPr>
                <w:webHidden/>
              </w:rPr>
              <w:instrText xml:space="preserve"> PAGEREF _Toc241658041 \h </w:instrText>
            </w:r>
            <w:r>
              <w:rPr>
                <w:webHidden/>
              </w:rPr>
            </w:r>
            <w:r>
              <w:rPr>
                <w:webHidden/>
              </w:rPr>
              <w:fldChar w:fldCharType="separate"/>
            </w:r>
            <w:r>
              <w:rPr>
                <w:webHidden/>
              </w:rPr>
              <w:t>15</w:t>
            </w:r>
            <w:r>
              <w:rPr>
                <w:webHidden/>
              </w:rPr>
              <w:fldChar w:fldCharType="end"/>
            </w:r>
          </w:hyperlink>
        </w:p>
        <w:p w14:paraId="225C18E7" w14:textId="4FC7FAA6" w:rsidR="009A428A" w:rsidRDefault="009A428A">
          <w:pPr>
            <w:pStyle w:val="TOC2"/>
          </w:pPr>
          <w:hyperlink w:anchor="_Toc241658042" w:history="1">
            <w:r w:rsidRPr="00827A20">
              <w:rPr>
                <w:rStyle w:val="Hyperlink"/>
              </w:rPr>
              <w:t>Indicator 2.1 – Notification rates</w:t>
            </w:r>
            <w:r>
              <w:rPr>
                <w:webHidden/>
              </w:rPr>
              <w:tab/>
            </w:r>
            <w:r>
              <w:rPr>
                <w:webHidden/>
              </w:rPr>
              <w:fldChar w:fldCharType="begin"/>
            </w:r>
            <w:r>
              <w:rPr>
                <w:webHidden/>
              </w:rPr>
              <w:instrText xml:space="preserve"> PAGEREF _Toc241658042 \h </w:instrText>
            </w:r>
            <w:r>
              <w:rPr>
                <w:webHidden/>
              </w:rPr>
            </w:r>
            <w:r>
              <w:rPr>
                <w:webHidden/>
              </w:rPr>
              <w:fldChar w:fldCharType="separate"/>
            </w:r>
            <w:r>
              <w:rPr>
                <w:webHidden/>
              </w:rPr>
              <w:t>18</w:t>
            </w:r>
            <w:r>
              <w:rPr>
                <w:webHidden/>
              </w:rPr>
              <w:fldChar w:fldCharType="end"/>
            </w:r>
          </w:hyperlink>
        </w:p>
        <w:p w14:paraId="42342CFC" w14:textId="5E54607C" w:rsidR="009A428A" w:rsidRDefault="009A428A">
          <w:pPr>
            <w:pStyle w:val="TOC3"/>
          </w:pPr>
          <w:hyperlink w:anchor="_Toc241658043" w:history="1">
            <w:r w:rsidRPr="00827A20">
              <w:rPr>
                <w:rStyle w:val="Hyperlink"/>
              </w:rPr>
              <w:t>Aboriginal and Torres Strait Islander males</w:t>
            </w:r>
            <w:r>
              <w:rPr>
                <w:webHidden/>
              </w:rPr>
              <w:tab/>
            </w:r>
            <w:r>
              <w:rPr>
                <w:webHidden/>
              </w:rPr>
              <w:fldChar w:fldCharType="begin"/>
            </w:r>
            <w:r>
              <w:rPr>
                <w:webHidden/>
              </w:rPr>
              <w:instrText xml:space="preserve"> PAGEREF _Toc241658043 \h </w:instrText>
            </w:r>
            <w:r>
              <w:rPr>
                <w:webHidden/>
              </w:rPr>
            </w:r>
            <w:r>
              <w:rPr>
                <w:webHidden/>
              </w:rPr>
              <w:fldChar w:fldCharType="separate"/>
            </w:r>
            <w:r>
              <w:rPr>
                <w:webHidden/>
              </w:rPr>
              <w:t>18</w:t>
            </w:r>
            <w:r>
              <w:rPr>
                <w:webHidden/>
              </w:rPr>
              <w:fldChar w:fldCharType="end"/>
            </w:r>
          </w:hyperlink>
        </w:p>
        <w:p w14:paraId="66AE9BEE" w14:textId="1BB104C5" w:rsidR="009A428A" w:rsidRDefault="009A428A">
          <w:pPr>
            <w:pStyle w:val="TOC3"/>
          </w:pPr>
          <w:hyperlink w:anchor="_Toc241658044" w:history="1">
            <w:r w:rsidRPr="00827A20">
              <w:rPr>
                <w:rStyle w:val="Hyperlink"/>
              </w:rPr>
              <w:t>Non-Indigenous males</w:t>
            </w:r>
            <w:r>
              <w:rPr>
                <w:webHidden/>
              </w:rPr>
              <w:tab/>
            </w:r>
            <w:r>
              <w:rPr>
                <w:webHidden/>
              </w:rPr>
              <w:fldChar w:fldCharType="begin"/>
            </w:r>
            <w:r>
              <w:rPr>
                <w:webHidden/>
              </w:rPr>
              <w:instrText xml:space="preserve"> PAGEREF _Toc241658044 \h </w:instrText>
            </w:r>
            <w:r>
              <w:rPr>
                <w:webHidden/>
              </w:rPr>
            </w:r>
            <w:r>
              <w:rPr>
                <w:webHidden/>
              </w:rPr>
              <w:fldChar w:fldCharType="separate"/>
            </w:r>
            <w:r>
              <w:rPr>
                <w:webHidden/>
              </w:rPr>
              <w:t>18</w:t>
            </w:r>
            <w:r>
              <w:rPr>
                <w:webHidden/>
              </w:rPr>
              <w:fldChar w:fldCharType="end"/>
            </w:r>
          </w:hyperlink>
        </w:p>
        <w:p w14:paraId="53A0F83D" w14:textId="2704F998" w:rsidR="009A428A" w:rsidRDefault="009A428A">
          <w:pPr>
            <w:pStyle w:val="TOC3"/>
          </w:pPr>
          <w:hyperlink w:anchor="_Toc241658045" w:history="1">
            <w:r w:rsidRPr="00827A20">
              <w:rPr>
                <w:rStyle w:val="Hyperlink"/>
              </w:rPr>
              <w:t>Aboriginal and Torres Strait Islander females</w:t>
            </w:r>
            <w:r>
              <w:rPr>
                <w:webHidden/>
              </w:rPr>
              <w:tab/>
            </w:r>
            <w:r>
              <w:rPr>
                <w:webHidden/>
              </w:rPr>
              <w:fldChar w:fldCharType="begin"/>
            </w:r>
            <w:r>
              <w:rPr>
                <w:webHidden/>
              </w:rPr>
              <w:instrText xml:space="preserve"> PAGEREF _Toc241658045 \h </w:instrText>
            </w:r>
            <w:r>
              <w:rPr>
                <w:webHidden/>
              </w:rPr>
            </w:r>
            <w:r>
              <w:rPr>
                <w:webHidden/>
              </w:rPr>
              <w:fldChar w:fldCharType="separate"/>
            </w:r>
            <w:r>
              <w:rPr>
                <w:webHidden/>
              </w:rPr>
              <w:t>18</w:t>
            </w:r>
            <w:r>
              <w:rPr>
                <w:webHidden/>
              </w:rPr>
              <w:fldChar w:fldCharType="end"/>
            </w:r>
          </w:hyperlink>
        </w:p>
        <w:p w14:paraId="616022E3" w14:textId="533376B2" w:rsidR="009A428A" w:rsidRDefault="009A428A">
          <w:pPr>
            <w:pStyle w:val="TOC3"/>
          </w:pPr>
          <w:hyperlink w:anchor="_Toc241658046" w:history="1">
            <w:r w:rsidRPr="00827A20">
              <w:rPr>
                <w:rStyle w:val="Hyperlink"/>
              </w:rPr>
              <w:t>Non-Indigenous females</w:t>
            </w:r>
            <w:r>
              <w:rPr>
                <w:webHidden/>
              </w:rPr>
              <w:tab/>
            </w:r>
            <w:r>
              <w:rPr>
                <w:webHidden/>
              </w:rPr>
              <w:fldChar w:fldCharType="begin"/>
            </w:r>
            <w:r>
              <w:rPr>
                <w:webHidden/>
              </w:rPr>
              <w:instrText xml:space="preserve"> PAGEREF _Toc241658046 \h </w:instrText>
            </w:r>
            <w:r>
              <w:rPr>
                <w:webHidden/>
              </w:rPr>
            </w:r>
            <w:r>
              <w:rPr>
                <w:webHidden/>
              </w:rPr>
              <w:fldChar w:fldCharType="separate"/>
            </w:r>
            <w:r>
              <w:rPr>
                <w:webHidden/>
              </w:rPr>
              <w:t>18</w:t>
            </w:r>
            <w:r>
              <w:rPr>
                <w:webHidden/>
              </w:rPr>
              <w:fldChar w:fldCharType="end"/>
            </w:r>
          </w:hyperlink>
        </w:p>
        <w:p w14:paraId="4027396E" w14:textId="311683D9" w:rsidR="009A428A" w:rsidRDefault="009A428A">
          <w:pPr>
            <w:pStyle w:val="TOC2"/>
          </w:pPr>
          <w:hyperlink w:anchor="_Toc241658047" w:history="1">
            <w:r w:rsidRPr="00827A20">
              <w:rPr>
                <w:rStyle w:val="Hyperlink"/>
              </w:rPr>
              <w:t>Indicators 2.2 and 2.3 – Geographical areas</w:t>
            </w:r>
            <w:r>
              <w:rPr>
                <w:webHidden/>
              </w:rPr>
              <w:tab/>
            </w:r>
            <w:r>
              <w:rPr>
                <w:webHidden/>
              </w:rPr>
              <w:fldChar w:fldCharType="begin"/>
            </w:r>
            <w:r>
              <w:rPr>
                <w:webHidden/>
              </w:rPr>
              <w:instrText xml:space="preserve"> PAGEREF _Toc241658047 \h </w:instrText>
            </w:r>
            <w:r>
              <w:rPr>
                <w:webHidden/>
              </w:rPr>
            </w:r>
            <w:r>
              <w:rPr>
                <w:webHidden/>
              </w:rPr>
              <w:fldChar w:fldCharType="separate"/>
            </w:r>
            <w:r>
              <w:rPr>
                <w:webHidden/>
              </w:rPr>
              <w:t>23</w:t>
            </w:r>
            <w:r>
              <w:rPr>
                <w:webHidden/>
              </w:rPr>
              <w:fldChar w:fldCharType="end"/>
            </w:r>
          </w:hyperlink>
        </w:p>
        <w:p w14:paraId="3BD2F812" w14:textId="1B672B44" w:rsidR="009A428A" w:rsidRDefault="009A428A">
          <w:pPr>
            <w:pStyle w:val="TOC3"/>
          </w:pPr>
          <w:hyperlink w:anchor="_Toc241658048" w:history="1">
            <w:r w:rsidRPr="00827A20">
              <w:rPr>
                <w:rStyle w:val="Hyperlink"/>
              </w:rPr>
              <w:t>Indigenous Areas</w:t>
            </w:r>
            <w:r>
              <w:rPr>
                <w:webHidden/>
              </w:rPr>
              <w:tab/>
            </w:r>
            <w:r>
              <w:rPr>
                <w:webHidden/>
              </w:rPr>
              <w:fldChar w:fldCharType="begin"/>
            </w:r>
            <w:r>
              <w:rPr>
                <w:webHidden/>
              </w:rPr>
              <w:instrText xml:space="preserve"> PAGEREF _Toc241658048 \h </w:instrText>
            </w:r>
            <w:r>
              <w:rPr>
                <w:webHidden/>
              </w:rPr>
            </w:r>
            <w:r>
              <w:rPr>
                <w:webHidden/>
              </w:rPr>
              <w:fldChar w:fldCharType="separate"/>
            </w:r>
            <w:r>
              <w:rPr>
                <w:webHidden/>
              </w:rPr>
              <w:t>23</w:t>
            </w:r>
            <w:r>
              <w:rPr>
                <w:webHidden/>
              </w:rPr>
              <w:fldChar w:fldCharType="end"/>
            </w:r>
          </w:hyperlink>
        </w:p>
        <w:p w14:paraId="27838C7A" w14:textId="1C248B93" w:rsidR="009A428A" w:rsidRDefault="009A428A">
          <w:pPr>
            <w:pStyle w:val="TOC3"/>
          </w:pPr>
          <w:hyperlink w:anchor="_Toc241658049" w:history="1">
            <w:r w:rsidRPr="00827A20">
              <w:rPr>
                <w:rStyle w:val="Hyperlink"/>
              </w:rPr>
              <w:t>Statistical Area 3 (SA3)</w:t>
            </w:r>
            <w:r>
              <w:rPr>
                <w:webHidden/>
              </w:rPr>
              <w:tab/>
            </w:r>
            <w:r>
              <w:rPr>
                <w:webHidden/>
              </w:rPr>
              <w:fldChar w:fldCharType="begin"/>
            </w:r>
            <w:r>
              <w:rPr>
                <w:webHidden/>
              </w:rPr>
              <w:instrText xml:space="preserve"> PAGEREF _Toc241658049 \h </w:instrText>
            </w:r>
            <w:r>
              <w:rPr>
                <w:webHidden/>
              </w:rPr>
            </w:r>
            <w:r>
              <w:rPr>
                <w:webHidden/>
              </w:rPr>
              <w:fldChar w:fldCharType="separate"/>
            </w:r>
            <w:r>
              <w:rPr>
                <w:webHidden/>
              </w:rPr>
              <w:t>23</w:t>
            </w:r>
            <w:r>
              <w:rPr>
                <w:webHidden/>
              </w:rPr>
              <w:fldChar w:fldCharType="end"/>
            </w:r>
          </w:hyperlink>
        </w:p>
        <w:p w14:paraId="7CB0F829" w14:textId="69811E56" w:rsidR="009A428A" w:rsidRDefault="009A428A">
          <w:pPr>
            <w:pStyle w:val="TOC2"/>
          </w:pPr>
          <w:hyperlink w:anchor="_Toc241658050" w:history="1">
            <w:r w:rsidRPr="00827A20">
              <w:rPr>
                <w:rStyle w:val="Hyperlink"/>
              </w:rPr>
              <w:t>Indicator 2.4 – Women of reproductive age</w:t>
            </w:r>
            <w:r>
              <w:rPr>
                <w:webHidden/>
              </w:rPr>
              <w:tab/>
            </w:r>
            <w:r>
              <w:rPr>
                <w:webHidden/>
              </w:rPr>
              <w:fldChar w:fldCharType="begin"/>
            </w:r>
            <w:r>
              <w:rPr>
                <w:webHidden/>
              </w:rPr>
              <w:instrText xml:space="preserve"> PAGEREF _Toc241658050 \h </w:instrText>
            </w:r>
            <w:r>
              <w:rPr>
                <w:webHidden/>
              </w:rPr>
            </w:r>
            <w:r>
              <w:rPr>
                <w:webHidden/>
              </w:rPr>
              <w:fldChar w:fldCharType="separate"/>
            </w:r>
            <w:r>
              <w:rPr>
                <w:webHidden/>
              </w:rPr>
              <w:t>27</w:t>
            </w:r>
            <w:r>
              <w:rPr>
                <w:webHidden/>
              </w:rPr>
              <w:fldChar w:fldCharType="end"/>
            </w:r>
          </w:hyperlink>
        </w:p>
        <w:p w14:paraId="2C2D46EA" w14:textId="52FDD748" w:rsidR="009A428A" w:rsidRDefault="009A428A">
          <w:pPr>
            <w:pStyle w:val="TOC3"/>
          </w:pPr>
          <w:hyperlink w:anchor="_Toc241658051" w:history="1">
            <w:r w:rsidRPr="00827A20">
              <w:rPr>
                <w:rStyle w:val="Hyperlink"/>
              </w:rPr>
              <w:t>Aboriginal and Torres Strait Islander women</w:t>
            </w:r>
            <w:r>
              <w:rPr>
                <w:webHidden/>
              </w:rPr>
              <w:tab/>
            </w:r>
            <w:r>
              <w:rPr>
                <w:webHidden/>
              </w:rPr>
              <w:fldChar w:fldCharType="begin"/>
            </w:r>
            <w:r>
              <w:rPr>
                <w:webHidden/>
              </w:rPr>
              <w:instrText xml:space="preserve"> PAGEREF _Toc241658051 \h </w:instrText>
            </w:r>
            <w:r>
              <w:rPr>
                <w:webHidden/>
              </w:rPr>
            </w:r>
            <w:r>
              <w:rPr>
                <w:webHidden/>
              </w:rPr>
              <w:fldChar w:fldCharType="separate"/>
            </w:r>
            <w:r>
              <w:rPr>
                <w:webHidden/>
              </w:rPr>
              <w:t>27</w:t>
            </w:r>
            <w:r>
              <w:rPr>
                <w:webHidden/>
              </w:rPr>
              <w:fldChar w:fldCharType="end"/>
            </w:r>
          </w:hyperlink>
        </w:p>
        <w:p w14:paraId="600648F6" w14:textId="6E40971A" w:rsidR="009A428A" w:rsidRDefault="009A428A">
          <w:pPr>
            <w:pStyle w:val="TOC3"/>
          </w:pPr>
          <w:hyperlink w:anchor="_Toc241658052" w:history="1">
            <w:r w:rsidRPr="00827A20">
              <w:rPr>
                <w:rStyle w:val="Hyperlink"/>
              </w:rPr>
              <w:t>Non-Indigenous women</w:t>
            </w:r>
            <w:r>
              <w:rPr>
                <w:webHidden/>
              </w:rPr>
              <w:tab/>
            </w:r>
            <w:r>
              <w:rPr>
                <w:webHidden/>
              </w:rPr>
              <w:fldChar w:fldCharType="begin"/>
            </w:r>
            <w:r>
              <w:rPr>
                <w:webHidden/>
              </w:rPr>
              <w:instrText xml:space="preserve"> PAGEREF _Toc241658052 \h </w:instrText>
            </w:r>
            <w:r>
              <w:rPr>
                <w:webHidden/>
              </w:rPr>
            </w:r>
            <w:r>
              <w:rPr>
                <w:webHidden/>
              </w:rPr>
              <w:fldChar w:fldCharType="separate"/>
            </w:r>
            <w:r>
              <w:rPr>
                <w:webHidden/>
              </w:rPr>
              <w:t>27</w:t>
            </w:r>
            <w:r>
              <w:rPr>
                <w:webHidden/>
              </w:rPr>
              <w:fldChar w:fldCharType="end"/>
            </w:r>
          </w:hyperlink>
        </w:p>
        <w:p w14:paraId="6C29E9EB" w14:textId="576DA09C" w:rsidR="009A428A" w:rsidRDefault="009A428A">
          <w:pPr>
            <w:pStyle w:val="TOC2"/>
          </w:pPr>
          <w:hyperlink w:anchor="_Toc241658053" w:history="1">
            <w:r w:rsidRPr="00827A20">
              <w:rPr>
                <w:rStyle w:val="Hyperlink"/>
              </w:rPr>
              <w:t>Indicators 2.5 and 2.6 – Males by sexual exposure</w:t>
            </w:r>
            <w:r>
              <w:rPr>
                <w:webHidden/>
              </w:rPr>
              <w:tab/>
            </w:r>
            <w:r>
              <w:rPr>
                <w:webHidden/>
              </w:rPr>
              <w:fldChar w:fldCharType="begin"/>
            </w:r>
            <w:r>
              <w:rPr>
                <w:webHidden/>
              </w:rPr>
              <w:instrText xml:space="preserve"> PAGEREF _Toc241658053 \h </w:instrText>
            </w:r>
            <w:r>
              <w:rPr>
                <w:webHidden/>
              </w:rPr>
            </w:r>
            <w:r>
              <w:rPr>
                <w:webHidden/>
              </w:rPr>
              <w:fldChar w:fldCharType="separate"/>
            </w:r>
            <w:r>
              <w:rPr>
                <w:webHidden/>
              </w:rPr>
              <w:t>29</w:t>
            </w:r>
            <w:r>
              <w:rPr>
                <w:webHidden/>
              </w:rPr>
              <w:fldChar w:fldCharType="end"/>
            </w:r>
          </w:hyperlink>
        </w:p>
        <w:p w14:paraId="1EFFD36F" w14:textId="4B2F4FBD" w:rsidR="009A428A" w:rsidRDefault="009A428A">
          <w:pPr>
            <w:pStyle w:val="TOC1"/>
          </w:pPr>
          <w:hyperlink w:anchor="_Toc241658054" w:history="1">
            <w:r w:rsidRPr="00827A20">
              <w:rPr>
                <w:rStyle w:val="Hyperlink"/>
              </w:rPr>
              <w:t>Goal 3: Reduce morbidity and mortality associated with syphilis</w:t>
            </w:r>
            <w:r>
              <w:rPr>
                <w:webHidden/>
              </w:rPr>
              <w:tab/>
            </w:r>
            <w:r>
              <w:rPr>
                <w:webHidden/>
              </w:rPr>
              <w:fldChar w:fldCharType="begin"/>
            </w:r>
            <w:r>
              <w:rPr>
                <w:webHidden/>
              </w:rPr>
              <w:instrText xml:space="preserve"> PAGEREF _Toc241658054 \h </w:instrText>
            </w:r>
            <w:r>
              <w:rPr>
                <w:webHidden/>
              </w:rPr>
            </w:r>
            <w:r>
              <w:rPr>
                <w:webHidden/>
              </w:rPr>
              <w:fldChar w:fldCharType="separate"/>
            </w:r>
            <w:r>
              <w:rPr>
                <w:webHidden/>
              </w:rPr>
              <w:t>31</w:t>
            </w:r>
            <w:r>
              <w:rPr>
                <w:webHidden/>
              </w:rPr>
              <w:fldChar w:fldCharType="end"/>
            </w:r>
          </w:hyperlink>
        </w:p>
        <w:p w14:paraId="575F14ED" w14:textId="7A4BF7BB" w:rsidR="009A428A" w:rsidRDefault="009A428A">
          <w:pPr>
            <w:pStyle w:val="TOC1"/>
          </w:pPr>
          <w:hyperlink w:anchor="_Toc241658055" w:history="1">
            <w:r w:rsidRPr="00827A20">
              <w:rPr>
                <w:rStyle w:val="Hyperlink"/>
              </w:rPr>
              <w:t>Goal 4: Eliminate congenital syphilis (defined as sustained zero congenital syphilis cases)</w:t>
            </w:r>
            <w:r>
              <w:rPr>
                <w:webHidden/>
              </w:rPr>
              <w:tab/>
            </w:r>
            <w:r>
              <w:rPr>
                <w:webHidden/>
              </w:rPr>
              <w:fldChar w:fldCharType="begin"/>
            </w:r>
            <w:r>
              <w:rPr>
                <w:webHidden/>
              </w:rPr>
              <w:instrText xml:space="preserve"> PAGEREF _Toc241658055 \h </w:instrText>
            </w:r>
            <w:r>
              <w:rPr>
                <w:webHidden/>
              </w:rPr>
            </w:r>
            <w:r>
              <w:rPr>
                <w:webHidden/>
              </w:rPr>
              <w:fldChar w:fldCharType="separate"/>
            </w:r>
            <w:r>
              <w:rPr>
                <w:webHidden/>
              </w:rPr>
              <w:t>32</w:t>
            </w:r>
            <w:r>
              <w:rPr>
                <w:webHidden/>
              </w:rPr>
              <w:fldChar w:fldCharType="end"/>
            </w:r>
          </w:hyperlink>
        </w:p>
        <w:p w14:paraId="75B2AC80" w14:textId="7444A8CE" w:rsidR="009A428A" w:rsidRDefault="009A428A">
          <w:pPr>
            <w:pStyle w:val="TOC2"/>
          </w:pPr>
          <w:hyperlink w:anchor="_Toc241658056" w:history="1">
            <w:r w:rsidRPr="00827A20">
              <w:rPr>
                <w:rStyle w:val="Hyperlink"/>
              </w:rPr>
              <w:t>Indicators 4.1, 4.2 and 4.3 – Remoteness area and Indigenous status</w:t>
            </w:r>
            <w:r>
              <w:rPr>
                <w:webHidden/>
              </w:rPr>
              <w:tab/>
            </w:r>
            <w:r>
              <w:rPr>
                <w:webHidden/>
              </w:rPr>
              <w:fldChar w:fldCharType="begin"/>
            </w:r>
            <w:r>
              <w:rPr>
                <w:webHidden/>
              </w:rPr>
              <w:instrText xml:space="preserve"> PAGEREF _Toc241658056 \h </w:instrText>
            </w:r>
            <w:r>
              <w:rPr>
                <w:webHidden/>
              </w:rPr>
            </w:r>
            <w:r>
              <w:rPr>
                <w:webHidden/>
              </w:rPr>
              <w:fldChar w:fldCharType="separate"/>
            </w:r>
            <w:r>
              <w:rPr>
                <w:webHidden/>
              </w:rPr>
              <w:t>32</w:t>
            </w:r>
            <w:r>
              <w:rPr>
                <w:webHidden/>
              </w:rPr>
              <w:fldChar w:fldCharType="end"/>
            </w:r>
          </w:hyperlink>
        </w:p>
        <w:p w14:paraId="6290939F" w14:textId="4B060AA0" w:rsidR="009A428A" w:rsidRDefault="009A428A">
          <w:pPr>
            <w:pStyle w:val="TOC2"/>
          </w:pPr>
          <w:hyperlink w:anchor="_Toc241658057" w:history="1">
            <w:r w:rsidRPr="00827A20">
              <w:rPr>
                <w:rStyle w:val="Hyperlink"/>
              </w:rPr>
              <w:t>Indicator 4.4 – Women who were pregnant</w:t>
            </w:r>
            <w:r>
              <w:rPr>
                <w:webHidden/>
              </w:rPr>
              <w:tab/>
            </w:r>
            <w:r>
              <w:rPr>
                <w:webHidden/>
              </w:rPr>
              <w:fldChar w:fldCharType="begin"/>
            </w:r>
            <w:r>
              <w:rPr>
                <w:webHidden/>
              </w:rPr>
              <w:instrText xml:space="preserve"> PAGEREF _Toc241658057 \h </w:instrText>
            </w:r>
            <w:r>
              <w:rPr>
                <w:webHidden/>
              </w:rPr>
            </w:r>
            <w:r>
              <w:rPr>
                <w:webHidden/>
              </w:rPr>
              <w:fldChar w:fldCharType="separate"/>
            </w:r>
            <w:r>
              <w:rPr>
                <w:webHidden/>
              </w:rPr>
              <w:t>33</w:t>
            </w:r>
            <w:r>
              <w:rPr>
                <w:webHidden/>
              </w:rPr>
              <w:fldChar w:fldCharType="end"/>
            </w:r>
          </w:hyperlink>
        </w:p>
        <w:p w14:paraId="5F7C34F8" w14:textId="404C8A31" w:rsidR="009A428A" w:rsidRDefault="009A428A">
          <w:pPr>
            <w:pStyle w:val="TOC2"/>
          </w:pPr>
          <w:hyperlink w:anchor="_Toc241658058" w:history="1">
            <w:r w:rsidRPr="00827A20">
              <w:rPr>
                <w:rStyle w:val="Hyperlink"/>
              </w:rPr>
              <w:t>Indicator 4.5 – Late diagnosis</w:t>
            </w:r>
            <w:r>
              <w:rPr>
                <w:webHidden/>
              </w:rPr>
              <w:tab/>
            </w:r>
            <w:r>
              <w:rPr>
                <w:webHidden/>
              </w:rPr>
              <w:fldChar w:fldCharType="begin"/>
            </w:r>
            <w:r>
              <w:rPr>
                <w:webHidden/>
              </w:rPr>
              <w:instrText xml:space="preserve"> PAGEREF _Toc241658058 \h </w:instrText>
            </w:r>
            <w:r>
              <w:rPr>
                <w:webHidden/>
              </w:rPr>
            </w:r>
            <w:r>
              <w:rPr>
                <w:webHidden/>
              </w:rPr>
              <w:fldChar w:fldCharType="separate"/>
            </w:r>
            <w:r>
              <w:rPr>
                <w:webHidden/>
              </w:rPr>
              <w:t>36</w:t>
            </w:r>
            <w:r>
              <w:rPr>
                <w:webHidden/>
              </w:rPr>
              <w:fldChar w:fldCharType="end"/>
            </w:r>
          </w:hyperlink>
        </w:p>
        <w:p w14:paraId="3B08F1C0" w14:textId="616B9266" w:rsidR="009A428A" w:rsidRDefault="009A428A">
          <w:pPr>
            <w:pStyle w:val="TOC2"/>
          </w:pPr>
          <w:hyperlink w:anchor="_Toc241658059" w:history="1">
            <w:r w:rsidRPr="00827A20">
              <w:rPr>
                <w:rStyle w:val="Hyperlink"/>
              </w:rPr>
              <w:t>Indicator 4.6 – Adequate treatment</w:t>
            </w:r>
            <w:r>
              <w:rPr>
                <w:webHidden/>
              </w:rPr>
              <w:tab/>
            </w:r>
            <w:r>
              <w:rPr>
                <w:webHidden/>
              </w:rPr>
              <w:fldChar w:fldCharType="begin"/>
            </w:r>
            <w:r>
              <w:rPr>
                <w:webHidden/>
              </w:rPr>
              <w:instrText xml:space="preserve"> PAGEREF _Toc241658059 \h </w:instrText>
            </w:r>
            <w:r>
              <w:rPr>
                <w:webHidden/>
              </w:rPr>
            </w:r>
            <w:r>
              <w:rPr>
                <w:webHidden/>
              </w:rPr>
              <w:fldChar w:fldCharType="separate"/>
            </w:r>
            <w:r>
              <w:rPr>
                <w:webHidden/>
              </w:rPr>
              <w:t>37</w:t>
            </w:r>
            <w:r>
              <w:rPr>
                <w:webHidden/>
              </w:rPr>
              <w:fldChar w:fldCharType="end"/>
            </w:r>
          </w:hyperlink>
        </w:p>
        <w:p w14:paraId="612F1C8D" w14:textId="7B9891FC" w:rsidR="009A428A" w:rsidRDefault="009A428A">
          <w:pPr>
            <w:pStyle w:val="TOC2"/>
          </w:pPr>
          <w:hyperlink w:anchor="_Toc241658060" w:history="1">
            <w:r w:rsidRPr="00827A20">
              <w:rPr>
                <w:rStyle w:val="Hyperlink"/>
              </w:rPr>
              <w:t>Indicator 4.7 – Testing during pregnancy</w:t>
            </w:r>
            <w:r>
              <w:rPr>
                <w:webHidden/>
              </w:rPr>
              <w:tab/>
            </w:r>
            <w:r>
              <w:rPr>
                <w:webHidden/>
              </w:rPr>
              <w:fldChar w:fldCharType="begin"/>
            </w:r>
            <w:r>
              <w:rPr>
                <w:webHidden/>
              </w:rPr>
              <w:instrText xml:space="preserve"> PAGEREF _Toc241658060 \h </w:instrText>
            </w:r>
            <w:r>
              <w:rPr>
                <w:webHidden/>
              </w:rPr>
            </w:r>
            <w:r>
              <w:rPr>
                <w:webHidden/>
              </w:rPr>
              <w:fldChar w:fldCharType="separate"/>
            </w:r>
            <w:r>
              <w:rPr>
                <w:webHidden/>
              </w:rPr>
              <w:t>39</w:t>
            </w:r>
            <w:r>
              <w:rPr>
                <w:webHidden/>
              </w:rPr>
              <w:fldChar w:fldCharType="end"/>
            </w:r>
          </w:hyperlink>
        </w:p>
        <w:p w14:paraId="67674A33" w14:textId="60BF9A60" w:rsidR="009A428A" w:rsidRDefault="009A428A">
          <w:pPr>
            <w:pStyle w:val="TOC2"/>
          </w:pPr>
          <w:hyperlink w:anchor="_Toc241658061" w:history="1">
            <w:r w:rsidRPr="00827A20">
              <w:rPr>
                <w:rStyle w:val="Hyperlink"/>
              </w:rPr>
              <w:t>Indicator 4.8 – Reinfection during pregnancy</w:t>
            </w:r>
            <w:r>
              <w:rPr>
                <w:webHidden/>
              </w:rPr>
              <w:tab/>
            </w:r>
            <w:r>
              <w:rPr>
                <w:webHidden/>
              </w:rPr>
              <w:fldChar w:fldCharType="begin"/>
            </w:r>
            <w:r>
              <w:rPr>
                <w:webHidden/>
              </w:rPr>
              <w:instrText xml:space="preserve"> PAGEREF _Toc241658061 \h </w:instrText>
            </w:r>
            <w:r>
              <w:rPr>
                <w:webHidden/>
              </w:rPr>
            </w:r>
            <w:r>
              <w:rPr>
                <w:webHidden/>
              </w:rPr>
              <w:fldChar w:fldCharType="separate"/>
            </w:r>
            <w:r>
              <w:rPr>
                <w:webHidden/>
              </w:rPr>
              <w:t>40</w:t>
            </w:r>
            <w:r>
              <w:rPr>
                <w:webHidden/>
              </w:rPr>
              <w:fldChar w:fldCharType="end"/>
            </w:r>
          </w:hyperlink>
        </w:p>
        <w:p w14:paraId="009685D6" w14:textId="54FF1BA3" w:rsidR="009A428A" w:rsidRDefault="009A428A">
          <w:pPr>
            <w:pStyle w:val="TOC1"/>
          </w:pPr>
          <w:hyperlink w:anchor="_Toc241658062" w:history="1">
            <w:r w:rsidRPr="00827A20">
              <w:rPr>
                <w:rStyle w:val="Hyperlink"/>
              </w:rPr>
              <w:t>Notes</w:t>
            </w:r>
            <w:r>
              <w:rPr>
                <w:webHidden/>
              </w:rPr>
              <w:tab/>
            </w:r>
            <w:r>
              <w:rPr>
                <w:webHidden/>
              </w:rPr>
              <w:fldChar w:fldCharType="begin"/>
            </w:r>
            <w:r>
              <w:rPr>
                <w:webHidden/>
              </w:rPr>
              <w:instrText xml:space="preserve"> PAGEREF _Toc241658062 \h </w:instrText>
            </w:r>
            <w:r>
              <w:rPr>
                <w:webHidden/>
              </w:rPr>
            </w:r>
            <w:r>
              <w:rPr>
                <w:webHidden/>
              </w:rPr>
              <w:fldChar w:fldCharType="separate"/>
            </w:r>
            <w:r>
              <w:rPr>
                <w:webHidden/>
              </w:rPr>
              <w:t>41</w:t>
            </w:r>
            <w:r>
              <w:rPr>
                <w:webHidden/>
              </w:rPr>
              <w:fldChar w:fldCharType="end"/>
            </w:r>
          </w:hyperlink>
        </w:p>
        <w:p w14:paraId="29990729" w14:textId="38A105C9" w:rsidR="009A428A" w:rsidRDefault="009A428A">
          <w:pPr>
            <w:pStyle w:val="TOC2"/>
          </w:pPr>
          <w:hyperlink w:anchor="_Toc241658063" w:history="1">
            <w:r w:rsidRPr="00827A20">
              <w:rPr>
                <w:rStyle w:val="Hyperlink"/>
              </w:rPr>
              <w:t>Methodological notes</w:t>
            </w:r>
            <w:r>
              <w:rPr>
                <w:webHidden/>
              </w:rPr>
              <w:tab/>
            </w:r>
            <w:r>
              <w:rPr>
                <w:webHidden/>
              </w:rPr>
              <w:fldChar w:fldCharType="begin"/>
            </w:r>
            <w:r>
              <w:rPr>
                <w:webHidden/>
              </w:rPr>
              <w:instrText xml:space="preserve"> PAGEREF _Toc241658063 \h </w:instrText>
            </w:r>
            <w:r>
              <w:rPr>
                <w:webHidden/>
              </w:rPr>
            </w:r>
            <w:r>
              <w:rPr>
                <w:webHidden/>
              </w:rPr>
              <w:fldChar w:fldCharType="separate"/>
            </w:r>
            <w:r>
              <w:rPr>
                <w:webHidden/>
              </w:rPr>
              <w:t>41</w:t>
            </w:r>
            <w:r>
              <w:rPr>
                <w:webHidden/>
              </w:rPr>
              <w:fldChar w:fldCharType="end"/>
            </w:r>
          </w:hyperlink>
        </w:p>
        <w:p w14:paraId="6EB46E02" w14:textId="69F1CE89" w:rsidR="009A428A" w:rsidRDefault="009A428A">
          <w:pPr>
            <w:pStyle w:val="TOC2"/>
          </w:pPr>
          <w:hyperlink w:anchor="_Toc241658064" w:history="1">
            <w:r w:rsidRPr="00827A20">
              <w:rPr>
                <w:rStyle w:val="Hyperlink"/>
              </w:rPr>
              <w:t>Data elements</w:t>
            </w:r>
            <w:r>
              <w:rPr>
                <w:webHidden/>
              </w:rPr>
              <w:tab/>
            </w:r>
            <w:r>
              <w:rPr>
                <w:webHidden/>
              </w:rPr>
              <w:fldChar w:fldCharType="begin"/>
            </w:r>
            <w:r>
              <w:rPr>
                <w:webHidden/>
              </w:rPr>
              <w:instrText xml:space="preserve"> PAGEREF _Toc241658064 \h </w:instrText>
            </w:r>
            <w:r>
              <w:rPr>
                <w:webHidden/>
              </w:rPr>
            </w:r>
            <w:r>
              <w:rPr>
                <w:webHidden/>
              </w:rPr>
              <w:fldChar w:fldCharType="separate"/>
            </w:r>
            <w:r>
              <w:rPr>
                <w:webHidden/>
              </w:rPr>
              <w:t>41</w:t>
            </w:r>
            <w:r>
              <w:rPr>
                <w:webHidden/>
              </w:rPr>
              <w:fldChar w:fldCharType="end"/>
            </w:r>
          </w:hyperlink>
        </w:p>
        <w:p w14:paraId="1AED3E53" w14:textId="539AAAD0" w:rsidR="009A428A" w:rsidRDefault="009A428A">
          <w:pPr>
            <w:pStyle w:val="TOC2"/>
          </w:pPr>
          <w:hyperlink w:anchor="_Toc241658065" w:history="1">
            <w:r w:rsidRPr="00827A20">
              <w:rPr>
                <w:rStyle w:val="Hyperlink"/>
              </w:rPr>
              <w:t>Case definitions</w:t>
            </w:r>
            <w:r>
              <w:rPr>
                <w:webHidden/>
              </w:rPr>
              <w:tab/>
            </w:r>
            <w:r>
              <w:rPr>
                <w:webHidden/>
              </w:rPr>
              <w:fldChar w:fldCharType="begin"/>
            </w:r>
            <w:r>
              <w:rPr>
                <w:webHidden/>
              </w:rPr>
              <w:instrText xml:space="preserve"> PAGEREF _Toc241658065 \h </w:instrText>
            </w:r>
            <w:r>
              <w:rPr>
                <w:webHidden/>
              </w:rPr>
            </w:r>
            <w:r>
              <w:rPr>
                <w:webHidden/>
              </w:rPr>
              <w:fldChar w:fldCharType="separate"/>
            </w:r>
            <w:r>
              <w:rPr>
                <w:webHidden/>
              </w:rPr>
              <w:t>42</w:t>
            </w:r>
            <w:r>
              <w:rPr>
                <w:webHidden/>
              </w:rPr>
              <w:fldChar w:fldCharType="end"/>
            </w:r>
          </w:hyperlink>
        </w:p>
        <w:p w14:paraId="1A7CAE20" w14:textId="2E8FB7A8" w:rsidR="009A428A" w:rsidRDefault="009A428A">
          <w:pPr>
            <w:pStyle w:val="TOC2"/>
          </w:pPr>
          <w:hyperlink w:anchor="_Toc241658066" w:history="1">
            <w:r w:rsidRPr="00827A20">
              <w:rPr>
                <w:rStyle w:val="Hyperlink"/>
              </w:rPr>
              <w:t>Acknowledgements</w:t>
            </w:r>
            <w:r>
              <w:rPr>
                <w:webHidden/>
              </w:rPr>
              <w:tab/>
            </w:r>
            <w:r>
              <w:rPr>
                <w:webHidden/>
              </w:rPr>
              <w:fldChar w:fldCharType="begin"/>
            </w:r>
            <w:r>
              <w:rPr>
                <w:webHidden/>
              </w:rPr>
              <w:instrText xml:space="preserve"> PAGEREF _Toc241658066 \h </w:instrText>
            </w:r>
            <w:r>
              <w:rPr>
                <w:webHidden/>
              </w:rPr>
            </w:r>
            <w:r>
              <w:rPr>
                <w:webHidden/>
              </w:rPr>
              <w:fldChar w:fldCharType="separate"/>
            </w:r>
            <w:r>
              <w:rPr>
                <w:webHidden/>
              </w:rPr>
              <w:t>42</w:t>
            </w:r>
            <w:r>
              <w:rPr>
                <w:webHidden/>
              </w:rPr>
              <w:fldChar w:fldCharType="end"/>
            </w:r>
          </w:hyperlink>
        </w:p>
        <w:p w14:paraId="3C30CF67" w14:textId="4EEB18A6" w:rsidR="009A428A" w:rsidRDefault="009A428A">
          <w:pPr>
            <w:pStyle w:val="TOC2"/>
          </w:pPr>
          <w:hyperlink w:anchor="_Toc241658067" w:history="1">
            <w:r w:rsidRPr="00827A20">
              <w:rPr>
                <w:rStyle w:val="Hyperlink"/>
              </w:rPr>
              <w:t>Contact</w:t>
            </w:r>
            <w:r>
              <w:rPr>
                <w:webHidden/>
              </w:rPr>
              <w:tab/>
            </w:r>
            <w:r>
              <w:rPr>
                <w:webHidden/>
              </w:rPr>
              <w:fldChar w:fldCharType="begin"/>
            </w:r>
            <w:r>
              <w:rPr>
                <w:webHidden/>
              </w:rPr>
              <w:instrText xml:space="preserve"> PAGEREF _Toc241658067 \h </w:instrText>
            </w:r>
            <w:r>
              <w:rPr>
                <w:webHidden/>
              </w:rPr>
            </w:r>
            <w:r>
              <w:rPr>
                <w:webHidden/>
              </w:rPr>
              <w:fldChar w:fldCharType="separate"/>
            </w:r>
            <w:r>
              <w:rPr>
                <w:webHidden/>
              </w:rPr>
              <w:t>42</w:t>
            </w:r>
            <w:r>
              <w:rPr>
                <w:webHidden/>
              </w:rPr>
              <w:fldChar w:fldCharType="end"/>
            </w:r>
          </w:hyperlink>
        </w:p>
        <w:p w14:paraId="37916ABA" w14:textId="016E7E95" w:rsidR="009A428A" w:rsidRDefault="009A428A">
          <w:pPr>
            <w:pStyle w:val="TOC1"/>
          </w:pPr>
          <w:hyperlink w:anchor="_Toc241658068" w:history="1">
            <w:r w:rsidRPr="00827A20">
              <w:rPr>
                <w:rStyle w:val="Hyperlink"/>
              </w:rPr>
              <w:t>Appendix A – Goals and indicators reporting schedule</w:t>
            </w:r>
            <w:r>
              <w:rPr>
                <w:webHidden/>
              </w:rPr>
              <w:tab/>
            </w:r>
            <w:r>
              <w:rPr>
                <w:webHidden/>
              </w:rPr>
              <w:fldChar w:fldCharType="begin"/>
            </w:r>
            <w:r>
              <w:rPr>
                <w:webHidden/>
              </w:rPr>
              <w:instrText xml:space="preserve"> PAGEREF _Toc241658068 \h </w:instrText>
            </w:r>
            <w:r>
              <w:rPr>
                <w:webHidden/>
              </w:rPr>
            </w:r>
            <w:r>
              <w:rPr>
                <w:webHidden/>
              </w:rPr>
              <w:fldChar w:fldCharType="separate"/>
            </w:r>
            <w:r>
              <w:rPr>
                <w:webHidden/>
              </w:rPr>
              <w:t>43</w:t>
            </w:r>
            <w:r>
              <w:rPr>
                <w:webHidden/>
              </w:rPr>
              <w:fldChar w:fldCharType="end"/>
            </w:r>
          </w:hyperlink>
        </w:p>
        <w:p w14:paraId="60B81FE9" w14:textId="5E190BB4" w:rsidR="009A428A" w:rsidRDefault="009A428A">
          <w:pPr>
            <w:pStyle w:val="TOC1"/>
          </w:pPr>
          <w:hyperlink w:anchor="_Toc241658069" w:history="1">
            <w:r w:rsidRPr="00827A20">
              <w:rPr>
                <w:rStyle w:val="Hyperlink"/>
              </w:rPr>
              <w:t>Appendix B – NNDSS syphilis notification and enhanced data completeness by year, 2020 to Q1 2026</w:t>
            </w:r>
            <w:r>
              <w:rPr>
                <w:webHidden/>
              </w:rPr>
              <w:tab/>
            </w:r>
            <w:r>
              <w:rPr>
                <w:webHidden/>
              </w:rPr>
              <w:fldChar w:fldCharType="begin"/>
            </w:r>
            <w:r>
              <w:rPr>
                <w:webHidden/>
              </w:rPr>
              <w:instrText xml:space="preserve"> PAGEREF _Toc241658069 \h </w:instrText>
            </w:r>
            <w:r>
              <w:rPr>
                <w:webHidden/>
              </w:rPr>
            </w:r>
            <w:r>
              <w:rPr>
                <w:webHidden/>
              </w:rPr>
              <w:fldChar w:fldCharType="separate"/>
            </w:r>
            <w:r>
              <w:rPr>
                <w:webHidden/>
              </w:rPr>
              <w:t>45</w:t>
            </w:r>
            <w:r>
              <w:rPr>
                <w:webHidden/>
              </w:rPr>
              <w:fldChar w:fldCharType="end"/>
            </w:r>
          </w:hyperlink>
        </w:p>
        <w:p w14:paraId="12AD0C48" w14:textId="7AAE4944" w:rsidR="009A428A" w:rsidRDefault="009A428A">
          <w:pPr>
            <w:pStyle w:val="TOC1"/>
          </w:pPr>
          <w:hyperlink w:anchor="_Toc241658070" w:history="1">
            <w:r w:rsidRPr="00827A20">
              <w:rPr>
                <w:rStyle w:val="Hyperlink"/>
              </w:rPr>
              <w:t>References</w:t>
            </w:r>
            <w:r>
              <w:rPr>
                <w:webHidden/>
              </w:rPr>
              <w:tab/>
            </w:r>
            <w:r>
              <w:rPr>
                <w:webHidden/>
              </w:rPr>
              <w:fldChar w:fldCharType="begin"/>
            </w:r>
            <w:r>
              <w:rPr>
                <w:webHidden/>
              </w:rPr>
              <w:instrText xml:space="preserve"> PAGEREF _Toc241658070 \h </w:instrText>
            </w:r>
            <w:r>
              <w:rPr>
                <w:webHidden/>
              </w:rPr>
            </w:r>
            <w:r>
              <w:rPr>
                <w:webHidden/>
              </w:rPr>
              <w:fldChar w:fldCharType="separate"/>
            </w:r>
            <w:r>
              <w:rPr>
                <w:webHidden/>
              </w:rPr>
              <w:t>47</w:t>
            </w:r>
            <w:r>
              <w:rPr>
                <w:webHidden/>
              </w:rPr>
              <w:fldChar w:fldCharType="end"/>
            </w:r>
          </w:hyperlink>
        </w:p>
        <w:p w14:paraId="7CE0F67E" w14:textId="13BCE972" w:rsidR="00F40769" w:rsidRPr="009A2544" w:rsidRDefault="00F40769" w:rsidP="009A428A">
          <w:pPr>
            <w:pStyle w:val="TOC1"/>
            <w:rPr>
              <w:b w:val="0"/>
            </w:rPr>
          </w:pPr>
          <w:r w:rsidRPr="009A2544">
            <w:rPr>
              <w:b w:val="0"/>
              <w:iCs/>
            </w:rPr>
            <w:fldChar w:fldCharType="end"/>
          </w:r>
        </w:p>
      </w:sdtContent>
    </w:sdt>
    <w:p w14:paraId="7C208EA6" w14:textId="77777777" w:rsidR="00BD203C" w:rsidRPr="00733B0F" w:rsidRDefault="00BD203C" w:rsidP="00733B0F">
      <w:r w:rsidRPr="00733B0F">
        <w:br w:type="page"/>
      </w:r>
    </w:p>
    <w:p w14:paraId="1743E1E7" w14:textId="1496E6CA" w:rsidR="000D78AF" w:rsidRPr="009A2544" w:rsidRDefault="0094078C" w:rsidP="000D78AF">
      <w:pPr>
        <w:pStyle w:val="Heading1"/>
      </w:pPr>
      <w:bookmarkStart w:id="0" w:name="_Toc241658035"/>
      <w:r w:rsidRPr="009A2544">
        <w:lastRenderedPageBreak/>
        <w:t>Introduction</w:t>
      </w:r>
      <w:bookmarkEnd w:id="0"/>
    </w:p>
    <w:p w14:paraId="223E28FF" w14:textId="77777777" w:rsidR="0094078C" w:rsidRPr="009A2544" w:rsidRDefault="0094078C" w:rsidP="0094078C">
      <w:r w:rsidRPr="009A2544">
        <w:t xml:space="preserve">On 21 November 2023, the Australian Health Protection Committee (AHPC) endorsed the </w:t>
      </w:r>
      <w:hyperlink r:id="rId17" w:history="1">
        <w:r w:rsidRPr="009A2544">
          <w:rPr>
            <w:rStyle w:val="Hyperlink"/>
          </w:rPr>
          <w:t>National Syphilis Response Plan 2025 to 2030</w:t>
        </w:r>
      </w:hyperlink>
      <w:r w:rsidRPr="009A2544">
        <w:t xml:space="preserve"> (Response Plan). Four overarching national goals have been adopted to be pursued throughout the life cycle of the Response Plan (2023 to 2030):</w:t>
      </w:r>
    </w:p>
    <w:p w14:paraId="45B77C74" w14:textId="77777777" w:rsidR="0094078C" w:rsidRPr="009A2544" w:rsidRDefault="0094078C" w:rsidP="0094078C">
      <w:pPr>
        <w:pStyle w:val="ListNumber"/>
        <w:tabs>
          <w:tab w:val="num" w:pos="360"/>
        </w:tabs>
      </w:pPr>
      <w:r w:rsidRPr="009A2544">
        <w:t xml:space="preserve">Strengthen prevention and testing strategies for syphilis in priority populations and settings, targeting high-burden areas. </w:t>
      </w:r>
    </w:p>
    <w:p w14:paraId="2B2E425D" w14:textId="77777777" w:rsidR="0094078C" w:rsidRPr="009A2544" w:rsidRDefault="0094078C" w:rsidP="0094078C">
      <w:pPr>
        <w:pStyle w:val="ListNumber"/>
        <w:tabs>
          <w:tab w:val="num" w:pos="360"/>
        </w:tabs>
      </w:pPr>
      <w:r w:rsidRPr="009A2544">
        <w:t xml:space="preserve">Reduce ongoing transmission and incidence of syphilis across priority populations. </w:t>
      </w:r>
    </w:p>
    <w:p w14:paraId="28B4A38E" w14:textId="77777777" w:rsidR="0094078C" w:rsidRPr="009A2544" w:rsidRDefault="0094078C" w:rsidP="0094078C">
      <w:pPr>
        <w:pStyle w:val="ListNumber"/>
        <w:tabs>
          <w:tab w:val="num" w:pos="360"/>
        </w:tabs>
      </w:pPr>
      <w:r w:rsidRPr="009A2544">
        <w:t xml:space="preserve">Reduce morbidity and mortality associated with syphilis. </w:t>
      </w:r>
    </w:p>
    <w:p w14:paraId="34F35A26" w14:textId="77777777" w:rsidR="0094078C" w:rsidRPr="009A2544" w:rsidRDefault="0094078C" w:rsidP="0094078C">
      <w:pPr>
        <w:pStyle w:val="ListNumber"/>
        <w:tabs>
          <w:tab w:val="num" w:pos="360"/>
        </w:tabs>
      </w:pPr>
      <w:r w:rsidRPr="009A2544">
        <w:t>Eliminate congenital syphilis (defined as sustained zero congenital syphilis cases).</w:t>
      </w:r>
    </w:p>
    <w:p w14:paraId="76D63C4B" w14:textId="7CDC4A08" w:rsidR="0094078C" w:rsidRPr="009A2544" w:rsidRDefault="0094078C" w:rsidP="0094078C">
      <w:r w:rsidRPr="009A2544">
        <w:t xml:space="preserve">The Response Plan builds on the efforts of the </w:t>
      </w:r>
      <w:r w:rsidRPr="00694CD0">
        <w:rPr>
          <w:rStyle w:val="Emphasis"/>
        </w:rPr>
        <w:t xml:space="preserve">National strategic approach for responding to rising </w:t>
      </w:r>
      <w:r w:rsidR="00394420" w:rsidRPr="00694CD0">
        <w:rPr>
          <w:rStyle w:val="Emphasis"/>
        </w:rPr>
        <w:t xml:space="preserve">notification </w:t>
      </w:r>
      <w:r w:rsidRPr="00694CD0">
        <w:rPr>
          <w:rStyle w:val="Emphasis"/>
        </w:rPr>
        <w:t>rates of syphilis 2021.</w:t>
      </w:r>
    </w:p>
    <w:p w14:paraId="13D3F6F2" w14:textId="3A676F45" w:rsidR="0094078C" w:rsidRPr="009A2544" w:rsidRDefault="0094078C" w:rsidP="0094078C">
      <w:pPr>
        <w:rPr>
          <w:rFonts w:eastAsiaTheme="minorEastAsia"/>
        </w:rPr>
      </w:pPr>
      <w:r w:rsidRPr="009A2544">
        <w:t xml:space="preserve">The </w:t>
      </w:r>
      <w:hyperlink r:id="rId18" w:history="1">
        <w:r w:rsidRPr="009A2544">
          <w:rPr>
            <w:rStyle w:val="Hyperlink"/>
          </w:rPr>
          <w:t>National Syphilis Surveillance and Monitoring Plan</w:t>
        </w:r>
      </w:hyperlink>
      <w:r w:rsidRPr="009A2544">
        <w:t xml:space="preserve"> (the Surveillance Plan) outlines indicators that will be used to monitor progress towards achieving the above goals. </w:t>
      </w:r>
      <w:r w:rsidRPr="009A2544">
        <w:rPr>
          <w:rFonts w:eastAsiaTheme="minorEastAsia"/>
        </w:rPr>
        <w:t xml:space="preserve">Each goal covers a set of related </w:t>
      </w:r>
      <w:r w:rsidRPr="009A2544">
        <w:t>indicators that</w:t>
      </w:r>
      <w:r w:rsidRPr="009A2544">
        <w:rPr>
          <w:rFonts w:eastAsiaTheme="minorEastAsia"/>
        </w:rPr>
        <w:t xml:space="preserve"> can be disaggregated to allow finer-grained </w:t>
      </w:r>
      <w:r w:rsidR="00D80156" w:rsidRPr="009A2544">
        <w:rPr>
          <w:rFonts w:eastAsiaTheme="minorEastAsia"/>
        </w:rPr>
        <w:t>analysis</w:t>
      </w:r>
      <w:r w:rsidRPr="009A2544">
        <w:rPr>
          <w:rFonts w:eastAsiaTheme="minorEastAsia"/>
        </w:rPr>
        <w:t>.</w:t>
      </w:r>
    </w:p>
    <w:p w14:paraId="45B55265" w14:textId="77777777" w:rsidR="000D78AF" w:rsidRPr="009A2544" w:rsidRDefault="0094078C" w:rsidP="000D78AF">
      <w:pPr>
        <w:pStyle w:val="Heading2"/>
      </w:pPr>
      <w:bookmarkStart w:id="1" w:name="_Toc241658036"/>
      <w:r w:rsidRPr="009A2544">
        <w:t>Reporting</w:t>
      </w:r>
      <w:bookmarkEnd w:id="1"/>
    </w:p>
    <w:p w14:paraId="5826B42C" w14:textId="5BE0806D" w:rsidR="0094078C" w:rsidRPr="009A2544" w:rsidRDefault="0094078C" w:rsidP="0094078C">
      <w:r w:rsidRPr="009A2544">
        <w:t xml:space="preserve">This report provides a quarterly account of progress against the goals and selected indicators in the Surveillance Plan, using data available at the time of writing. A complete list of indicators and the reporting schedule are provided at </w:t>
      </w:r>
      <w:hyperlink w:anchor="_Appendix_A_–" w:history="1">
        <w:r w:rsidRPr="003E0F5C">
          <w:rPr>
            <w:rStyle w:val="Hyperlink"/>
          </w:rPr>
          <w:t>Appendix A</w:t>
        </w:r>
      </w:hyperlink>
      <w:r w:rsidRPr="009A2544">
        <w:t>.</w:t>
      </w:r>
    </w:p>
    <w:p w14:paraId="5FDAE0C3" w14:textId="32BF6604" w:rsidR="0094078C" w:rsidRPr="003C1FD3" w:rsidRDefault="0094078C" w:rsidP="003C1FD3">
      <w:r w:rsidRPr="003C1FD3">
        <w:t>Completeness of N</w:t>
      </w:r>
      <w:r w:rsidR="003219C6" w:rsidRPr="003C1FD3">
        <w:t xml:space="preserve">ational Notifiable Diseases Surveillance System (NNDSS) </w:t>
      </w:r>
      <w:r w:rsidRPr="003C1FD3">
        <w:t xml:space="preserve">data used in this report have been calculated and are summarised at </w:t>
      </w:r>
      <w:hyperlink w:anchor="_Appendix_B_–" w:history="1">
        <w:r w:rsidRPr="003C1FD3">
          <w:rPr>
            <w:rStyle w:val="Hyperlink"/>
          </w:rPr>
          <w:t>Appendix B</w:t>
        </w:r>
      </w:hyperlink>
      <w:r w:rsidRPr="003C1FD3">
        <w:t>. Where completeness is less than 50% data have been excluded from reporting.</w:t>
      </w:r>
    </w:p>
    <w:p w14:paraId="6AED7E71" w14:textId="086F0F0D" w:rsidR="0094078C" w:rsidRPr="009A2544" w:rsidRDefault="0094078C" w:rsidP="0094078C">
      <w:r w:rsidRPr="009A2544">
        <w:t xml:space="preserve">A quarterly summary of data reported against selected indicators is provided in </w:t>
      </w:r>
      <w:r w:rsidR="003219C6">
        <w:fldChar w:fldCharType="begin" w:fldLock="1"/>
      </w:r>
      <w:r w:rsidR="003219C6">
        <w:instrText xml:space="preserve"> REF _Ref238540988 \r \h </w:instrText>
      </w:r>
      <w:r w:rsidR="003219C6">
        <w:fldChar w:fldCharType="separate"/>
      </w:r>
      <w:r w:rsidR="003219C6">
        <w:t>Table 1</w:t>
      </w:r>
      <w:r w:rsidR="003219C6">
        <w:fldChar w:fldCharType="end"/>
      </w:r>
      <w:r w:rsidR="003219C6">
        <w:t xml:space="preserve"> </w:t>
      </w:r>
      <w:r w:rsidRPr="009A2544">
        <w:t xml:space="preserve">and </w:t>
      </w:r>
      <w:r w:rsidR="003219C6">
        <w:fldChar w:fldCharType="begin" w:fldLock="1"/>
      </w:r>
      <w:r w:rsidR="003219C6">
        <w:instrText xml:space="preserve"> REF _Ref238541008 \r \h </w:instrText>
      </w:r>
      <w:r w:rsidR="003219C6">
        <w:fldChar w:fldCharType="separate"/>
      </w:r>
      <w:r w:rsidR="003219C6">
        <w:t>Table 2</w:t>
      </w:r>
      <w:r w:rsidR="003219C6">
        <w:fldChar w:fldCharType="end"/>
      </w:r>
      <w:r w:rsidRPr="009A2544">
        <w:t>.</w:t>
      </w:r>
    </w:p>
    <w:p w14:paraId="34189A94" w14:textId="77777777" w:rsidR="0094078C" w:rsidRPr="009A2544" w:rsidRDefault="0094078C" w:rsidP="009B7AA1">
      <w:pPr>
        <w:pStyle w:val="Heading2"/>
      </w:pPr>
      <w:bookmarkStart w:id="2" w:name="_Toc241658037"/>
      <w:r w:rsidRPr="009A2544">
        <w:t>Guidance</w:t>
      </w:r>
      <w:bookmarkEnd w:id="2"/>
    </w:p>
    <w:p w14:paraId="5D8E9241" w14:textId="69F1B367" w:rsidR="009B7AA1" w:rsidRPr="009A2544" w:rsidRDefault="009B7AA1" w:rsidP="009B7AA1">
      <w:r w:rsidRPr="009A2544">
        <w:t xml:space="preserve">When considering this </w:t>
      </w:r>
      <w:r w:rsidR="0091589C" w:rsidRPr="009A2544">
        <w:t>report,</w:t>
      </w:r>
      <w:r w:rsidRPr="009A2544">
        <w:t xml:space="preserve"> we recommend you refer to the </w:t>
      </w:r>
      <w:hyperlink r:id="rId19" w:history="1">
        <w:r w:rsidRPr="009A2544">
          <w:rPr>
            <w:rStyle w:val="Hyperlink"/>
          </w:rPr>
          <w:t>Surveillance Plan</w:t>
        </w:r>
      </w:hyperlink>
      <w:r w:rsidRPr="009A2544">
        <w:t xml:space="preserve"> for detailed notes on the indicators and data sources.</w:t>
      </w:r>
    </w:p>
    <w:p w14:paraId="2923BCB9" w14:textId="77777777" w:rsidR="003458F6" w:rsidRPr="00694CD0" w:rsidRDefault="003458F6" w:rsidP="00694CD0">
      <w:r>
        <w:br w:type="page"/>
      </w:r>
    </w:p>
    <w:p w14:paraId="024C5778" w14:textId="018D69E2" w:rsidR="00DA6C7F" w:rsidRPr="009A2544" w:rsidRDefault="00DA6C7F" w:rsidP="00967E92">
      <w:pPr>
        <w:pStyle w:val="Heading2"/>
      </w:pPr>
      <w:bookmarkStart w:id="3" w:name="_Toc241658038"/>
      <w:r w:rsidRPr="009A2544">
        <w:lastRenderedPageBreak/>
        <w:t>Terminology</w:t>
      </w:r>
      <w:bookmarkEnd w:id="3"/>
    </w:p>
    <w:p w14:paraId="2C8DDB7F" w14:textId="35C7DD3B" w:rsidR="00F5337C" w:rsidRPr="009A2544" w:rsidRDefault="00F5337C" w:rsidP="00F5337C">
      <w:r w:rsidRPr="009A2544">
        <w:t xml:space="preserve">Sex at birth is used throughout this report to categorise cases as either male/men or female/women. We acknowledge that this categorisation may not represent a person’s gender identity at syphilis diagnosis. For example, we use the term ‘women’ when describing reproductive risk for congenital </w:t>
      </w:r>
      <w:proofErr w:type="gramStart"/>
      <w:r w:rsidRPr="009A2544">
        <w:t>syphilis, but</w:t>
      </w:r>
      <w:proofErr w:type="gramEnd"/>
      <w:r w:rsidRPr="009A2544">
        <w:t xml:space="preserve"> acknowledge that people with a uterus who do not identify as being female may also be included.</w:t>
      </w:r>
    </w:p>
    <w:p w14:paraId="64D0DEE1" w14:textId="4A572E59" w:rsidR="00F5337C" w:rsidRPr="009A2544" w:rsidRDefault="00F5337C" w:rsidP="00F5337C">
      <w:r w:rsidRPr="009A2544">
        <w:t>We are committed to improving our collection of the ‘gender at diagnosis’ field to better inform our analysis and represent gender diversity. It is our intention to report on these data as completeness of the field improves.</w:t>
      </w:r>
    </w:p>
    <w:p w14:paraId="02BD3BB8" w14:textId="1DB2B84B" w:rsidR="00DA6C7F" w:rsidRPr="009A2544" w:rsidRDefault="00DA6C7F" w:rsidP="00967E92">
      <w:pPr>
        <w:sectPr w:rsidR="00DA6C7F" w:rsidRPr="009A2544" w:rsidSect="00AC2BCE">
          <w:pgSz w:w="11900" w:h="16840"/>
          <w:pgMar w:top="851" w:right="1134" w:bottom="1134" w:left="1134" w:header="709" w:footer="527" w:gutter="0"/>
          <w:pgNumType w:start="1"/>
          <w:cols w:space="708"/>
          <w:docGrid w:linePitch="360"/>
        </w:sectPr>
      </w:pPr>
    </w:p>
    <w:p w14:paraId="21A278B5" w14:textId="6BD983F5" w:rsidR="00C14BF9" w:rsidRPr="009A2544" w:rsidRDefault="009B7AA1" w:rsidP="00DF3CAA">
      <w:pPr>
        <w:pStyle w:val="Tabletitle"/>
      </w:pPr>
      <w:bookmarkStart w:id="4" w:name="_Ref238540988"/>
      <w:bookmarkStart w:id="5" w:name="_Toc240364759"/>
      <w:r w:rsidRPr="009A2544">
        <w:lastRenderedPageBreak/>
        <w:t>Quarterly summary of indicator data for the reporting period</w:t>
      </w:r>
      <w:bookmarkEnd w:id="4"/>
      <w:bookmarkEnd w:id="5"/>
    </w:p>
    <w:p w14:paraId="0F59464D" w14:textId="77777777" w:rsidR="001E4165" w:rsidRPr="00C33651" w:rsidRDefault="001E4165" w:rsidP="001E4165">
      <w:r w:rsidRPr="001D443D">
        <w:rPr>
          <w:rStyle w:val="uparrowredChar"/>
        </w:rPr>
        <w:t>↑</w:t>
      </w:r>
      <w:r w:rsidRPr="00C33651">
        <w:t xml:space="preserve">increase </w:t>
      </w:r>
      <w:r w:rsidRPr="00694CD0">
        <w:rPr>
          <w:rStyle w:val="downarrowgreenChar"/>
        </w:rPr>
        <w:t>↓</w:t>
      </w:r>
      <w:r w:rsidRPr="00C33651">
        <w:t xml:space="preserve">decrease </w:t>
      </w:r>
      <w:r w:rsidRPr="00C33651">
        <w:rPr>
          <w:rStyle w:val="rightarroworangeChar"/>
        </w:rPr>
        <w:t>→</w:t>
      </w:r>
      <w:r w:rsidRPr="00C33651">
        <w:t xml:space="preserve"> stable compared with subsequent columns.</w:t>
      </w:r>
    </w:p>
    <w:tbl>
      <w:tblPr>
        <w:tblStyle w:val="TableGrid"/>
        <w:tblW w:w="14879" w:type="dxa"/>
        <w:tblLayout w:type="fixed"/>
        <w:tblLook w:val="04A0" w:firstRow="1" w:lastRow="0" w:firstColumn="1" w:lastColumn="0" w:noHBand="0" w:noVBand="1"/>
      </w:tblPr>
      <w:tblGrid>
        <w:gridCol w:w="1276"/>
        <w:gridCol w:w="6095"/>
        <w:gridCol w:w="2410"/>
        <w:gridCol w:w="2410"/>
        <w:gridCol w:w="2688"/>
      </w:tblGrid>
      <w:tr w:rsidR="009B7AA1" w:rsidRPr="00AC2BCE" w14:paraId="6BD19783" w14:textId="77777777" w:rsidTr="00DF3CAA">
        <w:trPr>
          <w:trHeight w:val="20"/>
          <w:tblHeader/>
        </w:trPr>
        <w:tc>
          <w:tcPr>
            <w:tcW w:w="1276" w:type="dxa"/>
            <w:shd w:val="clear" w:color="auto" w:fill="025F5D"/>
          </w:tcPr>
          <w:p w14:paraId="70FD6F93" w14:textId="47B52F1E" w:rsidR="009B7AA1" w:rsidRPr="00AC2BCE" w:rsidRDefault="009424B3" w:rsidP="00C33651">
            <w:pPr>
              <w:pStyle w:val="Tableheaderrowwhite"/>
            </w:pPr>
            <w:r w:rsidRPr="00AC2BCE">
              <w:t>Indicator</w:t>
            </w:r>
          </w:p>
        </w:tc>
        <w:tc>
          <w:tcPr>
            <w:tcW w:w="6095" w:type="dxa"/>
            <w:shd w:val="clear" w:color="auto" w:fill="025F5D"/>
          </w:tcPr>
          <w:p w14:paraId="45AE409B" w14:textId="36143E87" w:rsidR="009B7AA1" w:rsidRPr="00AC2BCE" w:rsidRDefault="009B7AA1" w:rsidP="00C33651">
            <w:pPr>
              <w:pStyle w:val="Tableheaderrowwhite"/>
            </w:pPr>
            <w:r w:rsidRPr="00AC2BCE">
              <w:t>Summarised indicator description</w:t>
            </w:r>
          </w:p>
        </w:tc>
        <w:tc>
          <w:tcPr>
            <w:tcW w:w="2410" w:type="dxa"/>
            <w:shd w:val="clear" w:color="auto" w:fill="025F5D"/>
          </w:tcPr>
          <w:p w14:paraId="49ADB03A" w14:textId="27C1FB30" w:rsidR="009B7AA1" w:rsidRPr="00AC2BCE" w:rsidRDefault="009B7AA1" w:rsidP="00C33651">
            <w:pPr>
              <w:pStyle w:val="Tableheaderrowwhite"/>
            </w:pPr>
            <w:r w:rsidRPr="00AC2BCE">
              <w:t>Current quarter</w:t>
            </w:r>
            <w:r w:rsidRPr="00AC2BCE">
              <w:br/>
              <w:t>(Q</w:t>
            </w:r>
            <w:r w:rsidR="007534B2" w:rsidRPr="00AC2BCE">
              <w:t>1</w:t>
            </w:r>
            <w:r w:rsidRPr="00AC2BCE">
              <w:t xml:space="preserve"> 202</w:t>
            </w:r>
            <w:r w:rsidR="007534B2" w:rsidRPr="00AC2BCE">
              <w:t>6</w:t>
            </w:r>
            <w:r w:rsidRPr="00AC2BCE">
              <w:t>)</w:t>
            </w:r>
          </w:p>
        </w:tc>
        <w:tc>
          <w:tcPr>
            <w:tcW w:w="2410" w:type="dxa"/>
            <w:shd w:val="clear" w:color="auto" w:fill="025F5D"/>
          </w:tcPr>
          <w:p w14:paraId="6CDBF4F7" w14:textId="6076AC04" w:rsidR="009B7AA1" w:rsidRPr="00AC2BCE" w:rsidRDefault="009B7AA1" w:rsidP="00C33651">
            <w:pPr>
              <w:pStyle w:val="Tableheaderrowwhite"/>
            </w:pPr>
            <w:r w:rsidRPr="00AC2BCE">
              <w:t>Previous quarter</w:t>
            </w:r>
            <w:r w:rsidRPr="00AC2BCE">
              <w:br/>
              <w:t>(Q</w:t>
            </w:r>
            <w:r w:rsidR="00A52B0A" w:rsidRPr="00AC2BCE">
              <w:t>4</w:t>
            </w:r>
            <w:r w:rsidRPr="00AC2BCE">
              <w:t xml:space="preserve"> 202</w:t>
            </w:r>
            <w:r w:rsidR="00195705" w:rsidRPr="00AC2BCE">
              <w:t>5</w:t>
            </w:r>
            <w:r w:rsidRPr="00AC2BCE">
              <w:t>)</w:t>
            </w:r>
          </w:p>
        </w:tc>
        <w:tc>
          <w:tcPr>
            <w:tcW w:w="2688" w:type="dxa"/>
            <w:shd w:val="clear" w:color="auto" w:fill="025F5D"/>
          </w:tcPr>
          <w:p w14:paraId="48F14ADB" w14:textId="0B81183F" w:rsidR="009B7AA1" w:rsidRPr="00AC2BCE" w:rsidRDefault="009B7AA1" w:rsidP="00C33651">
            <w:pPr>
              <w:pStyle w:val="Tableheaderrowwhite"/>
            </w:pPr>
            <w:r w:rsidRPr="00AC2BCE">
              <w:t>Previous 12 months (quarterly average)</w:t>
            </w:r>
            <w:r w:rsidRPr="00AC2BCE">
              <w:br/>
              <w:t>(Q</w:t>
            </w:r>
            <w:r w:rsidR="00A52B0A" w:rsidRPr="00AC2BCE">
              <w:t>2</w:t>
            </w:r>
            <w:r w:rsidRPr="00AC2BCE">
              <w:t xml:space="preserve"> 202</w:t>
            </w:r>
            <w:r w:rsidR="00A52B0A" w:rsidRPr="00AC2BCE">
              <w:t>5</w:t>
            </w:r>
            <w:r w:rsidRPr="00AC2BCE">
              <w:t xml:space="preserve"> to Q</w:t>
            </w:r>
            <w:r w:rsidR="00A52B0A" w:rsidRPr="00AC2BCE">
              <w:t>1</w:t>
            </w:r>
            <w:r w:rsidRPr="00AC2BCE">
              <w:t xml:space="preserve"> 202</w:t>
            </w:r>
            <w:r w:rsidR="00A52B0A" w:rsidRPr="00AC2BCE">
              <w:t>6</w:t>
            </w:r>
            <w:r w:rsidRPr="00AC2BCE">
              <w:t>)</w:t>
            </w:r>
          </w:p>
        </w:tc>
      </w:tr>
      <w:tr w:rsidR="009B7AA1" w:rsidRPr="00AC2BCE" w14:paraId="5324C5AD" w14:textId="77777777" w:rsidTr="004F50D2">
        <w:trPr>
          <w:trHeight w:val="299"/>
        </w:trPr>
        <w:tc>
          <w:tcPr>
            <w:tcW w:w="14879" w:type="dxa"/>
            <w:gridSpan w:val="5"/>
            <w:shd w:val="clear" w:color="auto" w:fill="00DCA1"/>
          </w:tcPr>
          <w:p w14:paraId="380FD9D6" w14:textId="40BB1BE7" w:rsidR="009B7AA1" w:rsidRPr="00AC2BCE" w:rsidRDefault="009B7AA1" w:rsidP="00653325">
            <w:pPr>
              <w:pStyle w:val="Tableheadingcentred"/>
              <w:rPr>
                <w:rFonts w:cs="Segoe UI"/>
                <w:sz w:val="24"/>
                <w:szCs w:val="24"/>
              </w:rPr>
            </w:pPr>
            <w:bookmarkStart w:id="6" w:name="OLE_LINK1"/>
            <w:r w:rsidRPr="00733B0F">
              <w:t xml:space="preserve">Goal 1 – </w:t>
            </w:r>
            <w:r w:rsidR="00E221FB" w:rsidRPr="00733B0F">
              <w:t>S</w:t>
            </w:r>
            <w:r w:rsidRPr="00733B0F">
              <w:t>trengthen prevention and testing strategies for syphilis in priority populations and settings, targeting high-burden areas</w:t>
            </w:r>
            <w:r w:rsidR="0067106D" w:rsidRPr="00334A40">
              <w:rPr>
                <w:rStyle w:val="SuperscriptblackChar"/>
              </w:rPr>
              <w:t>1</w:t>
            </w:r>
          </w:p>
        </w:tc>
      </w:tr>
      <w:tr w:rsidR="009B7AA1" w:rsidRPr="00AC2BCE" w14:paraId="62AAB06F" w14:textId="77777777" w:rsidTr="004F50D2">
        <w:trPr>
          <w:trHeight w:val="20"/>
        </w:trPr>
        <w:tc>
          <w:tcPr>
            <w:tcW w:w="1276" w:type="dxa"/>
          </w:tcPr>
          <w:p w14:paraId="44C05D02" w14:textId="56AF4DC9" w:rsidR="009B7AA1" w:rsidRPr="00AC2BCE" w:rsidRDefault="00BC0120" w:rsidP="00991310">
            <w:pPr>
              <w:pStyle w:val="Tabletextleft"/>
            </w:pPr>
            <w:r w:rsidRPr="00AC2BCE">
              <w:t>1.2</w:t>
            </w:r>
          </w:p>
        </w:tc>
        <w:tc>
          <w:tcPr>
            <w:tcW w:w="6095" w:type="dxa"/>
          </w:tcPr>
          <w:p w14:paraId="22BCE36E" w14:textId="19C618CC" w:rsidR="009B7AA1" w:rsidRPr="00AC2BCE" w:rsidRDefault="00BC0120" w:rsidP="00991310">
            <w:pPr>
              <w:pStyle w:val="Tabletextleft"/>
            </w:pPr>
            <w:r w:rsidRPr="00AC2BCE">
              <w:t>Number of syphilis tests</w:t>
            </w:r>
          </w:p>
        </w:tc>
        <w:tc>
          <w:tcPr>
            <w:tcW w:w="2410" w:type="dxa"/>
          </w:tcPr>
          <w:p w14:paraId="76880EA7" w14:textId="174FB356" w:rsidR="009B7AA1" w:rsidRPr="00AC2BCE" w:rsidRDefault="003821E8" w:rsidP="00694CD0">
            <w:pPr>
              <w:jc w:val="center"/>
              <w:rPr>
                <w:rFonts w:cs="Segoe UI"/>
              </w:rPr>
            </w:pPr>
            <w:r w:rsidRPr="00AC2BCE">
              <w:rPr>
                <w:rFonts w:cs="Segoe UI"/>
              </w:rPr>
              <w:t>8</w:t>
            </w:r>
            <w:r w:rsidR="00B712FE" w:rsidRPr="00AC2BCE">
              <w:rPr>
                <w:rFonts w:cs="Segoe UI"/>
              </w:rPr>
              <w:t>,831</w:t>
            </w:r>
            <w:r w:rsidR="00453125" w:rsidRPr="00AC2BCE">
              <w:rPr>
                <w:rFonts w:cs="Segoe UI"/>
              </w:rPr>
              <w:t xml:space="preserve"> </w:t>
            </w:r>
            <w:r w:rsidR="00453125" w:rsidRPr="001D443D">
              <w:rPr>
                <w:rStyle w:val="uparrowredChar"/>
              </w:rPr>
              <w:t>↑↑</w:t>
            </w:r>
          </w:p>
          <w:p w14:paraId="1835A140" w14:textId="111AA434" w:rsidR="006F34DF" w:rsidRPr="00AC2BCE" w:rsidRDefault="006F34DF" w:rsidP="00694CD0">
            <w:pPr>
              <w:jc w:val="center"/>
              <w:rPr>
                <w:rFonts w:cs="Segoe UI"/>
              </w:rPr>
            </w:pPr>
            <w:r w:rsidRPr="00AC2BCE">
              <w:rPr>
                <w:rFonts w:cs="Segoe UI"/>
              </w:rPr>
              <w:t xml:space="preserve">(cumulative </w:t>
            </w:r>
            <w:r w:rsidR="00B712FE" w:rsidRPr="00AC2BCE">
              <w:rPr>
                <w:rFonts w:cs="Segoe UI"/>
              </w:rPr>
              <w:t>193,493</w:t>
            </w:r>
            <w:r w:rsidR="00911911" w:rsidRPr="00AC2BCE">
              <w:rPr>
                <w:rFonts w:cs="Segoe UI"/>
              </w:rPr>
              <w:t>)</w:t>
            </w:r>
          </w:p>
        </w:tc>
        <w:tc>
          <w:tcPr>
            <w:tcW w:w="2410" w:type="dxa"/>
          </w:tcPr>
          <w:p w14:paraId="0F675114" w14:textId="5849CA04" w:rsidR="009B7AA1" w:rsidRPr="00AC2BCE" w:rsidRDefault="006F34DF" w:rsidP="00694CD0">
            <w:pPr>
              <w:jc w:val="center"/>
              <w:rPr>
                <w:rFonts w:cs="Segoe UI"/>
              </w:rPr>
            </w:pPr>
            <w:r w:rsidRPr="00AC2BCE">
              <w:rPr>
                <w:rFonts w:cs="Segoe UI"/>
              </w:rPr>
              <w:t>7,6</w:t>
            </w:r>
            <w:r w:rsidR="00B712FE" w:rsidRPr="00AC2BCE">
              <w:rPr>
                <w:rFonts w:cs="Segoe UI"/>
              </w:rPr>
              <w:t>94</w:t>
            </w:r>
          </w:p>
        </w:tc>
        <w:tc>
          <w:tcPr>
            <w:tcW w:w="2688" w:type="dxa"/>
          </w:tcPr>
          <w:p w14:paraId="436DB44C" w14:textId="4278A92A" w:rsidR="009B7AA1" w:rsidRPr="00AC2BCE" w:rsidRDefault="00B712FE" w:rsidP="00694CD0">
            <w:pPr>
              <w:jc w:val="center"/>
              <w:rPr>
                <w:rFonts w:cs="Segoe UI"/>
              </w:rPr>
            </w:pPr>
            <w:r w:rsidRPr="00AC2BCE">
              <w:rPr>
                <w:rFonts w:cs="Segoe UI"/>
              </w:rPr>
              <w:t>8,0</w:t>
            </w:r>
            <w:r w:rsidR="00ED35B6" w:rsidRPr="00AC2BCE">
              <w:rPr>
                <w:rFonts w:cs="Segoe UI"/>
              </w:rPr>
              <w:t>97</w:t>
            </w:r>
          </w:p>
        </w:tc>
      </w:tr>
      <w:tr w:rsidR="009B7AA1" w:rsidRPr="00AC2BCE" w14:paraId="321FA463" w14:textId="77777777" w:rsidTr="004F50D2">
        <w:trPr>
          <w:trHeight w:val="20"/>
        </w:trPr>
        <w:tc>
          <w:tcPr>
            <w:tcW w:w="1276" w:type="dxa"/>
          </w:tcPr>
          <w:p w14:paraId="493F7095" w14:textId="28284411" w:rsidR="009B7AA1" w:rsidRPr="00AC2BCE" w:rsidRDefault="00BC0120" w:rsidP="00991310">
            <w:pPr>
              <w:pStyle w:val="Tabletextleft"/>
            </w:pPr>
            <w:r w:rsidRPr="00AC2BCE">
              <w:t>1.3</w:t>
            </w:r>
          </w:p>
        </w:tc>
        <w:tc>
          <w:tcPr>
            <w:tcW w:w="6095" w:type="dxa"/>
          </w:tcPr>
          <w:p w14:paraId="21CEF14D" w14:textId="057C09E8" w:rsidR="009B7AA1" w:rsidRPr="00AC2BCE" w:rsidRDefault="00BC0120" w:rsidP="00991310">
            <w:pPr>
              <w:pStyle w:val="Tabletextleft"/>
            </w:pPr>
            <w:r w:rsidRPr="00AC2BCE">
              <w:t>Syphilis testing coverage – target population</w:t>
            </w:r>
            <w:r w:rsidR="00DC4173" w:rsidRPr="00AC2BCE">
              <w:t xml:space="preserve"> (%)</w:t>
            </w:r>
          </w:p>
        </w:tc>
        <w:tc>
          <w:tcPr>
            <w:tcW w:w="2410" w:type="dxa"/>
          </w:tcPr>
          <w:p w14:paraId="7CA2E04E" w14:textId="45417D10" w:rsidR="009B7AA1" w:rsidRPr="00AC2BCE" w:rsidRDefault="0005524B" w:rsidP="00694CD0">
            <w:pPr>
              <w:jc w:val="center"/>
              <w:rPr>
                <w:rFonts w:cs="Segoe UI"/>
              </w:rPr>
            </w:pPr>
            <w:r w:rsidRPr="00AC2BCE">
              <w:rPr>
                <w:rFonts w:cs="Segoe UI"/>
              </w:rPr>
              <w:t>2</w:t>
            </w:r>
            <w:r w:rsidR="00ED35B6" w:rsidRPr="00AC2BCE">
              <w:rPr>
                <w:rFonts w:cs="Segoe UI"/>
              </w:rPr>
              <w:t>6</w:t>
            </w:r>
            <w:r w:rsidRPr="00AC2BCE">
              <w:rPr>
                <w:rFonts w:cs="Segoe UI"/>
              </w:rPr>
              <w:t>%</w:t>
            </w:r>
            <w:r w:rsidR="006104E3" w:rsidRPr="00AC2BCE">
              <w:rPr>
                <w:rFonts w:cs="Segoe UI"/>
              </w:rPr>
              <w:t xml:space="preserve"> </w:t>
            </w:r>
            <w:r w:rsidR="00404D74" w:rsidRPr="001D443D">
              <w:rPr>
                <w:rStyle w:val="uparrowredChar"/>
              </w:rPr>
              <w:t>↑↑</w:t>
            </w:r>
          </w:p>
        </w:tc>
        <w:tc>
          <w:tcPr>
            <w:tcW w:w="2410" w:type="dxa"/>
          </w:tcPr>
          <w:p w14:paraId="1214EF1F" w14:textId="080AB6FE" w:rsidR="009B7AA1" w:rsidRPr="00AC2BCE" w:rsidRDefault="0005524B" w:rsidP="00694CD0">
            <w:pPr>
              <w:jc w:val="center"/>
              <w:rPr>
                <w:rFonts w:cs="Segoe UI"/>
              </w:rPr>
            </w:pPr>
            <w:r w:rsidRPr="00AC2BCE">
              <w:rPr>
                <w:rFonts w:cs="Segoe UI"/>
              </w:rPr>
              <w:t>2</w:t>
            </w:r>
            <w:r w:rsidR="00ED35B6" w:rsidRPr="00AC2BCE">
              <w:rPr>
                <w:rFonts w:cs="Segoe UI"/>
              </w:rPr>
              <w:t>4</w:t>
            </w:r>
            <w:r w:rsidRPr="00AC2BCE">
              <w:rPr>
                <w:rFonts w:cs="Segoe UI"/>
              </w:rPr>
              <w:t>%</w:t>
            </w:r>
          </w:p>
        </w:tc>
        <w:tc>
          <w:tcPr>
            <w:tcW w:w="2688" w:type="dxa"/>
          </w:tcPr>
          <w:p w14:paraId="1B0BE367" w14:textId="22C23879" w:rsidR="009B7AA1" w:rsidRPr="00AC2BCE" w:rsidRDefault="006104E3" w:rsidP="00694CD0">
            <w:pPr>
              <w:jc w:val="center"/>
              <w:rPr>
                <w:rFonts w:cs="Segoe UI"/>
              </w:rPr>
            </w:pPr>
            <w:r w:rsidRPr="00AC2BCE">
              <w:rPr>
                <w:rFonts w:cs="Segoe UI"/>
              </w:rPr>
              <w:t>25%</w:t>
            </w:r>
          </w:p>
        </w:tc>
      </w:tr>
      <w:tr w:rsidR="009B7AA1" w:rsidRPr="00AC2BCE" w14:paraId="0A21F452" w14:textId="77777777" w:rsidTr="004F50D2">
        <w:trPr>
          <w:trHeight w:val="20"/>
        </w:trPr>
        <w:tc>
          <w:tcPr>
            <w:tcW w:w="1276" w:type="dxa"/>
          </w:tcPr>
          <w:p w14:paraId="02F225C3" w14:textId="022E1285" w:rsidR="009B7AA1" w:rsidRPr="00AC2BCE" w:rsidRDefault="00BC0120" w:rsidP="00991310">
            <w:pPr>
              <w:pStyle w:val="Tabletextleft"/>
            </w:pPr>
            <w:r w:rsidRPr="00AC2BCE">
              <w:t>1.3</w:t>
            </w:r>
          </w:p>
        </w:tc>
        <w:tc>
          <w:tcPr>
            <w:tcW w:w="6095" w:type="dxa"/>
          </w:tcPr>
          <w:p w14:paraId="1E9F5B5F" w14:textId="2FE920FE" w:rsidR="009B7AA1" w:rsidRPr="00AC2BCE" w:rsidRDefault="00BC0120" w:rsidP="00991310">
            <w:pPr>
              <w:pStyle w:val="Tabletextleft"/>
            </w:pPr>
            <w:r w:rsidRPr="00AC2BCE">
              <w:t>Syphilis testing coverage – total population</w:t>
            </w:r>
            <w:r w:rsidR="00DC4173" w:rsidRPr="00AC2BCE">
              <w:t xml:space="preserve"> (%)</w:t>
            </w:r>
          </w:p>
        </w:tc>
        <w:tc>
          <w:tcPr>
            <w:tcW w:w="2410" w:type="dxa"/>
          </w:tcPr>
          <w:p w14:paraId="573F1E1B" w14:textId="6258C9C5" w:rsidR="009B7AA1" w:rsidRPr="00AC2BCE" w:rsidRDefault="00327DFF" w:rsidP="00694CD0">
            <w:pPr>
              <w:jc w:val="center"/>
              <w:rPr>
                <w:rFonts w:cs="Segoe UI"/>
              </w:rPr>
            </w:pPr>
            <w:r w:rsidRPr="00AC2BCE">
              <w:rPr>
                <w:rFonts w:cs="Segoe UI"/>
              </w:rPr>
              <w:t>1</w:t>
            </w:r>
            <w:r w:rsidR="00404D74" w:rsidRPr="00AC2BCE">
              <w:rPr>
                <w:rFonts w:cs="Segoe UI"/>
              </w:rPr>
              <w:t>6</w:t>
            </w:r>
            <w:r w:rsidRPr="00AC2BCE">
              <w:rPr>
                <w:rFonts w:cs="Segoe UI"/>
              </w:rPr>
              <w:t xml:space="preserve">% </w:t>
            </w:r>
            <w:r w:rsidR="00404D74" w:rsidRPr="001D443D">
              <w:rPr>
                <w:rStyle w:val="uparrowredChar"/>
              </w:rPr>
              <w:t>↑↑</w:t>
            </w:r>
          </w:p>
        </w:tc>
        <w:tc>
          <w:tcPr>
            <w:tcW w:w="2410" w:type="dxa"/>
          </w:tcPr>
          <w:p w14:paraId="7C62D814" w14:textId="683CEC76" w:rsidR="009B7AA1" w:rsidRPr="00AC2BCE" w:rsidRDefault="00327DFF" w:rsidP="00694CD0">
            <w:pPr>
              <w:jc w:val="center"/>
              <w:rPr>
                <w:rFonts w:cs="Segoe UI"/>
              </w:rPr>
            </w:pPr>
            <w:r w:rsidRPr="00AC2BCE">
              <w:rPr>
                <w:rFonts w:cs="Segoe UI"/>
              </w:rPr>
              <w:t>1</w:t>
            </w:r>
            <w:r w:rsidR="00404D74" w:rsidRPr="00AC2BCE">
              <w:rPr>
                <w:rFonts w:cs="Segoe UI"/>
              </w:rPr>
              <w:t>4</w:t>
            </w:r>
            <w:r w:rsidRPr="00AC2BCE">
              <w:rPr>
                <w:rFonts w:cs="Segoe UI"/>
              </w:rPr>
              <w:t>%</w:t>
            </w:r>
          </w:p>
        </w:tc>
        <w:tc>
          <w:tcPr>
            <w:tcW w:w="2688" w:type="dxa"/>
          </w:tcPr>
          <w:p w14:paraId="62810176" w14:textId="567BBCA8" w:rsidR="009B7AA1" w:rsidRPr="00AC2BCE" w:rsidRDefault="00327DFF" w:rsidP="00694CD0">
            <w:pPr>
              <w:jc w:val="center"/>
              <w:rPr>
                <w:rFonts w:cs="Segoe UI"/>
              </w:rPr>
            </w:pPr>
            <w:r w:rsidRPr="00AC2BCE">
              <w:rPr>
                <w:rFonts w:cs="Segoe UI"/>
              </w:rPr>
              <w:t>15%</w:t>
            </w:r>
          </w:p>
        </w:tc>
      </w:tr>
      <w:tr w:rsidR="00BD203C" w:rsidRPr="00AC2BCE" w14:paraId="1F10B76D" w14:textId="77777777" w:rsidTr="004F50D2">
        <w:trPr>
          <w:trHeight w:val="20"/>
        </w:trPr>
        <w:tc>
          <w:tcPr>
            <w:tcW w:w="1276" w:type="dxa"/>
            <w:vMerge w:val="restart"/>
          </w:tcPr>
          <w:p w14:paraId="53A6A935" w14:textId="4181EB8E" w:rsidR="00BD203C" w:rsidRPr="00AC2BCE" w:rsidRDefault="00BD203C" w:rsidP="00991310">
            <w:pPr>
              <w:pStyle w:val="Tabletextleft"/>
            </w:pPr>
            <w:r w:rsidRPr="00AC2BCE">
              <w:t>1.3</w:t>
            </w:r>
          </w:p>
        </w:tc>
        <w:tc>
          <w:tcPr>
            <w:tcW w:w="13603" w:type="dxa"/>
            <w:gridSpan w:val="4"/>
          </w:tcPr>
          <w:p w14:paraId="579C37AC" w14:textId="0FAA7FCA" w:rsidR="00BD203C" w:rsidRPr="00694CD0" w:rsidRDefault="00BD203C" w:rsidP="00352F1F">
            <w:pPr>
              <w:pStyle w:val="Tabletextleft"/>
            </w:pPr>
            <w:r w:rsidRPr="00694CD0">
              <w:t>Type of syphilis test – total population (%)</w:t>
            </w:r>
          </w:p>
        </w:tc>
      </w:tr>
      <w:tr w:rsidR="00BD203C" w:rsidRPr="00AC2BCE" w14:paraId="3CDCFDD5" w14:textId="77777777" w:rsidTr="004F50D2">
        <w:trPr>
          <w:trHeight w:val="20"/>
        </w:trPr>
        <w:tc>
          <w:tcPr>
            <w:tcW w:w="1276" w:type="dxa"/>
            <w:vMerge/>
          </w:tcPr>
          <w:p w14:paraId="5F598053" w14:textId="3D9B361C" w:rsidR="00BD203C" w:rsidRPr="00AC2BCE" w:rsidRDefault="00BD203C" w:rsidP="005E5511">
            <w:pPr>
              <w:spacing w:before="60" w:after="60" w:line="240" w:lineRule="auto"/>
              <w:rPr>
                <w:rFonts w:cs="Segoe UI"/>
              </w:rPr>
            </w:pPr>
          </w:p>
        </w:tc>
        <w:tc>
          <w:tcPr>
            <w:tcW w:w="6095" w:type="dxa"/>
          </w:tcPr>
          <w:p w14:paraId="079CE50B" w14:textId="2D42B361" w:rsidR="00BD203C" w:rsidRPr="00352F1F" w:rsidRDefault="00BD203C" w:rsidP="00352F1F">
            <w:pPr>
              <w:pStyle w:val="Tabletextindented"/>
            </w:pPr>
            <w:r w:rsidRPr="00352F1F">
              <w:t>Serology only</w:t>
            </w:r>
          </w:p>
        </w:tc>
        <w:tc>
          <w:tcPr>
            <w:tcW w:w="2410" w:type="dxa"/>
          </w:tcPr>
          <w:p w14:paraId="6940B492" w14:textId="2F3E6034" w:rsidR="00BD203C" w:rsidRPr="00AC2BCE" w:rsidRDefault="00BD203C" w:rsidP="00694CD0">
            <w:pPr>
              <w:jc w:val="center"/>
              <w:rPr>
                <w:rFonts w:cs="Segoe UI"/>
              </w:rPr>
            </w:pPr>
            <w:r w:rsidRPr="00AC2BCE">
              <w:rPr>
                <w:rFonts w:cs="Segoe UI"/>
              </w:rPr>
              <w:t xml:space="preserve">91% </w:t>
            </w:r>
            <w:r w:rsidRPr="00694CD0">
              <w:rPr>
                <w:rStyle w:val="downarrowgreenChar"/>
              </w:rPr>
              <w:t>↓</w:t>
            </w:r>
            <w:r w:rsidRPr="001D443D">
              <w:rPr>
                <w:rStyle w:val="uparrowredChar"/>
              </w:rPr>
              <w:t>↑</w:t>
            </w:r>
          </w:p>
        </w:tc>
        <w:tc>
          <w:tcPr>
            <w:tcW w:w="2410" w:type="dxa"/>
          </w:tcPr>
          <w:p w14:paraId="030ADBB6" w14:textId="0D535A97" w:rsidR="00BD203C" w:rsidRPr="00AC2BCE" w:rsidRDefault="00BD203C" w:rsidP="00694CD0">
            <w:pPr>
              <w:jc w:val="center"/>
              <w:rPr>
                <w:rFonts w:cs="Segoe UI"/>
              </w:rPr>
            </w:pPr>
            <w:r w:rsidRPr="00AC2BCE">
              <w:rPr>
                <w:rFonts w:cs="Segoe UI"/>
              </w:rPr>
              <w:t>92%</w:t>
            </w:r>
          </w:p>
        </w:tc>
        <w:tc>
          <w:tcPr>
            <w:tcW w:w="2688" w:type="dxa"/>
          </w:tcPr>
          <w:p w14:paraId="290B9843" w14:textId="7B1063F2" w:rsidR="00BD203C" w:rsidRPr="00AC2BCE" w:rsidRDefault="00BD203C" w:rsidP="00694CD0">
            <w:pPr>
              <w:jc w:val="center"/>
              <w:rPr>
                <w:rFonts w:cs="Segoe UI"/>
              </w:rPr>
            </w:pPr>
            <w:r w:rsidRPr="00AC2BCE">
              <w:rPr>
                <w:rFonts w:cs="Segoe UI"/>
              </w:rPr>
              <w:t>90%</w:t>
            </w:r>
          </w:p>
        </w:tc>
      </w:tr>
      <w:tr w:rsidR="00BD203C" w:rsidRPr="00AC2BCE" w14:paraId="0FD01AA7" w14:textId="77777777" w:rsidTr="004F50D2">
        <w:trPr>
          <w:trHeight w:val="20"/>
        </w:trPr>
        <w:tc>
          <w:tcPr>
            <w:tcW w:w="1276" w:type="dxa"/>
            <w:vMerge/>
          </w:tcPr>
          <w:p w14:paraId="2A5798B4" w14:textId="77777777" w:rsidR="00BD203C" w:rsidRPr="00AC2BCE" w:rsidRDefault="00BD203C" w:rsidP="005E5511">
            <w:pPr>
              <w:spacing w:before="60" w:after="60" w:line="240" w:lineRule="auto"/>
              <w:rPr>
                <w:rFonts w:cs="Segoe UI"/>
              </w:rPr>
            </w:pPr>
          </w:p>
        </w:tc>
        <w:tc>
          <w:tcPr>
            <w:tcW w:w="6095" w:type="dxa"/>
          </w:tcPr>
          <w:p w14:paraId="7D8A0B00" w14:textId="0161E496" w:rsidR="00BD203C" w:rsidRPr="00352F1F" w:rsidRDefault="00BD203C" w:rsidP="00352F1F">
            <w:pPr>
              <w:pStyle w:val="Tabletextindented"/>
            </w:pPr>
            <w:proofErr w:type="spellStart"/>
            <w:r w:rsidRPr="00352F1F">
              <w:t>PoCT</w:t>
            </w:r>
            <w:proofErr w:type="spellEnd"/>
            <w:r w:rsidRPr="00352F1F">
              <w:t xml:space="preserve"> only</w:t>
            </w:r>
          </w:p>
        </w:tc>
        <w:tc>
          <w:tcPr>
            <w:tcW w:w="2410" w:type="dxa"/>
          </w:tcPr>
          <w:p w14:paraId="33D5087F" w14:textId="582A6451" w:rsidR="00BD203C" w:rsidRPr="00AC2BCE" w:rsidRDefault="00BD203C" w:rsidP="00694CD0">
            <w:pPr>
              <w:jc w:val="center"/>
              <w:rPr>
                <w:rFonts w:cs="Segoe UI"/>
              </w:rPr>
            </w:pPr>
            <w:r w:rsidRPr="00AC2BCE">
              <w:rPr>
                <w:rFonts w:cs="Segoe UI"/>
              </w:rPr>
              <w:t xml:space="preserve">2% </w:t>
            </w:r>
            <w:r w:rsidRPr="00C33651">
              <w:rPr>
                <w:rStyle w:val="rightarroworangeChar"/>
              </w:rPr>
              <w:t>→→</w:t>
            </w:r>
          </w:p>
        </w:tc>
        <w:tc>
          <w:tcPr>
            <w:tcW w:w="2410" w:type="dxa"/>
          </w:tcPr>
          <w:p w14:paraId="0EB3AF9B" w14:textId="4275DE2C" w:rsidR="00BD203C" w:rsidRPr="00AC2BCE" w:rsidRDefault="00BD203C" w:rsidP="00694CD0">
            <w:pPr>
              <w:jc w:val="center"/>
              <w:rPr>
                <w:rFonts w:cs="Segoe UI"/>
              </w:rPr>
            </w:pPr>
            <w:r w:rsidRPr="00AC2BCE">
              <w:rPr>
                <w:rFonts w:cs="Segoe UI"/>
              </w:rPr>
              <w:t>2%</w:t>
            </w:r>
          </w:p>
        </w:tc>
        <w:tc>
          <w:tcPr>
            <w:tcW w:w="2688" w:type="dxa"/>
          </w:tcPr>
          <w:p w14:paraId="1E647B04" w14:textId="08019ADD" w:rsidR="00BD203C" w:rsidRPr="00AC2BCE" w:rsidRDefault="00BD203C" w:rsidP="00694CD0">
            <w:pPr>
              <w:jc w:val="center"/>
              <w:rPr>
                <w:rFonts w:cs="Segoe UI"/>
              </w:rPr>
            </w:pPr>
            <w:r w:rsidRPr="00AC2BCE">
              <w:rPr>
                <w:rFonts w:cs="Segoe UI"/>
              </w:rPr>
              <w:t>2%</w:t>
            </w:r>
          </w:p>
        </w:tc>
      </w:tr>
      <w:tr w:rsidR="00BD203C" w:rsidRPr="00AC2BCE" w14:paraId="5E9A795A" w14:textId="77777777" w:rsidTr="004F50D2">
        <w:trPr>
          <w:trHeight w:val="20"/>
        </w:trPr>
        <w:tc>
          <w:tcPr>
            <w:tcW w:w="1276" w:type="dxa"/>
            <w:vMerge/>
          </w:tcPr>
          <w:p w14:paraId="67F78A27" w14:textId="77777777" w:rsidR="00BD203C" w:rsidRPr="00AC2BCE" w:rsidRDefault="00BD203C" w:rsidP="005E5511">
            <w:pPr>
              <w:spacing w:before="60" w:after="60" w:line="240" w:lineRule="auto"/>
              <w:rPr>
                <w:rFonts w:cs="Segoe UI"/>
              </w:rPr>
            </w:pPr>
          </w:p>
        </w:tc>
        <w:tc>
          <w:tcPr>
            <w:tcW w:w="6095" w:type="dxa"/>
          </w:tcPr>
          <w:p w14:paraId="1E7BF92C" w14:textId="7DEE6282" w:rsidR="00BD203C" w:rsidRPr="00352F1F" w:rsidRDefault="00BD203C" w:rsidP="00352F1F">
            <w:pPr>
              <w:pStyle w:val="Tabletextindented"/>
            </w:pPr>
            <w:r w:rsidRPr="00352F1F">
              <w:t>Both (</w:t>
            </w:r>
            <w:proofErr w:type="spellStart"/>
            <w:r w:rsidRPr="00352F1F">
              <w:t>PoCT</w:t>
            </w:r>
            <w:proofErr w:type="spellEnd"/>
            <w:r w:rsidRPr="00352F1F">
              <w:t xml:space="preserve"> and serology)</w:t>
            </w:r>
          </w:p>
        </w:tc>
        <w:tc>
          <w:tcPr>
            <w:tcW w:w="2410" w:type="dxa"/>
          </w:tcPr>
          <w:p w14:paraId="1512E241" w14:textId="35103339" w:rsidR="00BD203C" w:rsidRPr="00AC2BCE" w:rsidRDefault="00BD203C" w:rsidP="00694CD0">
            <w:pPr>
              <w:jc w:val="center"/>
              <w:rPr>
                <w:rFonts w:cs="Segoe UI"/>
              </w:rPr>
            </w:pPr>
            <w:r w:rsidRPr="00AC2BCE">
              <w:rPr>
                <w:rFonts w:cs="Segoe UI"/>
              </w:rPr>
              <w:t xml:space="preserve">7% </w:t>
            </w:r>
            <w:r w:rsidRPr="00694CD0">
              <w:rPr>
                <w:rStyle w:val="downarrowgreenChar"/>
              </w:rPr>
              <w:t>↓</w:t>
            </w:r>
            <w:r w:rsidRPr="001D443D">
              <w:rPr>
                <w:rStyle w:val="uparrowredChar"/>
              </w:rPr>
              <w:t>↑</w:t>
            </w:r>
          </w:p>
        </w:tc>
        <w:tc>
          <w:tcPr>
            <w:tcW w:w="2410" w:type="dxa"/>
          </w:tcPr>
          <w:p w14:paraId="107EA637" w14:textId="179F07F2" w:rsidR="00BD203C" w:rsidRPr="00AC2BCE" w:rsidRDefault="00BD203C" w:rsidP="00694CD0">
            <w:pPr>
              <w:jc w:val="center"/>
              <w:rPr>
                <w:rFonts w:cs="Segoe UI"/>
              </w:rPr>
            </w:pPr>
            <w:r w:rsidRPr="00AC2BCE">
              <w:rPr>
                <w:rFonts w:cs="Segoe UI"/>
              </w:rPr>
              <w:t>6%</w:t>
            </w:r>
          </w:p>
        </w:tc>
        <w:tc>
          <w:tcPr>
            <w:tcW w:w="2688" w:type="dxa"/>
          </w:tcPr>
          <w:p w14:paraId="65BB5436" w14:textId="0DE1C6B2" w:rsidR="00BD203C" w:rsidRPr="00AC2BCE" w:rsidRDefault="00BD203C" w:rsidP="00694CD0">
            <w:pPr>
              <w:jc w:val="center"/>
              <w:rPr>
                <w:rFonts w:cs="Segoe UI"/>
              </w:rPr>
            </w:pPr>
            <w:r w:rsidRPr="00AC2BCE">
              <w:rPr>
                <w:rFonts w:cs="Segoe UI"/>
              </w:rPr>
              <w:t>8%</w:t>
            </w:r>
          </w:p>
        </w:tc>
      </w:tr>
      <w:tr w:rsidR="007F49B7" w:rsidRPr="00AC2BCE" w14:paraId="728DA1BA" w14:textId="77777777" w:rsidTr="004F50D2">
        <w:trPr>
          <w:trHeight w:val="20"/>
        </w:trPr>
        <w:tc>
          <w:tcPr>
            <w:tcW w:w="14879" w:type="dxa"/>
            <w:gridSpan w:val="5"/>
            <w:shd w:val="clear" w:color="auto" w:fill="00DCA1"/>
          </w:tcPr>
          <w:p w14:paraId="46EC4E88" w14:textId="4A79D164" w:rsidR="007F49B7" w:rsidRPr="00AC2BCE" w:rsidRDefault="007F49B7" w:rsidP="00653325">
            <w:pPr>
              <w:pStyle w:val="Tableheadingcentred"/>
              <w:rPr>
                <w:rFonts w:cs="Segoe UI"/>
                <w:sz w:val="24"/>
                <w:szCs w:val="24"/>
              </w:rPr>
            </w:pPr>
            <w:r w:rsidRPr="00733B0F">
              <w:t>Goal 2 – Reduce ongoing transmission and incidence of syphilis across priority populations</w:t>
            </w:r>
            <w:r w:rsidR="00846AF8" w:rsidRPr="00334A40">
              <w:rPr>
                <w:rStyle w:val="SuperscriptblackChar"/>
              </w:rPr>
              <w:t>2</w:t>
            </w:r>
          </w:p>
        </w:tc>
      </w:tr>
      <w:tr w:rsidR="007F49B7" w:rsidRPr="00AC2BCE" w14:paraId="5E7B381D" w14:textId="77777777" w:rsidTr="004F50D2">
        <w:trPr>
          <w:trHeight w:val="20"/>
        </w:trPr>
        <w:tc>
          <w:tcPr>
            <w:tcW w:w="1276" w:type="dxa"/>
          </w:tcPr>
          <w:p w14:paraId="3E82531B" w14:textId="043D2275" w:rsidR="007F49B7" w:rsidRPr="00AC2BCE" w:rsidRDefault="007F49B7" w:rsidP="00991310">
            <w:pPr>
              <w:pStyle w:val="Tabletextleft"/>
            </w:pPr>
            <w:r w:rsidRPr="00AC2BCE">
              <w:t>2.1</w:t>
            </w:r>
          </w:p>
        </w:tc>
        <w:tc>
          <w:tcPr>
            <w:tcW w:w="6095" w:type="dxa"/>
          </w:tcPr>
          <w:p w14:paraId="28BB1A70" w14:textId="6E408C02" w:rsidR="007F49B7" w:rsidRPr="00AC2BCE" w:rsidRDefault="007F49B7" w:rsidP="00991310">
            <w:pPr>
              <w:pStyle w:val="Tabletextleft"/>
            </w:pPr>
            <w:r w:rsidRPr="00AC2BCE">
              <w:t>Infectious syphilis</w:t>
            </w:r>
            <w:r w:rsidR="00394420" w:rsidRPr="00AC2BCE">
              <w:t xml:space="preserve"> notification</w:t>
            </w:r>
            <w:r w:rsidRPr="00AC2BCE">
              <w:t xml:space="preserve"> rates – Aboriginal and Torres Strait Islander males</w:t>
            </w:r>
            <w:r w:rsidR="00BE37E5" w:rsidRPr="00AC2BCE">
              <w:t xml:space="preserve"> (per 100,000)</w:t>
            </w:r>
          </w:p>
        </w:tc>
        <w:tc>
          <w:tcPr>
            <w:tcW w:w="2410" w:type="dxa"/>
          </w:tcPr>
          <w:p w14:paraId="2CF1F62F" w14:textId="36D63085" w:rsidR="007F49B7" w:rsidRPr="00AC2BCE" w:rsidRDefault="00993A74" w:rsidP="00694CD0">
            <w:pPr>
              <w:jc w:val="center"/>
              <w:rPr>
                <w:rFonts w:cs="Segoe UI"/>
              </w:rPr>
            </w:pPr>
            <w:r w:rsidRPr="00AC2BCE">
              <w:rPr>
                <w:rFonts w:cs="Segoe UI"/>
              </w:rPr>
              <w:t>42</w:t>
            </w:r>
            <w:r w:rsidR="00116619" w:rsidRPr="00AC2BCE">
              <w:rPr>
                <w:rFonts w:cs="Segoe UI"/>
              </w:rPr>
              <w:t xml:space="preserve"> </w:t>
            </w:r>
            <w:r w:rsidR="00116619" w:rsidRPr="001D443D">
              <w:rPr>
                <w:rStyle w:val="uparrowredChar"/>
              </w:rPr>
              <w:t>↑</w:t>
            </w:r>
            <w:r w:rsidR="004C1970" w:rsidRPr="001D443D">
              <w:rPr>
                <w:rStyle w:val="uparrowredChar"/>
              </w:rPr>
              <w:t>↑</w:t>
            </w:r>
          </w:p>
        </w:tc>
        <w:tc>
          <w:tcPr>
            <w:tcW w:w="2410" w:type="dxa"/>
          </w:tcPr>
          <w:p w14:paraId="597E2517" w14:textId="52582A22" w:rsidR="007F49B7" w:rsidRPr="00AC2BCE" w:rsidRDefault="00E218A7" w:rsidP="00694CD0">
            <w:pPr>
              <w:jc w:val="center"/>
              <w:rPr>
                <w:rFonts w:cs="Segoe UI"/>
              </w:rPr>
            </w:pPr>
            <w:r w:rsidRPr="00AC2BCE">
              <w:rPr>
                <w:rFonts w:cs="Segoe UI"/>
              </w:rPr>
              <w:t>3</w:t>
            </w:r>
            <w:r w:rsidR="00993A74" w:rsidRPr="00AC2BCE">
              <w:rPr>
                <w:rFonts w:cs="Segoe UI"/>
              </w:rPr>
              <w:t>2</w:t>
            </w:r>
          </w:p>
        </w:tc>
        <w:tc>
          <w:tcPr>
            <w:tcW w:w="2688" w:type="dxa"/>
          </w:tcPr>
          <w:p w14:paraId="5761D026" w14:textId="6D856844" w:rsidR="007F49B7" w:rsidRPr="00AC2BCE" w:rsidRDefault="00116619" w:rsidP="00694CD0">
            <w:pPr>
              <w:jc w:val="center"/>
              <w:rPr>
                <w:rFonts w:cs="Segoe UI"/>
              </w:rPr>
            </w:pPr>
            <w:r w:rsidRPr="00AC2BCE">
              <w:rPr>
                <w:rFonts w:cs="Segoe UI"/>
              </w:rPr>
              <w:t>3</w:t>
            </w:r>
            <w:r w:rsidR="004C1970" w:rsidRPr="00AC2BCE">
              <w:rPr>
                <w:rFonts w:cs="Segoe UI"/>
              </w:rPr>
              <w:t>7</w:t>
            </w:r>
          </w:p>
        </w:tc>
      </w:tr>
      <w:tr w:rsidR="007F49B7" w:rsidRPr="00AC2BCE" w14:paraId="1BED6403" w14:textId="77777777" w:rsidTr="004F50D2">
        <w:trPr>
          <w:trHeight w:val="20"/>
        </w:trPr>
        <w:tc>
          <w:tcPr>
            <w:tcW w:w="1276" w:type="dxa"/>
          </w:tcPr>
          <w:p w14:paraId="4F0D2C3B" w14:textId="31D14C3B" w:rsidR="007F49B7" w:rsidRPr="00AC2BCE" w:rsidRDefault="007F49B7" w:rsidP="00991310">
            <w:pPr>
              <w:pStyle w:val="Tabletextleft"/>
            </w:pPr>
            <w:r w:rsidRPr="00AC2BCE">
              <w:t>2.1</w:t>
            </w:r>
          </w:p>
        </w:tc>
        <w:tc>
          <w:tcPr>
            <w:tcW w:w="6095" w:type="dxa"/>
          </w:tcPr>
          <w:p w14:paraId="4766A04F" w14:textId="3F670091" w:rsidR="007F49B7" w:rsidRPr="00AC2BCE" w:rsidRDefault="007F49B7" w:rsidP="00991310">
            <w:pPr>
              <w:pStyle w:val="Tabletextleft"/>
            </w:pPr>
            <w:r w:rsidRPr="00AC2BCE">
              <w:t xml:space="preserve">Infectious syphilis </w:t>
            </w:r>
            <w:r w:rsidR="00394420" w:rsidRPr="00AC2BCE">
              <w:t xml:space="preserve">notification </w:t>
            </w:r>
            <w:r w:rsidRPr="00AC2BCE">
              <w:t>rates – Aboriginal and Torres Strait Islander females</w:t>
            </w:r>
            <w:r w:rsidR="00BE37E5" w:rsidRPr="00AC2BCE">
              <w:t xml:space="preserve"> (per 100,000)</w:t>
            </w:r>
          </w:p>
        </w:tc>
        <w:tc>
          <w:tcPr>
            <w:tcW w:w="2410" w:type="dxa"/>
          </w:tcPr>
          <w:p w14:paraId="4720DE7A" w14:textId="26C03B28" w:rsidR="007F49B7" w:rsidRPr="00AC2BCE" w:rsidRDefault="007766A2" w:rsidP="00694CD0">
            <w:pPr>
              <w:jc w:val="center"/>
              <w:rPr>
                <w:rFonts w:cs="Segoe UI"/>
              </w:rPr>
            </w:pPr>
            <w:r w:rsidRPr="00AC2BCE">
              <w:rPr>
                <w:rFonts w:cs="Segoe UI"/>
              </w:rPr>
              <w:t>3</w:t>
            </w:r>
            <w:r w:rsidR="004C1970" w:rsidRPr="00AC2BCE">
              <w:rPr>
                <w:rFonts w:cs="Segoe UI"/>
              </w:rPr>
              <w:t>8</w:t>
            </w:r>
            <w:r w:rsidRPr="00AC2BCE">
              <w:rPr>
                <w:rFonts w:cs="Segoe UI"/>
              </w:rPr>
              <w:t xml:space="preserve"> </w:t>
            </w:r>
            <w:r w:rsidRPr="001D443D">
              <w:rPr>
                <w:rStyle w:val="uparrowredChar"/>
              </w:rPr>
              <w:t>↑</w:t>
            </w:r>
            <w:r w:rsidR="004C1970" w:rsidRPr="001D443D">
              <w:rPr>
                <w:rStyle w:val="uparrowredChar"/>
              </w:rPr>
              <w:t>↑</w:t>
            </w:r>
          </w:p>
        </w:tc>
        <w:tc>
          <w:tcPr>
            <w:tcW w:w="2410" w:type="dxa"/>
          </w:tcPr>
          <w:p w14:paraId="5303B7C0" w14:textId="5BEF7787" w:rsidR="007F49B7" w:rsidRPr="00AC2BCE" w:rsidRDefault="004C1970" w:rsidP="00694CD0">
            <w:pPr>
              <w:jc w:val="center"/>
              <w:rPr>
                <w:rFonts w:cs="Segoe UI"/>
              </w:rPr>
            </w:pPr>
            <w:r w:rsidRPr="00AC2BCE">
              <w:rPr>
                <w:rFonts w:cs="Segoe UI"/>
              </w:rPr>
              <w:t>29</w:t>
            </w:r>
          </w:p>
        </w:tc>
        <w:tc>
          <w:tcPr>
            <w:tcW w:w="2688" w:type="dxa"/>
          </w:tcPr>
          <w:p w14:paraId="50AD1AE3" w14:textId="2321363B" w:rsidR="007F49B7" w:rsidRPr="00AC2BCE" w:rsidRDefault="007766A2" w:rsidP="00694CD0">
            <w:pPr>
              <w:jc w:val="center"/>
              <w:rPr>
                <w:rFonts w:cs="Segoe UI"/>
              </w:rPr>
            </w:pPr>
            <w:r w:rsidRPr="00AC2BCE">
              <w:rPr>
                <w:rFonts w:cs="Segoe UI"/>
              </w:rPr>
              <w:t>3</w:t>
            </w:r>
            <w:r w:rsidR="004C1970" w:rsidRPr="00AC2BCE">
              <w:rPr>
                <w:rFonts w:cs="Segoe UI"/>
              </w:rPr>
              <w:t>4</w:t>
            </w:r>
          </w:p>
        </w:tc>
      </w:tr>
      <w:tr w:rsidR="007F49B7" w:rsidRPr="00AC2BCE" w14:paraId="2BD8366F" w14:textId="77777777" w:rsidTr="004F50D2">
        <w:trPr>
          <w:trHeight w:val="20"/>
        </w:trPr>
        <w:tc>
          <w:tcPr>
            <w:tcW w:w="1276" w:type="dxa"/>
          </w:tcPr>
          <w:p w14:paraId="0E72F2B6" w14:textId="486DA5B8" w:rsidR="007F49B7" w:rsidRPr="00AC2BCE" w:rsidRDefault="007F49B7" w:rsidP="00991310">
            <w:pPr>
              <w:pStyle w:val="Tabletextleft"/>
            </w:pPr>
            <w:r w:rsidRPr="00AC2BCE">
              <w:t>2.1</w:t>
            </w:r>
          </w:p>
        </w:tc>
        <w:tc>
          <w:tcPr>
            <w:tcW w:w="6095" w:type="dxa"/>
          </w:tcPr>
          <w:p w14:paraId="6AD5ED42" w14:textId="495CDE2E" w:rsidR="007F49B7" w:rsidRPr="00AC2BCE" w:rsidRDefault="007F49B7" w:rsidP="00991310">
            <w:pPr>
              <w:pStyle w:val="Tabletextleft"/>
            </w:pPr>
            <w:r w:rsidRPr="00AC2BCE">
              <w:t xml:space="preserve">Infectious syphilis </w:t>
            </w:r>
            <w:r w:rsidR="00394420" w:rsidRPr="00AC2BCE">
              <w:t xml:space="preserve">notification </w:t>
            </w:r>
            <w:r w:rsidRPr="00AC2BCE">
              <w:t xml:space="preserve">rates – </w:t>
            </w:r>
            <w:proofErr w:type="gramStart"/>
            <w:r w:rsidRPr="00AC2BCE">
              <w:t>Non-Indigenous</w:t>
            </w:r>
            <w:proofErr w:type="gramEnd"/>
            <w:r w:rsidRPr="00AC2BCE">
              <w:t xml:space="preserve"> males</w:t>
            </w:r>
            <w:r w:rsidR="00EB6CE7" w:rsidRPr="00AC2BCE">
              <w:t xml:space="preserve"> (per 100,000)</w:t>
            </w:r>
          </w:p>
        </w:tc>
        <w:tc>
          <w:tcPr>
            <w:tcW w:w="2410" w:type="dxa"/>
          </w:tcPr>
          <w:p w14:paraId="2BFBDF36" w14:textId="43D0D638" w:rsidR="007F49B7" w:rsidRPr="00AC2BCE" w:rsidRDefault="00A22983" w:rsidP="00694CD0">
            <w:pPr>
              <w:jc w:val="center"/>
              <w:rPr>
                <w:rFonts w:cs="Segoe UI"/>
              </w:rPr>
            </w:pPr>
            <w:r w:rsidRPr="00AC2BCE">
              <w:rPr>
                <w:rFonts w:cs="Segoe UI"/>
              </w:rPr>
              <w:t>8</w:t>
            </w:r>
            <w:r w:rsidR="00AB1145" w:rsidRPr="00AC2BCE">
              <w:rPr>
                <w:rFonts w:cs="Segoe UI"/>
              </w:rPr>
              <w:t xml:space="preserve"> </w:t>
            </w:r>
            <w:r w:rsidR="00AB1145" w:rsidRPr="00C33651">
              <w:rPr>
                <w:rStyle w:val="rightarroworangeChar"/>
              </w:rPr>
              <w:t>→→</w:t>
            </w:r>
          </w:p>
        </w:tc>
        <w:tc>
          <w:tcPr>
            <w:tcW w:w="2410" w:type="dxa"/>
          </w:tcPr>
          <w:p w14:paraId="78AED32F" w14:textId="30B8DFF4" w:rsidR="007F49B7" w:rsidRPr="00AC2BCE" w:rsidRDefault="00A22983" w:rsidP="00694CD0">
            <w:pPr>
              <w:jc w:val="center"/>
              <w:rPr>
                <w:rFonts w:cs="Segoe UI"/>
              </w:rPr>
            </w:pPr>
            <w:r w:rsidRPr="00AC2BCE">
              <w:rPr>
                <w:rFonts w:cs="Segoe UI"/>
              </w:rPr>
              <w:t>8</w:t>
            </w:r>
          </w:p>
        </w:tc>
        <w:tc>
          <w:tcPr>
            <w:tcW w:w="2688" w:type="dxa"/>
          </w:tcPr>
          <w:p w14:paraId="65E8B798" w14:textId="4CD648D7" w:rsidR="007F49B7" w:rsidRPr="00AC2BCE" w:rsidRDefault="006B553C" w:rsidP="00694CD0">
            <w:pPr>
              <w:jc w:val="center"/>
              <w:rPr>
                <w:rFonts w:cs="Segoe UI"/>
              </w:rPr>
            </w:pPr>
            <w:r w:rsidRPr="00AC2BCE">
              <w:rPr>
                <w:rFonts w:cs="Segoe UI"/>
              </w:rPr>
              <w:t>8</w:t>
            </w:r>
          </w:p>
        </w:tc>
      </w:tr>
      <w:tr w:rsidR="007F49B7" w:rsidRPr="00AC2BCE" w14:paraId="23305BA6" w14:textId="77777777" w:rsidTr="004F50D2">
        <w:trPr>
          <w:trHeight w:val="20"/>
        </w:trPr>
        <w:tc>
          <w:tcPr>
            <w:tcW w:w="1276" w:type="dxa"/>
          </w:tcPr>
          <w:p w14:paraId="65896E70" w14:textId="2D531781" w:rsidR="007F49B7" w:rsidRPr="00AC2BCE" w:rsidRDefault="007F49B7" w:rsidP="00991310">
            <w:pPr>
              <w:pStyle w:val="Tabletextleft"/>
            </w:pPr>
            <w:r w:rsidRPr="00AC2BCE">
              <w:t>2.1</w:t>
            </w:r>
          </w:p>
        </w:tc>
        <w:tc>
          <w:tcPr>
            <w:tcW w:w="6095" w:type="dxa"/>
          </w:tcPr>
          <w:p w14:paraId="645EA710" w14:textId="436523DE" w:rsidR="007F49B7" w:rsidRPr="00AC2BCE" w:rsidRDefault="007F49B7" w:rsidP="00991310">
            <w:pPr>
              <w:pStyle w:val="Tabletextleft"/>
            </w:pPr>
            <w:r w:rsidRPr="00AC2BCE">
              <w:t xml:space="preserve">Infectious syphilis </w:t>
            </w:r>
            <w:r w:rsidR="00394420" w:rsidRPr="00AC2BCE">
              <w:t xml:space="preserve">notification </w:t>
            </w:r>
            <w:r w:rsidRPr="00AC2BCE">
              <w:t xml:space="preserve">rates – </w:t>
            </w:r>
            <w:proofErr w:type="gramStart"/>
            <w:r w:rsidRPr="00AC2BCE">
              <w:t>Non-Indigenous</w:t>
            </w:r>
            <w:proofErr w:type="gramEnd"/>
            <w:r w:rsidRPr="00AC2BCE">
              <w:t xml:space="preserve"> </w:t>
            </w:r>
            <w:r w:rsidR="00854630" w:rsidRPr="00AC2BCE">
              <w:t>fe</w:t>
            </w:r>
            <w:r w:rsidRPr="00AC2BCE">
              <w:t>males</w:t>
            </w:r>
            <w:r w:rsidR="00EB6CE7" w:rsidRPr="00AC2BCE">
              <w:t xml:space="preserve"> (per 100,000)</w:t>
            </w:r>
          </w:p>
        </w:tc>
        <w:tc>
          <w:tcPr>
            <w:tcW w:w="2410" w:type="dxa"/>
          </w:tcPr>
          <w:p w14:paraId="1E3BEBA1" w14:textId="461B2580" w:rsidR="007F49B7" w:rsidRPr="00AC2BCE" w:rsidRDefault="00AB1145" w:rsidP="00694CD0">
            <w:pPr>
              <w:jc w:val="center"/>
              <w:rPr>
                <w:rFonts w:cs="Segoe UI"/>
              </w:rPr>
            </w:pPr>
            <w:r w:rsidRPr="00AC2BCE">
              <w:rPr>
                <w:rFonts w:cs="Segoe UI"/>
              </w:rPr>
              <w:t>1</w:t>
            </w:r>
            <w:r w:rsidR="004707FF" w:rsidRPr="00AC2BCE">
              <w:rPr>
                <w:rFonts w:cs="Segoe UI"/>
              </w:rPr>
              <w:t xml:space="preserve"> </w:t>
            </w:r>
            <w:r w:rsidR="006B553C" w:rsidRPr="00C33651">
              <w:rPr>
                <w:rStyle w:val="rightarroworangeChar"/>
              </w:rPr>
              <w:t>→→</w:t>
            </w:r>
          </w:p>
        </w:tc>
        <w:tc>
          <w:tcPr>
            <w:tcW w:w="2410" w:type="dxa"/>
          </w:tcPr>
          <w:p w14:paraId="7BCB38A8" w14:textId="6C543560" w:rsidR="007F49B7" w:rsidRPr="00AC2BCE" w:rsidRDefault="006B553C" w:rsidP="00694CD0">
            <w:pPr>
              <w:jc w:val="center"/>
              <w:rPr>
                <w:rFonts w:cs="Segoe UI"/>
              </w:rPr>
            </w:pPr>
            <w:r w:rsidRPr="00AC2BCE">
              <w:rPr>
                <w:rFonts w:cs="Segoe UI"/>
              </w:rPr>
              <w:t>1</w:t>
            </w:r>
          </w:p>
        </w:tc>
        <w:tc>
          <w:tcPr>
            <w:tcW w:w="2688" w:type="dxa"/>
          </w:tcPr>
          <w:p w14:paraId="3E497593" w14:textId="6C6AFAE9" w:rsidR="007F49B7" w:rsidRPr="00AC2BCE" w:rsidRDefault="004707FF" w:rsidP="00694CD0">
            <w:pPr>
              <w:jc w:val="center"/>
              <w:rPr>
                <w:rFonts w:cs="Segoe UI"/>
              </w:rPr>
            </w:pPr>
            <w:r w:rsidRPr="00AC2BCE">
              <w:rPr>
                <w:rFonts w:cs="Segoe UI"/>
              </w:rPr>
              <w:t>1</w:t>
            </w:r>
          </w:p>
        </w:tc>
      </w:tr>
      <w:tr w:rsidR="00BD203C" w:rsidRPr="00AC2BCE" w14:paraId="7AAC0F18" w14:textId="77777777" w:rsidTr="004F50D2">
        <w:trPr>
          <w:trHeight w:val="20"/>
        </w:trPr>
        <w:tc>
          <w:tcPr>
            <w:tcW w:w="1276" w:type="dxa"/>
            <w:vMerge w:val="restart"/>
          </w:tcPr>
          <w:p w14:paraId="485C597F" w14:textId="7048FC74" w:rsidR="00BD203C" w:rsidRPr="00AC2BCE" w:rsidRDefault="00BD203C" w:rsidP="00991310">
            <w:pPr>
              <w:pStyle w:val="Tabletextleft"/>
            </w:pPr>
            <w:r w:rsidRPr="00AC2BCE">
              <w:t>2.4</w:t>
            </w:r>
          </w:p>
        </w:tc>
        <w:tc>
          <w:tcPr>
            <w:tcW w:w="13603" w:type="dxa"/>
            <w:gridSpan w:val="4"/>
          </w:tcPr>
          <w:p w14:paraId="5235F2AF" w14:textId="3680262C" w:rsidR="00BD203C" w:rsidRPr="00694CD0" w:rsidRDefault="00BD203C" w:rsidP="00694CD0">
            <w:r w:rsidRPr="00694CD0">
              <w:t>Remoteness area and women of reproductive age: Infectious syphilis notification rates – Aboriginal and Torres Strait Islander women (per 100,000)</w:t>
            </w:r>
          </w:p>
        </w:tc>
      </w:tr>
      <w:tr w:rsidR="00BD203C" w:rsidRPr="00AC2BCE" w14:paraId="122887E6" w14:textId="77777777" w:rsidTr="004F50D2">
        <w:trPr>
          <w:trHeight w:val="20"/>
        </w:trPr>
        <w:tc>
          <w:tcPr>
            <w:tcW w:w="1276" w:type="dxa"/>
            <w:vMerge/>
          </w:tcPr>
          <w:p w14:paraId="464319CF" w14:textId="77777777" w:rsidR="00BD203C" w:rsidRPr="00AC2BCE" w:rsidRDefault="00BD203C" w:rsidP="005E5511">
            <w:pPr>
              <w:spacing w:before="60" w:after="60" w:line="240" w:lineRule="auto"/>
              <w:rPr>
                <w:rFonts w:cs="Segoe UI"/>
              </w:rPr>
            </w:pPr>
          </w:p>
        </w:tc>
        <w:tc>
          <w:tcPr>
            <w:tcW w:w="6095" w:type="dxa"/>
          </w:tcPr>
          <w:p w14:paraId="1741E402" w14:textId="408BBA21" w:rsidR="00BD203C" w:rsidRPr="00694CD0" w:rsidRDefault="00BD203C" w:rsidP="00694CD0">
            <w:pPr>
              <w:pStyle w:val="Tabletextindented"/>
            </w:pPr>
            <w:r w:rsidRPr="00694CD0">
              <w:t>Major cities</w:t>
            </w:r>
          </w:p>
        </w:tc>
        <w:tc>
          <w:tcPr>
            <w:tcW w:w="2410" w:type="dxa"/>
          </w:tcPr>
          <w:p w14:paraId="55D4D0FB" w14:textId="63BB680C" w:rsidR="00BD203C" w:rsidRPr="00AC2BCE" w:rsidRDefault="00BD203C" w:rsidP="00694CD0">
            <w:pPr>
              <w:jc w:val="center"/>
              <w:rPr>
                <w:rFonts w:cs="Segoe UI"/>
              </w:rPr>
            </w:pPr>
            <w:r w:rsidRPr="00AC2BCE">
              <w:rPr>
                <w:rFonts w:cs="Segoe UI"/>
              </w:rPr>
              <w:t xml:space="preserve">37 </w:t>
            </w:r>
            <w:r w:rsidRPr="001D443D">
              <w:rPr>
                <w:rStyle w:val="uparrowredChar"/>
              </w:rPr>
              <w:t>↑</w:t>
            </w:r>
            <w:r w:rsidRPr="00694CD0">
              <w:rPr>
                <w:rStyle w:val="downarrowgreenChar"/>
              </w:rPr>
              <w:t>↓</w:t>
            </w:r>
          </w:p>
        </w:tc>
        <w:tc>
          <w:tcPr>
            <w:tcW w:w="2410" w:type="dxa"/>
          </w:tcPr>
          <w:p w14:paraId="6062061F" w14:textId="309B7A8F" w:rsidR="00BD203C" w:rsidRPr="00AC2BCE" w:rsidRDefault="00BD203C" w:rsidP="00694CD0">
            <w:pPr>
              <w:jc w:val="center"/>
              <w:rPr>
                <w:rFonts w:cs="Segoe UI"/>
              </w:rPr>
            </w:pPr>
            <w:r w:rsidRPr="00AC2BCE">
              <w:rPr>
                <w:rFonts w:cs="Segoe UI"/>
              </w:rPr>
              <w:t>25</w:t>
            </w:r>
          </w:p>
        </w:tc>
        <w:tc>
          <w:tcPr>
            <w:tcW w:w="2688" w:type="dxa"/>
          </w:tcPr>
          <w:p w14:paraId="2B91C468" w14:textId="170A793F" w:rsidR="00BD203C" w:rsidRPr="00AC2BCE" w:rsidRDefault="00BD203C" w:rsidP="00694CD0">
            <w:pPr>
              <w:jc w:val="center"/>
              <w:rPr>
                <w:rFonts w:cs="Segoe UI"/>
              </w:rPr>
            </w:pPr>
            <w:r w:rsidRPr="00AC2BCE">
              <w:rPr>
                <w:rFonts w:cs="Segoe UI"/>
              </w:rPr>
              <w:t>39</w:t>
            </w:r>
          </w:p>
        </w:tc>
      </w:tr>
      <w:tr w:rsidR="00BD203C" w:rsidRPr="00AC2BCE" w14:paraId="32F0AA98" w14:textId="77777777" w:rsidTr="004F50D2">
        <w:trPr>
          <w:trHeight w:val="20"/>
        </w:trPr>
        <w:tc>
          <w:tcPr>
            <w:tcW w:w="1276" w:type="dxa"/>
            <w:vMerge/>
          </w:tcPr>
          <w:p w14:paraId="5A031826" w14:textId="77777777" w:rsidR="00BD203C" w:rsidRPr="00AC2BCE" w:rsidRDefault="00BD203C" w:rsidP="005E5511">
            <w:pPr>
              <w:spacing w:before="60" w:after="60" w:line="240" w:lineRule="auto"/>
              <w:rPr>
                <w:rFonts w:cs="Segoe UI"/>
              </w:rPr>
            </w:pPr>
          </w:p>
        </w:tc>
        <w:tc>
          <w:tcPr>
            <w:tcW w:w="6095" w:type="dxa"/>
          </w:tcPr>
          <w:p w14:paraId="43C2478A" w14:textId="1630FF8D" w:rsidR="00BD203C" w:rsidRPr="00694CD0" w:rsidRDefault="00BD203C" w:rsidP="00694CD0">
            <w:pPr>
              <w:pStyle w:val="Tabletextindented"/>
            </w:pPr>
            <w:r w:rsidRPr="00694CD0">
              <w:t>Inner and outer regional areas</w:t>
            </w:r>
          </w:p>
        </w:tc>
        <w:tc>
          <w:tcPr>
            <w:tcW w:w="2410" w:type="dxa"/>
          </w:tcPr>
          <w:p w14:paraId="0F3F5BE4" w14:textId="5FD7769A" w:rsidR="00BD203C" w:rsidRPr="00AC2BCE" w:rsidRDefault="00BD203C" w:rsidP="00694CD0">
            <w:pPr>
              <w:jc w:val="center"/>
              <w:rPr>
                <w:rFonts w:cs="Segoe UI"/>
              </w:rPr>
            </w:pPr>
            <w:r w:rsidRPr="00AC2BCE">
              <w:rPr>
                <w:rFonts w:cs="Segoe UI"/>
              </w:rPr>
              <w:t xml:space="preserve">64 </w:t>
            </w:r>
            <w:r w:rsidRPr="001D443D">
              <w:rPr>
                <w:rStyle w:val="uparrowredChar"/>
              </w:rPr>
              <w:t>↑↑</w:t>
            </w:r>
          </w:p>
        </w:tc>
        <w:tc>
          <w:tcPr>
            <w:tcW w:w="2410" w:type="dxa"/>
          </w:tcPr>
          <w:p w14:paraId="0CB4FCBE" w14:textId="5A261398" w:rsidR="00BD203C" w:rsidRPr="00AC2BCE" w:rsidRDefault="00BD203C" w:rsidP="00694CD0">
            <w:pPr>
              <w:jc w:val="center"/>
              <w:rPr>
                <w:rFonts w:cs="Segoe UI"/>
              </w:rPr>
            </w:pPr>
            <w:r w:rsidRPr="00AC2BCE">
              <w:rPr>
                <w:rFonts w:cs="Segoe UI"/>
              </w:rPr>
              <w:t>53</w:t>
            </w:r>
          </w:p>
        </w:tc>
        <w:tc>
          <w:tcPr>
            <w:tcW w:w="2688" w:type="dxa"/>
          </w:tcPr>
          <w:p w14:paraId="1650C05F" w14:textId="2710556C" w:rsidR="00BD203C" w:rsidRPr="00AC2BCE" w:rsidRDefault="00BD203C" w:rsidP="00694CD0">
            <w:pPr>
              <w:jc w:val="center"/>
              <w:rPr>
                <w:rFonts w:cs="Segoe UI"/>
              </w:rPr>
            </w:pPr>
            <w:r w:rsidRPr="00AC2BCE">
              <w:rPr>
                <w:rFonts w:cs="Segoe UI"/>
              </w:rPr>
              <w:t>50</w:t>
            </w:r>
          </w:p>
        </w:tc>
      </w:tr>
      <w:tr w:rsidR="00BD203C" w:rsidRPr="00AC2BCE" w14:paraId="34856D74" w14:textId="77777777" w:rsidTr="004F50D2">
        <w:trPr>
          <w:trHeight w:val="20"/>
        </w:trPr>
        <w:tc>
          <w:tcPr>
            <w:tcW w:w="1276" w:type="dxa"/>
            <w:vMerge/>
          </w:tcPr>
          <w:p w14:paraId="53129B4B" w14:textId="77777777" w:rsidR="00BD203C" w:rsidRPr="00AC2BCE" w:rsidRDefault="00BD203C" w:rsidP="005E5511">
            <w:pPr>
              <w:spacing w:before="60" w:after="60" w:line="240" w:lineRule="auto"/>
              <w:rPr>
                <w:rFonts w:cs="Segoe UI"/>
              </w:rPr>
            </w:pPr>
          </w:p>
        </w:tc>
        <w:tc>
          <w:tcPr>
            <w:tcW w:w="6095" w:type="dxa"/>
          </w:tcPr>
          <w:p w14:paraId="0BDC7B5E" w14:textId="063E9C5D" w:rsidR="00BD203C" w:rsidRPr="00694CD0" w:rsidRDefault="00BD203C" w:rsidP="00694CD0">
            <w:pPr>
              <w:pStyle w:val="Tabletextindented"/>
            </w:pPr>
            <w:r w:rsidRPr="00694CD0">
              <w:t>Remote and very remote areas</w:t>
            </w:r>
          </w:p>
        </w:tc>
        <w:tc>
          <w:tcPr>
            <w:tcW w:w="2410" w:type="dxa"/>
          </w:tcPr>
          <w:p w14:paraId="247586F0" w14:textId="383F8F16" w:rsidR="00BD203C" w:rsidRPr="00AC2BCE" w:rsidRDefault="00BD203C" w:rsidP="00694CD0">
            <w:pPr>
              <w:jc w:val="center"/>
              <w:rPr>
                <w:rFonts w:cs="Segoe UI"/>
              </w:rPr>
            </w:pPr>
            <w:r w:rsidRPr="00AC2BCE">
              <w:rPr>
                <w:rFonts w:cs="Segoe UI"/>
              </w:rPr>
              <w:t xml:space="preserve">234 </w:t>
            </w:r>
            <w:r w:rsidRPr="001D443D">
              <w:rPr>
                <w:rStyle w:val="uparrowredChar"/>
              </w:rPr>
              <w:t>↑↑</w:t>
            </w:r>
          </w:p>
        </w:tc>
        <w:tc>
          <w:tcPr>
            <w:tcW w:w="2410" w:type="dxa"/>
          </w:tcPr>
          <w:p w14:paraId="4BC66B18" w14:textId="489351DB" w:rsidR="00BD203C" w:rsidRPr="00AC2BCE" w:rsidRDefault="00BD203C" w:rsidP="00694CD0">
            <w:pPr>
              <w:jc w:val="center"/>
              <w:rPr>
                <w:rFonts w:cs="Segoe UI"/>
              </w:rPr>
            </w:pPr>
            <w:r w:rsidRPr="00AC2BCE">
              <w:rPr>
                <w:rFonts w:cs="Segoe UI"/>
              </w:rPr>
              <w:t>161</w:t>
            </w:r>
          </w:p>
        </w:tc>
        <w:tc>
          <w:tcPr>
            <w:tcW w:w="2688" w:type="dxa"/>
          </w:tcPr>
          <w:p w14:paraId="1607639E" w14:textId="1226AB50" w:rsidR="00BD203C" w:rsidRPr="00AC2BCE" w:rsidRDefault="00BD203C" w:rsidP="00694CD0">
            <w:pPr>
              <w:jc w:val="center"/>
              <w:rPr>
                <w:rFonts w:cs="Segoe UI"/>
              </w:rPr>
            </w:pPr>
            <w:r w:rsidRPr="00AC2BCE">
              <w:rPr>
                <w:rFonts w:cs="Segoe UI"/>
              </w:rPr>
              <w:t>198</w:t>
            </w:r>
          </w:p>
        </w:tc>
      </w:tr>
      <w:tr w:rsidR="00BD203C" w:rsidRPr="00AC2BCE" w14:paraId="377A19CF" w14:textId="77777777" w:rsidTr="004F50D2">
        <w:trPr>
          <w:trHeight w:val="20"/>
        </w:trPr>
        <w:tc>
          <w:tcPr>
            <w:tcW w:w="1276" w:type="dxa"/>
            <w:vMerge w:val="restart"/>
          </w:tcPr>
          <w:p w14:paraId="0502B6C4" w14:textId="46D6A717" w:rsidR="00BD203C" w:rsidRPr="00AC2BCE" w:rsidRDefault="00BD203C" w:rsidP="00991310">
            <w:pPr>
              <w:pStyle w:val="Tabletextleft"/>
            </w:pPr>
            <w:r w:rsidRPr="00AC2BCE">
              <w:t>2.4</w:t>
            </w:r>
          </w:p>
        </w:tc>
        <w:tc>
          <w:tcPr>
            <w:tcW w:w="13603" w:type="dxa"/>
            <w:gridSpan w:val="4"/>
          </w:tcPr>
          <w:p w14:paraId="6EB1D660" w14:textId="5F4BAFBC" w:rsidR="00BD203C" w:rsidRPr="00694CD0" w:rsidRDefault="00BD203C" w:rsidP="00694CD0">
            <w:r w:rsidRPr="00694CD0">
              <w:t>Remoteness area and women of reproductive age: Infectious syphilis notification rates – non-Indigenous women (per 100,000)</w:t>
            </w:r>
          </w:p>
        </w:tc>
      </w:tr>
      <w:tr w:rsidR="00BD203C" w:rsidRPr="00AC2BCE" w14:paraId="1AA94F93" w14:textId="77777777" w:rsidTr="004F50D2">
        <w:trPr>
          <w:trHeight w:val="20"/>
        </w:trPr>
        <w:tc>
          <w:tcPr>
            <w:tcW w:w="1276" w:type="dxa"/>
            <w:vMerge/>
          </w:tcPr>
          <w:p w14:paraId="5D8E2BB8" w14:textId="77777777" w:rsidR="00BD203C" w:rsidRPr="00AC2BCE" w:rsidRDefault="00BD203C" w:rsidP="005E5511">
            <w:pPr>
              <w:spacing w:before="60" w:after="60" w:line="240" w:lineRule="auto"/>
              <w:rPr>
                <w:rFonts w:cs="Segoe UI"/>
              </w:rPr>
            </w:pPr>
          </w:p>
        </w:tc>
        <w:tc>
          <w:tcPr>
            <w:tcW w:w="6095" w:type="dxa"/>
          </w:tcPr>
          <w:p w14:paraId="32301FD7" w14:textId="77777777" w:rsidR="00BD203C" w:rsidRPr="00694CD0" w:rsidRDefault="00BD203C" w:rsidP="00694CD0">
            <w:pPr>
              <w:pStyle w:val="Tabletextindented"/>
            </w:pPr>
            <w:r w:rsidRPr="00694CD0">
              <w:t>Major cities</w:t>
            </w:r>
          </w:p>
        </w:tc>
        <w:tc>
          <w:tcPr>
            <w:tcW w:w="2410" w:type="dxa"/>
          </w:tcPr>
          <w:p w14:paraId="7B424774" w14:textId="03494DDB" w:rsidR="00BD203C" w:rsidRPr="00AC2BCE" w:rsidRDefault="00BD203C" w:rsidP="00694CD0">
            <w:pPr>
              <w:jc w:val="center"/>
              <w:rPr>
                <w:rFonts w:cs="Segoe UI"/>
              </w:rPr>
            </w:pPr>
            <w:r w:rsidRPr="00AC2BCE">
              <w:rPr>
                <w:rFonts w:cs="Segoe UI"/>
              </w:rPr>
              <w:t xml:space="preserve">3 </w:t>
            </w:r>
            <w:r w:rsidRPr="00C33651">
              <w:rPr>
                <w:rStyle w:val="rightarroworangeChar"/>
              </w:rPr>
              <w:t>→→</w:t>
            </w:r>
          </w:p>
        </w:tc>
        <w:tc>
          <w:tcPr>
            <w:tcW w:w="2410" w:type="dxa"/>
          </w:tcPr>
          <w:p w14:paraId="38BC30DE" w14:textId="5F0EAAF2" w:rsidR="00BD203C" w:rsidRPr="00AC2BCE" w:rsidRDefault="00BD203C" w:rsidP="00694CD0">
            <w:pPr>
              <w:jc w:val="center"/>
              <w:rPr>
                <w:rFonts w:cs="Segoe UI"/>
              </w:rPr>
            </w:pPr>
            <w:r w:rsidRPr="00AC2BCE">
              <w:rPr>
                <w:rFonts w:cs="Segoe UI"/>
              </w:rPr>
              <w:t>3</w:t>
            </w:r>
          </w:p>
        </w:tc>
        <w:tc>
          <w:tcPr>
            <w:tcW w:w="2688" w:type="dxa"/>
          </w:tcPr>
          <w:p w14:paraId="26AB74B7" w14:textId="585114CB" w:rsidR="00BD203C" w:rsidRPr="00AC2BCE" w:rsidRDefault="00BD203C" w:rsidP="00694CD0">
            <w:pPr>
              <w:jc w:val="center"/>
              <w:rPr>
                <w:rFonts w:cs="Segoe UI"/>
              </w:rPr>
            </w:pPr>
            <w:r w:rsidRPr="00AC2BCE">
              <w:rPr>
                <w:rFonts w:cs="Segoe UI"/>
              </w:rPr>
              <w:t>3</w:t>
            </w:r>
          </w:p>
        </w:tc>
      </w:tr>
      <w:tr w:rsidR="00BD203C" w:rsidRPr="00AC2BCE" w14:paraId="4BB17D27" w14:textId="77777777" w:rsidTr="004F50D2">
        <w:trPr>
          <w:trHeight w:val="20"/>
        </w:trPr>
        <w:tc>
          <w:tcPr>
            <w:tcW w:w="1276" w:type="dxa"/>
            <w:vMerge/>
          </w:tcPr>
          <w:p w14:paraId="6C5E6BA1" w14:textId="77777777" w:rsidR="00BD203C" w:rsidRPr="00AC2BCE" w:rsidRDefault="00BD203C" w:rsidP="005E5511">
            <w:pPr>
              <w:spacing w:before="60" w:after="60" w:line="240" w:lineRule="auto"/>
              <w:rPr>
                <w:rFonts w:cs="Segoe UI"/>
              </w:rPr>
            </w:pPr>
          </w:p>
        </w:tc>
        <w:tc>
          <w:tcPr>
            <w:tcW w:w="6095" w:type="dxa"/>
          </w:tcPr>
          <w:p w14:paraId="7D53E649" w14:textId="77777777" w:rsidR="00BD203C" w:rsidRPr="00694CD0" w:rsidRDefault="00BD203C" w:rsidP="00694CD0">
            <w:pPr>
              <w:pStyle w:val="Tabletextindented"/>
            </w:pPr>
            <w:r w:rsidRPr="00694CD0">
              <w:t>Inner and outer regional areas</w:t>
            </w:r>
          </w:p>
        </w:tc>
        <w:tc>
          <w:tcPr>
            <w:tcW w:w="2410" w:type="dxa"/>
          </w:tcPr>
          <w:p w14:paraId="16B686D1" w14:textId="3F58E3B2" w:rsidR="00BD203C" w:rsidRPr="00AC2BCE" w:rsidRDefault="00BD203C" w:rsidP="00694CD0">
            <w:pPr>
              <w:jc w:val="center"/>
              <w:rPr>
                <w:rFonts w:cs="Segoe UI"/>
              </w:rPr>
            </w:pPr>
            <w:proofErr w:type="gramStart"/>
            <w:r w:rsidRPr="00AC2BCE">
              <w:rPr>
                <w:rFonts w:cs="Segoe UI"/>
              </w:rPr>
              <w:t xml:space="preserve">3  </w:t>
            </w:r>
            <w:r w:rsidRPr="001D443D">
              <w:rPr>
                <w:rStyle w:val="uparrowredChar"/>
              </w:rPr>
              <w:t>↑</w:t>
            </w:r>
            <w:proofErr w:type="gramEnd"/>
            <w:r w:rsidRPr="00C33651">
              <w:rPr>
                <w:rStyle w:val="rightarroworangeChar"/>
              </w:rPr>
              <w:t>→</w:t>
            </w:r>
          </w:p>
        </w:tc>
        <w:tc>
          <w:tcPr>
            <w:tcW w:w="2410" w:type="dxa"/>
          </w:tcPr>
          <w:p w14:paraId="735EC2FC" w14:textId="74316566" w:rsidR="00BD203C" w:rsidRPr="00AC2BCE" w:rsidRDefault="00BD203C" w:rsidP="00694CD0">
            <w:pPr>
              <w:jc w:val="center"/>
              <w:rPr>
                <w:rFonts w:cs="Segoe UI"/>
              </w:rPr>
            </w:pPr>
            <w:r w:rsidRPr="00AC2BCE">
              <w:rPr>
                <w:rFonts w:cs="Segoe UI"/>
              </w:rPr>
              <w:t>2</w:t>
            </w:r>
          </w:p>
        </w:tc>
        <w:tc>
          <w:tcPr>
            <w:tcW w:w="2688" w:type="dxa"/>
          </w:tcPr>
          <w:p w14:paraId="156B2D31" w14:textId="28F2960D" w:rsidR="00BD203C" w:rsidRPr="00AC2BCE" w:rsidRDefault="00BD203C" w:rsidP="00694CD0">
            <w:pPr>
              <w:jc w:val="center"/>
              <w:rPr>
                <w:rFonts w:cs="Segoe UI"/>
              </w:rPr>
            </w:pPr>
            <w:r w:rsidRPr="00AC2BCE">
              <w:rPr>
                <w:rFonts w:cs="Segoe UI"/>
              </w:rPr>
              <w:t>3</w:t>
            </w:r>
          </w:p>
        </w:tc>
      </w:tr>
      <w:tr w:rsidR="00BD203C" w:rsidRPr="00AC2BCE" w14:paraId="6EFE708D" w14:textId="77777777" w:rsidTr="004F50D2">
        <w:trPr>
          <w:trHeight w:val="20"/>
        </w:trPr>
        <w:tc>
          <w:tcPr>
            <w:tcW w:w="1276" w:type="dxa"/>
            <w:vMerge/>
          </w:tcPr>
          <w:p w14:paraId="731B1E87" w14:textId="77777777" w:rsidR="00BD203C" w:rsidRPr="00AC2BCE" w:rsidRDefault="00BD203C" w:rsidP="005E5511">
            <w:pPr>
              <w:spacing w:before="60" w:after="60" w:line="240" w:lineRule="auto"/>
              <w:rPr>
                <w:rFonts w:cs="Segoe UI"/>
              </w:rPr>
            </w:pPr>
          </w:p>
        </w:tc>
        <w:tc>
          <w:tcPr>
            <w:tcW w:w="6095" w:type="dxa"/>
          </w:tcPr>
          <w:p w14:paraId="726F0751" w14:textId="77777777" w:rsidR="00BD203C" w:rsidRPr="00694CD0" w:rsidRDefault="00BD203C" w:rsidP="00694CD0">
            <w:pPr>
              <w:pStyle w:val="Tabletextindented"/>
            </w:pPr>
            <w:r w:rsidRPr="00694CD0">
              <w:t>Remote and very remote areas</w:t>
            </w:r>
          </w:p>
        </w:tc>
        <w:tc>
          <w:tcPr>
            <w:tcW w:w="2410" w:type="dxa"/>
          </w:tcPr>
          <w:p w14:paraId="2878AC62" w14:textId="6DA2E264" w:rsidR="00BD203C" w:rsidRPr="00AC2BCE" w:rsidRDefault="00BD203C" w:rsidP="00694CD0">
            <w:pPr>
              <w:jc w:val="center"/>
              <w:rPr>
                <w:rFonts w:cs="Segoe UI"/>
              </w:rPr>
            </w:pPr>
            <w:r w:rsidRPr="00AC2BCE">
              <w:rPr>
                <w:rFonts w:cs="Segoe UI"/>
              </w:rPr>
              <w:t xml:space="preserve">4 </w:t>
            </w:r>
            <w:r w:rsidRPr="00694CD0">
              <w:rPr>
                <w:rStyle w:val="downarrowgreenChar"/>
              </w:rPr>
              <w:t>↓</w:t>
            </w:r>
            <w:r w:rsidRPr="001D443D">
              <w:rPr>
                <w:rStyle w:val="uparrowredChar"/>
              </w:rPr>
              <w:t>↑</w:t>
            </w:r>
          </w:p>
        </w:tc>
        <w:tc>
          <w:tcPr>
            <w:tcW w:w="2410" w:type="dxa"/>
          </w:tcPr>
          <w:p w14:paraId="3879EC1E" w14:textId="012BBFF9" w:rsidR="00BD203C" w:rsidRPr="00AC2BCE" w:rsidRDefault="00BD203C" w:rsidP="00694CD0">
            <w:pPr>
              <w:jc w:val="center"/>
              <w:rPr>
                <w:rFonts w:cs="Segoe UI"/>
              </w:rPr>
            </w:pPr>
            <w:r w:rsidRPr="00AC2BCE">
              <w:rPr>
                <w:rFonts w:cs="Segoe UI"/>
              </w:rPr>
              <w:t>5</w:t>
            </w:r>
          </w:p>
        </w:tc>
        <w:tc>
          <w:tcPr>
            <w:tcW w:w="2688" w:type="dxa"/>
          </w:tcPr>
          <w:p w14:paraId="3863FD70" w14:textId="1EDF4AE2" w:rsidR="00BD203C" w:rsidRPr="00AC2BCE" w:rsidRDefault="00BD203C" w:rsidP="00694CD0">
            <w:pPr>
              <w:jc w:val="center"/>
              <w:rPr>
                <w:rFonts w:cs="Segoe UI"/>
              </w:rPr>
            </w:pPr>
            <w:r w:rsidRPr="00AC2BCE">
              <w:rPr>
                <w:rFonts w:cs="Segoe UI"/>
              </w:rPr>
              <w:t>3</w:t>
            </w:r>
          </w:p>
        </w:tc>
      </w:tr>
      <w:tr w:rsidR="00165582" w:rsidRPr="00AC2BCE" w14:paraId="652CD520" w14:textId="77777777" w:rsidTr="004F50D2">
        <w:trPr>
          <w:trHeight w:val="20"/>
        </w:trPr>
        <w:tc>
          <w:tcPr>
            <w:tcW w:w="1276" w:type="dxa"/>
          </w:tcPr>
          <w:p w14:paraId="23A9081A" w14:textId="6721A1F9" w:rsidR="00165582" w:rsidRPr="00AC2BCE" w:rsidRDefault="00DA6C76" w:rsidP="00991310">
            <w:pPr>
              <w:pStyle w:val="Tabletextleft"/>
            </w:pPr>
            <w:r w:rsidRPr="00AC2BCE">
              <w:t>2.5</w:t>
            </w:r>
          </w:p>
        </w:tc>
        <w:tc>
          <w:tcPr>
            <w:tcW w:w="6095" w:type="dxa"/>
          </w:tcPr>
          <w:p w14:paraId="26A88A37" w14:textId="0397DE70" w:rsidR="00165582" w:rsidRPr="00AC2BCE" w:rsidRDefault="00DA6C76" w:rsidP="00991310">
            <w:pPr>
              <w:pStyle w:val="Tabletextleft"/>
            </w:pPr>
            <w:r w:rsidRPr="00AC2BCE">
              <w:t>Men, notified with infectious syphilis, reporting sexual exposure with men only (%)</w:t>
            </w:r>
          </w:p>
        </w:tc>
        <w:tc>
          <w:tcPr>
            <w:tcW w:w="2410" w:type="dxa"/>
          </w:tcPr>
          <w:p w14:paraId="2ACB1F5F" w14:textId="0F1DD4FB" w:rsidR="00165582" w:rsidRPr="00AC2BCE" w:rsidRDefault="00F32533" w:rsidP="00694CD0">
            <w:pPr>
              <w:jc w:val="center"/>
              <w:rPr>
                <w:rFonts w:cs="Segoe UI"/>
              </w:rPr>
            </w:pPr>
            <w:r w:rsidRPr="00AC2BCE">
              <w:rPr>
                <w:rFonts w:cs="Segoe UI"/>
              </w:rPr>
              <w:t>4</w:t>
            </w:r>
            <w:r w:rsidR="0043342A" w:rsidRPr="00AC2BCE">
              <w:rPr>
                <w:rFonts w:cs="Segoe UI"/>
              </w:rPr>
              <w:t>4</w:t>
            </w:r>
            <w:r w:rsidRPr="00AC2BCE">
              <w:rPr>
                <w:rFonts w:cs="Segoe UI"/>
              </w:rPr>
              <w:t>%</w:t>
            </w:r>
            <w:r w:rsidR="007F3972" w:rsidRPr="00AC2BCE">
              <w:rPr>
                <w:rFonts w:cs="Segoe UI"/>
              </w:rPr>
              <w:t xml:space="preserve"> </w:t>
            </w:r>
            <w:r w:rsidR="007F3972" w:rsidRPr="00694CD0">
              <w:rPr>
                <w:rStyle w:val="downarrowgreenChar"/>
              </w:rPr>
              <w:t>↓↓</w:t>
            </w:r>
          </w:p>
        </w:tc>
        <w:tc>
          <w:tcPr>
            <w:tcW w:w="2410" w:type="dxa"/>
          </w:tcPr>
          <w:p w14:paraId="4D7F4C9D" w14:textId="005CCB5E" w:rsidR="00165582" w:rsidRPr="00AC2BCE" w:rsidRDefault="0043342A" w:rsidP="00694CD0">
            <w:pPr>
              <w:jc w:val="center"/>
              <w:rPr>
                <w:rFonts w:cs="Segoe UI"/>
              </w:rPr>
            </w:pPr>
            <w:r w:rsidRPr="00AC2BCE">
              <w:rPr>
                <w:rFonts w:cs="Segoe UI"/>
              </w:rPr>
              <w:t>48</w:t>
            </w:r>
            <w:r w:rsidR="00F32533" w:rsidRPr="00AC2BCE">
              <w:rPr>
                <w:rFonts w:cs="Segoe UI"/>
              </w:rPr>
              <w:t>%</w:t>
            </w:r>
          </w:p>
        </w:tc>
        <w:tc>
          <w:tcPr>
            <w:tcW w:w="2688" w:type="dxa"/>
          </w:tcPr>
          <w:p w14:paraId="27AAF95B" w14:textId="69D12A93" w:rsidR="00165582" w:rsidRPr="00AC2BCE" w:rsidRDefault="007F3972" w:rsidP="00694CD0">
            <w:pPr>
              <w:jc w:val="center"/>
              <w:rPr>
                <w:rFonts w:cs="Segoe UI"/>
              </w:rPr>
            </w:pPr>
            <w:r w:rsidRPr="00AC2BCE">
              <w:rPr>
                <w:rFonts w:cs="Segoe UI"/>
              </w:rPr>
              <w:t>4</w:t>
            </w:r>
            <w:r w:rsidR="00A31A81" w:rsidRPr="00AC2BCE">
              <w:rPr>
                <w:rFonts w:cs="Segoe UI"/>
              </w:rPr>
              <w:t>8</w:t>
            </w:r>
            <w:r w:rsidRPr="00AC2BCE">
              <w:rPr>
                <w:rFonts w:cs="Segoe UI"/>
              </w:rPr>
              <w:t>%</w:t>
            </w:r>
          </w:p>
        </w:tc>
      </w:tr>
      <w:tr w:rsidR="00165582" w:rsidRPr="00AC2BCE" w14:paraId="2A102A23" w14:textId="77777777" w:rsidTr="004F50D2">
        <w:trPr>
          <w:trHeight w:val="20"/>
        </w:trPr>
        <w:tc>
          <w:tcPr>
            <w:tcW w:w="1276" w:type="dxa"/>
          </w:tcPr>
          <w:p w14:paraId="6E01573E" w14:textId="2C8C0197" w:rsidR="00165582" w:rsidRPr="00AC2BCE" w:rsidRDefault="00944944" w:rsidP="00991310">
            <w:pPr>
              <w:pStyle w:val="Tabletextleft"/>
            </w:pPr>
            <w:r w:rsidRPr="00AC2BCE">
              <w:t>2.6</w:t>
            </w:r>
          </w:p>
        </w:tc>
        <w:tc>
          <w:tcPr>
            <w:tcW w:w="6095" w:type="dxa"/>
          </w:tcPr>
          <w:p w14:paraId="447CE0EE" w14:textId="0A12BA48" w:rsidR="00165582" w:rsidRPr="00AC2BCE" w:rsidRDefault="00944944" w:rsidP="00991310">
            <w:pPr>
              <w:pStyle w:val="Tabletextleft"/>
            </w:pPr>
            <w:r w:rsidRPr="00AC2BCE">
              <w:t>Men, notified with infectious syphilis, reporting sexual exposure with men and women (%)</w:t>
            </w:r>
          </w:p>
        </w:tc>
        <w:tc>
          <w:tcPr>
            <w:tcW w:w="2410" w:type="dxa"/>
          </w:tcPr>
          <w:p w14:paraId="05CDEA99" w14:textId="7E926B9C" w:rsidR="00165582" w:rsidRPr="00AC2BCE" w:rsidRDefault="00A31A81" w:rsidP="00694CD0">
            <w:pPr>
              <w:jc w:val="center"/>
              <w:rPr>
                <w:rFonts w:cs="Segoe UI"/>
              </w:rPr>
            </w:pPr>
            <w:r w:rsidRPr="00AC2BCE">
              <w:rPr>
                <w:rFonts w:cs="Segoe UI"/>
              </w:rPr>
              <w:t>5</w:t>
            </w:r>
            <w:r w:rsidR="007F3972" w:rsidRPr="00AC2BCE">
              <w:rPr>
                <w:rFonts w:cs="Segoe UI"/>
              </w:rPr>
              <w:t>%</w:t>
            </w:r>
            <w:r w:rsidR="0014776C" w:rsidRPr="00AC2BCE">
              <w:rPr>
                <w:rFonts w:cs="Segoe UI"/>
              </w:rPr>
              <w:t xml:space="preserve"> </w:t>
            </w:r>
            <w:r w:rsidRPr="00694CD0">
              <w:rPr>
                <w:rStyle w:val="downarrowgreenChar"/>
              </w:rPr>
              <w:t>↓↓</w:t>
            </w:r>
          </w:p>
        </w:tc>
        <w:tc>
          <w:tcPr>
            <w:tcW w:w="2410" w:type="dxa"/>
          </w:tcPr>
          <w:p w14:paraId="47ADA4C8" w14:textId="0D318FB7" w:rsidR="00165582" w:rsidRPr="00AC2BCE" w:rsidRDefault="007F3972" w:rsidP="00694CD0">
            <w:pPr>
              <w:jc w:val="center"/>
              <w:rPr>
                <w:rFonts w:cs="Segoe UI"/>
              </w:rPr>
            </w:pPr>
            <w:r w:rsidRPr="00AC2BCE">
              <w:rPr>
                <w:rFonts w:cs="Segoe UI"/>
              </w:rPr>
              <w:t>6%</w:t>
            </w:r>
          </w:p>
        </w:tc>
        <w:tc>
          <w:tcPr>
            <w:tcW w:w="2688" w:type="dxa"/>
          </w:tcPr>
          <w:p w14:paraId="6B976525" w14:textId="63806DBD" w:rsidR="00165582" w:rsidRPr="00AC2BCE" w:rsidRDefault="0014776C" w:rsidP="00694CD0">
            <w:pPr>
              <w:jc w:val="center"/>
              <w:rPr>
                <w:rFonts w:cs="Segoe UI"/>
              </w:rPr>
            </w:pPr>
            <w:r w:rsidRPr="00AC2BCE">
              <w:rPr>
                <w:rFonts w:cs="Segoe UI"/>
              </w:rPr>
              <w:t>6%</w:t>
            </w:r>
          </w:p>
        </w:tc>
      </w:tr>
      <w:tr w:rsidR="00F048DD" w:rsidRPr="00AC2BCE" w14:paraId="53684323" w14:textId="77777777" w:rsidTr="004F50D2">
        <w:trPr>
          <w:trHeight w:val="20"/>
        </w:trPr>
        <w:tc>
          <w:tcPr>
            <w:tcW w:w="14879" w:type="dxa"/>
            <w:gridSpan w:val="5"/>
            <w:shd w:val="clear" w:color="auto" w:fill="00DCA1"/>
          </w:tcPr>
          <w:p w14:paraId="20DCD872" w14:textId="701C60D0" w:rsidR="00F048DD" w:rsidRPr="00AC2BCE" w:rsidRDefault="00F048DD" w:rsidP="00653325">
            <w:pPr>
              <w:pStyle w:val="Tableheadingcentred"/>
              <w:rPr>
                <w:rFonts w:cs="Segoe UI"/>
                <w:sz w:val="24"/>
                <w:szCs w:val="24"/>
              </w:rPr>
            </w:pPr>
            <w:r w:rsidRPr="00733B0F">
              <w:t>Goal 3 – Reduce morbidity and mortality associated with syphilis</w:t>
            </w:r>
            <w:r w:rsidR="00846AF8" w:rsidRPr="00334A40">
              <w:rPr>
                <w:rStyle w:val="SuperscriptblackChar"/>
              </w:rPr>
              <w:t>3</w:t>
            </w:r>
          </w:p>
        </w:tc>
      </w:tr>
      <w:tr w:rsidR="00F048DD" w:rsidRPr="00AC2BCE" w14:paraId="14F43C9D" w14:textId="77777777" w:rsidTr="004F50D2">
        <w:trPr>
          <w:trHeight w:val="20"/>
        </w:trPr>
        <w:tc>
          <w:tcPr>
            <w:tcW w:w="14879" w:type="dxa"/>
            <w:gridSpan w:val="5"/>
            <w:shd w:val="clear" w:color="auto" w:fill="00DCA1"/>
          </w:tcPr>
          <w:p w14:paraId="61E4789E" w14:textId="20BF5B89" w:rsidR="00F048DD" w:rsidRPr="00AC2BCE" w:rsidRDefault="00F048DD" w:rsidP="00653325">
            <w:pPr>
              <w:pStyle w:val="Tableheadingcentred"/>
              <w:rPr>
                <w:rFonts w:cs="Segoe UI"/>
                <w:sz w:val="24"/>
                <w:szCs w:val="24"/>
              </w:rPr>
            </w:pPr>
            <w:r w:rsidRPr="00733B0F">
              <w:t>Goal 4 – Eliminate congenital syphilis</w:t>
            </w:r>
            <w:r w:rsidR="00DB1A4D" w:rsidRPr="00733B0F">
              <w:t xml:space="preserve"> (defined as sustained zero congenital syphilis cases)</w:t>
            </w:r>
            <w:r w:rsidR="00846AF8" w:rsidRPr="00334A40">
              <w:rPr>
                <w:rStyle w:val="SuperscriptblackChar"/>
              </w:rPr>
              <w:t>4</w:t>
            </w:r>
          </w:p>
        </w:tc>
      </w:tr>
      <w:tr w:rsidR="00BD203C" w:rsidRPr="00AC2BCE" w14:paraId="15656BFF" w14:textId="77777777" w:rsidTr="004F50D2">
        <w:trPr>
          <w:trHeight w:val="20"/>
        </w:trPr>
        <w:tc>
          <w:tcPr>
            <w:tcW w:w="1276" w:type="dxa"/>
            <w:vMerge w:val="restart"/>
          </w:tcPr>
          <w:p w14:paraId="7ADE532B" w14:textId="398EEA35" w:rsidR="00BD203C" w:rsidRPr="00AC2BCE" w:rsidRDefault="00BD203C" w:rsidP="00991310">
            <w:pPr>
              <w:pStyle w:val="Tabletextleft"/>
            </w:pPr>
            <w:r w:rsidRPr="00AC2BCE">
              <w:t>4.4</w:t>
            </w:r>
          </w:p>
        </w:tc>
        <w:tc>
          <w:tcPr>
            <w:tcW w:w="6095" w:type="dxa"/>
          </w:tcPr>
          <w:p w14:paraId="3E299F0B" w14:textId="0F4D404B" w:rsidR="00BD203C" w:rsidRPr="00AC2BCE" w:rsidRDefault="00BD203C" w:rsidP="00991310">
            <w:pPr>
              <w:pStyle w:val="Tabletextleft"/>
            </w:pPr>
            <w:r w:rsidRPr="00AC2BCE">
              <w:t>Women of reproductive age pregnant at infectious syphilis diagnosis – Aboriginal and Torres Strait Islander women (%)</w:t>
            </w:r>
          </w:p>
        </w:tc>
        <w:tc>
          <w:tcPr>
            <w:tcW w:w="2410" w:type="dxa"/>
          </w:tcPr>
          <w:p w14:paraId="5DC73DBD" w14:textId="7F7178D4" w:rsidR="00BD203C" w:rsidRPr="00AC2BCE" w:rsidRDefault="00BD203C" w:rsidP="00694CD0">
            <w:pPr>
              <w:jc w:val="center"/>
              <w:rPr>
                <w:rFonts w:cs="Segoe UI"/>
              </w:rPr>
            </w:pPr>
            <w:r w:rsidRPr="00AC2BCE">
              <w:rPr>
                <w:rFonts w:cs="Segoe UI"/>
              </w:rPr>
              <w:t xml:space="preserve">13% </w:t>
            </w:r>
            <w:r w:rsidRPr="001D443D">
              <w:rPr>
                <w:rStyle w:val="uparrowredChar"/>
              </w:rPr>
              <w:t>↑↑</w:t>
            </w:r>
          </w:p>
        </w:tc>
        <w:tc>
          <w:tcPr>
            <w:tcW w:w="2410" w:type="dxa"/>
          </w:tcPr>
          <w:p w14:paraId="3F986635" w14:textId="090E58C1" w:rsidR="00BD203C" w:rsidRPr="00AC2BCE" w:rsidRDefault="00BD203C" w:rsidP="00694CD0">
            <w:pPr>
              <w:jc w:val="center"/>
              <w:rPr>
                <w:rFonts w:cs="Segoe UI"/>
              </w:rPr>
            </w:pPr>
            <w:r w:rsidRPr="00AC2BCE">
              <w:rPr>
                <w:rFonts w:cs="Segoe UI"/>
              </w:rPr>
              <w:t>9%</w:t>
            </w:r>
          </w:p>
        </w:tc>
        <w:tc>
          <w:tcPr>
            <w:tcW w:w="2688" w:type="dxa"/>
          </w:tcPr>
          <w:p w14:paraId="5495E455" w14:textId="7FDB4742" w:rsidR="00BD203C" w:rsidRPr="00AC2BCE" w:rsidRDefault="00BD203C" w:rsidP="00694CD0">
            <w:pPr>
              <w:jc w:val="center"/>
              <w:rPr>
                <w:rFonts w:cs="Segoe UI"/>
              </w:rPr>
            </w:pPr>
            <w:r w:rsidRPr="00AC2BCE">
              <w:rPr>
                <w:rFonts w:cs="Segoe UI"/>
              </w:rPr>
              <w:t>11%</w:t>
            </w:r>
          </w:p>
        </w:tc>
      </w:tr>
      <w:tr w:rsidR="00BD203C" w:rsidRPr="00AC2BCE" w14:paraId="599FB93A" w14:textId="77777777" w:rsidTr="004F50D2">
        <w:trPr>
          <w:trHeight w:val="20"/>
        </w:trPr>
        <w:tc>
          <w:tcPr>
            <w:tcW w:w="1276" w:type="dxa"/>
            <w:vMerge/>
          </w:tcPr>
          <w:p w14:paraId="567F4C80" w14:textId="3B5DC48C" w:rsidR="00BD203C" w:rsidRPr="00AC2BCE" w:rsidRDefault="00BD203C" w:rsidP="00060775">
            <w:pPr>
              <w:pStyle w:val="Tabletextleftaligned"/>
              <w:rPr>
                <w:rFonts w:cs="Segoe UI"/>
                <w:sz w:val="24"/>
                <w:szCs w:val="24"/>
              </w:rPr>
            </w:pPr>
          </w:p>
        </w:tc>
        <w:tc>
          <w:tcPr>
            <w:tcW w:w="6095" w:type="dxa"/>
          </w:tcPr>
          <w:p w14:paraId="6CA6BD70" w14:textId="323DDE25" w:rsidR="00BD203C" w:rsidRPr="00AC2BCE" w:rsidRDefault="00BD203C" w:rsidP="00991310">
            <w:pPr>
              <w:pStyle w:val="Tabletextleft"/>
            </w:pPr>
            <w:r w:rsidRPr="00AC2BCE">
              <w:t>Women of reproductive age pregnant at infectious syphilis diagnosis – non-Indigenous women (%)</w:t>
            </w:r>
          </w:p>
        </w:tc>
        <w:tc>
          <w:tcPr>
            <w:tcW w:w="2410" w:type="dxa"/>
          </w:tcPr>
          <w:p w14:paraId="53BE63F4" w14:textId="4BAB5E5D" w:rsidR="00BD203C" w:rsidRPr="00AC2BCE" w:rsidRDefault="00BD203C" w:rsidP="00694CD0">
            <w:pPr>
              <w:jc w:val="center"/>
              <w:rPr>
                <w:rFonts w:cs="Segoe UI"/>
              </w:rPr>
            </w:pPr>
            <w:r w:rsidRPr="00AC2BCE">
              <w:rPr>
                <w:rFonts w:cs="Segoe UI"/>
              </w:rPr>
              <w:t xml:space="preserve">16% </w:t>
            </w:r>
            <w:r w:rsidRPr="00694CD0">
              <w:rPr>
                <w:rStyle w:val="downarrowgreenChar"/>
              </w:rPr>
              <w:t>↓↓</w:t>
            </w:r>
          </w:p>
        </w:tc>
        <w:tc>
          <w:tcPr>
            <w:tcW w:w="2410" w:type="dxa"/>
          </w:tcPr>
          <w:p w14:paraId="4A0D61A1" w14:textId="22CDA02D" w:rsidR="00BD203C" w:rsidRPr="00AC2BCE" w:rsidRDefault="00BD203C" w:rsidP="00694CD0">
            <w:pPr>
              <w:jc w:val="center"/>
              <w:rPr>
                <w:rFonts w:cs="Segoe UI"/>
              </w:rPr>
            </w:pPr>
            <w:r w:rsidRPr="00AC2BCE">
              <w:rPr>
                <w:rFonts w:cs="Segoe UI"/>
              </w:rPr>
              <w:t>20%</w:t>
            </w:r>
          </w:p>
        </w:tc>
        <w:tc>
          <w:tcPr>
            <w:tcW w:w="2688" w:type="dxa"/>
          </w:tcPr>
          <w:p w14:paraId="7E673D18" w14:textId="5FC6A058" w:rsidR="00BD203C" w:rsidRPr="00AC2BCE" w:rsidRDefault="00BD203C" w:rsidP="00694CD0">
            <w:pPr>
              <w:jc w:val="center"/>
              <w:rPr>
                <w:rFonts w:cs="Segoe UI"/>
              </w:rPr>
            </w:pPr>
            <w:r w:rsidRPr="00AC2BCE">
              <w:rPr>
                <w:rFonts w:cs="Segoe UI"/>
              </w:rPr>
              <w:t>17%</w:t>
            </w:r>
          </w:p>
        </w:tc>
      </w:tr>
    </w:tbl>
    <w:bookmarkEnd w:id="6"/>
    <w:p w14:paraId="21DEF4E4" w14:textId="77777777" w:rsidR="009B7AA1" w:rsidRPr="001D443D" w:rsidRDefault="009B7AA1" w:rsidP="001D443D">
      <w:pPr>
        <w:pStyle w:val="FootnoteText"/>
      </w:pPr>
      <w:r w:rsidRPr="001D443D">
        <w:t xml:space="preserve">Notes: </w:t>
      </w:r>
    </w:p>
    <w:p w14:paraId="19415540" w14:textId="10D54350" w:rsidR="00430049" w:rsidRPr="001D443D" w:rsidRDefault="00846AF8" w:rsidP="00694CD0">
      <w:pPr>
        <w:pStyle w:val="FootnoteText"/>
      </w:pPr>
      <w:r w:rsidRPr="009A2544">
        <w:rPr>
          <w:szCs w:val="18"/>
        </w:rPr>
        <w:t>1</w:t>
      </w:r>
      <w:r w:rsidR="009B7AA1" w:rsidRPr="009A2544">
        <w:rPr>
          <w:szCs w:val="18"/>
        </w:rPr>
        <w:t xml:space="preserve"> </w:t>
      </w:r>
      <w:r w:rsidR="009B7AA1" w:rsidRPr="001D443D">
        <w:t>Indicators 1.1 and 1.4 to 1.10 are report</w:t>
      </w:r>
      <w:r w:rsidR="001F4AD6" w:rsidRPr="001D443D">
        <w:t>ed</w:t>
      </w:r>
      <w:r w:rsidR="009B7AA1" w:rsidRPr="001D443D">
        <w:t xml:space="preserve"> annually.</w:t>
      </w:r>
    </w:p>
    <w:p w14:paraId="074B217E" w14:textId="48EEB1B1" w:rsidR="00DB1A4D" w:rsidRPr="001D443D" w:rsidRDefault="00846AF8" w:rsidP="001D443D">
      <w:pPr>
        <w:pStyle w:val="FootnoteText"/>
      </w:pPr>
      <w:r w:rsidRPr="009A2544">
        <w:rPr>
          <w:szCs w:val="18"/>
        </w:rPr>
        <w:t>2</w:t>
      </w:r>
      <w:r w:rsidR="00B34B05" w:rsidRPr="001D443D">
        <w:rPr>
          <w:rStyle w:val="SuperscriptblackChar"/>
          <w:rFonts w:eastAsiaTheme="minorHAnsi"/>
        </w:rPr>
        <w:t xml:space="preserve"> </w:t>
      </w:r>
      <w:r w:rsidR="001F4AD6" w:rsidRPr="001D443D">
        <w:t>Indicators 2.2 and 2.3 are mapped; i</w:t>
      </w:r>
      <w:r w:rsidR="00430049" w:rsidRPr="001D443D">
        <w:t xml:space="preserve">ndicators </w:t>
      </w:r>
      <w:r w:rsidR="001F4AD6" w:rsidRPr="001D443D">
        <w:t>2.7 to 2.10 are reported annually.</w:t>
      </w:r>
    </w:p>
    <w:p w14:paraId="5278020F" w14:textId="2CA002A3" w:rsidR="00E4571C" w:rsidRPr="001D443D" w:rsidRDefault="00846AF8" w:rsidP="001D443D">
      <w:pPr>
        <w:pStyle w:val="FootnoteText"/>
      </w:pPr>
      <w:r w:rsidRPr="009A2544">
        <w:rPr>
          <w:szCs w:val="18"/>
        </w:rPr>
        <w:t>3</w:t>
      </w:r>
      <w:r w:rsidR="00B34B05" w:rsidRPr="009A2544">
        <w:rPr>
          <w:szCs w:val="18"/>
        </w:rPr>
        <w:t xml:space="preserve"> </w:t>
      </w:r>
      <w:r w:rsidR="00DB1A4D" w:rsidRPr="001D443D">
        <w:t>Indicators 3.1 to 3.3 are reported annually.</w:t>
      </w:r>
    </w:p>
    <w:p w14:paraId="1AEA1F41" w14:textId="5C791843" w:rsidR="0073068B" w:rsidRPr="001D443D" w:rsidRDefault="00846AF8" w:rsidP="001D443D">
      <w:r w:rsidRPr="009A2544">
        <w:rPr>
          <w:szCs w:val="18"/>
        </w:rPr>
        <w:t>4</w:t>
      </w:r>
      <w:r w:rsidR="001E24CC" w:rsidRPr="001D443D">
        <w:t xml:space="preserve"> </w:t>
      </w:r>
      <w:r w:rsidR="00E80BC8" w:rsidRPr="001D443D">
        <w:t>Summary for indicators 4.1</w:t>
      </w:r>
      <w:r w:rsidR="00183377" w:rsidRPr="001D443D">
        <w:t xml:space="preserve">, 4.2, 4.3 and 4.5 to 4.8 are in Table 2. </w:t>
      </w:r>
    </w:p>
    <w:p w14:paraId="2CA49F54" w14:textId="77777777" w:rsidR="0073068B" w:rsidRPr="001D443D" w:rsidRDefault="0073068B" w:rsidP="001D443D">
      <w:r w:rsidRPr="001D443D">
        <w:br w:type="page"/>
      </w:r>
    </w:p>
    <w:p w14:paraId="77A03EF9" w14:textId="162A3026" w:rsidR="00DA6845" w:rsidRPr="009A2544" w:rsidRDefault="002E6926" w:rsidP="00DF3CAA">
      <w:pPr>
        <w:pStyle w:val="Tabletitle"/>
      </w:pPr>
      <w:bookmarkStart w:id="7" w:name="_Ref238541008"/>
      <w:bookmarkStart w:id="8" w:name="_Toc240364760"/>
      <w:r w:rsidRPr="009A2544">
        <w:lastRenderedPageBreak/>
        <w:t xml:space="preserve">Summary of </w:t>
      </w:r>
      <w:r w:rsidR="00DA6845" w:rsidRPr="009A2544">
        <w:t xml:space="preserve">Goal 4 </w:t>
      </w:r>
      <w:r w:rsidRPr="009A2544">
        <w:t>indicator data for the reporting period</w:t>
      </w:r>
      <w:bookmarkEnd w:id="7"/>
      <w:bookmarkEnd w:id="8"/>
    </w:p>
    <w:tbl>
      <w:tblPr>
        <w:tblStyle w:val="TableGrid"/>
        <w:tblW w:w="0" w:type="auto"/>
        <w:tblLayout w:type="fixed"/>
        <w:tblLook w:val="04A0" w:firstRow="1" w:lastRow="0" w:firstColumn="1" w:lastColumn="0" w:noHBand="0" w:noVBand="1"/>
      </w:tblPr>
      <w:tblGrid>
        <w:gridCol w:w="1276"/>
        <w:gridCol w:w="6521"/>
        <w:gridCol w:w="2409"/>
        <w:gridCol w:w="2268"/>
        <w:gridCol w:w="1971"/>
      </w:tblGrid>
      <w:tr w:rsidR="00DA6845" w:rsidRPr="001B0CA9" w14:paraId="42D32928" w14:textId="77777777" w:rsidTr="004F50D2">
        <w:trPr>
          <w:trHeight w:val="20"/>
          <w:tblHeader/>
        </w:trPr>
        <w:tc>
          <w:tcPr>
            <w:tcW w:w="1276" w:type="dxa"/>
            <w:shd w:val="clear" w:color="auto" w:fill="025F5D"/>
          </w:tcPr>
          <w:p w14:paraId="3C203840" w14:textId="77777777" w:rsidR="00DA6845" w:rsidRPr="001B0CA9" w:rsidRDefault="00DA6845" w:rsidP="00C33651">
            <w:pPr>
              <w:pStyle w:val="Tableheaderrowwhite"/>
            </w:pPr>
            <w:r w:rsidRPr="001B0CA9">
              <w:t>Indicator</w:t>
            </w:r>
          </w:p>
        </w:tc>
        <w:tc>
          <w:tcPr>
            <w:tcW w:w="6521" w:type="dxa"/>
            <w:shd w:val="clear" w:color="auto" w:fill="025F5D"/>
          </w:tcPr>
          <w:p w14:paraId="3B1AC86A" w14:textId="77777777" w:rsidR="00DA6845" w:rsidRPr="001B0CA9" w:rsidRDefault="00DA6845" w:rsidP="00C33651">
            <w:pPr>
              <w:pStyle w:val="Tableheaderrowwhite"/>
            </w:pPr>
            <w:r w:rsidRPr="001B0CA9">
              <w:t>Summarised indicator description</w:t>
            </w:r>
          </w:p>
        </w:tc>
        <w:tc>
          <w:tcPr>
            <w:tcW w:w="2409" w:type="dxa"/>
            <w:shd w:val="clear" w:color="auto" w:fill="025F5D"/>
          </w:tcPr>
          <w:p w14:paraId="0D876A32" w14:textId="25C96BB8" w:rsidR="00DA6845" w:rsidRPr="001B0CA9" w:rsidRDefault="00DA6845" w:rsidP="00C33651">
            <w:pPr>
              <w:pStyle w:val="Tableheaderrowwhite"/>
            </w:pPr>
            <w:r w:rsidRPr="001B0CA9">
              <w:t xml:space="preserve">Current </w:t>
            </w:r>
            <w:r w:rsidR="002163EE" w:rsidRPr="001B0CA9">
              <w:t>year to date</w:t>
            </w:r>
            <w:r w:rsidR="002329B7">
              <w:t xml:space="preserve"> </w:t>
            </w:r>
            <w:r w:rsidRPr="001B0CA9">
              <w:t>(</w:t>
            </w:r>
            <w:r w:rsidR="00EA3E60" w:rsidRPr="001B0CA9">
              <w:t xml:space="preserve">Q1 </w:t>
            </w:r>
            <w:r w:rsidR="005E5ECB" w:rsidRPr="001B0CA9">
              <w:t>2026</w:t>
            </w:r>
            <w:r w:rsidRPr="001B0CA9">
              <w:t>)</w:t>
            </w:r>
          </w:p>
        </w:tc>
        <w:tc>
          <w:tcPr>
            <w:tcW w:w="2268" w:type="dxa"/>
            <w:shd w:val="clear" w:color="auto" w:fill="025F5D"/>
          </w:tcPr>
          <w:p w14:paraId="1F01B1EB" w14:textId="27A44811" w:rsidR="00DA6845" w:rsidRPr="001B0CA9" w:rsidRDefault="002163EE" w:rsidP="00C33651">
            <w:pPr>
              <w:pStyle w:val="Tableheaderrowwhite"/>
            </w:pPr>
            <w:r w:rsidRPr="001B0CA9">
              <w:t>Last complete year</w:t>
            </w:r>
            <w:r w:rsidR="002329B7">
              <w:t xml:space="preserve"> </w:t>
            </w:r>
            <w:r w:rsidR="00DA6845" w:rsidRPr="001B0CA9">
              <w:t>(202</w:t>
            </w:r>
            <w:r w:rsidR="005E5ECB" w:rsidRPr="001B0CA9">
              <w:t>5</w:t>
            </w:r>
            <w:r w:rsidR="00DA6845" w:rsidRPr="001B0CA9">
              <w:t>)</w:t>
            </w:r>
          </w:p>
        </w:tc>
        <w:tc>
          <w:tcPr>
            <w:tcW w:w="1971" w:type="dxa"/>
            <w:shd w:val="clear" w:color="auto" w:fill="025F5D"/>
          </w:tcPr>
          <w:p w14:paraId="1F134F3A" w14:textId="0D8B8891" w:rsidR="00DA6845" w:rsidRPr="001B0CA9" w:rsidRDefault="00DA6845" w:rsidP="00C33651">
            <w:pPr>
              <w:pStyle w:val="Tableheaderrowwhite"/>
            </w:pPr>
            <w:r w:rsidRPr="001B0CA9">
              <w:t xml:space="preserve">Previous </w:t>
            </w:r>
            <w:r w:rsidR="002163EE" w:rsidRPr="001B0CA9">
              <w:t>complete year</w:t>
            </w:r>
            <w:r w:rsidR="00EB2C23" w:rsidRPr="001B0CA9">
              <w:t xml:space="preserve"> </w:t>
            </w:r>
            <w:r w:rsidRPr="001B0CA9">
              <w:t>(</w:t>
            </w:r>
            <w:r w:rsidR="002163EE" w:rsidRPr="001B0CA9">
              <w:t>202</w:t>
            </w:r>
            <w:r w:rsidR="005E5ECB" w:rsidRPr="001B0CA9">
              <w:t>4</w:t>
            </w:r>
            <w:r w:rsidRPr="001B0CA9">
              <w:t>)</w:t>
            </w:r>
          </w:p>
        </w:tc>
      </w:tr>
      <w:tr w:rsidR="00DA6845" w:rsidRPr="001B0CA9" w14:paraId="1AF40D29" w14:textId="77777777" w:rsidTr="004F50D2">
        <w:trPr>
          <w:trHeight w:val="20"/>
        </w:trPr>
        <w:tc>
          <w:tcPr>
            <w:tcW w:w="14445" w:type="dxa"/>
            <w:gridSpan w:val="5"/>
            <w:shd w:val="clear" w:color="auto" w:fill="00DCA1"/>
          </w:tcPr>
          <w:p w14:paraId="1343612F" w14:textId="1FA9A381" w:rsidR="00DA6845" w:rsidRPr="00733B0F" w:rsidRDefault="00DA6845" w:rsidP="00733B0F">
            <w:pPr>
              <w:pStyle w:val="Tableheadingcentred"/>
            </w:pPr>
            <w:r w:rsidRPr="00733B0F">
              <w:t>Goal 4 – Eliminate congenital syphilis (defined as sustained zero congenital syphilis cases)</w:t>
            </w:r>
          </w:p>
        </w:tc>
      </w:tr>
      <w:tr w:rsidR="00DA6845" w:rsidRPr="001B0CA9" w14:paraId="119DA60A" w14:textId="77777777" w:rsidTr="00EB2C23">
        <w:trPr>
          <w:trHeight w:val="20"/>
        </w:trPr>
        <w:tc>
          <w:tcPr>
            <w:tcW w:w="1276" w:type="dxa"/>
          </w:tcPr>
          <w:p w14:paraId="0E23B0FD" w14:textId="0A1B805D" w:rsidR="00DA6845" w:rsidRPr="001B0CA9" w:rsidRDefault="00DA6845" w:rsidP="00991310">
            <w:pPr>
              <w:pStyle w:val="Tabletextleft"/>
            </w:pPr>
            <w:r w:rsidRPr="001B0CA9">
              <w:t>4.1 &amp; 4.2</w:t>
            </w:r>
          </w:p>
        </w:tc>
        <w:tc>
          <w:tcPr>
            <w:tcW w:w="6521" w:type="dxa"/>
          </w:tcPr>
          <w:p w14:paraId="0A498FB6" w14:textId="756780E8" w:rsidR="00DA6845" w:rsidRPr="001B0CA9" w:rsidRDefault="009702F2" w:rsidP="00991310">
            <w:pPr>
              <w:pStyle w:val="Tabletextleft"/>
            </w:pPr>
            <w:r w:rsidRPr="001B0CA9">
              <w:t>Congenital syphilis cases (deaths) – Aboriginal and Torres Strait Islander infants</w:t>
            </w:r>
          </w:p>
        </w:tc>
        <w:tc>
          <w:tcPr>
            <w:tcW w:w="2409" w:type="dxa"/>
          </w:tcPr>
          <w:p w14:paraId="431AFCA1" w14:textId="0B7B7A16" w:rsidR="00DA6845" w:rsidRPr="001B0CA9" w:rsidRDefault="00901239" w:rsidP="00991310">
            <w:pPr>
              <w:pStyle w:val="Tabletextcentred"/>
            </w:pPr>
            <w:r w:rsidRPr="001B0CA9">
              <w:t>1</w:t>
            </w:r>
            <w:r w:rsidR="00BB29E3" w:rsidRPr="001B0CA9">
              <w:t xml:space="preserve"> (</w:t>
            </w:r>
            <w:r w:rsidR="00EA60BA" w:rsidRPr="001B0CA9">
              <w:t>1</w:t>
            </w:r>
            <w:r w:rsidR="00BB29E3" w:rsidRPr="001B0CA9">
              <w:t>)</w:t>
            </w:r>
          </w:p>
        </w:tc>
        <w:tc>
          <w:tcPr>
            <w:tcW w:w="2268" w:type="dxa"/>
          </w:tcPr>
          <w:p w14:paraId="7D5A7936" w14:textId="537B81F7" w:rsidR="00DA6845" w:rsidRPr="001B0CA9" w:rsidRDefault="00EA60BA" w:rsidP="00991310">
            <w:pPr>
              <w:pStyle w:val="Tabletextcentred"/>
            </w:pPr>
            <w:r w:rsidRPr="001B0CA9">
              <w:t>6</w:t>
            </w:r>
            <w:r w:rsidR="00A81BA3" w:rsidRPr="001B0CA9">
              <w:t xml:space="preserve"> (</w:t>
            </w:r>
            <w:r w:rsidRPr="001B0CA9">
              <w:t>4</w:t>
            </w:r>
            <w:r w:rsidR="00A81BA3" w:rsidRPr="001B0CA9">
              <w:t>)</w:t>
            </w:r>
          </w:p>
        </w:tc>
        <w:tc>
          <w:tcPr>
            <w:tcW w:w="1971" w:type="dxa"/>
          </w:tcPr>
          <w:p w14:paraId="12E90CD3" w14:textId="3DBA2BBA" w:rsidR="00DA6845" w:rsidRPr="001B0CA9" w:rsidRDefault="002C201A" w:rsidP="00991310">
            <w:pPr>
              <w:pStyle w:val="Tabletextcentred"/>
            </w:pPr>
            <w:r w:rsidRPr="001B0CA9">
              <w:t>3</w:t>
            </w:r>
            <w:r w:rsidR="00A81BA3" w:rsidRPr="001B0CA9">
              <w:t xml:space="preserve"> (</w:t>
            </w:r>
            <w:r w:rsidRPr="001B0CA9">
              <w:t>0</w:t>
            </w:r>
            <w:r w:rsidR="00A81BA3" w:rsidRPr="001B0CA9">
              <w:t>)</w:t>
            </w:r>
          </w:p>
        </w:tc>
      </w:tr>
      <w:tr w:rsidR="00DA6845" w:rsidRPr="001B0CA9" w14:paraId="2F5A8E82" w14:textId="77777777" w:rsidTr="00EB2C23">
        <w:trPr>
          <w:trHeight w:val="20"/>
        </w:trPr>
        <w:tc>
          <w:tcPr>
            <w:tcW w:w="1276" w:type="dxa"/>
          </w:tcPr>
          <w:p w14:paraId="6F939F03" w14:textId="23C8C1A1" w:rsidR="00DA6845" w:rsidRPr="001B0CA9" w:rsidRDefault="00DA6845" w:rsidP="00991310">
            <w:pPr>
              <w:pStyle w:val="Tabletextleft"/>
            </w:pPr>
            <w:r w:rsidRPr="001B0CA9">
              <w:t>4.1 &amp; 4.2</w:t>
            </w:r>
          </w:p>
        </w:tc>
        <w:tc>
          <w:tcPr>
            <w:tcW w:w="6521" w:type="dxa"/>
          </w:tcPr>
          <w:p w14:paraId="0D481CBF" w14:textId="5C5DB405" w:rsidR="00DA6845" w:rsidRPr="001B0CA9" w:rsidRDefault="009702F2" w:rsidP="00991310">
            <w:pPr>
              <w:pStyle w:val="Tabletextleft"/>
            </w:pPr>
            <w:r w:rsidRPr="001B0CA9">
              <w:t>Congenital syphilis cases (deaths) – non-Indigenous infants</w:t>
            </w:r>
          </w:p>
        </w:tc>
        <w:tc>
          <w:tcPr>
            <w:tcW w:w="2409" w:type="dxa"/>
          </w:tcPr>
          <w:p w14:paraId="2283792C" w14:textId="3E6F224E" w:rsidR="00DA6845" w:rsidRPr="001B0CA9" w:rsidRDefault="00EA11C5" w:rsidP="00991310">
            <w:pPr>
              <w:pStyle w:val="Tabletextcentred"/>
            </w:pPr>
            <w:r w:rsidRPr="001B0CA9">
              <w:t>3</w:t>
            </w:r>
            <w:r w:rsidR="007B4097" w:rsidRPr="001B0CA9">
              <w:t xml:space="preserve"> (</w:t>
            </w:r>
            <w:r w:rsidRPr="001B0CA9">
              <w:t>0</w:t>
            </w:r>
            <w:r w:rsidR="007B4097" w:rsidRPr="001B0CA9">
              <w:t>)</w:t>
            </w:r>
          </w:p>
        </w:tc>
        <w:tc>
          <w:tcPr>
            <w:tcW w:w="2268" w:type="dxa"/>
          </w:tcPr>
          <w:p w14:paraId="28CC3FCA" w14:textId="090E8A6B" w:rsidR="00DA6845" w:rsidRPr="001B0CA9" w:rsidRDefault="00EA11C5" w:rsidP="00991310">
            <w:pPr>
              <w:pStyle w:val="Tabletextcentred"/>
            </w:pPr>
            <w:r w:rsidRPr="001B0CA9">
              <w:t>8</w:t>
            </w:r>
            <w:r w:rsidR="00E20861" w:rsidRPr="001B0CA9">
              <w:t xml:space="preserve"> (3)</w:t>
            </w:r>
          </w:p>
        </w:tc>
        <w:tc>
          <w:tcPr>
            <w:tcW w:w="1971" w:type="dxa"/>
          </w:tcPr>
          <w:p w14:paraId="3EB7E1B4" w14:textId="2AE31EC1" w:rsidR="00DA6845" w:rsidRPr="001B0CA9" w:rsidRDefault="005A7170" w:rsidP="00991310">
            <w:pPr>
              <w:pStyle w:val="Tabletextcentred"/>
            </w:pPr>
            <w:r w:rsidRPr="001B0CA9">
              <w:t>6</w:t>
            </w:r>
            <w:r w:rsidR="00C46D71" w:rsidRPr="001B0CA9">
              <w:t xml:space="preserve"> (3)</w:t>
            </w:r>
          </w:p>
        </w:tc>
      </w:tr>
      <w:tr w:rsidR="00DA6845" w:rsidRPr="001B0CA9" w14:paraId="020F36DA" w14:textId="77777777" w:rsidTr="00EB2C23">
        <w:trPr>
          <w:trHeight w:val="20"/>
        </w:trPr>
        <w:tc>
          <w:tcPr>
            <w:tcW w:w="1276" w:type="dxa"/>
          </w:tcPr>
          <w:p w14:paraId="704F7AC6" w14:textId="67B8F5D5" w:rsidR="00DA6845" w:rsidRPr="001B0CA9" w:rsidRDefault="00DA6845" w:rsidP="00991310">
            <w:pPr>
              <w:pStyle w:val="Tabletextleft"/>
            </w:pPr>
            <w:r w:rsidRPr="001B0CA9">
              <w:t>4.1 &amp; 4.2</w:t>
            </w:r>
          </w:p>
        </w:tc>
        <w:tc>
          <w:tcPr>
            <w:tcW w:w="6521" w:type="dxa"/>
          </w:tcPr>
          <w:p w14:paraId="3425DFB6" w14:textId="2249B0C7" w:rsidR="00DA6845" w:rsidRPr="001B0CA9" w:rsidRDefault="009702F2" w:rsidP="00991310">
            <w:pPr>
              <w:pStyle w:val="Tabletextleft"/>
            </w:pPr>
            <w:r w:rsidRPr="001B0CA9">
              <w:t>Congenital syphilis cases (deaths) – unknown Indigenous status</w:t>
            </w:r>
          </w:p>
        </w:tc>
        <w:tc>
          <w:tcPr>
            <w:tcW w:w="2409" w:type="dxa"/>
          </w:tcPr>
          <w:p w14:paraId="2C04249B" w14:textId="20586CB6" w:rsidR="00DA6845" w:rsidRPr="001B0CA9" w:rsidRDefault="00C46D71" w:rsidP="00991310">
            <w:pPr>
              <w:pStyle w:val="Tabletextcentred"/>
            </w:pPr>
            <w:r w:rsidRPr="001B0CA9">
              <w:t>0 (0)</w:t>
            </w:r>
          </w:p>
        </w:tc>
        <w:tc>
          <w:tcPr>
            <w:tcW w:w="2268" w:type="dxa"/>
          </w:tcPr>
          <w:p w14:paraId="35FD1FD5" w14:textId="7A793B6C" w:rsidR="00DA6845" w:rsidRPr="001B0CA9" w:rsidRDefault="00F63C52" w:rsidP="00991310">
            <w:pPr>
              <w:pStyle w:val="Tabletextcentred"/>
            </w:pPr>
            <w:r w:rsidRPr="001B0CA9">
              <w:t>0</w:t>
            </w:r>
            <w:r w:rsidR="00C46D71" w:rsidRPr="001B0CA9">
              <w:t xml:space="preserve"> (</w:t>
            </w:r>
            <w:r w:rsidRPr="001B0CA9">
              <w:t>0</w:t>
            </w:r>
            <w:r w:rsidR="00C46D71" w:rsidRPr="001B0CA9">
              <w:t>)</w:t>
            </w:r>
          </w:p>
        </w:tc>
        <w:tc>
          <w:tcPr>
            <w:tcW w:w="1971" w:type="dxa"/>
          </w:tcPr>
          <w:p w14:paraId="4ABAF9D5" w14:textId="597D2A5D" w:rsidR="00DA6845" w:rsidRPr="001B0CA9" w:rsidRDefault="00F63C52" w:rsidP="00991310">
            <w:pPr>
              <w:pStyle w:val="Tabletextcentred"/>
            </w:pPr>
            <w:r w:rsidRPr="001B0CA9">
              <w:t>1</w:t>
            </w:r>
            <w:r w:rsidR="00753D4E" w:rsidRPr="001B0CA9">
              <w:t xml:space="preserve"> (</w:t>
            </w:r>
            <w:r w:rsidRPr="001B0CA9">
              <w:t>1</w:t>
            </w:r>
            <w:r w:rsidR="00753D4E" w:rsidRPr="001B0CA9">
              <w:t>)</w:t>
            </w:r>
          </w:p>
        </w:tc>
      </w:tr>
      <w:tr w:rsidR="00DA6845" w:rsidRPr="001B0CA9" w14:paraId="5897CB88" w14:textId="77777777" w:rsidTr="00EB2C23">
        <w:trPr>
          <w:trHeight w:val="20"/>
        </w:trPr>
        <w:tc>
          <w:tcPr>
            <w:tcW w:w="1276" w:type="dxa"/>
          </w:tcPr>
          <w:p w14:paraId="46E74E91" w14:textId="306919E3" w:rsidR="00DA6845" w:rsidRPr="001B0CA9" w:rsidRDefault="003804BD" w:rsidP="00991310">
            <w:pPr>
              <w:pStyle w:val="Tabletextleft"/>
            </w:pPr>
            <w:r w:rsidRPr="001B0CA9">
              <w:t>4.3</w:t>
            </w:r>
          </w:p>
        </w:tc>
        <w:tc>
          <w:tcPr>
            <w:tcW w:w="6521" w:type="dxa"/>
          </w:tcPr>
          <w:p w14:paraId="32BDDEC1" w14:textId="5A4C91A5" w:rsidR="00DA6845" w:rsidRPr="001B0CA9" w:rsidRDefault="003804BD" w:rsidP="00991310">
            <w:pPr>
              <w:pStyle w:val="Tabletextleft"/>
              <w:rPr>
                <w:rFonts w:cs="Segoe UI"/>
                <w:sz w:val="24"/>
                <w:szCs w:val="24"/>
              </w:rPr>
            </w:pPr>
            <w:r w:rsidRPr="00AE3913">
              <w:t>Congenital syphilis notification rate (per 100,000 live births</w:t>
            </w:r>
            <w:r w:rsidR="00927B8B" w:rsidRPr="001845A5">
              <w:rPr>
                <w:rStyle w:val="SuperscriptblackChar"/>
              </w:rPr>
              <w:t>1</w:t>
            </w:r>
            <w:r w:rsidRPr="00AE3913">
              <w:t>) – Aboriginal and Torres Strait Islander infants</w:t>
            </w:r>
          </w:p>
        </w:tc>
        <w:tc>
          <w:tcPr>
            <w:tcW w:w="2409" w:type="dxa"/>
          </w:tcPr>
          <w:p w14:paraId="39174FEE" w14:textId="5B2A6204" w:rsidR="00DA6845" w:rsidRPr="001B0CA9" w:rsidRDefault="009F3A07" w:rsidP="00991310">
            <w:pPr>
              <w:pStyle w:val="Tabletextcentred"/>
            </w:pPr>
            <w:r w:rsidRPr="001B0CA9">
              <w:t>4</w:t>
            </w:r>
          </w:p>
        </w:tc>
        <w:tc>
          <w:tcPr>
            <w:tcW w:w="2268" w:type="dxa"/>
          </w:tcPr>
          <w:p w14:paraId="4E6231AE" w14:textId="54F01968" w:rsidR="00DA6845" w:rsidRPr="001B0CA9" w:rsidRDefault="009F3A07" w:rsidP="00991310">
            <w:pPr>
              <w:pStyle w:val="Tabletextcentred"/>
            </w:pPr>
            <w:r w:rsidRPr="001B0CA9">
              <w:t>24</w:t>
            </w:r>
          </w:p>
        </w:tc>
        <w:tc>
          <w:tcPr>
            <w:tcW w:w="1971" w:type="dxa"/>
          </w:tcPr>
          <w:p w14:paraId="2818C059" w14:textId="43E8B3A6" w:rsidR="00DA6845" w:rsidRPr="001B0CA9" w:rsidRDefault="009F3A07" w:rsidP="00991310">
            <w:pPr>
              <w:pStyle w:val="Tabletextcentred"/>
            </w:pPr>
            <w:r w:rsidRPr="001B0CA9">
              <w:t>12</w:t>
            </w:r>
          </w:p>
        </w:tc>
      </w:tr>
      <w:tr w:rsidR="00DA6845" w:rsidRPr="001B0CA9" w14:paraId="4E4816B4" w14:textId="77777777" w:rsidTr="00EB2C23">
        <w:trPr>
          <w:trHeight w:val="20"/>
        </w:trPr>
        <w:tc>
          <w:tcPr>
            <w:tcW w:w="1276" w:type="dxa"/>
          </w:tcPr>
          <w:p w14:paraId="70C42889" w14:textId="44DA9759" w:rsidR="00DA6845" w:rsidRPr="001B0CA9" w:rsidRDefault="003804BD" w:rsidP="00991310">
            <w:pPr>
              <w:pStyle w:val="Tabletextleft"/>
            </w:pPr>
            <w:r w:rsidRPr="001B0CA9">
              <w:t>4.3</w:t>
            </w:r>
          </w:p>
        </w:tc>
        <w:tc>
          <w:tcPr>
            <w:tcW w:w="6521" w:type="dxa"/>
          </w:tcPr>
          <w:p w14:paraId="3053F4A0" w14:textId="467C4E91" w:rsidR="00DA6845" w:rsidRPr="001B0CA9" w:rsidRDefault="003804BD" w:rsidP="00991310">
            <w:pPr>
              <w:pStyle w:val="Tabletextleft"/>
              <w:rPr>
                <w:rFonts w:cs="Segoe UI"/>
                <w:sz w:val="24"/>
                <w:szCs w:val="24"/>
              </w:rPr>
            </w:pPr>
            <w:r w:rsidRPr="00AE3913">
              <w:t>Congenital syphilis notification rate (per 100,000 live births</w:t>
            </w:r>
            <w:r w:rsidR="00927B8B" w:rsidRPr="001845A5">
              <w:rPr>
                <w:rStyle w:val="SuperscriptblackChar"/>
              </w:rPr>
              <w:t>1</w:t>
            </w:r>
            <w:r w:rsidRPr="00AE3913">
              <w:t>) – non-Indigenous infants</w:t>
            </w:r>
          </w:p>
        </w:tc>
        <w:tc>
          <w:tcPr>
            <w:tcW w:w="2409" w:type="dxa"/>
          </w:tcPr>
          <w:p w14:paraId="1FDC647C" w14:textId="01700A18" w:rsidR="00DA6845" w:rsidRPr="001B0CA9" w:rsidRDefault="00CB6E02" w:rsidP="00991310">
            <w:pPr>
              <w:pStyle w:val="Tabletextcentred"/>
            </w:pPr>
            <w:r w:rsidRPr="001B0CA9">
              <w:t>1</w:t>
            </w:r>
          </w:p>
        </w:tc>
        <w:tc>
          <w:tcPr>
            <w:tcW w:w="2268" w:type="dxa"/>
          </w:tcPr>
          <w:p w14:paraId="6507B206" w14:textId="2806B855" w:rsidR="00DA6845" w:rsidRPr="001B0CA9" w:rsidRDefault="00CB6E02" w:rsidP="00991310">
            <w:pPr>
              <w:pStyle w:val="Tabletextcentred"/>
            </w:pPr>
            <w:r w:rsidRPr="001B0CA9">
              <w:t>3</w:t>
            </w:r>
          </w:p>
        </w:tc>
        <w:tc>
          <w:tcPr>
            <w:tcW w:w="1971" w:type="dxa"/>
          </w:tcPr>
          <w:p w14:paraId="73458D3B" w14:textId="68D0F1CB" w:rsidR="00DA6845" w:rsidRPr="001B0CA9" w:rsidRDefault="00CB6E02" w:rsidP="00991310">
            <w:pPr>
              <w:pStyle w:val="Tabletextcentred"/>
            </w:pPr>
            <w:r w:rsidRPr="001B0CA9">
              <w:t>2</w:t>
            </w:r>
          </w:p>
        </w:tc>
      </w:tr>
      <w:tr w:rsidR="007117D7" w:rsidRPr="001B0CA9" w14:paraId="16ECB267" w14:textId="77777777" w:rsidTr="00EB2C23">
        <w:trPr>
          <w:trHeight w:val="20"/>
        </w:trPr>
        <w:tc>
          <w:tcPr>
            <w:tcW w:w="1276" w:type="dxa"/>
          </w:tcPr>
          <w:p w14:paraId="5A4399FF" w14:textId="392DD212" w:rsidR="007117D7" w:rsidRPr="001B0CA9" w:rsidRDefault="007117D7" w:rsidP="00991310">
            <w:pPr>
              <w:pStyle w:val="Tabletextleft"/>
            </w:pPr>
            <w:r w:rsidRPr="001B0CA9">
              <w:t>4.5</w:t>
            </w:r>
          </w:p>
        </w:tc>
        <w:tc>
          <w:tcPr>
            <w:tcW w:w="6521" w:type="dxa"/>
          </w:tcPr>
          <w:p w14:paraId="6E77C086" w14:textId="4C9F8288" w:rsidR="007117D7" w:rsidRPr="001B0CA9" w:rsidRDefault="007477AC" w:rsidP="00991310">
            <w:pPr>
              <w:pStyle w:val="Tabletextleft"/>
            </w:pPr>
            <w:r w:rsidRPr="001B0CA9">
              <w:t>Women giving birth to an infant with congenital syphilis diagnosed late in pregnancy – Aboriginal and Torres Strait Islander women (% all cases)</w:t>
            </w:r>
          </w:p>
        </w:tc>
        <w:tc>
          <w:tcPr>
            <w:tcW w:w="2409" w:type="dxa"/>
          </w:tcPr>
          <w:p w14:paraId="0321BC4F" w14:textId="1EDD52E6" w:rsidR="007117D7" w:rsidRPr="001B0CA9" w:rsidRDefault="00555630" w:rsidP="00991310">
            <w:pPr>
              <w:pStyle w:val="Tabletextcentred"/>
            </w:pPr>
            <w:r w:rsidRPr="001B0CA9">
              <w:t>1</w:t>
            </w:r>
            <w:r w:rsidR="00C12005" w:rsidRPr="001B0CA9">
              <w:t xml:space="preserve"> (</w:t>
            </w:r>
            <w:r w:rsidRPr="001B0CA9">
              <w:t>10</w:t>
            </w:r>
            <w:r w:rsidR="00080CB9" w:rsidRPr="001B0CA9">
              <w:t>0%</w:t>
            </w:r>
            <w:r w:rsidR="00C12005" w:rsidRPr="001B0CA9">
              <w:t>)</w:t>
            </w:r>
          </w:p>
        </w:tc>
        <w:tc>
          <w:tcPr>
            <w:tcW w:w="2268" w:type="dxa"/>
          </w:tcPr>
          <w:p w14:paraId="4041DE44" w14:textId="5CA54744" w:rsidR="007117D7" w:rsidRPr="001B0CA9" w:rsidRDefault="00A84FCD" w:rsidP="00991310">
            <w:pPr>
              <w:pStyle w:val="Tabletextcentred"/>
            </w:pPr>
            <w:r w:rsidRPr="001B0CA9">
              <w:t>4</w:t>
            </w:r>
            <w:r w:rsidR="00964C88" w:rsidRPr="001B0CA9">
              <w:t xml:space="preserve"> (67%)</w:t>
            </w:r>
          </w:p>
        </w:tc>
        <w:tc>
          <w:tcPr>
            <w:tcW w:w="1971" w:type="dxa"/>
          </w:tcPr>
          <w:p w14:paraId="39F8C00E" w14:textId="09AFB175" w:rsidR="007117D7" w:rsidRPr="001B0CA9" w:rsidRDefault="00A84FCD" w:rsidP="00991310">
            <w:pPr>
              <w:pStyle w:val="Tabletextcentred"/>
            </w:pPr>
            <w:r w:rsidRPr="001B0CA9">
              <w:t>2</w:t>
            </w:r>
            <w:r w:rsidR="00964C88" w:rsidRPr="001B0CA9">
              <w:t xml:space="preserve"> (</w:t>
            </w:r>
            <w:r w:rsidRPr="001B0CA9">
              <w:t>67</w:t>
            </w:r>
            <w:r w:rsidR="00964C88" w:rsidRPr="001B0CA9">
              <w:t>%)</w:t>
            </w:r>
          </w:p>
        </w:tc>
      </w:tr>
      <w:tr w:rsidR="007117D7" w:rsidRPr="001B0CA9" w14:paraId="2F6314EC" w14:textId="77777777" w:rsidTr="00EB2C23">
        <w:trPr>
          <w:trHeight w:val="20"/>
        </w:trPr>
        <w:tc>
          <w:tcPr>
            <w:tcW w:w="1276" w:type="dxa"/>
          </w:tcPr>
          <w:p w14:paraId="3898EF21" w14:textId="3B0064C8" w:rsidR="007117D7" w:rsidRPr="001B0CA9" w:rsidRDefault="007117D7" w:rsidP="00991310">
            <w:pPr>
              <w:pStyle w:val="Tabletextleft"/>
            </w:pPr>
            <w:r w:rsidRPr="001B0CA9">
              <w:t>4.5</w:t>
            </w:r>
          </w:p>
        </w:tc>
        <w:tc>
          <w:tcPr>
            <w:tcW w:w="6521" w:type="dxa"/>
          </w:tcPr>
          <w:p w14:paraId="5E1A9D07" w14:textId="52AD2DFC" w:rsidR="007117D7" w:rsidRPr="001B0CA9" w:rsidRDefault="00FF6BD4" w:rsidP="00991310">
            <w:pPr>
              <w:pStyle w:val="Tabletextleft"/>
            </w:pPr>
            <w:r w:rsidRPr="001B0CA9">
              <w:t>Women giving birth to an infant with congenital syphilis diagnosed late in pregnancy – non-Indigenous women</w:t>
            </w:r>
            <w:r w:rsidR="00FD46F4" w:rsidRPr="001B0CA9">
              <w:t xml:space="preserve"> (% all cases</w:t>
            </w:r>
            <w:r w:rsidR="00812228" w:rsidRPr="001B0CA9">
              <w:t xml:space="preserve"> with complete data</w:t>
            </w:r>
            <w:r w:rsidR="00FD46F4" w:rsidRPr="001B0CA9">
              <w:t>)</w:t>
            </w:r>
          </w:p>
        </w:tc>
        <w:tc>
          <w:tcPr>
            <w:tcW w:w="2409" w:type="dxa"/>
          </w:tcPr>
          <w:p w14:paraId="3E06FFCB" w14:textId="72EC48C8" w:rsidR="007117D7" w:rsidRPr="001B0CA9" w:rsidRDefault="00A517E1" w:rsidP="00991310">
            <w:pPr>
              <w:pStyle w:val="Tabletextcentred"/>
            </w:pPr>
            <w:r w:rsidRPr="001B0CA9">
              <w:t>3</w:t>
            </w:r>
            <w:r w:rsidR="00C66FE9" w:rsidRPr="001B0CA9">
              <w:t xml:space="preserve"> </w:t>
            </w:r>
            <w:r w:rsidR="00CA2191" w:rsidRPr="001B0CA9">
              <w:t>(</w:t>
            </w:r>
            <w:r w:rsidRPr="001B0CA9">
              <w:t>100</w:t>
            </w:r>
            <w:r w:rsidR="00CA2191" w:rsidRPr="001B0CA9">
              <w:t>%)</w:t>
            </w:r>
          </w:p>
        </w:tc>
        <w:tc>
          <w:tcPr>
            <w:tcW w:w="2268" w:type="dxa"/>
          </w:tcPr>
          <w:p w14:paraId="2D8FD7F4" w14:textId="6B27B5B9" w:rsidR="007117D7" w:rsidRPr="001B0CA9" w:rsidRDefault="00A517E1" w:rsidP="00991310">
            <w:pPr>
              <w:pStyle w:val="Tabletextcentred"/>
            </w:pPr>
            <w:r w:rsidRPr="001B0CA9">
              <w:t>7</w:t>
            </w:r>
            <w:r w:rsidR="00CA2191" w:rsidRPr="001B0CA9">
              <w:t xml:space="preserve"> (</w:t>
            </w:r>
            <w:r w:rsidRPr="001B0CA9">
              <w:t>88</w:t>
            </w:r>
            <w:r w:rsidR="00CA2191" w:rsidRPr="001B0CA9">
              <w:t>%)</w:t>
            </w:r>
          </w:p>
        </w:tc>
        <w:tc>
          <w:tcPr>
            <w:tcW w:w="1971" w:type="dxa"/>
          </w:tcPr>
          <w:p w14:paraId="025C70E1" w14:textId="14D702EF" w:rsidR="007117D7" w:rsidRPr="001B0CA9" w:rsidRDefault="006A7D32" w:rsidP="00991310">
            <w:pPr>
              <w:pStyle w:val="Tabletextcentred"/>
            </w:pPr>
            <w:r w:rsidRPr="001B0CA9">
              <w:t>6</w:t>
            </w:r>
            <w:r w:rsidR="00D17317" w:rsidRPr="001B0CA9">
              <w:t xml:space="preserve"> (</w:t>
            </w:r>
            <w:r w:rsidRPr="001B0CA9">
              <w:t>100</w:t>
            </w:r>
            <w:r w:rsidR="00D17317" w:rsidRPr="001B0CA9">
              <w:t>%)</w:t>
            </w:r>
          </w:p>
        </w:tc>
      </w:tr>
      <w:tr w:rsidR="007117D7" w:rsidRPr="001B0CA9" w14:paraId="1F3F4D10" w14:textId="77777777" w:rsidTr="00EB2C23">
        <w:trPr>
          <w:trHeight w:val="20"/>
        </w:trPr>
        <w:tc>
          <w:tcPr>
            <w:tcW w:w="1276" w:type="dxa"/>
          </w:tcPr>
          <w:p w14:paraId="19E3F602" w14:textId="6EB9AE2A" w:rsidR="007117D7" w:rsidRPr="001B0CA9" w:rsidRDefault="00FF6BD4" w:rsidP="00991310">
            <w:pPr>
              <w:pStyle w:val="Tabletextleft"/>
            </w:pPr>
            <w:r w:rsidRPr="001B0CA9">
              <w:t>4.6</w:t>
            </w:r>
          </w:p>
        </w:tc>
        <w:tc>
          <w:tcPr>
            <w:tcW w:w="6521" w:type="dxa"/>
          </w:tcPr>
          <w:p w14:paraId="596159B2" w14:textId="69613148" w:rsidR="007117D7" w:rsidRPr="001B0CA9" w:rsidRDefault="00B9212F" w:rsidP="00991310">
            <w:pPr>
              <w:pStyle w:val="Tabletextleft"/>
              <w:rPr>
                <w:rFonts w:cs="Segoe UI"/>
                <w:sz w:val="24"/>
                <w:szCs w:val="24"/>
              </w:rPr>
            </w:pPr>
            <w:r w:rsidRPr="00AE3913">
              <w:t xml:space="preserve">Women giving birth to an infant with congenital syphilis who </w:t>
            </w:r>
            <w:r w:rsidRPr="004824CB">
              <w:t>did not</w:t>
            </w:r>
            <w:r w:rsidRPr="00AE3913">
              <w:t xml:space="preserve"> receive adequate treatment prior to delivery </w:t>
            </w:r>
            <w:r w:rsidR="00812228" w:rsidRPr="00AE3913">
              <w:t>(% all cases with complete data</w:t>
            </w:r>
            <w:r w:rsidRPr="00AE3913">
              <w:t>)</w:t>
            </w:r>
          </w:p>
        </w:tc>
        <w:tc>
          <w:tcPr>
            <w:tcW w:w="2409" w:type="dxa"/>
          </w:tcPr>
          <w:p w14:paraId="06BAEE5A" w14:textId="5E6E9DA3" w:rsidR="007117D7" w:rsidRPr="001B0CA9" w:rsidRDefault="000E380F" w:rsidP="00991310">
            <w:pPr>
              <w:pStyle w:val="Tabletextcentred"/>
            </w:pPr>
            <w:r w:rsidRPr="001B0CA9">
              <w:t>4</w:t>
            </w:r>
            <w:r w:rsidR="00EC207F" w:rsidRPr="001B0CA9">
              <w:t xml:space="preserve"> (</w:t>
            </w:r>
            <w:r w:rsidRPr="001B0CA9">
              <w:t>100</w:t>
            </w:r>
            <w:r w:rsidR="00EC207F" w:rsidRPr="001B0CA9">
              <w:t>%)</w:t>
            </w:r>
          </w:p>
        </w:tc>
        <w:tc>
          <w:tcPr>
            <w:tcW w:w="2268" w:type="dxa"/>
          </w:tcPr>
          <w:p w14:paraId="4C56A50C" w14:textId="5257BAA3" w:rsidR="007117D7" w:rsidRPr="001B0CA9" w:rsidRDefault="000E380F" w:rsidP="00991310">
            <w:pPr>
              <w:pStyle w:val="Tabletextcentred"/>
            </w:pPr>
            <w:r w:rsidRPr="001B0CA9">
              <w:t>13</w:t>
            </w:r>
            <w:r w:rsidR="00D021C4" w:rsidRPr="001B0CA9">
              <w:t xml:space="preserve"> (</w:t>
            </w:r>
            <w:r w:rsidR="00882085" w:rsidRPr="001B0CA9">
              <w:t>93</w:t>
            </w:r>
            <w:r w:rsidR="00D021C4" w:rsidRPr="001B0CA9">
              <w:t>%)</w:t>
            </w:r>
          </w:p>
        </w:tc>
        <w:tc>
          <w:tcPr>
            <w:tcW w:w="1971" w:type="dxa"/>
          </w:tcPr>
          <w:p w14:paraId="33069999" w14:textId="7A65A2ED" w:rsidR="007117D7" w:rsidRPr="001B0CA9" w:rsidRDefault="008B0100" w:rsidP="00991310">
            <w:pPr>
              <w:pStyle w:val="Tabletextcentred"/>
            </w:pPr>
            <w:r w:rsidRPr="001B0CA9">
              <w:t>7</w:t>
            </w:r>
            <w:r w:rsidR="00D021C4" w:rsidRPr="001B0CA9">
              <w:t xml:space="preserve"> (95%)</w:t>
            </w:r>
          </w:p>
        </w:tc>
      </w:tr>
      <w:tr w:rsidR="00E04715" w:rsidRPr="001B0CA9" w14:paraId="035E0B0B" w14:textId="77777777" w:rsidTr="00EB2C23">
        <w:trPr>
          <w:trHeight w:val="20"/>
        </w:trPr>
        <w:tc>
          <w:tcPr>
            <w:tcW w:w="1276" w:type="dxa"/>
          </w:tcPr>
          <w:p w14:paraId="34D3BCCE" w14:textId="6555EEB0" w:rsidR="00E04715" w:rsidRPr="001B0CA9" w:rsidRDefault="00E04715" w:rsidP="00991310">
            <w:pPr>
              <w:pStyle w:val="Tabletextleft"/>
            </w:pPr>
            <w:r w:rsidRPr="001B0CA9">
              <w:t>4.7</w:t>
            </w:r>
          </w:p>
        </w:tc>
        <w:tc>
          <w:tcPr>
            <w:tcW w:w="6521" w:type="dxa"/>
          </w:tcPr>
          <w:p w14:paraId="39FEECEC" w14:textId="4269BAD1" w:rsidR="00E04715" w:rsidRPr="001B0CA9" w:rsidRDefault="00E04715" w:rsidP="00991310">
            <w:pPr>
              <w:pStyle w:val="Tabletextleft"/>
              <w:rPr>
                <w:rFonts w:cs="Segoe UI"/>
                <w:sz w:val="24"/>
                <w:szCs w:val="24"/>
              </w:rPr>
            </w:pPr>
            <w:r w:rsidRPr="00AE3913">
              <w:t xml:space="preserve">Total number of women giving birth to an infant with congenital syphilis that </w:t>
            </w:r>
            <w:r w:rsidRPr="004824CB">
              <w:t>did not</w:t>
            </w:r>
            <w:r w:rsidRPr="00AE3913">
              <w:t xml:space="preserve"> have a syphilis test/s prior to diagnosis during their pregnancy </w:t>
            </w:r>
            <w:r w:rsidR="00812228" w:rsidRPr="00AE3913">
              <w:t>(% all cases with complete data</w:t>
            </w:r>
            <w:r w:rsidRPr="00AE3913">
              <w:t xml:space="preserve">) </w:t>
            </w:r>
            <w:r w:rsidR="000C7466" w:rsidRPr="00AE3913">
              <w:t>– since 2020 – Q</w:t>
            </w:r>
            <w:r w:rsidR="00312696" w:rsidRPr="00AE3913">
              <w:t>1</w:t>
            </w:r>
            <w:r w:rsidR="000C7466" w:rsidRPr="00AE3913">
              <w:t xml:space="preserve"> 202</w:t>
            </w:r>
            <w:r w:rsidR="00312696" w:rsidRPr="00AE3913">
              <w:t>6</w:t>
            </w:r>
          </w:p>
        </w:tc>
        <w:tc>
          <w:tcPr>
            <w:tcW w:w="6648" w:type="dxa"/>
            <w:gridSpan w:val="3"/>
          </w:tcPr>
          <w:p w14:paraId="14E72AB4" w14:textId="0AA3943F" w:rsidR="00E04715" w:rsidRPr="001B0CA9" w:rsidRDefault="002E419F" w:rsidP="00694CD0">
            <w:pPr>
              <w:jc w:val="center"/>
              <w:rPr>
                <w:rFonts w:cs="Segoe UI"/>
              </w:rPr>
            </w:pPr>
            <w:r w:rsidRPr="001B0CA9">
              <w:rPr>
                <w:rFonts w:cs="Segoe UI"/>
              </w:rPr>
              <w:t>61</w:t>
            </w:r>
            <w:r w:rsidR="000752D5" w:rsidRPr="001B0CA9">
              <w:rPr>
                <w:rFonts w:cs="Segoe UI"/>
              </w:rPr>
              <w:t xml:space="preserve"> (6</w:t>
            </w:r>
            <w:r w:rsidR="00312696" w:rsidRPr="001B0CA9">
              <w:rPr>
                <w:rFonts w:cs="Segoe UI"/>
              </w:rPr>
              <w:t>6</w:t>
            </w:r>
            <w:r w:rsidR="000752D5" w:rsidRPr="001B0CA9">
              <w:rPr>
                <w:rFonts w:cs="Segoe UI"/>
              </w:rPr>
              <w:t>%)</w:t>
            </w:r>
          </w:p>
        </w:tc>
      </w:tr>
      <w:tr w:rsidR="00E04715" w:rsidRPr="001B0CA9" w14:paraId="3C41C75E" w14:textId="77777777" w:rsidTr="00A965D5">
        <w:trPr>
          <w:trHeight w:val="598"/>
        </w:trPr>
        <w:tc>
          <w:tcPr>
            <w:tcW w:w="1276" w:type="dxa"/>
          </w:tcPr>
          <w:p w14:paraId="5D51ABB4" w14:textId="214CEBFC" w:rsidR="00E04715" w:rsidRPr="00991310" w:rsidRDefault="00E04715" w:rsidP="00991310">
            <w:pPr>
              <w:pStyle w:val="Tabletextleft"/>
            </w:pPr>
            <w:r w:rsidRPr="00991310">
              <w:t>4.8</w:t>
            </w:r>
          </w:p>
        </w:tc>
        <w:tc>
          <w:tcPr>
            <w:tcW w:w="6521" w:type="dxa"/>
          </w:tcPr>
          <w:p w14:paraId="21351167" w14:textId="7541B6B7" w:rsidR="00E04715" w:rsidRPr="00991310" w:rsidRDefault="00E04715" w:rsidP="00991310">
            <w:pPr>
              <w:pStyle w:val="Tabletextleft"/>
            </w:pPr>
            <w:r w:rsidRPr="00991310">
              <w:t xml:space="preserve">Total number of women giving birth to an infant with congenital syphilis reinfected during the current pregnancy </w:t>
            </w:r>
            <w:r w:rsidR="00812228" w:rsidRPr="00991310">
              <w:t>(% all cases with complete data</w:t>
            </w:r>
            <w:r w:rsidRPr="00991310">
              <w:t xml:space="preserve">) </w:t>
            </w:r>
            <w:r w:rsidR="000C7466" w:rsidRPr="00991310">
              <w:t>- since 2020 – Q</w:t>
            </w:r>
            <w:r w:rsidR="0043314D" w:rsidRPr="00991310">
              <w:t>1</w:t>
            </w:r>
            <w:r w:rsidR="000C7466" w:rsidRPr="00991310">
              <w:t xml:space="preserve"> 202</w:t>
            </w:r>
            <w:r w:rsidR="0043314D" w:rsidRPr="00991310">
              <w:t>6</w:t>
            </w:r>
          </w:p>
        </w:tc>
        <w:tc>
          <w:tcPr>
            <w:tcW w:w="6648" w:type="dxa"/>
            <w:gridSpan w:val="3"/>
          </w:tcPr>
          <w:p w14:paraId="2017631B" w14:textId="7999278B" w:rsidR="00E04715" w:rsidRPr="001B0CA9" w:rsidRDefault="00AE0AE0" w:rsidP="00694CD0">
            <w:pPr>
              <w:jc w:val="center"/>
              <w:rPr>
                <w:rFonts w:cs="Segoe UI"/>
              </w:rPr>
            </w:pPr>
            <w:r w:rsidRPr="001B0CA9">
              <w:rPr>
                <w:rFonts w:cs="Segoe UI"/>
              </w:rPr>
              <w:t>2 (</w:t>
            </w:r>
            <w:r w:rsidR="00812228" w:rsidRPr="001B0CA9">
              <w:rPr>
                <w:rFonts w:cs="Segoe UI"/>
              </w:rPr>
              <w:t>2%)</w:t>
            </w:r>
          </w:p>
        </w:tc>
      </w:tr>
    </w:tbl>
    <w:p w14:paraId="5C38D786" w14:textId="77777777" w:rsidR="00DE7606" w:rsidRPr="001D443D" w:rsidRDefault="00DE7606" w:rsidP="001D443D">
      <w:pPr>
        <w:pStyle w:val="FootnoteText"/>
      </w:pPr>
      <w:r w:rsidRPr="001D443D">
        <w:t>Note:</w:t>
      </w:r>
    </w:p>
    <w:p w14:paraId="3AD0C737" w14:textId="77777777" w:rsidR="005050CB" w:rsidRPr="001D443D" w:rsidRDefault="00DE7606" w:rsidP="001D443D">
      <w:pPr>
        <w:pStyle w:val="FootnoteText"/>
      </w:pPr>
      <w:r w:rsidRPr="001D443D">
        <w:t xml:space="preserve">1. The denominator (live births) is for the complete year, whereas the numerator (congenital syphilis notifications) represents cases for the reporting period. The rate calculated may be lower than </w:t>
      </w:r>
      <w:r w:rsidR="008E64E7" w:rsidRPr="001D443D">
        <w:t xml:space="preserve">notification </w:t>
      </w:r>
      <w:r w:rsidRPr="001D443D">
        <w:t>rates reported for a complete (12 months) year.</w:t>
      </w:r>
    </w:p>
    <w:p w14:paraId="0D407A57" w14:textId="0B20199D" w:rsidR="001D443D" w:rsidRPr="001D443D" w:rsidRDefault="001D443D" w:rsidP="001D443D">
      <w:pPr>
        <w:sectPr w:rsidR="001D443D" w:rsidRPr="001D443D" w:rsidSect="00B34D15">
          <w:footerReference w:type="default" r:id="rId20"/>
          <w:headerReference w:type="first" r:id="rId21"/>
          <w:pgSz w:w="16840" w:h="11900" w:orient="landscape"/>
          <w:pgMar w:top="284" w:right="1134" w:bottom="709" w:left="1134" w:header="567" w:footer="397" w:gutter="0"/>
          <w:cols w:space="708"/>
          <w:docGrid w:linePitch="360"/>
        </w:sectPr>
      </w:pPr>
    </w:p>
    <w:p w14:paraId="11982CEE" w14:textId="5B74A9D7" w:rsidR="00321DB1" w:rsidRPr="003B0230" w:rsidRDefault="00321DB1" w:rsidP="00DF3CAA">
      <w:pPr>
        <w:pStyle w:val="Heading1"/>
      </w:pPr>
      <w:bookmarkStart w:id="9" w:name="_Toc241658039"/>
      <w:r w:rsidRPr="003B0230">
        <w:lastRenderedPageBreak/>
        <w:t>Goal 1: Strengthen prevention and testing strategies for syphilis in priority populations and settings, targeting high-burden area</w:t>
      </w:r>
      <w:bookmarkEnd w:id="9"/>
    </w:p>
    <w:p w14:paraId="0A0DB2F5" w14:textId="568EE7E0" w:rsidR="007F37CE" w:rsidRPr="00C33651" w:rsidRDefault="007F37CE" w:rsidP="00C33651">
      <w:pPr>
        <w:pStyle w:val="BoxBulletGreen"/>
      </w:pPr>
      <w:r w:rsidRPr="00C33651">
        <w:t>Key facts</w:t>
      </w:r>
    </w:p>
    <w:p w14:paraId="58A09956" w14:textId="39ED96D2" w:rsidR="004F7BCD" w:rsidRPr="009A2544" w:rsidRDefault="004F7BCD" w:rsidP="00C570A6">
      <w:pPr>
        <w:pStyle w:val="BoxBulletGreen"/>
      </w:pPr>
      <w:r w:rsidRPr="009A2544">
        <w:t xml:space="preserve">More than </w:t>
      </w:r>
      <w:r w:rsidR="006625AF" w:rsidRPr="009A2544">
        <w:rPr>
          <w:rStyle w:val="Strong"/>
        </w:rPr>
        <w:t>193,493</w:t>
      </w:r>
      <w:r w:rsidRPr="009A2544">
        <w:rPr>
          <w:rStyle w:val="Strong"/>
        </w:rPr>
        <w:t xml:space="preserve"> syphilis tests</w:t>
      </w:r>
      <w:r w:rsidRPr="009A2544">
        <w:t xml:space="preserve"> were administered through participating Aboriginal Community Controlled Health Services (ACCHS).</w:t>
      </w:r>
    </w:p>
    <w:p w14:paraId="24275EBF" w14:textId="41BDCBC1" w:rsidR="004F7BCD" w:rsidRPr="009A2544" w:rsidRDefault="004F7BCD" w:rsidP="00404904">
      <w:pPr>
        <w:pStyle w:val="BoxBulletGreen"/>
      </w:pPr>
      <w:r w:rsidRPr="009A2544">
        <w:t xml:space="preserve">Quarter </w:t>
      </w:r>
      <w:r w:rsidR="006625AF" w:rsidRPr="009A2544">
        <w:t>1</w:t>
      </w:r>
      <w:r w:rsidR="00297631" w:rsidRPr="009A2544">
        <w:t xml:space="preserve"> 202</w:t>
      </w:r>
      <w:r w:rsidR="006625AF" w:rsidRPr="009A2544">
        <w:t>6</w:t>
      </w:r>
      <w:r w:rsidRPr="009A2544">
        <w:t xml:space="preserve"> </w:t>
      </w:r>
      <w:r w:rsidRPr="00C33651">
        <w:t>reported</w:t>
      </w:r>
      <w:r w:rsidRPr="009A2544">
        <w:rPr>
          <w:rStyle w:val="Strong"/>
        </w:rPr>
        <w:t xml:space="preserve"> testing coverage</w:t>
      </w:r>
      <w:r w:rsidR="005542E8" w:rsidRPr="009A2544">
        <w:rPr>
          <w:rStyle w:val="Strong"/>
        </w:rPr>
        <w:t xml:space="preserve"> consistent </w:t>
      </w:r>
      <w:r w:rsidR="00A126D8" w:rsidRPr="009A2544">
        <w:rPr>
          <w:rStyle w:val="Strong"/>
        </w:rPr>
        <w:t>with historical trends</w:t>
      </w:r>
      <w:r w:rsidRPr="009A2544">
        <w:t xml:space="preserve"> for all age groups (1</w:t>
      </w:r>
      <w:r w:rsidR="0003046D" w:rsidRPr="009A2544">
        <w:t>6</w:t>
      </w:r>
      <w:r w:rsidRPr="009A2544">
        <w:t>%) and the target age group (2</w:t>
      </w:r>
      <w:r w:rsidR="0003046D" w:rsidRPr="009A2544">
        <w:t>6</w:t>
      </w:r>
      <w:r w:rsidRPr="009A2544">
        <w:t>%) at participating ACCHS.</w:t>
      </w:r>
    </w:p>
    <w:p w14:paraId="156A8B73" w14:textId="60DAFB27" w:rsidR="004F7BCD" w:rsidRPr="009A2544" w:rsidRDefault="004F7BCD" w:rsidP="00404904">
      <w:pPr>
        <w:pStyle w:val="BoxBulletGreen"/>
      </w:pPr>
      <w:r w:rsidRPr="009A2544">
        <w:rPr>
          <w:rStyle w:val="Strong"/>
        </w:rPr>
        <w:t>Serology</w:t>
      </w:r>
      <w:r w:rsidRPr="009A2544">
        <w:t xml:space="preserve"> was the </w:t>
      </w:r>
      <w:r w:rsidRPr="009A2544">
        <w:rPr>
          <w:rStyle w:val="Strong"/>
        </w:rPr>
        <w:t>most common</w:t>
      </w:r>
      <w:r w:rsidRPr="009A2544">
        <w:t xml:space="preserve"> method of syphilis diagnosis (</w:t>
      </w:r>
      <w:r w:rsidR="007172FD" w:rsidRPr="009A2544">
        <w:t>9</w:t>
      </w:r>
      <w:r w:rsidR="0003046D" w:rsidRPr="009A2544">
        <w:t>1</w:t>
      </w:r>
      <w:r w:rsidRPr="009A2544">
        <w:t>%) in participating ACCHS.</w:t>
      </w:r>
    </w:p>
    <w:p w14:paraId="50199377" w14:textId="073A32A9" w:rsidR="00B818BB" w:rsidRPr="009A2544" w:rsidRDefault="00B818BB" w:rsidP="00B818BB">
      <w:r w:rsidRPr="009A2544">
        <w:t xml:space="preserve">Strengthening Australia’s prevention and testing strategies for syphilis requires ongoing evaluation of current approaches, and reflection on required improvements and missed opportunities among vulnerable people and communities at a greater risk of infection. This includes people who are pregnant and have a syphilis infection, and regions and populations with disproportionately high </w:t>
      </w:r>
      <w:r w:rsidR="008E64E7" w:rsidRPr="009A2544">
        <w:t xml:space="preserve">notification </w:t>
      </w:r>
      <w:r w:rsidRPr="009A2544">
        <w:t>rates of syphilis – for example Aboriginal and Torres Strait Islander peoples.</w:t>
      </w:r>
    </w:p>
    <w:p w14:paraId="05E22403" w14:textId="11717BA2" w:rsidR="005779C0" w:rsidRPr="009A2544" w:rsidRDefault="00520B71" w:rsidP="00B818BB">
      <w:r w:rsidRPr="009A2544">
        <w:t>S</w:t>
      </w:r>
      <w:r w:rsidR="00B818BB" w:rsidRPr="009A2544">
        <w:t>yphilis testing coverage</w:t>
      </w:r>
      <w:r w:rsidR="00477026" w:rsidRPr="009A2544">
        <w:t xml:space="preserve"> data</w:t>
      </w:r>
      <w:r w:rsidR="00B818BB" w:rsidRPr="009A2544">
        <w:t xml:space="preserve"> reflects only a proportion of Aboriginal and Torres Strait Islander peoples attending selected ACCHS, funded by the Australian Centre for Disease Control to deliver point of care testing. </w:t>
      </w:r>
    </w:p>
    <w:p w14:paraId="12935A65" w14:textId="06A09CA4" w:rsidR="005779C0" w:rsidRPr="009A2544" w:rsidRDefault="00B818BB" w:rsidP="00B818BB">
      <w:r w:rsidRPr="009A2544">
        <w:t>These data do not include individuals accessing care outside of participating ACCHS or data from other health services</w:t>
      </w:r>
      <w:r w:rsidR="00B34B05" w:rsidRPr="009A2544">
        <w:t xml:space="preserve"> </w:t>
      </w:r>
      <w:r w:rsidRPr="009A2544">
        <w:t xml:space="preserve">and therefore may not be representative of the health service participation or testing coverage among the Aboriginal and Torres Strait Islander population more broadly. </w:t>
      </w:r>
    </w:p>
    <w:p w14:paraId="003B244F" w14:textId="70FF26BD" w:rsidR="006D38F4" w:rsidRPr="003C1FD3" w:rsidRDefault="00B818BB" w:rsidP="003C1FD3">
      <w:r w:rsidRPr="003C1FD3">
        <w:t>Routine collection of other suitable data sources, including data from mainstream services and ACCHS not currently funded through the national syphilis response</w:t>
      </w:r>
      <w:r w:rsidR="00721EA0" w:rsidRPr="003C1FD3">
        <w:t>,</w:t>
      </w:r>
      <w:r w:rsidRPr="003C1FD3">
        <w:t xml:space="preserve"> are currently being explored and will be indicated, as appropriate, in future iterations of the Surveillance Plan.</w:t>
      </w:r>
    </w:p>
    <w:p w14:paraId="077E1B52" w14:textId="77777777" w:rsidR="006D38F4" w:rsidRPr="00694CD0" w:rsidRDefault="006D38F4" w:rsidP="00694CD0">
      <w:r w:rsidRPr="00694CD0">
        <w:br w:type="page"/>
      </w:r>
    </w:p>
    <w:p w14:paraId="7BFCE284" w14:textId="3BA60F41" w:rsidR="00E90B41" w:rsidRPr="003B0230" w:rsidRDefault="00E90B41" w:rsidP="003B0230">
      <w:pPr>
        <w:pStyle w:val="Heading2"/>
      </w:pPr>
      <w:bookmarkStart w:id="10" w:name="_Toc241658040"/>
      <w:r w:rsidRPr="003B0230">
        <w:lastRenderedPageBreak/>
        <w:t>Indicators 1.2 and 1.3</w:t>
      </w:r>
      <w:r w:rsidR="00181353" w:rsidRPr="003B0230">
        <w:t xml:space="preserve"> – </w:t>
      </w:r>
      <w:r w:rsidR="00F70AE3" w:rsidRPr="003B0230">
        <w:t>S</w:t>
      </w:r>
      <w:r w:rsidR="00181353" w:rsidRPr="003B0230">
        <w:t>yphilis tests</w:t>
      </w:r>
      <w:bookmarkEnd w:id="10"/>
    </w:p>
    <w:p w14:paraId="77ECA9A3" w14:textId="77777777" w:rsidR="00B818BB" w:rsidRPr="009A2544" w:rsidRDefault="00B818BB" w:rsidP="00B21AD1">
      <w:pPr>
        <w:pStyle w:val="Boxemerald"/>
      </w:pPr>
      <w:r w:rsidRPr="009A2544">
        <w:t>1.2 Cumulative number of syphilis tests delivered through participating ACCHS, by target and total population</w:t>
      </w:r>
    </w:p>
    <w:p w14:paraId="4D34C23C" w14:textId="77777777" w:rsidR="00B818BB" w:rsidRPr="009A2544" w:rsidRDefault="00B818BB" w:rsidP="00B21AD1">
      <w:pPr>
        <w:pStyle w:val="Boxemerald"/>
      </w:pPr>
      <w:r w:rsidRPr="009A2544">
        <w:t>1.3 Proportion of people attending participating ACCHS receiving a syphilis test within the previous 12 months, by target and total population (syphilis testing coverage)</w:t>
      </w:r>
    </w:p>
    <w:p w14:paraId="7C0C4EEF" w14:textId="42EB47E1" w:rsidR="00B818BB" w:rsidRPr="00677E3C" w:rsidRDefault="00B818BB" w:rsidP="00677E3C">
      <w:r w:rsidRPr="00677E3C">
        <w:t>In August 2018</w:t>
      </w:r>
      <w:r w:rsidR="005779C0" w:rsidRPr="00677E3C">
        <w:t>,</w:t>
      </w:r>
      <w:r w:rsidRPr="00677E3C">
        <w:t xml:space="preserve"> as part of the Enhanced Syphilis Response, the test and treat model commenced at selected ACCHS in Queensland, the Northern Territory and Western Australia</w:t>
      </w:r>
      <w:r w:rsidR="00722CDB" w:rsidRPr="00677E3C">
        <w:t xml:space="preserve"> </w:t>
      </w:r>
      <w:r w:rsidR="00722CDB" w:rsidRPr="00677E3C">
        <w:fldChar w:fldCharType="begin"/>
      </w:r>
      <w:r w:rsidR="00DF3CAA" w:rsidRPr="00677E3C">
        <w:instrText xml:space="preserve"> ADDIN EN.CITE &lt;EndNote&gt;&lt;Cite&gt;&lt;Author&gt;Equity Economics&lt;/Author&gt;&lt;Year&gt;2021&lt;/Year&gt;&lt;RecNum&gt;17&lt;/RecNum&gt;&lt;DisplayText&gt;(1, 2)&lt;/DisplayText&gt;&lt;record&gt;&lt;rec-number&gt;17&lt;/rec-number&gt;&lt;foreign-keys&gt;&lt;key app="EN" db-id="rerr5wt9dra05fetxw4p02tp0vtzztp05ef0" timestamp="1754349890"&gt;17&lt;/key&gt;&lt;/foreign-keys&gt;&lt;ref-type name="Report"&gt;27&lt;/ref-type&gt;&lt;contributors&gt;&lt;authors&gt;&lt;author&gt;Equity Economics,&lt;/author&gt;&lt;/authors&gt;&lt;/contributors&gt;&lt;titles&gt;&lt;title&gt;Blueprint for the Future: Evaluation of NACCHO’s Role under the Enhanced Syphilis Response. A Report prepared for the National Aboriginal Community Controlled Health Organisation (NACCHO).&lt;/title&gt;&lt;/titles&gt;&lt;dates&gt;&lt;year&gt;2021&lt;/year&gt;&lt;/dates&gt;&lt;urls&gt;&lt;related-urls&gt;&lt;url&gt;https://www.naccho.org.au/wp-content/uploads/2024/11/NACCHO-ESR-Report-February-2021.pdf&lt;/url&gt;&lt;/related-urls&gt;&lt;/urls&gt;&lt;/record&gt;&lt;/Cite&gt;&lt;Cite&gt;&lt;Year&gt;2025&lt;/Year&gt;&lt;RecNum&gt;42&lt;/RecNum&gt;&lt;record&gt;&lt;rec-number&gt;42&lt;/rec-number&gt;&lt;foreign-keys&gt;&lt;key app="EN" db-id="rerr5wt9dra05fetxw4p02tp0vtzztp05ef0" timestamp="1786406005"&gt;42&lt;/key&gt;&lt;/foreign-keys&gt;&lt;ref-type name="Report"&gt;27&lt;/ref-type&gt;&lt;contributors&gt;&lt;/contributors&gt;&lt;titles&gt;&lt;title&gt;National Syphilis Surveillance Quarterly Report (Quarter 4: 1 October - 31 December 2024)&lt;/title&gt;&lt;/titles&gt;&lt;dates&gt;&lt;year&gt;2025&lt;/year&gt;&lt;/dates&gt;&lt;urls&gt;&lt;related-urls&gt;&lt;url&gt;https://www.health.gov.au/resources/publications/national-syphilis-surveillance-quarterly-report-october-to-december-2024?language=en&lt;/url&gt;&lt;/related-urls&gt;&lt;/urls&gt;&lt;/record&gt;&lt;/Cite&gt;&lt;/EndNote&gt;</w:instrText>
      </w:r>
      <w:r w:rsidR="00722CDB" w:rsidRPr="00677E3C">
        <w:fldChar w:fldCharType="separate"/>
      </w:r>
      <w:r w:rsidR="00170126" w:rsidRPr="00677E3C">
        <w:t>(1, 2)</w:t>
      </w:r>
      <w:r w:rsidR="00722CDB" w:rsidRPr="00677E3C">
        <w:fldChar w:fldCharType="end"/>
      </w:r>
      <w:r w:rsidR="00721EA0" w:rsidRPr="00677E3C">
        <w:t>.</w:t>
      </w:r>
      <w:r w:rsidRPr="00677E3C">
        <w:t xml:space="preserve"> Since </w:t>
      </w:r>
      <w:r w:rsidR="004F3B29" w:rsidRPr="00677E3C">
        <w:t>then,</w:t>
      </w:r>
      <w:r w:rsidRPr="00677E3C">
        <w:t xml:space="preserve"> the program has expanded, with a view for further expansion in the future to target high burden areas and communities impacted by syphilis. </w:t>
      </w:r>
    </w:p>
    <w:p w14:paraId="7F3D308A" w14:textId="6AC694A8" w:rsidR="00B818BB" w:rsidRPr="009A2544" w:rsidRDefault="00B818BB" w:rsidP="00B818BB">
      <w:r w:rsidRPr="009A2544">
        <w:t xml:space="preserve">Between August 2018 </w:t>
      </w:r>
      <w:r w:rsidR="005F2F12" w:rsidRPr="009A2544">
        <w:t>and</w:t>
      </w:r>
      <w:r w:rsidRPr="009A2544">
        <w:t xml:space="preserve"> the end of Q</w:t>
      </w:r>
      <w:r w:rsidR="009652F5" w:rsidRPr="009A2544">
        <w:t>1</w:t>
      </w:r>
      <w:r w:rsidRPr="009A2544">
        <w:t xml:space="preserve"> 202</w:t>
      </w:r>
      <w:r w:rsidR="009652F5" w:rsidRPr="009A2544">
        <w:t>6</w:t>
      </w:r>
      <w:r w:rsidRPr="009A2544">
        <w:t>, through participating ACCHS (Figure</w:t>
      </w:r>
      <w:r w:rsidR="005F2F12" w:rsidRPr="009A2544">
        <w:t> </w:t>
      </w:r>
      <w:r w:rsidRPr="009A2544">
        <w:t xml:space="preserve">1) </w:t>
      </w:r>
      <w:r w:rsidR="009652F5" w:rsidRPr="009A2544">
        <w:t xml:space="preserve">193,493 </w:t>
      </w:r>
      <w:r w:rsidRPr="009A2544">
        <w:t xml:space="preserve">syphilis tests, point-of-care tests (PoCT) and serological tests were delivered at over 20 services. Over this period on average </w:t>
      </w:r>
      <w:r w:rsidR="003022F7" w:rsidRPr="009A2544">
        <w:t>6,</w:t>
      </w:r>
      <w:r w:rsidR="003A2CDB" w:rsidRPr="009A2544">
        <w:t>242</w:t>
      </w:r>
      <w:r w:rsidRPr="009A2544">
        <w:t xml:space="preserve"> new tests were performed each quarter.</w:t>
      </w:r>
    </w:p>
    <w:p w14:paraId="697C18F0" w14:textId="688E10B6" w:rsidR="00B818BB" w:rsidRPr="009A2544" w:rsidRDefault="00B818BB" w:rsidP="00B818BB">
      <w:r w:rsidRPr="009A2544">
        <w:t>In Q</w:t>
      </w:r>
      <w:r w:rsidR="003A2CDB" w:rsidRPr="009A2544">
        <w:t>1</w:t>
      </w:r>
      <w:r w:rsidRPr="009A2544">
        <w:t xml:space="preserve"> 202</w:t>
      </w:r>
      <w:r w:rsidR="003A2CDB" w:rsidRPr="009A2544">
        <w:t>6</w:t>
      </w:r>
      <w:r w:rsidR="00BF16A2" w:rsidRPr="009A2544">
        <w:t>,</w:t>
      </w:r>
      <w:r w:rsidRPr="009A2544">
        <w:t xml:space="preserve"> testing coverage for clients attending participating services for all age groups and the target age group (15</w:t>
      </w:r>
      <w:r w:rsidR="00BF16A2" w:rsidRPr="009A2544">
        <w:t xml:space="preserve"> to</w:t>
      </w:r>
      <w:r w:rsidRPr="009A2544">
        <w:t xml:space="preserve"> 34 years) was </w:t>
      </w:r>
      <w:r w:rsidR="00586609" w:rsidRPr="009A2544">
        <w:t>1</w:t>
      </w:r>
      <w:r w:rsidR="003A2CDB" w:rsidRPr="009A2544">
        <w:t>6</w:t>
      </w:r>
      <w:r w:rsidRPr="009A2544">
        <w:t xml:space="preserve">% and </w:t>
      </w:r>
      <w:r w:rsidR="00586609" w:rsidRPr="009A2544">
        <w:t>2</w:t>
      </w:r>
      <w:r w:rsidR="003A2CDB" w:rsidRPr="009A2544">
        <w:t>6</w:t>
      </w:r>
      <w:r w:rsidRPr="009A2544">
        <w:t>%</w:t>
      </w:r>
      <w:r w:rsidR="00BF16A2" w:rsidRPr="009A2544">
        <w:t>,</w:t>
      </w:r>
      <w:r w:rsidRPr="009A2544">
        <w:t xml:space="preserve"> respectively. This was </w:t>
      </w:r>
      <w:r w:rsidR="00586609" w:rsidRPr="009A2544">
        <w:t xml:space="preserve">a </w:t>
      </w:r>
      <w:r w:rsidR="00C7641D" w:rsidRPr="009A2544">
        <w:t>proportional increase</w:t>
      </w:r>
      <w:r w:rsidR="00586609" w:rsidRPr="009A2544">
        <w:t xml:space="preserve"> compared </w:t>
      </w:r>
      <w:r w:rsidR="008B196A" w:rsidRPr="009A2544">
        <w:t>to</w:t>
      </w:r>
      <w:r w:rsidRPr="009A2544">
        <w:t xml:space="preserve"> Q</w:t>
      </w:r>
      <w:r w:rsidR="00C7641D" w:rsidRPr="009A2544">
        <w:t>4</w:t>
      </w:r>
      <w:r w:rsidRPr="009A2544">
        <w:t xml:space="preserve"> 2025 (Figures</w:t>
      </w:r>
      <w:r w:rsidR="00282C87" w:rsidRPr="009A2544">
        <w:t> </w:t>
      </w:r>
      <w:r w:rsidRPr="009A2544">
        <w:t>2a</w:t>
      </w:r>
      <w:r w:rsidR="00282C87" w:rsidRPr="009A2544">
        <w:t> </w:t>
      </w:r>
      <w:r w:rsidR="00BF16A2" w:rsidRPr="009A2544">
        <w:t>and</w:t>
      </w:r>
      <w:r w:rsidR="00282C87" w:rsidRPr="009A2544">
        <w:t> 2</w:t>
      </w:r>
      <w:r w:rsidRPr="009A2544">
        <w:t>b).</w:t>
      </w:r>
    </w:p>
    <w:p w14:paraId="58D5A44D" w14:textId="4931E9A6" w:rsidR="00B818BB" w:rsidRPr="009A2544" w:rsidRDefault="00B818BB" w:rsidP="00B818BB">
      <w:r w:rsidRPr="009A2544">
        <w:t xml:space="preserve">In </w:t>
      </w:r>
      <w:r w:rsidR="00657F5C" w:rsidRPr="009A2544">
        <w:t>Q</w:t>
      </w:r>
      <w:r w:rsidR="00C7641D" w:rsidRPr="009A2544">
        <w:t>1</w:t>
      </w:r>
      <w:r w:rsidR="00657F5C" w:rsidRPr="009A2544">
        <w:t xml:space="preserve"> 202</w:t>
      </w:r>
      <w:r w:rsidR="00C7641D" w:rsidRPr="009A2544">
        <w:t>6</w:t>
      </w:r>
      <w:r w:rsidR="00657F5C" w:rsidRPr="009A2544">
        <w:t xml:space="preserve">, </w:t>
      </w:r>
      <w:r w:rsidRPr="009A2544">
        <w:t>diagnosis by serology only was the most common method of detecting syphilis (</w:t>
      </w:r>
      <w:r w:rsidR="008B196A" w:rsidRPr="009A2544">
        <w:t>9</w:t>
      </w:r>
      <w:r w:rsidR="00C7641D" w:rsidRPr="009A2544">
        <w:t>1</w:t>
      </w:r>
      <w:r w:rsidRPr="009A2544">
        <w:t xml:space="preserve">%) consistent with historical trends (average </w:t>
      </w:r>
      <w:r w:rsidR="00B23DE6" w:rsidRPr="009A2544">
        <w:t>89</w:t>
      </w:r>
      <w:r w:rsidRPr="009A2544">
        <w:t>%). A combination of serology and PoCT represented the second highest proportion (</w:t>
      </w:r>
      <w:r w:rsidR="009E57DE" w:rsidRPr="009A2544">
        <w:t>7</w:t>
      </w:r>
      <w:r w:rsidRPr="009A2544">
        <w:t xml:space="preserve">%; historical average </w:t>
      </w:r>
      <w:r w:rsidR="00B23DE6" w:rsidRPr="009A2544">
        <w:t>8</w:t>
      </w:r>
      <w:r w:rsidRPr="009A2544">
        <w:t>%) followed by PoCT only (</w:t>
      </w:r>
      <w:r w:rsidR="009240EE" w:rsidRPr="009A2544">
        <w:t>2</w:t>
      </w:r>
      <w:r w:rsidRPr="009A2544">
        <w:t xml:space="preserve">%; historical average </w:t>
      </w:r>
      <w:r w:rsidR="009240EE" w:rsidRPr="009A2544">
        <w:t>3</w:t>
      </w:r>
      <w:r w:rsidRPr="009A2544">
        <w:t>%) (Figure</w:t>
      </w:r>
      <w:r w:rsidR="00282C87" w:rsidRPr="009A2544">
        <w:t> </w:t>
      </w:r>
      <w:r w:rsidRPr="009A2544">
        <w:t>3).</w:t>
      </w:r>
    </w:p>
    <w:p w14:paraId="170CF425" w14:textId="16BADB43" w:rsidR="003B0230" w:rsidRPr="003C1FD3" w:rsidRDefault="00B818BB" w:rsidP="003C1FD3">
      <w:r w:rsidRPr="003C1FD3">
        <w:t>Please note that at the time of writing data were missing for some services</w:t>
      </w:r>
      <w:r w:rsidR="00105936" w:rsidRPr="003C1FD3">
        <w:t>,</w:t>
      </w:r>
      <w:r w:rsidRPr="003C1FD3">
        <w:t xml:space="preserve"> and therefore testing numbers reported are likely to be an underestimate of all tests delivered.</w:t>
      </w:r>
    </w:p>
    <w:p w14:paraId="197A5CB4" w14:textId="77777777" w:rsidR="003B0230" w:rsidRPr="00694CD0" w:rsidRDefault="003B0230" w:rsidP="00694CD0">
      <w:r w:rsidRPr="00694CD0">
        <w:br w:type="page"/>
      </w:r>
    </w:p>
    <w:p w14:paraId="30498D4B" w14:textId="682CDD62" w:rsidR="0094320F" w:rsidRPr="009A2544" w:rsidRDefault="0094320F" w:rsidP="001F60CB">
      <w:pPr>
        <w:pStyle w:val="Figuretitle"/>
      </w:pPr>
      <w:bookmarkStart w:id="11" w:name="_Toc218836700"/>
      <w:bookmarkStart w:id="12" w:name="_Toc240364802"/>
      <w:r w:rsidRPr="009A2544">
        <w:lastRenderedPageBreak/>
        <w:t>Cumulative number of syphilis tests (PoCT and</w:t>
      </w:r>
      <w:r w:rsidR="00CD7568" w:rsidRPr="009A2544">
        <w:t xml:space="preserve"> </w:t>
      </w:r>
      <w:r w:rsidRPr="009A2544">
        <w:t xml:space="preserve">or serology) delivered through participating ACCHS to Aboriginal and Torres Strait Islander peoples, by quarter and year, Q3 2018 </w:t>
      </w:r>
      <w:r w:rsidR="00105936" w:rsidRPr="009A2544">
        <w:t>to</w:t>
      </w:r>
      <w:r w:rsidRPr="009A2544">
        <w:t xml:space="preserve"> Q</w:t>
      </w:r>
      <w:r w:rsidR="002F78B6" w:rsidRPr="009A2544">
        <w:t>1</w:t>
      </w:r>
      <w:r w:rsidRPr="009A2544">
        <w:t xml:space="preserve"> 202</w:t>
      </w:r>
      <w:bookmarkEnd w:id="11"/>
      <w:r w:rsidR="002F78B6" w:rsidRPr="009A2544">
        <w:t>6</w:t>
      </w:r>
      <w:bookmarkEnd w:id="12"/>
    </w:p>
    <w:p w14:paraId="0055FC38" w14:textId="6E50FF75" w:rsidR="00A75813" w:rsidRPr="001D443D" w:rsidRDefault="003D7E5F" w:rsidP="001D443D">
      <w:r w:rsidRPr="001D443D">
        <w:rPr>
          <w:noProof/>
        </w:rPr>
        <w:drawing>
          <wp:inline distT="0" distB="0" distL="0" distR="0" wp14:anchorId="68ECBA35" wp14:editId="54E5F38B">
            <wp:extent cx="6105525" cy="3978272"/>
            <wp:effectExtent l="0" t="0" r="0" b="3810"/>
            <wp:docPr id="1093351552" name="Picture 3" descr="P3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351552" name="Picture 3" descr="P324#yIS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16480" cy="3985410"/>
                    </a:xfrm>
                    <a:prstGeom prst="rect">
                      <a:avLst/>
                    </a:prstGeom>
                    <a:noFill/>
                  </pic:spPr>
                </pic:pic>
              </a:graphicData>
            </a:graphic>
          </wp:inline>
        </w:drawing>
      </w:r>
    </w:p>
    <w:p w14:paraId="0DFB39D3" w14:textId="77777777" w:rsidR="00715040" w:rsidRPr="001D443D" w:rsidRDefault="00023CD8" w:rsidP="001D443D">
      <w:pPr>
        <w:pStyle w:val="FootnoteText"/>
      </w:pPr>
      <w:r w:rsidRPr="001D443D">
        <w:t xml:space="preserve">Note: </w:t>
      </w:r>
    </w:p>
    <w:p w14:paraId="0B68D539" w14:textId="30178FAF" w:rsidR="00715040" w:rsidRPr="001D443D" w:rsidRDefault="006A29A9" w:rsidP="001D443D">
      <w:pPr>
        <w:pStyle w:val="FootnoteText"/>
      </w:pPr>
      <w:r w:rsidRPr="001D443D">
        <w:t xml:space="preserve">* </w:t>
      </w:r>
      <w:r w:rsidR="00023CD8" w:rsidRPr="001D443D">
        <w:t>Q3 2018 includes data for August and September only.</w:t>
      </w:r>
    </w:p>
    <w:p w14:paraId="12F0030B" w14:textId="77777777" w:rsidR="00715040" w:rsidRPr="001D443D" w:rsidRDefault="00715040" w:rsidP="001D443D">
      <w:r w:rsidRPr="001D443D">
        <w:br w:type="page"/>
      </w:r>
    </w:p>
    <w:p w14:paraId="4F20D610" w14:textId="714A94C0" w:rsidR="00023CD8" w:rsidRPr="009A2544" w:rsidRDefault="00A970C7" w:rsidP="001F60CB">
      <w:pPr>
        <w:pStyle w:val="Figuretitle"/>
      </w:pPr>
      <w:bookmarkStart w:id="13" w:name="_Toc218836701"/>
      <w:bookmarkStart w:id="14" w:name="_Toc240364803"/>
      <w:r w:rsidRPr="009A2544">
        <w:lastRenderedPageBreak/>
        <w:t>Proportion of Aboriginal and Torres Strait Islander clients attending participating ACCHS who received a syphilis test (PoCT and</w:t>
      </w:r>
      <w:r w:rsidR="001E45A0" w:rsidRPr="009A2544">
        <w:t xml:space="preserve"> </w:t>
      </w:r>
      <w:r w:rsidRPr="009A2544">
        <w:t xml:space="preserve">or serology), quarter and year, Q3 2018 </w:t>
      </w:r>
      <w:r w:rsidR="00C926C7" w:rsidRPr="009A2544">
        <w:t>to</w:t>
      </w:r>
      <w:r w:rsidRPr="009A2544">
        <w:t xml:space="preserve"> Q</w:t>
      </w:r>
      <w:r w:rsidR="002F78B6" w:rsidRPr="009A2544">
        <w:t>1</w:t>
      </w:r>
      <w:r w:rsidRPr="009A2544">
        <w:t xml:space="preserve"> 202</w:t>
      </w:r>
      <w:r w:rsidR="002F78B6" w:rsidRPr="009A2544">
        <w:t>6</w:t>
      </w:r>
      <w:r w:rsidRPr="009A2544">
        <w:t xml:space="preserve"> (a. </w:t>
      </w:r>
      <w:r w:rsidR="00805A80">
        <w:t>A</w:t>
      </w:r>
      <w:r w:rsidRPr="009A2544">
        <w:t>ll age groups</w:t>
      </w:r>
      <w:r w:rsidR="008865BD" w:rsidRPr="009A2544">
        <w:t>;</w:t>
      </w:r>
      <w:r w:rsidRPr="009A2544">
        <w:t xml:space="preserve"> b. </w:t>
      </w:r>
      <w:r w:rsidR="00EF6716">
        <w:t>T</w:t>
      </w:r>
      <w:r w:rsidRPr="009A2544">
        <w:t>arget age group 15</w:t>
      </w:r>
      <w:r w:rsidR="008865BD" w:rsidRPr="009A2544">
        <w:t xml:space="preserve"> to </w:t>
      </w:r>
      <w:r w:rsidRPr="009A2544">
        <w:t>34 years</w:t>
      </w:r>
      <w:r w:rsidR="00D60C16" w:rsidRPr="009A2544">
        <w:rPr>
          <w:vertAlign w:val="superscript"/>
        </w:rPr>
        <w:t>1</w:t>
      </w:r>
      <w:r w:rsidRPr="009A2544">
        <w:t>)</w:t>
      </w:r>
      <w:bookmarkEnd w:id="13"/>
      <w:bookmarkEnd w:id="14"/>
    </w:p>
    <w:p w14:paraId="3029D173" w14:textId="6A26D486" w:rsidR="004521BD" w:rsidRPr="009A2544" w:rsidRDefault="00EF16C8" w:rsidP="004D045B">
      <w:r>
        <w:rPr>
          <w:noProof/>
        </w:rPr>
        <w:drawing>
          <wp:inline distT="0" distB="0" distL="0" distR="0" wp14:anchorId="62855590" wp14:editId="14BCFEA1">
            <wp:extent cx="6086475" cy="3965859"/>
            <wp:effectExtent l="0" t="0" r="0" b="0"/>
            <wp:docPr id="799053995" name="Picture 4" descr="P3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053995" name="Picture 4" descr="P329#yIS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7738" cy="3973198"/>
                    </a:xfrm>
                    <a:prstGeom prst="rect">
                      <a:avLst/>
                    </a:prstGeom>
                    <a:noFill/>
                  </pic:spPr>
                </pic:pic>
              </a:graphicData>
            </a:graphic>
          </wp:inline>
        </w:drawing>
      </w:r>
    </w:p>
    <w:p w14:paraId="35348B3B" w14:textId="52A5EA79" w:rsidR="00086822" w:rsidRPr="009A2544" w:rsidRDefault="00FA7EFB" w:rsidP="00694CD0">
      <w:pPr>
        <w:pStyle w:val="FootnoteText"/>
      </w:pPr>
      <w:r>
        <w:rPr>
          <w:noProof/>
        </w:rPr>
        <w:drawing>
          <wp:inline distT="0" distB="0" distL="0" distR="0" wp14:anchorId="00EE3F57" wp14:editId="318125E1">
            <wp:extent cx="6076950" cy="3959652"/>
            <wp:effectExtent l="0" t="0" r="0" b="3175"/>
            <wp:docPr id="1173694413" name="Picture 5" descr="P3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94413" name="Picture 5" descr="P330#yIS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89352" cy="3967733"/>
                    </a:xfrm>
                    <a:prstGeom prst="rect">
                      <a:avLst/>
                    </a:prstGeom>
                    <a:noFill/>
                  </pic:spPr>
                </pic:pic>
              </a:graphicData>
            </a:graphic>
          </wp:inline>
        </w:drawing>
      </w:r>
    </w:p>
    <w:p w14:paraId="1F0A1DDF" w14:textId="457C96BA" w:rsidR="004F37D2" w:rsidRPr="001D443D" w:rsidRDefault="004521BD" w:rsidP="001D443D">
      <w:pPr>
        <w:pStyle w:val="FootnoteText"/>
      </w:pPr>
      <w:r w:rsidRPr="001D443D">
        <w:lastRenderedPageBreak/>
        <w:t>Note</w:t>
      </w:r>
      <w:r w:rsidR="00554215" w:rsidRPr="001D443D">
        <w:t>s</w:t>
      </w:r>
      <w:r w:rsidRPr="001D443D">
        <w:t xml:space="preserve">: </w:t>
      </w:r>
      <w:r w:rsidR="00D60C16" w:rsidRPr="001D443D">
        <w:t>1.</w:t>
      </w:r>
      <w:r w:rsidR="004F37D2" w:rsidRPr="001D443D">
        <w:t xml:space="preserve"> Excludes testing data for individuals whose age was not reported.</w:t>
      </w:r>
      <w:r w:rsidR="00752A14" w:rsidRPr="001D443D">
        <w:t xml:space="preserve"> </w:t>
      </w:r>
      <w:r w:rsidR="004F37D2" w:rsidRPr="001D443D">
        <w:t>* Q3 2018 includes data for August and September only.</w:t>
      </w:r>
    </w:p>
    <w:p w14:paraId="5A630AD0" w14:textId="1A1F13FD" w:rsidR="009752F5" w:rsidRPr="009A2544" w:rsidRDefault="0066141A" w:rsidP="00805A80">
      <w:pPr>
        <w:pStyle w:val="Figuretitle"/>
      </w:pPr>
      <w:bookmarkStart w:id="15" w:name="_Toc218836702"/>
      <w:bookmarkStart w:id="16" w:name="_Toc240364804"/>
      <w:r w:rsidRPr="009A2544">
        <w:t xml:space="preserve">Proportion of syphilis tests delivered through participating ACCHS, by test type (PoCT only, serology only and both serology and PoCT), by quarter and year, Q3 2018 </w:t>
      </w:r>
      <w:r w:rsidR="00A65E50" w:rsidRPr="009A2544">
        <w:t>to</w:t>
      </w:r>
      <w:r w:rsidRPr="009A2544">
        <w:t xml:space="preserve"> Q</w:t>
      </w:r>
      <w:r w:rsidR="002F78B6" w:rsidRPr="009A2544">
        <w:t>1</w:t>
      </w:r>
      <w:r w:rsidR="00A65E50" w:rsidRPr="009A2544">
        <w:t xml:space="preserve"> 202</w:t>
      </w:r>
      <w:bookmarkEnd w:id="15"/>
      <w:r w:rsidR="002F78B6" w:rsidRPr="009A2544">
        <w:t>6</w:t>
      </w:r>
      <w:bookmarkEnd w:id="16"/>
    </w:p>
    <w:p w14:paraId="4769CF68" w14:textId="1A2DEC38" w:rsidR="00D46C20" w:rsidRPr="001D443D" w:rsidRDefault="00BB5854" w:rsidP="001D443D">
      <w:r>
        <w:rPr>
          <w:noProof/>
        </w:rPr>
        <w:drawing>
          <wp:inline distT="0" distB="0" distL="0" distR="0" wp14:anchorId="1AAE557C" wp14:editId="4296F5D7">
            <wp:extent cx="6183493" cy="4029075"/>
            <wp:effectExtent l="0" t="0" r="8255" b="0"/>
            <wp:docPr id="1549396334" name="Picture 6" descr="P33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96334" name="Picture 6" descr="P333#yIS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90889" cy="4033894"/>
                    </a:xfrm>
                    <a:prstGeom prst="rect">
                      <a:avLst/>
                    </a:prstGeom>
                    <a:noFill/>
                  </pic:spPr>
                </pic:pic>
              </a:graphicData>
            </a:graphic>
          </wp:inline>
        </w:drawing>
      </w:r>
    </w:p>
    <w:p w14:paraId="4146A697" w14:textId="6F1379BB" w:rsidR="00E007B2" w:rsidRPr="001D443D" w:rsidRDefault="00D46C20" w:rsidP="001D443D">
      <w:pPr>
        <w:pStyle w:val="FootnoteText"/>
      </w:pPr>
      <w:r w:rsidRPr="001D443D">
        <w:t xml:space="preserve">Note: </w:t>
      </w:r>
      <w:r w:rsidR="00982B53" w:rsidRPr="001D443D">
        <w:t xml:space="preserve">* </w:t>
      </w:r>
      <w:r w:rsidRPr="001D443D">
        <w:t>Q3 2018 includes data for August and September only.</w:t>
      </w:r>
    </w:p>
    <w:p w14:paraId="5931EE3F" w14:textId="77777777" w:rsidR="00E007B2" w:rsidRPr="001D443D" w:rsidRDefault="00E007B2" w:rsidP="001D443D">
      <w:r w:rsidRPr="001D443D">
        <w:br w:type="page"/>
      </w:r>
    </w:p>
    <w:p w14:paraId="189A54EE" w14:textId="77777777" w:rsidR="008F6272" w:rsidRPr="003B0230" w:rsidRDefault="008F6272" w:rsidP="003B0230">
      <w:pPr>
        <w:pStyle w:val="Heading1"/>
      </w:pPr>
      <w:bookmarkStart w:id="17" w:name="_Toc218512926"/>
      <w:bookmarkStart w:id="18" w:name="_Toc241658041"/>
      <w:r w:rsidRPr="003B0230">
        <w:lastRenderedPageBreak/>
        <w:t>Goal 2: Reduce ongoing transmission and incidence of syphilis across priority populations</w:t>
      </w:r>
      <w:bookmarkEnd w:id="17"/>
      <w:bookmarkEnd w:id="18"/>
    </w:p>
    <w:p w14:paraId="7DD2B6A7" w14:textId="77777777" w:rsidR="00DC156C" w:rsidRPr="009A2544" w:rsidRDefault="00DC156C" w:rsidP="00694CD0">
      <w:pPr>
        <w:pStyle w:val="BoxBulletGreen"/>
      </w:pPr>
      <w:r w:rsidRPr="009A2544">
        <w:t>Key facts</w:t>
      </w:r>
    </w:p>
    <w:p w14:paraId="43355F60" w14:textId="5E2F374D" w:rsidR="00DC156C" w:rsidRPr="00C33651" w:rsidRDefault="00FF5A37" w:rsidP="00C33651">
      <w:pPr>
        <w:pStyle w:val="BoxBulletGreen"/>
      </w:pPr>
      <w:r w:rsidRPr="00C33651">
        <w:t>In Quarter 1 2026</w:t>
      </w:r>
      <w:r w:rsidR="00DC156C" w:rsidRPr="00C33651">
        <w:t>:</w:t>
      </w:r>
    </w:p>
    <w:p w14:paraId="7198B9F1" w14:textId="5A54A4A2" w:rsidR="00DC156C" w:rsidRPr="009A2544" w:rsidRDefault="00DD6849" w:rsidP="00B21AD1">
      <w:pPr>
        <w:pStyle w:val="BoxBulletGreen"/>
      </w:pPr>
      <w:r w:rsidRPr="00C33651">
        <w:rPr>
          <w:rStyle w:val="Strong"/>
        </w:rPr>
        <w:t>1,</w:t>
      </w:r>
      <w:r w:rsidR="009B2227" w:rsidRPr="00C33651">
        <w:rPr>
          <w:rStyle w:val="Strong"/>
        </w:rPr>
        <w:t>472</w:t>
      </w:r>
      <w:r w:rsidRPr="009A2544">
        <w:t xml:space="preserve"> </w:t>
      </w:r>
      <w:r w:rsidR="00DC156C" w:rsidRPr="00C33651">
        <w:rPr>
          <w:rStyle w:val="Strong"/>
        </w:rPr>
        <w:t>infectious syphilis cases</w:t>
      </w:r>
      <w:r w:rsidR="00DC156C" w:rsidRPr="009A2544">
        <w:t xml:space="preserve"> were notified, </w:t>
      </w:r>
      <w:r w:rsidR="006024FC" w:rsidRPr="009A2544">
        <w:t xml:space="preserve">decreasing marginally </w:t>
      </w:r>
      <w:r w:rsidR="00DC156C" w:rsidRPr="009A2544">
        <w:t xml:space="preserve">compared </w:t>
      </w:r>
      <w:r w:rsidR="006024FC" w:rsidRPr="009A2544">
        <w:t xml:space="preserve">to </w:t>
      </w:r>
      <w:r w:rsidR="00DC156C" w:rsidRPr="009A2544">
        <w:t>12 month</w:t>
      </w:r>
      <w:r w:rsidR="00C170B0" w:rsidRPr="009A2544">
        <w:t xml:space="preserve"> and</w:t>
      </w:r>
      <w:r w:rsidR="00DC156C" w:rsidRPr="009A2544">
        <w:t xml:space="preserve"> </w:t>
      </w:r>
      <w:r w:rsidR="00C170B0" w:rsidRPr="009A2544">
        <w:t xml:space="preserve">5-year </w:t>
      </w:r>
      <w:r w:rsidR="00DC156C" w:rsidRPr="009A2544">
        <w:t>quarterly mean</w:t>
      </w:r>
      <w:r w:rsidR="00C170B0" w:rsidRPr="009A2544">
        <w:t>s.</w:t>
      </w:r>
      <w:r w:rsidR="00DC156C" w:rsidRPr="009A2544">
        <w:t xml:space="preserve"> </w:t>
      </w:r>
    </w:p>
    <w:p w14:paraId="0B224B1D" w14:textId="43755B4B" w:rsidR="00DC156C" w:rsidRPr="009A2544" w:rsidRDefault="00F76C9A" w:rsidP="00B21AD1">
      <w:pPr>
        <w:pStyle w:val="BoxBulletGreen"/>
      </w:pPr>
      <w:r w:rsidRPr="00C33651">
        <w:rPr>
          <w:rStyle w:val="Strong"/>
        </w:rPr>
        <w:t>H</w:t>
      </w:r>
      <w:r w:rsidR="00DC156C" w:rsidRPr="00C33651">
        <w:rPr>
          <w:rStyle w:val="Strong"/>
        </w:rPr>
        <w:t>ighest notification rates</w:t>
      </w:r>
      <w:r w:rsidR="00DC156C" w:rsidRPr="009A2544">
        <w:t xml:space="preserve"> were reported in </w:t>
      </w:r>
      <w:r w:rsidR="00DC156C" w:rsidRPr="00C33651">
        <w:rPr>
          <w:rStyle w:val="Strong"/>
        </w:rPr>
        <w:t>Aboriginal and Torres Strait Islander people</w:t>
      </w:r>
      <w:r w:rsidR="00A91C81" w:rsidRPr="00C33651">
        <w:rPr>
          <w:rStyle w:val="Strong"/>
        </w:rPr>
        <w:t>s</w:t>
      </w:r>
      <w:r w:rsidR="00DC156C" w:rsidRPr="00C33651">
        <w:rPr>
          <w:rStyle w:val="Strong"/>
        </w:rPr>
        <w:t xml:space="preserve"> </w:t>
      </w:r>
      <w:r w:rsidR="004A5DCE" w:rsidRPr="00C33651">
        <w:rPr>
          <w:rStyle w:val="Strong"/>
        </w:rPr>
        <w:t>aged 15 to 24 years</w:t>
      </w:r>
      <w:r w:rsidR="004A5DCE" w:rsidRPr="009A2544">
        <w:t xml:space="preserve"> </w:t>
      </w:r>
      <w:r w:rsidR="00DC156C" w:rsidRPr="009A2544">
        <w:t xml:space="preserve">in </w:t>
      </w:r>
      <w:r w:rsidR="00DC156C" w:rsidRPr="00C33651">
        <w:rPr>
          <w:rStyle w:val="Strong"/>
        </w:rPr>
        <w:t>remote</w:t>
      </w:r>
      <w:r w:rsidR="003246D2" w:rsidRPr="00C33651">
        <w:rPr>
          <w:rStyle w:val="Strong"/>
        </w:rPr>
        <w:t>/</w:t>
      </w:r>
      <w:r w:rsidR="00DC156C" w:rsidRPr="00C33651">
        <w:rPr>
          <w:rStyle w:val="Strong"/>
        </w:rPr>
        <w:t>very remote areas</w:t>
      </w:r>
    </w:p>
    <w:p w14:paraId="3DA8550D" w14:textId="753C14FC" w:rsidR="00DC156C" w:rsidRPr="009A2544" w:rsidRDefault="00DC156C" w:rsidP="0075331C">
      <w:pPr>
        <w:pStyle w:val="BoxTextGreen"/>
      </w:pPr>
      <w:r w:rsidRPr="009A2544">
        <w:t xml:space="preserve">Compared </w:t>
      </w:r>
      <w:r w:rsidR="00B21AD1" w:rsidRPr="009A2544">
        <w:t>with</w:t>
      </w:r>
      <w:r w:rsidRPr="009A2544">
        <w:t xml:space="preserve"> the 12-month quarterly average, notification rates in</w:t>
      </w:r>
      <w:r w:rsidR="00803D48" w:rsidRPr="009A2544">
        <w:t xml:space="preserve"> Q</w:t>
      </w:r>
      <w:r w:rsidR="00FC1A76" w:rsidRPr="009A2544">
        <w:t>1</w:t>
      </w:r>
      <w:r w:rsidR="00803D48" w:rsidRPr="009A2544">
        <w:t xml:space="preserve"> 202</w:t>
      </w:r>
      <w:r w:rsidR="00FC1A76" w:rsidRPr="009A2544">
        <w:t>6</w:t>
      </w:r>
      <w:r w:rsidRPr="009A2544">
        <w:t xml:space="preserve">: </w:t>
      </w:r>
    </w:p>
    <w:p w14:paraId="7DD3B26E" w14:textId="551CBC94" w:rsidR="00DC156C" w:rsidRPr="009A2544" w:rsidRDefault="00F71357" w:rsidP="00B21AD1">
      <w:pPr>
        <w:pStyle w:val="BoxBulletGreen"/>
      </w:pPr>
      <w:r w:rsidRPr="00C33651">
        <w:rPr>
          <w:rStyle w:val="Strong"/>
        </w:rPr>
        <w:t>Increased</w:t>
      </w:r>
      <w:r w:rsidRPr="009A2544">
        <w:t xml:space="preserve"> in </w:t>
      </w:r>
      <w:r w:rsidR="00DC156C" w:rsidRPr="00C33651">
        <w:rPr>
          <w:rStyle w:val="Strong"/>
        </w:rPr>
        <w:t xml:space="preserve">Aboriginal and Torres Strait Islander males </w:t>
      </w:r>
      <w:r w:rsidR="00803D48" w:rsidRPr="00C33651">
        <w:rPr>
          <w:rStyle w:val="Strong"/>
        </w:rPr>
        <w:t xml:space="preserve">aged </w:t>
      </w:r>
      <w:r w:rsidR="000710CD" w:rsidRPr="00C33651">
        <w:rPr>
          <w:rStyle w:val="Strong"/>
        </w:rPr>
        <w:t>15-24</w:t>
      </w:r>
      <w:r w:rsidR="005F34CE" w:rsidRPr="009A2544">
        <w:t xml:space="preserve"> years</w:t>
      </w:r>
      <w:r w:rsidR="00DC156C" w:rsidRPr="009A2544">
        <w:t xml:space="preserve"> </w:t>
      </w:r>
      <w:r w:rsidR="005F34CE" w:rsidRPr="009A2544">
        <w:t xml:space="preserve">in </w:t>
      </w:r>
      <w:r w:rsidR="001C4EAB" w:rsidRPr="00C33651">
        <w:rPr>
          <w:rStyle w:val="Strong"/>
        </w:rPr>
        <w:t>major cities</w:t>
      </w:r>
      <w:r w:rsidR="001C4EAB" w:rsidRPr="009A2544">
        <w:t xml:space="preserve"> of Australia</w:t>
      </w:r>
    </w:p>
    <w:p w14:paraId="2C15F425" w14:textId="3A4F6BDC" w:rsidR="001C4EAB" w:rsidRPr="009A2544" w:rsidRDefault="001C4EAB" w:rsidP="00FC5270">
      <w:pPr>
        <w:pStyle w:val="BoxBulletGreen"/>
      </w:pPr>
      <w:r w:rsidRPr="00C33651">
        <w:rPr>
          <w:rStyle w:val="Strong"/>
        </w:rPr>
        <w:t>I</w:t>
      </w:r>
      <w:r w:rsidR="00803D48" w:rsidRPr="00C33651">
        <w:rPr>
          <w:rStyle w:val="Strong"/>
        </w:rPr>
        <w:t>ncreased</w:t>
      </w:r>
      <w:r w:rsidR="00803D48" w:rsidRPr="009A2544">
        <w:t xml:space="preserve"> in </w:t>
      </w:r>
      <w:r w:rsidR="00DC156C" w:rsidRPr="00C33651">
        <w:rPr>
          <w:rStyle w:val="Strong"/>
        </w:rPr>
        <w:t>Aboriginal and Torres Strait Islander females</w:t>
      </w:r>
      <w:r w:rsidR="00803D48" w:rsidRPr="00C33651">
        <w:rPr>
          <w:rStyle w:val="Strong"/>
        </w:rPr>
        <w:t xml:space="preserve"> aged </w:t>
      </w:r>
      <w:proofErr w:type="gramStart"/>
      <w:r w:rsidR="00A54705" w:rsidRPr="00C33651">
        <w:rPr>
          <w:rStyle w:val="Strong"/>
        </w:rPr>
        <w:t>2</w:t>
      </w:r>
      <w:r w:rsidRPr="00C33651">
        <w:rPr>
          <w:rStyle w:val="Strong"/>
        </w:rPr>
        <w:t>5-</w:t>
      </w:r>
      <w:r w:rsidR="0066701C" w:rsidRPr="00C33651">
        <w:rPr>
          <w:rStyle w:val="Strong"/>
        </w:rPr>
        <w:t>2</w:t>
      </w:r>
      <w:r w:rsidRPr="00C33651">
        <w:rPr>
          <w:rStyle w:val="Strong"/>
        </w:rPr>
        <w:t>4</w:t>
      </w:r>
      <w:r w:rsidRPr="009A2544">
        <w:t xml:space="preserve"> year olds</w:t>
      </w:r>
      <w:proofErr w:type="gramEnd"/>
      <w:r w:rsidRPr="009A2544">
        <w:t xml:space="preserve"> in </w:t>
      </w:r>
      <w:r w:rsidRPr="00C33651">
        <w:rPr>
          <w:rStyle w:val="Strong"/>
        </w:rPr>
        <w:t>remote/very remote</w:t>
      </w:r>
      <w:r w:rsidRPr="009A2544">
        <w:t xml:space="preserve"> areas and </w:t>
      </w:r>
      <w:r w:rsidRPr="00C33651">
        <w:rPr>
          <w:rStyle w:val="Strong"/>
        </w:rPr>
        <w:t>inner/outer</w:t>
      </w:r>
      <w:r w:rsidRPr="009A2544">
        <w:t xml:space="preserve"> regional areas</w:t>
      </w:r>
    </w:p>
    <w:p w14:paraId="3027AED6" w14:textId="53C6B05C" w:rsidR="001C4EAB" w:rsidRPr="009A2544" w:rsidRDefault="00896694" w:rsidP="00FC5270">
      <w:pPr>
        <w:pStyle w:val="BoxBulletGreen"/>
      </w:pPr>
      <w:r w:rsidRPr="00C33651">
        <w:rPr>
          <w:rStyle w:val="Strong"/>
        </w:rPr>
        <w:t>D</w:t>
      </w:r>
      <w:r w:rsidR="00803D48" w:rsidRPr="00C33651">
        <w:rPr>
          <w:rStyle w:val="Strong"/>
        </w:rPr>
        <w:t xml:space="preserve">ecreased </w:t>
      </w:r>
      <w:r w:rsidR="00803D48" w:rsidRPr="009A2544">
        <w:t xml:space="preserve">in </w:t>
      </w:r>
      <w:r w:rsidR="00803D48" w:rsidRPr="00C33651">
        <w:rPr>
          <w:rStyle w:val="Strong"/>
        </w:rPr>
        <w:t>n</w:t>
      </w:r>
      <w:r w:rsidR="00DC156C" w:rsidRPr="00C33651">
        <w:rPr>
          <w:rStyle w:val="Strong"/>
        </w:rPr>
        <w:t>on-Indigenous males</w:t>
      </w:r>
      <w:r w:rsidR="00DC156C" w:rsidRPr="009A2544">
        <w:t xml:space="preserve"> across most age groups and remoteness areas</w:t>
      </w:r>
    </w:p>
    <w:p w14:paraId="367C05E8" w14:textId="4024F467" w:rsidR="00DC156C" w:rsidRPr="009A2544" w:rsidRDefault="00896694" w:rsidP="00FC5270">
      <w:pPr>
        <w:pStyle w:val="BoxBulletGreen"/>
      </w:pPr>
      <w:r w:rsidRPr="00C33651">
        <w:rPr>
          <w:rStyle w:val="Strong"/>
        </w:rPr>
        <w:t>Increased</w:t>
      </w:r>
      <w:r w:rsidRPr="009A2544">
        <w:t xml:space="preserve"> in </w:t>
      </w:r>
      <w:r w:rsidR="007E378C" w:rsidRPr="00C33651">
        <w:rPr>
          <w:rStyle w:val="Strong"/>
        </w:rPr>
        <w:t>non-Indigenous females</w:t>
      </w:r>
      <w:r w:rsidR="007D6403" w:rsidRPr="00C33651">
        <w:rPr>
          <w:rStyle w:val="Strong"/>
        </w:rPr>
        <w:t xml:space="preserve"> aged </w:t>
      </w:r>
      <w:r w:rsidR="009A2544" w:rsidRPr="00C33651">
        <w:rPr>
          <w:rStyle w:val="Strong"/>
        </w:rPr>
        <w:t>25-24</w:t>
      </w:r>
      <w:r w:rsidR="007D6403" w:rsidRPr="009A2544">
        <w:t xml:space="preserve"> years in </w:t>
      </w:r>
      <w:r w:rsidR="007D6403" w:rsidRPr="00C33651">
        <w:rPr>
          <w:rStyle w:val="Strong"/>
        </w:rPr>
        <w:t>inner/outer</w:t>
      </w:r>
      <w:r w:rsidR="007D6403" w:rsidRPr="009A2544">
        <w:t xml:space="preserve"> regional areas</w:t>
      </w:r>
    </w:p>
    <w:p w14:paraId="4F7DFCC9" w14:textId="12142D0E" w:rsidR="0078323F" w:rsidRPr="009A2544" w:rsidRDefault="00CF1812" w:rsidP="00795FB7">
      <w:r w:rsidRPr="009A2544">
        <w:t>In the first quarter of 2026, 1,472</w:t>
      </w:r>
      <w:r w:rsidR="00581E67" w:rsidRPr="009A2544">
        <w:t xml:space="preserve"> cases of infectious syphilis were notified, </w:t>
      </w:r>
      <w:r w:rsidR="004A1E9D" w:rsidRPr="009A2544">
        <w:t>lower</w:t>
      </w:r>
      <w:r w:rsidR="00581E67" w:rsidRPr="009A2544">
        <w:t xml:space="preserve"> than the </w:t>
      </w:r>
      <w:r w:rsidR="008D1927" w:rsidRPr="009A2544">
        <w:t xml:space="preserve">12 month </w:t>
      </w:r>
      <w:r w:rsidR="00341A6F" w:rsidRPr="009A2544">
        <w:t>(</w:t>
      </w:r>
      <w:r w:rsidR="00964E74" w:rsidRPr="009A2544">
        <w:t xml:space="preserve">n= </w:t>
      </w:r>
      <w:r w:rsidR="00341A6F" w:rsidRPr="009A2544">
        <w:t>1,4</w:t>
      </w:r>
      <w:r w:rsidR="00964E74" w:rsidRPr="009A2544">
        <w:t xml:space="preserve">86) </w:t>
      </w:r>
      <w:r w:rsidR="00581E67" w:rsidRPr="009A2544">
        <w:t>and</w:t>
      </w:r>
      <w:r w:rsidR="003A74DB" w:rsidRPr="009A2544">
        <w:t xml:space="preserve"> </w:t>
      </w:r>
      <w:r w:rsidR="00581E67" w:rsidRPr="009A2544">
        <w:t>5-year</w:t>
      </w:r>
      <w:r w:rsidR="0052538A" w:rsidRPr="009A2544">
        <w:t xml:space="preserve"> quarterly mean</w:t>
      </w:r>
      <w:r w:rsidR="00581E67" w:rsidRPr="009A2544">
        <w:t xml:space="preserve"> (n=</w:t>
      </w:r>
      <w:r w:rsidR="008C2F48" w:rsidRPr="009A2544">
        <w:t>1,5</w:t>
      </w:r>
      <w:r w:rsidR="00341A6F" w:rsidRPr="009A2544">
        <w:t>29</w:t>
      </w:r>
      <w:r w:rsidR="00581E67" w:rsidRPr="009A2544">
        <w:t>)</w:t>
      </w:r>
      <w:r w:rsidR="00D05ACC" w:rsidRPr="009A2544">
        <w:t xml:space="preserve"> (</w:t>
      </w:r>
      <w:r w:rsidR="00D05ACC" w:rsidRPr="009A2544">
        <w:fldChar w:fldCharType="begin" w:fldLock="1"/>
      </w:r>
      <w:r w:rsidR="00D05ACC" w:rsidRPr="009A2544">
        <w:instrText xml:space="preserve"> REF _Ref237602084 \r \h </w:instrText>
      </w:r>
      <w:r w:rsidR="00C170B0" w:rsidRPr="009A2544">
        <w:instrText xml:space="preserve"> \* MERGEFORMAT </w:instrText>
      </w:r>
      <w:r w:rsidR="00D05ACC" w:rsidRPr="009A2544">
        <w:fldChar w:fldCharType="separate"/>
      </w:r>
      <w:r w:rsidR="00D05ACC" w:rsidRPr="009A2544">
        <w:t>Figure 4</w:t>
      </w:r>
      <w:r w:rsidR="00D05ACC" w:rsidRPr="009A2544">
        <w:fldChar w:fldCharType="end"/>
      </w:r>
      <w:r w:rsidR="00D05ACC" w:rsidRPr="009A2544">
        <w:t>)</w:t>
      </w:r>
      <w:r w:rsidR="00581E67" w:rsidRPr="009A2544">
        <w:t>. Consistent with historical trends, in Q</w:t>
      </w:r>
      <w:r w:rsidR="00964E74" w:rsidRPr="009A2544">
        <w:t>1</w:t>
      </w:r>
      <w:r w:rsidR="00581E67" w:rsidRPr="009A2544">
        <w:t xml:space="preserve"> 202</w:t>
      </w:r>
      <w:r w:rsidR="00964E74" w:rsidRPr="009A2544">
        <w:t>6</w:t>
      </w:r>
      <w:r w:rsidR="00581E67" w:rsidRPr="009A2544">
        <w:t xml:space="preserve"> notifications were predominately reported in males (7</w:t>
      </w:r>
      <w:r w:rsidR="00CA3CC4" w:rsidRPr="009A2544">
        <w:t>8</w:t>
      </w:r>
      <w:r w:rsidR="00581E67" w:rsidRPr="009A2544">
        <w:t>%) and were aged 25-34 years (3</w:t>
      </w:r>
      <w:r w:rsidR="00C170B0" w:rsidRPr="009A2544">
        <w:t>4</w:t>
      </w:r>
      <w:r w:rsidR="00581E67" w:rsidRPr="009A2544">
        <w:t xml:space="preserve">%) (Table 3). </w:t>
      </w:r>
    </w:p>
    <w:p w14:paraId="5A5D7D98" w14:textId="337CD798" w:rsidR="00581E67" w:rsidRPr="009A2544" w:rsidRDefault="00581E67" w:rsidP="00795FB7">
      <w:r w:rsidRPr="009A2544">
        <w:t>While notifications were largely reported among residents of major cities (7</w:t>
      </w:r>
      <w:r w:rsidR="00AE228B" w:rsidRPr="009A2544">
        <w:t>1</w:t>
      </w:r>
      <w:r w:rsidRPr="009A2544">
        <w:t xml:space="preserve">%), proportions in inner/outer regional areas are continuing to increase due in part to rises in notifications in urban areas in the Northern Territory (Darwin classified as an outer regional area), and areas in north Queensland (Map 2). Proportional increases in remote/very remote areas reflects consistent reporting of cases in these areas, and </w:t>
      </w:r>
      <w:r w:rsidR="00700CE0" w:rsidRPr="009A2544">
        <w:t xml:space="preserve">resurgence </w:t>
      </w:r>
      <w:r w:rsidRPr="009A2544">
        <w:t xml:space="preserve">in remote/very remote areas in the Northern Territory, </w:t>
      </w:r>
      <w:r w:rsidR="001629AA" w:rsidRPr="009A2544">
        <w:t xml:space="preserve">including </w:t>
      </w:r>
      <w:r w:rsidR="00B83C58" w:rsidRPr="009A2544">
        <w:t>Top End</w:t>
      </w:r>
      <w:r w:rsidR="001629AA" w:rsidRPr="009A2544">
        <w:t>,</w:t>
      </w:r>
      <w:r w:rsidR="00B83C58" w:rsidRPr="009A2544">
        <w:t xml:space="preserve"> Big Rivers</w:t>
      </w:r>
      <w:r w:rsidR="0088365C" w:rsidRPr="009A2544">
        <w:t xml:space="preserve"> (Katherine)</w:t>
      </w:r>
      <w:r w:rsidR="001629AA" w:rsidRPr="009A2544">
        <w:t xml:space="preserve"> and East Arnhem regions</w:t>
      </w:r>
      <w:r w:rsidRPr="009A2544">
        <w:t xml:space="preserve"> (Map 1 and 2) </w:t>
      </w:r>
      <w:r w:rsidR="00D307A8" w:rsidRPr="009A2544">
        <w:fldChar w:fldCharType="begin"/>
      </w:r>
      <w:r w:rsidR="00DF3CAA">
        <w:instrText xml:space="preserve"> ADDIN EN.CITE &lt;EndNote&gt;&lt;Cite&gt;&lt;Author&gt;NT Health&lt;/Author&gt;&lt;Year&gt;2026&lt;/Year&gt;&lt;RecNum&gt;43&lt;/RecNum&gt;&lt;DisplayText&gt;(3)&lt;/DisplayText&gt;&lt;record&gt;&lt;rec-number&gt;43&lt;/rec-number&gt;&lt;foreign-keys&gt;&lt;key app="EN" db-id="rerr5wt9dra05fetxw4p02tp0vtzztp05ef0" timestamp="1786406005"&gt;43&lt;/key&gt;&lt;/foreign-keys&gt;&lt;ref-type name="Web Page"&gt;12&lt;/ref-type&gt;&lt;contributors&gt;&lt;authors&gt;&lt;author&gt;NT Health,&lt;/author&gt;&lt;/authors&gt;&lt;/contributors&gt;&lt;titles&gt;&lt;title&gt;Public health alert: syphilis - ongoing high transmission&lt;/title&gt;&lt;/titles&gt;&lt;dates&gt;&lt;year&gt;2026&lt;/year&gt;&lt;/dates&gt;&lt;publisher&gt;NT Health Centre for Disease Control&lt;/publisher&gt;&lt;urls&gt;&lt;related-urls&gt;&lt;url&gt;https://health.nt.gov.au/__data/assets/pdf_file/0009/1592199/health-alert-syphilis-update-11.02.2026.pdf&lt;/url&gt;&lt;/related-urls&gt;&lt;/urls&gt;&lt;access-date&gt;11 February 2026&lt;/access-date&gt;&lt;/record&gt;&lt;/Cite&gt;&lt;/EndNote&gt;</w:instrText>
      </w:r>
      <w:r w:rsidR="00D307A8" w:rsidRPr="009A2544">
        <w:fldChar w:fldCharType="separate"/>
      </w:r>
      <w:r w:rsidR="00D307A8" w:rsidRPr="009A2544">
        <w:rPr>
          <w:noProof/>
        </w:rPr>
        <w:t>(3)</w:t>
      </w:r>
      <w:r w:rsidR="00D307A8" w:rsidRPr="009A2544">
        <w:fldChar w:fldCharType="end"/>
      </w:r>
      <w:r w:rsidRPr="009A2544">
        <w:t>.</w:t>
      </w:r>
    </w:p>
    <w:p w14:paraId="00794661" w14:textId="77777777" w:rsidR="00581E67" w:rsidRPr="009A2544" w:rsidRDefault="00581E67" w:rsidP="0060274F"/>
    <w:p w14:paraId="6753F34B" w14:textId="77777777" w:rsidR="001E45A0" w:rsidRPr="00694CD0" w:rsidRDefault="001E45A0" w:rsidP="00694CD0">
      <w:r w:rsidRPr="00694CD0">
        <w:br w:type="page"/>
      </w:r>
    </w:p>
    <w:p w14:paraId="2C255024" w14:textId="1C97F34A" w:rsidR="00CB785F" w:rsidRPr="009A2544" w:rsidRDefault="00DE5C3B" w:rsidP="00805A80">
      <w:pPr>
        <w:pStyle w:val="Figuretitle"/>
      </w:pPr>
      <w:bookmarkStart w:id="19" w:name="_Toc218836703"/>
      <w:bookmarkStart w:id="20" w:name="_Ref237602084"/>
      <w:bookmarkStart w:id="21" w:name="_Toc240364805"/>
      <w:r w:rsidRPr="009A2544">
        <w:lastRenderedPageBreak/>
        <w:t>Notifications (n</w:t>
      </w:r>
      <w:r w:rsidR="0061019C" w:rsidRPr="009A2544">
        <w:t>umber</w:t>
      </w:r>
      <w:r w:rsidRPr="009A2544">
        <w:t>) and notification rate (per 100,000)</w:t>
      </w:r>
      <w:r w:rsidR="0057555E" w:rsidRPr="009A2544">
        <w:rPr>
          <w:vertAlign w:val="superscript"/>
        </w:rPr>
        <w:t>1</w:t>
      </w:r>
      <w:r w:rsidRPr="009A2544">
        <w:t xml:space="preserve"> of infectious syphilis, by Indigenous status, sex, year and quarter, 2020 </w:t>
      </w:r>
      <w:r w:rsidR="0061019C" w:rsidRPr="009A2544">
        <w:t>to</w:t>
      </w:r>
      <w:r w:rsidRPr="009A2544">
        <w:t xml:space="preserve"> Q</w:t>
      </w:r>
      <w:r w:rsidR="002F78B6" w:rsidRPr="009A2544">
        <w:t>1</w:t>
      </w:r>
      <w:r w:rsidRPr="009A2544">
        <w:t xml:space="preserve"> 202</w:t>
      </w:r>
      <w:bookmarkEnd w:id="19"/>
      <w:r w:rsidR="002F78B6" w:rsidRPr="009A2544">
        <w:t>6</w:t>
      </w:r>
      <w:bookmarkEnd w:id="20"/>
      <w:bookmarkEnd w:id="21"/>
    </w:p>
    <w:p w14:paraId="38E1B903" w14:textId="087E6587" w:rsidR="00D321BE" w:rsidRPr="009A2544" w:rsidRDefault="00884AEB" w:rsidP="0060274F">
      <w:r>
        <w:rPr>
          <w:noProof/>
        </w:rPr>
        <w:drawing>
          <wp:inline distT="0" distB="0" distL="0" distR="0" wp14:anchorId="7370B9E1" wp14:editId="34620F6D">
            <wp:extent cx="6344293" cy="4133850"/>
            <wp:effectExtent l="0" t="0" r="0" b="0"/>
            <wp:docPr id="878600921" name="Picture 7" descr="P3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00921" name="Picture 7" descr="P351#yIS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51843" cy="4138769"/>
                    </a:xfrm>
                    <a:prstGeom prst="rect">
                      <a:avLst/>
                    </a:prstGeom>
                    <a:noFill/>
                  </pic:spPr>
                </pic:pic>
              </a:graphicData>
            </a:graphic>
          </wp:inline>
        </w:drawing>
      </w:r>
    </w:p>
    <w:p w14:paraId="33AAF63A" w14:textId="77777777" w:rsidR="0057555E" w:rsidRPr="001D443D" w:rsidRDefault="0057555E" w:rsidP="001D443D">
      <w:pPr>
        <w:pStyle w:val="FootnoteText"/>
      </w:pPr>
      <w:r w:rsidRPr="001D443D">
        <w:t xml:space="preserve">Note: </w:t>
      </w:r>
    </w:p>
    <w:p w14:paraId="555E8236" w14:textId="3479DD1A" w:rsidR="00AA78E8" w:rsidRPr="009A2544" w:rsidRDefault="0057555E" w:rsidP="001D443D">
      <w:pPr>
        <w:pStyle w:val="FootnoteText"/>
      </w:pPr>
      <w:r w:rsidRPr="001D443D">
        <w:t>1. Excludes cases whose sex, age, Indigenous status and/or residential postcode were not reported.</w:t>
      </w:r>
      <w:r w:rsidR="00AA78E8" w:rsidRPr="009A2544">
        <w:br w:type="page"/>
      </w:r>
    </w:p>
    <w:p w14:paraId="53304449" w14:textId="3E119784" w:rsidR="00F61525" w:rsidRPr="009A2544" w:rsidRDefault="0094155D" w:rsidP="00805A80">
      <w:pPr>
        <w:pStyle w:val="Tabletitle"/>
      </w:pPr>
      <w:bookmarkStart w:id="22" w:name="_Toc240364761"/>
      <w:r w:rsidRPr="009A2544">
        <w:lastRenderedPageBreak/>
        <w:t xml:space="preserve">Demographic summary of infectious syphilis notifications, 2020 </w:t>
      </w:r>
      <w:r w:rsidR="00EC0CF6" w:rsidRPr="009A2544">
        <w:t>to</w:t>
      </w:r>
      <w:r w:rsidRPr="009A2544">
        <w:t xml:space="preserve"> Q</w:t>
      </w:r>
      <w:r w:rsidR="002F78B6" w:rsidRPr="009A2544">
        <w:t>1</w:t>
      </w:r>
      <w:r w:rsidRPr="009A2544">
        <w:t xml:space="preserve"> 202</w:t>
      </w:r>
      <w:r w:rsidR="003C6204" w:rsidRPr="009A2544">
        <w:t>6</w:t>
      </w:r>
      <w:bookmarkEnd w:id="22"/>
    </w:p>
    <w:tbl>
      <w:tblPr>
        <w:tblStyle w:val="TableGrid"/>
        <w:tblW w:w="9923" w:type="dxa"/>
        <w:tblLayout w:type="fixed"/>
        <w:tblLook w:val="04A0" w:firstRow="1" w:lastRow="0" w:firstColumn="1" w:lastColumn="0" w:noHBand="0" w:noVBand="1"/>
      </w:tblPr>
      <w:tblGrid>
        <w:gridCol w:w="2268"/>
        <w:gridCol w:w="1271"/>
        <w:gridCol w:w="851"/>
        <w:gridCol w:w="850"/>
        <w:gridCol w:w="992"/>
        <w:gridCol w:w="993"/>
        <w:gridCol w:w="1134"/>
        <w:gridCol w:w="1564"/>
      </w:tblGrid>
      <w:tr w:rsidR="00805A80" w:rsidRPr="00805A80" w14:paraId="30F392B3" w14:textId="77777777" w:rsidTr="005F286B">
        <w:trPr>
          <w:trHeight w:val="1108"/>
          <w:tblHeader/>
        </w:trPr>
        <w:tc>
          <w:tcPr>
            <w:tcW w:w="2268" w:type="dxa"/>
            <w:shd w:val="clear" w:color="auto" w:fill="00DCA1"/>
          </w:tcPr>
          <w:p w14:paraId="19E73288" w14:textId="77777777" w:rsidR="00805A80" w:rsidRPr="00805A80" w:rsidRDefault="00805A80" w:rsidP="00C33651">
            <w:pPr>
              <w:pStyle w:val="Tableheadingcentred"/>
            </w:pPr>
            <w:r w:rsidRPr="00805A80">
              <w:t>Characteristics</w:t>
            </w:r>
          </w:p>
        </w:tc>
        <w:tc>
          <w:tcPr>
            <w:tcW w:w="1271" w:type="dxa"/>
            <w:shd w:val="clear" w:color="auto" w:fill="00DCA1"/>
          </w:tcPr>
          <w:p w14:paraId="558A5C7A" w14:textId="77777777" w:rsidR="00805A80" w:rsidRPr="00805A80" w:rsidRDefault="00805A80" w:rsidP="00C33651">
            <w:pPr>
              <w:pStyle w:val="Tableheadingcentred"/>
            </w:pPr>
            <w:r w:rsidRPr="00805A80">
              <w:t>2020</w:t>
            </w:r>
          </w:p>
        </w:tc>
        <w:tc>
          <w:tcPr>
            <w:tcW w:w="851" w:type="dxa"/>
            <w:shd w:val="clear" w:color="auto" w:fill="00DCA1"/>
          </w:tcPr>
          <w:p w14:paraId="380AA2B1" w14:textId="77777777" w:rsidR="00805A80" w:rsidRPr="00805A80" w:rsidRDefault="00805A80" w:rsidP="00C33651">
            <w:pPr>
              <w:pStyle w:val="Tableheadingcentred"/>
            </w:pPr>
            <w:r w:rsidRPr="00805A80">
              <w:t>2021</w:t>
            </w:r>
          </w:p>
        </w:tc>
        <w:tc>
          <w:tcPr>
            <w:tcW w:w="850" w:type="dxa"/>
            <w:shd w:val="clear" w:color="auto" w:fill="00DCA1"/>
          </w:tcPr>
          <w:p w14:paraId="0B102922" w14:textId="77777777" w:rsidR="00805A80" w:rsidRPr="00805A80" w:rsidRDefault="00805A80" w:rsidP="00C33651">
            <w:pPr>
              <w:pStyle w:val="Tableheadingcentred"/>
            </w:pPr>
            <w:r w:rsidRPr="00805A80">
              <w:t>2022</w:t>
            </w:r>
          </w:p>
        </w:tc>
        <w:tc>
          <w:tcPr>
            <w:tcW w:w="992" w:type="dxa"/>
            <w:shd w:val="clear" w:color="auto" w:fill="00DCA1"/>
          </w:tcPr>
          <w:p w14:paraId="0606C61C" w14:textId="77777777" w:rsidR="00805A80" w:rsidRPr="00805A80" w:rsidRDefault="00805A80" w:rsidP="00C33651">
            <w:pPr>
              <w:pStyle w:val="Tableheadingcentred"/>
            </w:pPr>
            <w:r w:rsidRPr="00805A80">
              <w:t>2023</w:t>
            </w:r>
          </w:p>
        </w:tc>
        <w:tc>
          <w:tcPr>
            <w:tcW w:w="993" w:type="dxa"/>
            <w:shd w:val="clear" w:color="auto" w:fill="00DCA1"/>
          </w:tcPr>
          <w:p w14:paraId="4CEAE1F5" w14:textId="77777777" w:rsidR="00805A80" w:rsidRPr="00805A80" w:rsidRDefault="00805A80" w:rsidP="00C33651">
            <w:pPr>
              <w:pStyle w:val="Tableheadingcentred"/>
            </w:pPr>
            <w:r w:rsidRPr="00805A80">
              <w:t>2024</w:t>
            </w:r>
          </w:p>
        </w:tc>
        <w:tc>
          <w:tcPr>
            <w:tcW w:w="1134" w:type="dxa"/>
            <w:shd w:val="clear" w:color="auto" w:fill="00DCA1"/>
          </w:tcPr>
          <w:p w14:paraId="25098542" w14:textId="77777777" w:rsidR="00805A80" w:rsidRPr="00733B0F" w:rsidRDefault="00805A80" w:rsidP="00C33651">
            <w:pPr>
              <w:pStyle w:val="Tableheadingcentred"/>
            </w:pPr>
            <w:r w:rsidRPr="00733B0F">
              <w:t>2025</w:t>
            </w:r>
          </w:p>
        </w:tc>
        <w:tc>
          <w:tcPr>
            <w:tcW w:w="1564" w:type="dxa"/>
            <w:shd w:val="clear" w:color="auto" w:fill="00DCA1"/>
          </w:tcPr>
          <w:p w14:paraId="794A012E" w14:textId="399DA1F5" w:rsidR="00805A80" w:rsidRPr="00805A80" w:rsidRDefault="00805A80" w:rsidP="00991310">
            <w:pPr>
              <w:pStyle w:val="Tableheadingcentred"/>
            </w:pPr>
            <w:r w:rsidRPr="00733B0F">
              <w:t>2026</w:t>
            </w:r>
            <w:r w:rsidR="00991310">
              <w:t xml:space="preserve"> </w:t>
            </w:r>
            <w:r w:rsidRPr="00805A80">
              <w:t>Q1</w:t>
            </w:r>
          </w:p>
        </w:tc>
      </w:tr>
      <w:tr w:rsidR="00F649F7" w:rsidRPr="00805A80" w14:paraId="7930FEAC" w14:textId="77777777" w:rsidTr="00805A80">
        <w:trPr>
          <w:trHeight w:val="20"/>
        </w:trPr>
        <w:tc>
          <w:tcPr>
            <w:tcW w:w="2268" w:type="dxa"/>
          </w:tcPr>
          <w:p w14:paraId="150270DD" w14:textId="3D607FC2" w:rsidR="00F649F7" w:rsidRPr="00993F2A" w:rsidRDefault="00F649F7" w:rsidP="00993F2A">
            <w:pPr>
              <w:pStyle w:val="Tabletextleft"/>
              <w:rPr>
                <w:rStyle w:val="Strong"/>
              </w:rPr>
            </w:pPr>
            <w:r w:rsidRPr="00993F2A">
              <w:rPr>
                <w:rStyle w:val="Strong"/>
              </w:rPr>
              <w:t>Total</w:t>
            </w:r>
          </w:p>
        </w:tc>
        <w:tc>
          <w:tcPr>
            <w:tcW w:w="1271" w:type="dxa"/>
          </w:tcPr>
          <w:p w14:paraId="19B0940C" w14:textId="57EE213F" w:rsidR="00F649F7" w:rsidRPr="00805A80" w:rsidRDefault="00F649F7" w:rsidP="00694CD0">
            <w:pPr>
              <w:pStyle w:val="Tableheadingcentred"/>
            </w:pPr>
            <w:r w:rsidRPr="00805A80">
              <w:t>5,36</w:t>
            </w:r>
            <w:r w:rsidR="006B2061" w:rsidRPr="00805A80">
              <w:t>3</w:t>
            </w:r>
          </w:p>
        </w:tc>
        <w:tc>
          <w:tcPr>
            <w:tcW w:w="851" w:type="dxa"/>
          </w:tcPr>
          <w:p w14:paraId="262C47F5" w14:textId="3A5B87AE" w:rsidR="00F649F7" w:rsidRPr="00805A80" w:rsidRDefault="00F649F7" w:rsidP="00694CD0">
            <w:pPr>
              <w:pStyle w:val="Tableheadingcentred"/>
            </w:pPr>
            <w:r w:rsidRPr="00805A80">
              <w:t>5,76</w:t>
            </w:r>
            <w:r w:rsidR="006B2061" w:rsidRPr="00805A80">
              <w:t>1</w:t>
            </w:r>
          </w:p>
        </w:tc>
        <w:tc>
          <w:tcPr>
            <w:tcW w:w="850" w:type="dxa"/>
          </w:tcPr>
          <w:p w14:paraId="0BD1534E" w14:textId="0DFD93BA" w:rsidR="00F649F7" w:rsidRPr="00805A80" w:rsidRDefault="00F649F7" w:rsidP="00694CD0">
            <w:pPr>
              <w:pStyle w:val="Tableheadingcentred"/>
            </w:pPr>
            <w:r w:rsidRPr="00805A80">
              <w:t>6,18</w:t>
            </w:r>
            <w:r w:rsidR="00D313DA" w:rsidRPr="00805A80">
              <w:t>2</w:t>
            </w:r>
          </w:p>
        </w:tc>
        <w:tc>
          <w:tcPr>
            <w:tcW w:w="992" w:type="dxa"/>
          </w:tcPr>
          <w:p w14:paraId="78758DE1" w14:textId="5B2F67B2" w:rsidR="00F649F7" w:rsidRPr="00805A80" w:rsidRDefault="00F649F7" w:rsidP="00694CD0">
            <w:pPr>
              <w:pStyle w:val="Tableheadingcentred"/>
            </w:pPr>
            <w:r w:rsidRPr="00805A80">
              <w:t>6,56</w:t>
            </w:r>
            <w:r w:rsidR="00D313DA" w:rsidRPr="00805A80">
              <w:t>4</w:t>
            </w:r>
          </w:p>
        </w:tc>
        <w:tc>
          <w:tcPr>
            <w:tcW w:w="993" w:type="dxa"/>
          </w:tcPr>
          <w:p w14:paraId="50D0F9EE" w14:textId="19DB58E6" w:rsidR="00F649F7" w:rsidRPr="00805A80" w:rsidRDefault="00F649F7" w:rsidP="00694CD0">
            <w:pPr>
              <w:pStyle w:val="Tableheadingcentred"/>
            </w:pPr>
            <w:r w:rsidRPr="00805A80">
              <w:t>5,977</w:t>
            </w:r>
          </w:p>
        </w:tc>
        <w:tc>
          <w:tcPr>
            <w:tcW w:w="1134" w:type="dxa"/>
          </w:tcPr>
          <w:p w14:paraId="7C110FC6" w14:textId="3EF4A755" w:rsidR="00F649F7" w:rsidRPr="00805A80" w:rsidRDefault="00D313DA" w:rsidP="00694CD0">
            <w:pPr>
              <w:pStyle w:val="Tableheadingcentred"/>
            </w:pPr>
            <w:r w:rsidRPr="00805A80">
              <w:t>6,071</w:t>
            </w:r>
          </w:p>
        </w:tc>
        <w:tc>
          <w:tcPr>
            <w:tcW w:w="1564" w:type="dxa"/>
          </w:tcPr>
          <w:p w14:paraId="359729D9" w14:textId="191BCF03" w:rsidR="00F649F7" w:rsidRPr="00805A80" w:rsidRDefault="00D313DA" w:rsidP="00694CD0">
            <w:pPr>
              <w:pStyle w:val="Tableheadingcentred"/>
            </w:pPr>
            <w:r w:rsidRPr="00805A80">
              <w:t>1,472</w:t>
            </w:r>
          </w:p>
        </w:tc>
      </w:tr>
      <w:tr w:rsidR="00805A80" w:rsidRPr="00805A80" w14:paraId="280820FB" w14:textId="77777777" w:rsidTr="00805A80">
        <w:trPr>
          <w:trHeight w:val="20"/>
        </w:trPr>
        <w:tc>
          <w:tcPr>
            <w:tcW w:w="9923" w:type="dxa"/>
            <w:gridSpan w:val="8"/>
            <w:shd w:val="clear" w:color="auto" w:fill="00DCA1"/>
          </w:tcPr>
          <w:p w14:paraId="35B21C21" w14:textId="71320B67" w:rsidR="00805A80" w:rsidRPr="00733B0F" w:rsidRDefault="00805A80" w:rsidP="00993F2A">
            <w:pPr>
              <w:pStyle w:val="Tableheadingcentred"/>
            </w:pPr>
            <w:r w:rsidRPr="00733B0F">
              <w:t>Sex</w:t>
            </w:r>
          </w:p>
        </w:tc>
      </w:tr>
      <w:tr w:rsidR="00F649F7" w:rsidRPr="00805A80" w14:paraId="622A175D" w14:textId="77777777" w:rsidTr="00805A80">
        <w:trPr>
          <w:trHeight w:val="20"/>
        </w:trPr>
        <w:tc>
          <w:tcPr>
            <w:tcW w:w="2268" w:type="dxa"/>
          </w:tcPr>
          <w:p w14:paraId="3CCADAA8" w14:textId="15383F44" w:rsidR="00F649F7" w:rsidRPr="00694CD0" w:rsidRDefault="00F649F7" w:rsidP="00694CD0">
            <w:pPr>
              <w:pStyle w:val="Tabletextindented"/>
            </w:pPr>
            <w:r w:rsidRPr="00694CD0">
              <w:t>Female</w:t>
            </w:r>
          </w:p>
        </w:tc>
        <w:tc>
          <w:tcPr>
            <w:tcW w:w="1271" w:type="dxa"/>
          </w:tcPr>
          <w:p w14:paraId="4D3335A6" w14:textId="635C1FAB" w:rsidR="00F649F7" w:rsidRPr="00991310" w:rsidRDefault="00F649F7" w:rsidP="00991310">
            <w:pPr>
              <w:pStyle w:val="Tabletextcentred"/>
            </w:pPr>
            <w:r w:rsidRPr="00991310">
              <w:t>95</w:t>
            </w:r>
            <w:r w:rsidR="007636F5" w:rsidRPr="00991310">
              <w:t>7</w:t>
            </w:r>
          </w:p>
        </w:tc>
        <w:tc>
          <w:tcPr>
            <w:tcW w:w="851" w:type="dxa"/>
          </w:tcPr>
          <w:p w14:paraId="409DFA3F" w14:textId="5028D5F5" w:rsidR="00F649F7" w:rsidRPr="00991310" w:rsidRDefault="00F649F7" w:rsidP="00991310">
            <w:pPr>
              <w:pStyle w:val="Tabletextcentred"/>
            </w:pPr>
            <w:r w:rsidRPr="00991310">
              <w:t>1,0</w:t>
            </w:r>
            <w:r w:rsidR="00BD1DA3" w:rsidRPr="00991310">
              <w:t>38</w:t>
            </w:r>
          </w:p>
        </w:tc>
        <w:tc>
          <w:tcPr>
            <w:tcW w:w="850" w:type="dxa"/>
          </w:tcPr>
          <w:p w14:paraId="07960DAB" w14:textId="4C6EF114" w:rsidR="00F649F7" w:rsidRPr="00991310" w:rsidRDefault="00F649F7" w:rsidP="00991310">
            <w:pPr>
              <w:pStyle w:val="Tabletextcentred"/>
            </w:pPr>
            <w:r w:rsidRPr="00991310">
              <w:t>1,084</w:t>
            </w:r>
          </w:p>
        </w:tc>
        <w:tc>
          <w:tcPr>
            <w:tcW w:w="992" w:type="dxa"/>
          </w:tcPr>
          <w:p w14:paraId="2297173D" w14:textId="4510390D" w:rsidR="00F649F7" w:rsidRPr="00991310" w:rsidRDefault="00F649F7" w:rsidP="00991310">
            <w:pPr>
              <w:pStyle w:val="Tabletextcentred"/>
            </w:pPr>
            <w:r w:rsidRPr="00991310">
              <w:t>1,33</w:t>
            </w:r>
            <w:r w:rsidR="00E70A1B" w:rsidRPr="00991310">
              <w:t>6</w:t>
            </w:r>
          </w:p>
        </w:tc>
        <w:tc>
          <w:tcPr>
            <w:tcW w:w="993" w:type="dxa"/>
          </w:tcPr>
          <w:p w14:paraId="196348E4" w14:textId="5D820EA6" w:rsidR="00F649F7" w:rsidRPr="00991310" w:rsidRDefault="00F649F7" w:rsidP="00991310">
            <w:pPr>
              <w:pStyle w:val="Tabletextcentred"/>
            </w:pPr>
            <w:r w:rsidRPr="00991310">
              <w:t>1,21</w:t>
            </w:r>
            <w:r w:rsidR="00C060E0" w:rsidRPr="00991310">
              <w:t>3</w:t>
            </w:r>
          </w:p>
        </w:tc>
        <w:tc>
          <w:tcPr>
            <w:tcW w:w="1134" w:type="dxa"/>
          </w:tcPr>
          <w:p w14:paraId="10F0227B" w14:textId="4E4B496D" w:rsidR="00F649F7" w:rsidRPr="00991310" w:rsidRDefault="00DE2FEA" w:rsidP="00991310">
            <w:pPr>
              <w:pStyle w:val="Tabletextcentred"/>
            </w:pPr>
            <w:r w:rsidRPr="00991310">
              <w:t>1,299</w:t>
            </w:r>
          </w:p>
        </w:tc>
        <w:tc>
          <w:tcPr>
            <w:tcW w:w="1564" w:type="dxa"/>
          </w:tcPr>
          <w:p w14:paraId="67677F61" w14:textId="0EEE2838" w:rsidR="00F649F7" w:rsidRPr="00991310" w:rsidRDefault="00F649F7" w:rsidP="00991310">
            <w:pPr>
              <w:pStyle w:val="Tabletextcentred"/>
            </w:pPr>
            <w:r w:rsidRPr="00991310">
              <w:t>3</w:t>
            </w:r>
            <w:r w:rsidR="00590CC6" w:rsidRPr="00991310">
              <w:t>27</w:t>
            </w:r>
          </w:p>
        </w:tc>
      </w:tr>
      <w:tr w:rsidR="00F649F7" w:rsidRPr="00805A80" w14:paraId="15BF6BF4" w14:textId="77777777" w:rsidTr="00805A80">
        <w:trPr>
          <w:trHeight w:val="20"/>
        </w:trPr>
        <w:tc>
          <w:tcPr>
            <w:tcW w:w="2268" w:type="dxa"/>
          </w:tcPr>
          <w:p w14:paraId="40DF5616" w14:textId="244DE875" w:rsidR="00F649F7" w:rsidRPr="00694CD0" w:rsidRDefault="00F649F7" w:rsidP="00694CD0">
            <w:pPr>
              <w:pStyle w:val="Tabletextindented"/>
            </w:pPr>
            <w:r w:rsidRPr="00694CD0">
              <w:t>Male</w:t>
            </w:r>
          </w:p>
        </w:tc>
        <w:tc>
          <w:tcPr>
            <w:tcW w:w="1271" w:type="dxa"/>
          </w:tcPr>
          <w:p w14:paraId="52F66BC6" w14:textId="0DFF5565" w:rsidR="00F649F7" w:rsidRPr="00991310" w:rsidRDefault="00F649F7" w:rsidP="00991310">
            <w:pPr>
              <w:pStyle w:val="Tabletextcentred"/>
            </w:pPr>
            <w:r w:rsidRPr="00991310">
              <w:t>4,38</w:t>
            </w:r>
            <w:r w:rsidR="00BD1DA3" w:rsidRPr="00991310">
              <w:t>9</w:t>
            </w:r>
          </w:p>
        </w:tc>
        <w:tc>
          <w:tcPr>
            <w:tcW w:w="851" w:type="dxa"/>
          </w:tcPr>
          <w:p w14:paraId="52916657" w14:textId="244804A4" w:rsidR="00F649F7" w:rsidRPr="00991310" w:rsidRDefault="00F649F7" w:rsidP="00991310">
            <w:pPr>
              <w:pStyle w:val="Tabletextcentred"/>
            </w:pPr>
            <w:r w:rsidRPr="00991310">
              <w:t>4,706</w:t>
            </w:r>
          </w:p>
        </w:tc>
        <w:tc>
          <w:tcPr>
            <w:tcW w:w="850" w:type="dxa"/>
          </w:tcPr>
          <w:p w14:paraId="2F100886" w14:textId="46A6A114" w:rsidR="00F649F7" w:rsidRPr="00991310" w:rsidRDefault="00F649F7" w:rsidP="00991310">
            <w:pPr>
              <w:pStyle w:val="Tabletextcentred"/>
            </w:pPr>
            <w:r w:rsidRPr="00991310">
              <w:t>5,072</w:t>
            </w:r>
          </w:p>
        </w:tc>
        <w:tc>
          <w:tcPr>
            <w:tcW w:w="992" w:type="dxa"/>
          </w:tcPr>
          <w:p w14:paraId="1523CC42" w14:textId="36978921" w:rsidR="00F649F7" w:rsidRPr="00991310" w:rsidRDefault="00F649F7" w:rsidP="00991310">
            <w:pPr>
              <w:pStyle w:val="Tabletextcentred"/>
            </w:pPr>
            <w:r w:rsidRPr="00991310">
              <w:t>5,2</w:t>
            </w:r>
            <w:r w:rsidR="00E70A1B" w:rsidRPr="00991310">
              <w:t>17</w:t>
            </w:r>
          </w:p>
        </w:tc>
        <w:tc>
          <w:tcPr>
            <w:tcW w:w="993" w:type="dxa"/>
          </w:tcPr>
          <w:p w14:paraId="195FAFB5" w14:textId="777BF792" w:rsidR="00F649F7" w:rsidRPr="00991310" w:rsidRDefault="00F649F7" w:rsidP="00991310">
            <w:pPr>
              <w:pStyle w:val="Tabletextcentred"/>
            </w:pPr>
            <w:r w:rsidRPr="00991310">
              <w:t>4,75</w:t>
            </w:r>
            <w:r w:rsidR="00C060E0" w:rsidRPr="00991310">
              <w:t>3</w:t>
            </w:r>
          </w:p>
        </w:tc>
        <w:tc>
          <w:tcPr>
            <w:tcW w:w="1134" w:type="dxa"/>
          </w:tcPr>
          <w:p w14:paraId="06E48148" w14:textId="2E04CE82" w:rsidR="00F649F7" w:rsidRPr="00991310" w:rsidRDefault="00DE2FEA" w:rsidP="00991310">
            <w:pPr>
              <w:pStyle w:val="Tabletextcentred"/>
            </w:pPr>
            <w:r w:rsidRPr="00991310">
              <w:t>4,759</w:t>
            </w:r>
          </w:p>
        </w:tc>
        <w:tc>
          <w:tcPr>
            <w:tcW w:w="1564" w:type="dxa"/>
          </w:tcPr>
          <w:p w14:paraId="0740686C" w14:textId="73FBF43D" w:rsidR="00F649F7" w:rsidRPr="00991310" w:rsidRDefault="00F649F7" w:rsidP="00991310">
            <w:pPr>
              <w:pStyle w:val="Tabletextcentred"/>
            </w:pPr>
            <w:r w:rsidRPr="00991310">
              <w:t>1,</w:t>
            </w:r>
            <w:r w:rsidR="00590CC6" w:rsidRPr="00991310">
              <w:t>145</w:t>
            </w:r>
          </w:p>
        </w:tc>
      </w:tr>
      <w:tr w:rsidR="00F649F7" w:rsidRPr="00805A80" w14:paraId="370B7591" w14:textId="77777777" w:rsidTr="00805A80">
        <w:trPr>
          <w:trHeight w:val="20"/>
        </w:trPr>
        <w:tc>
          <w:tcPr>
            <w:tcW w:w="2268" w:type="dxa"/>
          </w:tcPr>
          <w:p w14:paraId="6B9D3612" w14:textId="1B99CD81" w:rsidR="00F649F7" w:rsidRPr="00694CD0" w:rsidRDefault="00F649F7" w:rsidP="00694CD0">
            <w:pPr>
              <w:pStyle w:val="Tabletextindented"/>
            </w:pPr>
            <w:r w:rsidRPr="00694CD0">
              <w:t>Other1</w:t>
            </w:r>
          </w:p>
        </w:tc>
        <w:tc>
          <w:tcPr>
            <w:tcW w:w="1271" w:type="dxa"/>
          </w:tcPr>
          <w:p w14:paraId="093046DB" w14:textId="021D280E" w:rsidR="00F649F7" w:rsidRPr="00991310" w:rsidRDefault="00BD1DA3" w:rsidP="00991310">
            <w:pPr>
              <w:pStyle w:val="Tabletextcentred"/>
            </w:pPr>
            <w:r w:rsidRPr="00991310">
              <w:t>2</w:t>
            </w:r>
          </w:p>
        </w:tc>
        <w:tc>
          <w:tcPr>
            <w:tcW w:w="851" w:type="dxa"/>
          </w:tcPr>
          <w:p w14:paraId="1C1AEBD8" w14:textId="5509DF22" w:rsidR="00F649F7" w:rsidRPr="00991310" w:rsidRDefault="00F649F7" w:rsidP="00991310">
            <w:pPr>
              <w:pStyle w:val="Tabletextcentred"/>
            </w:pPr>
            <w:r w:rsidRPr="00991310">
              <w:t>6</w:t>
            </w:r>
          </w:p>
        </w:tc>
        <w:tc>
          <w:tcPr>
            <w:tcW w:w="850" w:type="dxa"/>
          </w:tcPr>
          <w:p w14:paraId="4FD67E5B" w14:textId="35DD5B84" w:rsidR="00F649F7" w:rsidRPr="00991310" w:rsidRDefault="00F649F7" w:rsidP="00991310">
            <w:pPr>
              <w:pStyle w:val="Tabletextcentred"/>
            </w:pPr>
            <w:r w:rsidRPr="00991310">
              <w:t>8</w:t>
            </w:r>
          </w:p>
        </w:tc>
        <w:tc>
          <w:tcPr>
            <w:tcW w:w="992" w:type="dxa"/>
          </w:tcPr>
          <w:p w14:paraId="72BA4E6F" w14:textId="43060200" w:rsidR="00F649F7" w:rsidRPr="00991310" w:rsidRDefault="00C060E0" w:rsidP="00991310">
            <w:pPr>
              <w:pStyle w:val="Tabletextcentred"/>
            </w:pPr>
            <w:r w:rsidRPr="00991310">
              <w:t>4</w:t>
            </w:r>
          </w:p>
        </w:tc>
        <w:tc>
          <w:tcPr>
            <w:tcW w:w="993" w:type="dxa"/>
          </w:tcPr>
          <w:p w14:paraId="705FEF4F" w14:textId="6A57485F" w:rsidR="00F649F7" w:rsidRPr="00991310" w:rsidRDefault="00F649F7" w:rsidP="00991310">
            <w:pPr>
              <w:pStyle w:val="Tabletextcentred"/>
            </w:pPr>
            <w:r w:rsidRPr="00991310">
              <w:t>1</w:t>
            </w:r>
          </w:p>
        </w:tc>
        <w:tc>
          <w:tcPr>
            <w:tcW w:w="1134" w:type="dxa"/>
          </w:tcPr>
          <w:p w14:paraId="2B6C94A0" w14:textId="7E096711" w:rsidR="00F649F7" w:rsidRPr="00991310" w:rsidRDefault="00F649F7" w:rsidP="00991310">
            <w:pPr>
              <w:pStyle w:val="Tabletextcentred"/>
            </w:pPr>
            <w:r w:rsidRPr="00991310">
              <w:t>0</w:t>
            </w:r>
          </w:p>
        </w:tc>
        <w:tc>
          <w:tcPr>
            <w:tcW w:w="1564" w:type="dxa"/>
          </w:tcPr>
          <w:p w14:paraId="7F8E7964" w14:textId="49C3F9A0" w:rsidR="00F649F7" w:rsidRPr="00991310" w:rsidRDefault="00F649F7" w:rsidP="00991310">
            <w:pPr>
              <w:pStyle w:val="Tabletextcentred"/>
            </w:pPr>
            <w:r w:rsidRPr="00991310">
              <w:t>0</w:t>
            </w:r>
          </w:p>
        </w:tc>
      </w:tr>
      <w:tr w:rsidR="00F649F7" w:rsidRPr="00805A80" w14:paraId="01195CAD" w14:textId="77777777" w:rsidTr="00805A80">
        <w:trPr>
          <w:trHeight w:val="20"/>
        </w:trPr>
        <w:tc>
          <w:tcPr>
            <w:tcW w:w="2268" w:type="dxa"/>
          </w:tcPr>
          <w:p w14:paraId="4DAA1870" w14:textId="654C1908" w:rsidR="00F649F7" w:rsidRPr="00694CD0" w:rsidRDefault="00F649F7" w:rsidP="00694CD0">
            <w:pPr>
              <w:pStyle w:val="Tabletextindented"/>
            </w:pPr>
            <w:r w:rsidRPr="00694CD0">
              <w:t>Not reported</w:t>
            </w:r>
          </w:p>
        </w:tc>
        <w:tc>
          <w:tcPr>
            <w:tcW w:w="1271" w:type="dxa"/>
          </w:tcPr>
          <w:p w14:paraId="11785596" w14:textId="26684A52" w:rsidR="00F649F7" w:rsidRPr="00991310" w:rsidRDefault="00F649F7" w:rsidP="00991310">
            <w:pPr>
              <w:pStyle w:val="Tabletextcentred"/>
            </w:pPr>
            <w:r w:rsidRPr="00991310">
              <w:t>1</w:t>
            </w:r>
            <w:r w:rsidR="00BD1DA3" w:rsidRPr="00991310">
              <w:t>5</w:t>
            </w:r>
          </w:p>
        </w:tc>
        <w:tc>
          <w:tcPr>
            <w:tcW w:w="851" w:type="dxa"/>
          </w:tcPr>
          <w:p w14:paraId="50780740" w14:textId="56B0EAB8" w:rsidR="00F649F7" w:rsidRPr="00991310" w:rsidRDefault="00F649F7" w:rsidP="00991310">
            <w:pPr>
              <w:pStyle w:val="Tabletextcentred"/>
            </w:pPr>
            <w:r w:rsidRPr="00991310">
              <w:t>1</w:t>
            </w:r>
            <w:r w:rsidR="00BD1DA3" w:rsidRPr="00991310">
              <w:t>1</w:t>
            </w:r>
          </w:p>
        </w:tc>
        <w:tc>
          <w:tcPr>
            <w:tcW w:w="850" w:type="dxa"/>
          </w:tcPr>
          <w:p w14:paraId="27BAFF17" w14:textId="338908CC" w:rsidR="00F649F7" w:rsidRPr="00991310" w:rsidRDefault="00BD1DA3" w:rsidP="00991310">
            <w:pPr>
              <w:pStyle w:val="Tabletextcentred"/>
            </w:pPr>
            <w:r w:rsidRPr="00991310">
              <w:t>18</w:t>
            </w:r>
          </w:p>
        </w:tc>
        <w:tc>
          <w:tcPr>
            <w:tcW w:w="992" w:type="dxa"/>
          </w:tcPr>
          <w:p w14:paraId="4BD8CADB" w14:textId="62064A62" w:rsidR="00F649F7" w:rsidRPr="00991310" w:rsidRDefault="00C060E0" w:rsidP="00991310">
            <w:pPr>
              <w:pStyle w:val="Tabletextcentred"/>
            </w:pPr>
            <w:r w:rsidRPr="00991310">
              <w:t>7</w:t>
            </w:r>
          </w:p>
        </w:tc>
        <w:tc>
          <w:tcPr>
            <w:tcW w:w="993" w:type="dxa"/>
          </w:tcPr>
          <w:p w14:paraId="56EB018F" w14:textId="16F44A8B" w:rsidR="00F649F7" w:rsidRPr="00991310" w:rsidRDefault="00C060E0" w:rsidP="00991310">
            <w:pPr>
              <w:pStyle w:val="Tabletextcentred"/>
            </w:pPr>
            <w:r w:rsidRPr="00991310">
              <w:t>10</w:t>
            </w:r>
          </w:p>
        </w:tc>
        <w:tc>
          <w:tcPr>
            <w:tcW w:w="1134" w:type="dxa"/>
          </w:tcPr>
          <w:p w14:paraId="10A7A82A" w14:textId="709758D9" w:rsidR="00F649F7" w:rsidRPr="00991310" w:rsidRDefault="00DE2FEA" w:rsidP="00991310">
            <w:pPr>
              <w:pStyle w:val="Tabletextcentred"/>
            </w:pPr>
            <w:r w:rsidRPr="00991310">
              <w:t>13</w:t>
            </w:r>
          </w:p>
        </w:tc>
        <w:tc>
          <w:tcPr>
            <w:tcW w:w="1564" w:type="dxa"/>
          </w:tcPr>
          <w:p w14:paraId="0AEB053D" w14:textId="4F1B8696" w:rsidR="00F649F7" w:rsidRPr="00991310" w:rsidRDefault="00F649F7" w:rsidP="00991310">
            <w:pPr>
              <w:pStyle w:val="Tabletextcentred"/>
            </w:pPr>
            <w:r w:rsidRPr="00991310">
              <w:t>3</w:t>
            </w:r>
          </w:p>
        </w:tc>
      </w:tr>
      <w:tr w:rsidR="00805A80" w:rsidRPr="00805A80" w14:paraId="75509676" w14:textId="77777777" w:rsidTr="007B1C73">
        <w:trPr>
          <w:trHeight w:val="20"/>
        </w:trPr>
        <w:tc>
          <w:tcPr>
            <w:tcW w:w="9923" w:type="dxa"/>
            <w:gridSpan w:val="8"/>
            <w:shd w:val="clear" w:color="auto" w:fill="00DCA1"/>
          </w:tcPr>
          <w:p w14:paraId="333F8686" w14:textId="1E2FDE80" w:rsidR="00805A80" w:rsidRPr="00733B0F" w:rsidRDefault="00805A80" w:rsidP="00733B0F">
            <w:pPr>
              <w:pStyle w:val="Tableheadingcentred"/>
            </w:pPr>
            <w:r w:rsidRPr="00733B0F">
              <w:t>Age group (years)</w:t>
            </w:r>
          </w:p>
        </w:tc>
      </w:tr>
      <w:tr w:rsidR="00F649F7" w:rsidRPr="00805A80" w14:paraId="279FE0C2" w14:textId="77777777" w:rsidTr="00805A80">
        <w:trPr>
          <w:trHeight w:val="20"/>
        </w:trPr>
        <w:tc>
          <w:tcPr>
            <w:tcW w:w="2268" w:type="dxa"/>
          </w:tcPr>
          <w:p w14:paraId="3C56635B" w14:textId="5B3ED02F" w:rsidR="00F649F7" w:rsidRPr="00694CD0" w:rsidRDefault="00F649F7" w:rsidP="00694CD0">
            <w:pPr>
              <w:pStyle w:val="Tabletextindented"/>
            </w:pPr>
            <w:r w:rsidRPr="00694CD0">
              <w:t>15–24</w:t>
            </w:r>
          </w:p>
        </w:tc>
        <w:tc>
          <w:tcPr>
            <w:tcW w:w="1271" w:type="dxa"/>
          </w:tcPr>
          <w:p w14:paraId="592E7EC3" w14:textId="0ADB8488" w:rsidR="00F649F7" w:rsidRPr="00805A80" w:rsidRDefault="00F649F7" w:rsidP="00694CD0">
            <w:pPr>
              <w:pStyle w:val="Tabletextcentred"/>
            </w:pPr>
            <w:r w:rsidRPr="00805A80">
              <w:t>88</w:t>
            </w:r>
            <w:r w:rsidR="006D4AAA" w:rsidRPr="00805A80">
              <w:t>3</w:t>
            </w:r>
          </w:p>
        </w:tc>
        <w:tc>
          <w:tcPr>
            <w:tcW w:w="851" w:type="dxa"/>
          </w:tcPr>
          <w:p w14:paraId="67C1DD79" w14:textId="7155BF24" w:rsidR="00F649F7" w:rsidRPr="00805A80" w:rsidRDefault="00F649F7" w:rsidP="00694CD0">
            <w:pPr>
              <w:pStyle w:val="Tabletextcentred"/>
            </w:pPr>
            <w:r w:rsidRPr="00805A80">
              <w:t>84</w:t>
            </w:r>
            <w:r w:rsidR="006D4AAA" w:rsidRPr="00805A80">
              <w:t>1</w:t>
            </w:r>
          </w:p>
        </w:tc>
        <w:tc>
          <w:tcPr>
            <w:tcW w:w="850" w:type="dxa"/>
          </w:tcPr>
          <w:p w14:paraId="135A549C" w14:textId="7F0FD36D" w:rsidR="00F649F7" w:rsidRPr="00805A80" w:rsidRDefault="00F649F7" w:rsidP="00694CD0">
            <w:pPr>
              <w:pStyle w:val="Tabletextcentred"/>
            </w:pPr>
            <w:r w:rsidRPr="00805A80">
              <w:t>843</w:t>
            </w:r>
          </w:p>
        </w:tc>
        <w:tc>
          <w:tcPr>
            <w:tcW w:w="992" w:type="dxa"/>
          </w:tcPr>
          <w:p w14:paraId="0B6C9C7F" w14:textId="39D94C1B" w:rsidR="00F649F7" w:rsidRPr="00805A80" w:rsidRDefault="006D4AAA" w:rsidP="00694CD0">
            <w:pPr>
              <w:pStyle w:val="Tabletextcentred"/>
            </w:pPr>
            <w:r w:rsidRPr="00805A80">
              <w:t>925</w:t>
            </w:r>
          </w:p>
        </w:tc>
        <w:tc>
          <w:tcPr>
            <w:tcW w:w="993" w:type="dxa"/>
          </w:tcPr>
          <w:p w14:paraId="60BC73F9" w14:textId="41FA93A1" w:rsidR="00F649F7" w:rsidRPr="00805A80" w:rsidRDefault="000E7935" w:rsidP="00694CD0">
            <w:pPr>
              <w:pStyle w:val="Tabletextcentred"/>
            </w:pPr>
            <w:r w:rsidRPr="00805A80">
              <w:t>769</w:t>
            </w:r>
          </w:p>
        </w:tc>
        <w:tc>
          <w:tcPr>
            <w:tcW w:w="1134" w:type="dxa"/>
          </w:tcPr>
          <w:p w14:paraId="38BA0E5E" w14:textId="1CDAB3AF" w:rsidR="00F649F7" w:rsidRPr="00805A80" w:rsidRDefault="000E7935" w:rsidP="00694CD0">
            <w:pPr>
              <w:pStyle w:val="Tabletextcentred"/>
            </w:pPr>
            <w:r w:rsidRPr="00805A80">
              <w:t>714</w:t>
            </w:r>
          </w:p>
        </w:tc>
        <w:tc>
          <w:tcPr>
            <w:tcW w:w="1564" w:type="dxa"/>
          </w:tcPr>
          <w:p w14:paraId="54C6101A" w14:textId="0866FB6F" w:rsidR="00F649F7" w:rsidRPr="00805A80" w:rsidRDefault="00F649F7" w:rsidP="00694CD0">
            <w:pPr>
              <w:pStyle w:val="Tabletextcentred"/>
            </w:pPr>
            <w:r w:rsidRPr="00805A80">
              <w:t>1</w:t>
            </w:r>
            <w:r w:rsidR="00CB60AE" w:rsidRPr="00805A80">
              <w:t>97</w:t>
            </w:r>
          </w:p>
        </w:tc>
      </w:tr>
      <w:tr w:rsidR="00F649F7" w:rsidRPr="00805A80" w14:paraId="1DB8D09F" w14:textId="77777777" w:rsidTr="00805A80">
        <w:trPr>
          <w:trHeight w:val="20"/>
        </w:trPr>
        <w:tc>
          <w:tcPr>
            <w:tcW w:w="2268" w:type="dxa"/>
          </w:tcPr>
          <w:p w14:paraId="3B7E4CEA" w14:textId="0B0CD227" w:rsidR="00F649F7" w:rsidRPr="00694CD0" w:rsidRDefault="00F649F7" w:rsidP="00694CD0">
            <w:pPr>
              <w:pStyle w:val="Tabletextindented"/>
            </w:pPr>
            <w:r w:rsidRPr="00694CD0">
              <w:t>25–34</w:t>
            </w:r>
          </w:p>
        </w:tc>
        <w:tc>
          <w:tcPr>
            <w:tcW w:w="1271" w:type="dxa"/>
          </w:tcPr>
          <w:p w14:paraId="7759900F" w14:textId="69D6ED0C" w:rsidR="00F649F7" w:rsidRPr="00805A80" w:rsidRDefault="00F649F7" w:rsidP="00694CD0">
            <w:pPr>
              <w:pStyle w:val="Tabletextcentred"/>
            </w:pPr>
            <w:r w:rsidRPr="00805A80">
              <w:t>1,90</w:t>
            </w:r>
            <w:r w:rsidR="000E7935" w:rsidRPr="00805A80">
              <w:t>7</w:t>
            </w:r>
          </w:p>
        </w:tc>
        <w:tc>
          <w:tcPr>
            <w:tcW w:w="851" w:type="dxa"/>
          </w:tcPr>
          <w:p w14:paraId="41F89499" w14:textId="3AAEE08E" w:rsidR="00F649F7" w:rsidRPr="00805A80" w:rsidRDefault="00F649F7" w:rsidP="00694CD0">
            <w:pPr>
              <w:pStyle w:val="Tabletextcentred"/>
            </w:pPr>
            <w:r w:rsidRPr="00805A80">
              <w:t>2,14</w:t>
            </w:r>
            <w:r w:rsidR="000E7935" w:rsidRPr="00805A80">
              <w:t>3</w:t>
            </w:r>
          </w:p>
        </w:tc>
        <w:tc>
          <w:tcPr>
            <w:tcW w:w="850" w:type="dxa"/>
          </w:tcPr>
          <w:p w14:paraId="786982E0" w14:textId="55BB0868" w:rsidR="00F649F7" w:rsidRPr="00805A80" w:rsidRDefault="00F649F7" w:rsidP="00694CD0">
            <w:pPr>
              <w:pStyle w:val="Tabletextcentred"/>
            </w:pPr>
            <w:r w:rsidRPr="00805A80">
              <w:t>2,27</w:t>
            </w:r>
            <w:r w:rsidR="000E7935" w:rsidRPr="00805A80">
              <w:t>8</w:t>
            </w:r>
          </w:p>
        </w:tc>
        <w:tc>
          <w:tcPr>
            <w:tcW w:w="992" w:type="dxa"/>
          </w:tcPr>
          <w:p w14:paraId="02CECEA7" w14:textId="15E28CE8" w:rsidR="00F649F7" w:rsidRPr="00805A80" w:rsidRDefault="00F649F7" w:rsidP="00694CD0">
            <w:pPr>
              <w:pStyle w:val="Tabletextcentred"/>
            </w:pPr>
            <w:r w:rsidRPr="00805A80">
              <w:t>2,3</w:t>
            </w:r>
            <w:r w:rsidR="000E7935" w:rsidRPr="00805A80">
              <w:t>59</w:t>
            </w:r>
          </w:p>
        </w:tc>
        <w:tc>
          <w:tcPr>
            <w:tcW w:w="993" w:type="dxa"/>
          </w:tcPr>
          <w:p w14:paraId="52DA9922" w14:textId="5EBCF70A" w:rsidR="00F649F7" w:rsidRPr="00805A80" w:rsidRDefault="000E7935" w:rsidP="00694CD0">
            <w:pPr>
              <w:pStyle w:val="Tabletextcentred"/>
            </w:pPr>
            <w:r w:rsidRPr="00805A80">
              <w:t>2,100</w:t>
            </w:r>
          </w:p>
        </w:tc>
        <w:tc>
          <w:tcPr>
            <w:tcW w:w="1134" w:type="dxa"/>
          </w:tcPr>
          <w:p w14:paraId="27319D99" w14:textId="4F7A156B" w:rsidR="00F649F7" w:rsidRPr="00805A80" w:rsidRDefault="000E7935" w:rsidP="00694CD0">
            <w:pPr>
              <w:pStyle w:val="Tabletextcentred"/>
            </w:pPr>
            <w:r w:rsidRPr="00805A80">
              <w:t>2,067</w:t>
            </w:r>
          </w:p>
        </w:tc>
        <w:tc>
          <w:tcPr>
            <w:tcW w:w="1564" w:type="dxa"/>
          </w:tcPr>
          <w:p w14:paraId="3577C4CF" w14:textId="1F9DE123" w:rsidR="00F649F7" w:rsidRPr="00805A80" w:rsidRDefault="00F649F7" w:rsidP="00694CD0">
            <w:pPr>
              <w:pStyle w:val="Tabletextcentred"/>
            </w:pPr>
            <w:r w:rsidRPr="00805A80">
              <w:t>5</w:t>
            </w:r>
            <w:r w:rsidR="00CB60AE" w:rsidRPr="00805A80">
              <w:t>06</w:t>
            </w:r>
          </w:p>
        </w:tc>
      </w:tr>
      <w:tr w:rsidR="00F649F7" w:rsidRPr="00805A80" w14:paraId="28D8640B" w14:textId="77777777" w:rsidTr="00805A80">
        <w:trPr>
          <w:trHeight w:val="20"/>
        </w:trPr>
        <w:tc>
          <w:tcPr>
            <w:tcW w:w="2268" w:type="dxa"/>
          </w:tcPr>
          <w:p w14:paraId="56281E48" w14:textId="260FEED4" w:rsidR="00F649F7" w:rsidRPr="00694CD0" w:rsidRDefault="00F649F7" w:rsidP="00694CD0">
            <w:pPr>
              <w:pStyle w:val="Tabletextindented"/>
            </w:pPr>
            <w:r w:rsidRPr="00694CD0">
              <w:t>35–44</w:t>
            </w:r>
          </w:p>
        </w:tc>
        <w:tc>
          <w:tcPr>
            <w:tcW w:w="1271" w:type="dxa"/>
          </w:tcPr>
          <w:p w14:paraId="5C1E84AD" w14:textId="74CF4948" w:rsidR="00F649F7" w:rsidRPr="00805A80" w:rsidRDefault="00F649F7" w:rsidP="00694CD0">
            <w:pPr>
              <w:pStyle w:val="Tabletextcentred"/>
            </w:pPr>
            <w:r w:rsidRPr="00805A80">
              <w:t>1,33</w:t>
            </w:r>
            <w:r w:rsidR="000E7935" w:rsidRPr="00805A80">
              <w:t>4</w:t>
            </w:r>
          </w:p>
        </w:tc>
        <w:tc>
          <w:tcPr>
            <w:tcW w:w="851" w:type="dxa"/>
          </w:tcPr>
          <w:p w14:paraId="19D4B67E" w14:textId="17B64816" w:rsidR="00F649F7" w:rsidRPr="00805A80" w:rsidRDefault="00F649F7" w:rsidP="00694CD0">
            <w:pPr>
              <w:pStyle w:val="Tabletextcentred"/>
            </w:pPr>
            <w:r w:rsidRPr="00805A80">
              <w:t>1,500</w:t>
            </w:r>
          </w:p>
        </w:tc>
        <w:tc>
          <w:tcPr>
            <w:tcW w:w="850" w:type="dxa"/>
          </w:tcPr>
          <w:p w14:paraId="1069CADB" w14:textId="64E2B000" w:rsidR="00F649F7" w:rsidRPr="00805A80" w:rsidRDefault="00F649F7" w:rsidP="00694CD0">
            <w:pPr>
              <w:pStyle w:val="Tabletextcentred"/>
            </w:pPr>
            <w:r w:rsidRPr="00805A80">
              <w:t>1,645</w:t>
            </w:r>
          </w:p>
        </w:tc>
        <w:tc>
          <w:tcPr>
            <w:tcW w:w="992" w:type="dxa"/>
          </w:tcPr>
          <w:p w14:paraId="4597E72F" w14:textId="4E79947B" w:rsidR="00F649F7" w:rsidRPr="00805A80" w:rsidRDefault="00F649F7" w:rsidP="00694CD0">
            <w:pPr>
              <w:pStyle w:val="Tabletextcentred"/>
            </w:pPr>
            <w:r w:rsidRPr="00805A80">
              <w:t>1,715</w:t>
            </w:r>
          </w:p>
        </w:tc>
        <w:tc>
          <w:tcPr>
            <w:tcW w:w="993" w:type="dxa"/>
          </w:tcPr>
          <w:p w14:paraId="6F8CD5AE" w14:textId="7C84E3E8" w:rsidR="00F649F7" w:rsidRPr="00805A80" w:rsidRDefault="00F649F7" w:rsidP="00694CD0">
            <w:pPr>
              <w:pStyle w:val="Tabletextcentred"/>
            </w:pPr>
            <w:r w:rsidRPr="00805A80">
              <w:t>1,64</w:t>
            </w:r>
            <w:r w:rsidR="00CB5C8C" w:rsidRPr="00805A80">
              <w:t>6</w:t>
            </w:r>
          </w:p>
        </w:tc>
        <w:tc>
          <w:tcPr>
            <w:tcW w:w="1134" w:type="dxa"/>
          </w:tcPr>
          <w:p w14:paraId="08EE6BBA" w14:textId="06851684" w:rsidR="00F649F7" w:rsidRPr="00805A80" w:rsidRDefault="00CB5C8C" w:rsidP="00694CD0">
            <w:pPr>
              <w:pStyle w:val="Tabletextcentred"/>
            </w:pPr>
            <w:r w:rsidRPr="00805A80">
              <w:t>1,792</w:t>
            </w:r>
          </w:p>
        </w:tc>
        <w:tc>
          <w:tcPr>
            <w:tcW w:w="1564" w:type="dxa"/>
          </w:tcPr>
          <w:p w14:paraId="3DA76742" w14:textId="48E0A212" w:rsidR="00F649F7" w:rsidRPr="00805A80" w:rsidRDefault="00F649F7" w:rsidP="00694CD0">
            <w:pPr>
              <w:pStyle w:val="Tabletextcentred"/>
            </w:pPr>
            <w:r w:rsidRPr="00805A80">
              <w:t>4</w:t>
            </w:r>
            <w:r w:rsidR="00CB60AE" w:rsidRPr="00805A80">
              <w:t>13</w:t>
            </w:r>
          </w:p>
        </w:tc>
      </w:tr>
      <w:tr w:rsidR="00F649F7" w:rsidRPr="00805A80" w14:paraId="06701FE0" w14:textId="77777777" w:rsidTr="00805A80">
        <w:trPr>
          <w:trHeight w:val="20"/>
        </w:trPr>
        <w:tc>
          <w:tcPr>
            <w:tcW w:w="2268" w:type="dxa"/>
          </w:tcPr>
          <w:p w14:paraId="1082B8A4" w14:textId="3F3826B7" w:rsidR="00F649F7" w:rsidRPr="00694CD0" w:rsidRDefault="00F649F7" w:rsidP="00694CD0">
            <w:pPr>
              <w:pStyle w:val="Tabletextindented"/>
            </w:pPr>
            <w:r w:rsidRPr="00694CD0">
              <w:t>45+</w:t>
            </w:r>
          </w:p>
        </w:tc>
        <w:tc>
          <w:tcPr>
            <w:tcW w:w="1271" w:type="dxa"/>
          </w:tcPr>
          <w:p w14:paraId="01F2195D" w14:textId="109DB182" w:rsidR="00F649F7" w:rsidRPr="00805A80" w:rsidRDefault="00F649F7" w:rsidP="00694CD0">
            <w:pPr>
              <w:pStyle w:val="Tabletextcentred"/>
            </w:pPr>
            <w:r w:rsidRPr="00805A80">
              <w:t>1,22</w:t>
            </w:r>
            <w:r w:rsidR="00CB5C8C" w:rsidRPr="00805A80">
              <w:t>3</w:t>
            </w:r>
          </w:p>
        </w:tc>
        <w:tc>
          <w:tcPr>
            <w:tcW w:w="851" w:type="dxa"/>
          </w:tcPr>
          <w:p w14:paraId="3FC3B796" w14:textId="4A57A1D7" w:rsidR="00F649F7" w:rsidRPr="00805A80" w:rsidRDefault="00F649F7" w:rsidP="00694CD0">
            <w:pPr>
              <w:pStyle w:val="Tabletextcentred"/>
            </w:pPr>
            <w:r w:rsidRPr="00805A80">
              <w:t>1,262</w:t>
            </w:r>
          </w:p>
        </w:tc>
        <w:tc>
          <w:tcPr>
            <w:tcW w:w="850" w:type="dxa"/>
          </w:tcPr>
          <w:p w14:paraId="5266D52D" w14:textId="4520836E" w:rsidR="00F649F7" w:rsidRPr="00805A80" w:rsidRDefault="00F649F7" w:rsidP="00694CD0">
            <w:pPr>
              <w:pStyle w:val="Tabletextcentred"/>
            </w:pPr>
            <w:r w:rsidRPr="00805A80">
              <w:t>1,40</w:t>
            </w:r>
            <w:r w:rsidR="00CB5C8C" w:rsidRPr="00805A80">
              <w:t>4</w:t>
            </w:r>
          </w:p>
        </w:tc>
        <w:tc>
          <w:tcPr>
            <w:tcW w:w="992" w:type="dxa"/>
          </w:tcPr>
          <w:p w14:paraId="4E0D0E77" w14:textId="40E96746" w:rsidR="00F649F7" w:rsidRPr="00805A80" w:rsidRDefault="00F649F7" w:rsidP="00694CD0">
            <w:pPr>
              <w:pStyle w:val="Tabletextcentred"/>
            </w:pPr>
            <w:r w:rsidRPr="00805A80">
              <w:t>1,5</w:t>
            </w:r>
            <w:r w:rsidR="00CB5C8C" w:rsidRPr="00805A80">
              <w:t>51</w:t>
            </w:r>
          </w:p>
        </w:tc>
        <w:tc>
          <w:tcPr>
            <w:tcW w:w="993" w:type="dxa"/>
          </w:tcPr>
          <w:p w14:paraId="65F0D361" w14:textId="39FE5DC0" w:rsidR="00F649F7" w:rsidRPr="00805A80" w:rsidRDefault="00F649F7" w:rsidP="00694CD0">
            <w:pPr>
              <w:pStyle w:val="Tabletextcentred"/>
            </w:pPr>
            <w:r w:rsidRPr="00805A80">
              <w:t>1,4</w:t>
            </w:r>
            <w:r w:rsidR="00D05D58" w:rsidRPr="00805A80">
              <w:t>37</w:t>
            </w:r>
          </w:p>
        </w:tc>
        <w:tc>
          <w:tcPr>
            <w:tcW w:w="1134" w:type="dxa"/>
          </w:tcPr>
          <w:p w14:paraId="62EA1C82" w14:textId="545B7ABC" w:rsidR="00F649F7" w:rsidRPr="00805A80" w:rsidRDefault="00D05D58" w:rsidP="00694CD0">
            <w:pPr>
              <w:pStyle w:val="Tabletextcentred"/>
            </w:pPr>
            <w:r w:rsidRPr="00805A80">
              <w:t>1,476</w:t>
            </w:r>
          </w:p>
        </w:tc>
        <w:tc>
          <w:tcPr>
            <w:tcW w:w="1564" w:type="dxa"/>
          </w:tcPr>
          <w:p w14:paraId="4A54931F" w14:textId="630EAB75" w:rsidR="00F649F7" w:rsidRPr="00805A80" w:rsidRDefault="00F649F7" w:rsidP="00694CD0">
            <w:pPr>
              <w:pStyle w:val="Tabletextcentred"/>
            </w:pPr>
            <w:r w:rsidRPr="00805A80">
              <w:t>3</w:t>
            </w:r>
            <w:r w:rsidR="00CB60AE" w:rsidRPr="00805A80">
              <w:t>52</w:t>
            </w:r>
          </w:p>
        </w:tc>
      </w:tr>
      <w:tr w:rsidR="00805A80" w:rsidRPr="00805A80" w14:paraId="6A143496" w14:textId="77777777" w:rsidTr="008503FA">
        <w:trPr>
          <w:trHeight w:val="20"/>
        </w:trPr>
        <w:tc>
          <w:tcPr>
            <w:tcW w:w="9923" w:type="dxa"/>
            <w:gridSpan w:val="8"/>
            <w:shd w:val="clear" w:color="auto" w:fill="00DCA1"/>
          </w:tcPr>
          <w:p w14:paraId="0E02C067" w14:textId="38091F46" w:rsidR="00805A80" w:rsidRPr="00733B0F" w:rsidRDefault="00805A80" w:rsidP="00733B0F">
            <w:pPr>
              <w:pStyle w:val="Tableheadingcentred"/>
            </w:pPr>
            <w:r w:rsidRPr="00733B0F">
              <w:t>Mean age at diagnosis</w:t>
            </w:r>
          </w:p>
        </w:tc>
      </w:tr>
      <w:tr w:rsidR="00F649F7" w:rsidRPr="00805A80" w14:paraId="396371CD" w14:textId="77777777" w:rsidTr="00805A80">
        <w:trPr>
          <w:trHeight w:val="20"/>
        </w:trPr>
        <w:tc>
          <w:tcPr>
            <w:tcW w:w="2268" w:type="dxa"/>
          </w:tcPr>
          <w:p w14:paraId="62067712" w14:textId="11E0863A" w:rsidR="00F649F7" w:rsidRPr="00694CD0" w:rsidRDefault="00F649F7" w:rsidP="00694CD0">
            <w:pPr>
              <w:pStyle w:val="Tabletextindented"/>
            </w:pPr>
            <w:r w:rsidRPr="00694CD0">
              <w:t>Female</w:t>
            </w:r>
          </w:p>
        </w:tc>
        <w:tc>
          <w:tcPr>
            <w:tcW w:w="1271" w:type="dxa"/>
          </w:tcPr>
          <w:p w14:paraId="2D12E74D" w14:textId="3B650595" w:rsidR="00F649F7" w:rsidRPr="00805A80" w:rsidRDefault="00F649F7" w:rsidP="00694CD0">
            <w:pPr>
              <w:pStyle w:val="Tabletextcentred"/>
            </w:pPr>
            <w:r w:rsidRPr="00805A80">
              <w:t>30</w:t>
            </w:r>
          </w:p>
        </w:tc>
        <w:tc>
          <w:tcPr>
            <w:tcW w:w="851" w:type="dxa"/>
          </w:tcPr>
          <w:p w14:paraId="49402ED1" w14:textId="1F7E7ABA" w:rsidR="00F649F7" w:rsidRPr="00805A80" w:rsidRDefault="00F649F7" w:rsidP="00694CD0">
            <w:pPr>
              <w:pStyle w:val="Tabletextcentred"/>
            </w:pPr>
            <w:r w:rsidRPr="00805A80">
              <w:t>30</w:t>
            </w:r>
          </w:p>
        </w:tc>
        <w:tc>
          <w:tcPr>
            <w:tcW w:w="850" w:type="dxa"/>
          </w:tcPr>
          <w:p w14:paraId="3E50EA75" w14:textId="23227F50" w:rsidR="00F649F7" w:rsidRPr="00805A80" w:rsidRDefault="00F649F7" w:rsidP="00694CD0">
            <w:pPr>
              <w:pStyle w:val="Tabletextcentred"/>
            </w:pPr>
            <w:r w:rsidRPr="00805A80">
              <w:t>31</w:t>
            </w:r>
          </w:p>
        </w:tc>
        <w:tc>
          <w:tcPr>
            <w:tcW w:w="992" w:type="dxa"/>
          </w:tcPr>
          <w:p w14:paraId="413F5EE0" w14:textId="6E14AFA7" w:rsidR="00F649F7" w:rsidRPr="00805A80" w:rsidRDefault="00F649F7" w:rsidP="00694CD0">
            <w:pPr>
              <w:pStyle w:val="Tabletextcentred"/>
            </w:pPr>
            <w:r w:rsidRPr="00805A80">
              <w:t>32</w:t>
            </w:r>
          </w:p>
        </w:tc>
        <w:tc>
          <w:tcPr>
            <w:tcW w:w="993" w:type="dxa"/>
          </w:tcPr>
          <w:p w14:paraId="37277F15" w14:textId="5FF42189" w:rsidR="00F649F7" w:rsidRPr="00805A80" w:rsidRDefault="00F649F7" w:rsidP="00694CD0">
            <w:pPr>
              <w:pStyle w:val="Tabletextcentred"/>
            </w:pPr>
            <w:r w:rsidRPr="00805A80">
              <w:t>33</w:t>
            </w:r>
          </w:p>
        </w:tc>
        <w:tc>
          <w:tcPr>
            <w:tcW w:w="1134" w:type="dxa"/>
          </w:tcPr>
          <w:p w14:paraId="01431BF4" w14:textId="1E4AA61C" w:rsidR="00F649F7" w:rsidRPr="00805A80" w:rsidRDefault="00F649F7" w:rsidP="00694CD0">
            <w:pPr>
              <w:pStyle w:val="Tabletextcentred"/>
            </w:pPr>
            <w:r w:rsidRPr="00805A80">
              <w:t>33</w:t>
            </w:r>
          </w:p>
        </w:tc>
        <w:tc>
          <w:tcPr>
            <w:tcW w:w="1564" w:type="dxa"/>
          </w:tcPr>
          <w:p w14:paraId="06941285" w14:textId="5E013363" w:rsidR="00F649F7" w:rsidRPr="00805A80" w:rsidRDefault="00F649F7" w:rsidP="00694CD0">
            <w:pPr>
              <w:pStyle w:val="Tabletextcentred"/>
            </w:pPr>
            <w:r w:rsidRPr="00805A80">
              <w:t>3</w:t>
            </w:r>
            <w:r w:rsidR="004735E7" w:rsidRPr="00805A80">
              <w:t>2</w:t>
            </w:r>
          </w:p>
        </w:tc>
      </w:tr>
      <w:tr w:rsidR="00F649F7" w:rsidRPr="00805A80" w14:paraId="31859691" w14:textId="77777777" w:rsidTr="00805A80">
        <w:trPr>
          <w:trHeight w:val="20"/>
        </w:trPr>
        <w:tc>
          <w:tcPr>
            <w:tcW w:w="2268" w:type="dxa"/>
          </w:tcPr>
          <w:p w14:paraId="371197D2" w14:textId="544B2030" w:rsidR="00F649F7" w:rsidRPr="00694CD0" w:rsidRDefault="00F649F7" w:rsidP="00694CD0">
            <w:pPr>
              <w:pStyle w:val="Tabletextindented"/>
            </w:pPr>
            <w:r w:rsidRPr="00694CD0">
              <w:t>Male</w:t>
            </w:r>
          </w:p>
        </w:tc>
        <w:tc>
          <w:tcPr>
            <w:tcW w:w="1271" w:type="dxa"/>
          </w:tcPr>
          <w:p w14:paraId="38FA1EAB" w14:textId="4FCF525C" w:rsidR="00F649F7" w:rsidRPr="00805A80" w:rsidRDefault="00F649F7" w:rsidP="00694CD0">
            <w:pPr>
              <w:pStyle w:val="Tabletextcentred"/>
            </w:pPr>
            <w:r w:rsidRPr="00805A80">
              <w:t>37</w:t>
            </w:r>
          </w:p>
        </w:tc>
        <w:tc>
          <w:tcPr>
            <w:tcW w:w="851" w:type="dxa"/>
          </w:tcPr>
          <w:p w14:paraId="6E77559E" w14:textId="509AA5C0" w:rsidR="00F649F7" w:rsidRPr="00805A80" w:rsidRDefault="00F649F7" w:rsidP="00694CD0">
            <w:pPr>
              <w:pStyle w:val="Tabletextcentred"/>
            </w:pPr>
            <w:r w:rsidRPr="00805A80">
              <w:t>37</w:t>
            </w:r>
          </w:p>
        </w:tc>
        <w:tc>
          <w:tcPr>
            <w:tcW w:w="850" w:type="dxa"/>
          </w:tcPr>
          <w:p w14:paraId="731C83E2" w14:textId="38E4ADD6" w:rsidR="00F649F7" w:rsidRPr="00805A80" w:rsidRDefault="00F649F7" w:rsidP="00694CD0">
            <w:pPr>
              <w:pStyle w:val="Tabletextcentred"/>
            </w:pPr>
            <w:r w:rsidRPr="00805A80">
              <w:t>38</w:t>
            </w:r>
          </w:p>
        </w:tc>
        <w:tc>
          <w:tcPr>
            <w:tcW w:w="992" w:type="dxa"/>
          </w:tcPr>
          <w:p w14:paraId="27FC6E1D" w14:textId="367626FE" w:rsidR="00F649F7" w:rsidRPr="00805A80" w:rsidRDefault="00F649F7" w:rsidP="00694CD0">
            <w:pPr>
              <w:pStyle w:val="Tabletextcentred"/>
            </w:pPr>
            <w:r w:rsidRPr="00805A80">
              <w:t>38</w:t>
            </w:r>
          </w:p>
        </w:tc>
        <w:tc>
          <w:tcPr>
            <w:tcW w:w="993" w:type="dxa"/>
          </w:tcPr>
          <w:p w14:paraId="1A190F80" w14:textId="61CD85D4" w:rsidR="00F649F7" w:rsidRPr="00805A80" w:rsidRDefault="00F649F7" w:rsidP="00694CD0">
            <w:pPr>
              <w:pStyle w:val="Tabletextcentred"/>
            </w:pPr>
            <w:r w:rsidRPr="00805A80">
              <w:t>38</w:t>
            </w:r>
          </w:p>
        </w:tc>
        <w:tc>
          <w:tcPr>
            <w:tcW w:w="1134" w:type="dxa"/>
          </w:tcPr>
          <w:p w14:paraId="4E74677C" w14:textId="5A65763B" w:rsidR="00F649F7" w:rsidRPr="00805A80" w:rsidRDefault="00F649F7" w:rsidP="00694CD0">
            <w:pPr>
              <w:pStyle w:val="Tabletextcentred"/>
            </w:pPr>
            <w:r w:rsidRPr="00805A80">
              <w:t>39</w:t>
            </w:r>
          </w:p>
        </w:tc>
        <w:tc>
          <w:tcPr>
            <w:tcW w:w="1564" w:type="dxa"/>
          </w:tcPr>
          <w:p w14:paraId="62B2CC8C" w14:textId="15F502E1" w:rsidR="00F649F7" w:rsidRPr="00805A80" w:rsidRDefault="00F649F7" w:rsidP="00694CD0">
            <w:pPr>
              <w:pStyle w:val="Tabletextcentred"/>
            </w:pPr>
            <w:r w:rsidRPr="00805A80">
              <w:t>39</w:t>
            </w:r>
          </w:p>
        </w:tc>
      </w:tr>
      <w:tr w:rsidR="00F649F7" w:rsidRPr="00805A80" w14:paraId="6BBBFF40" w14:textId="77777777" w:rsidTr="00805A80">
        <w:trPr>
          <w:trHeight w:val="20"/>
        </w:trPr>
        <w:tc>
          <w:tcPr>
            <w:tcW w:w="2268" w:type="dxa"/>
          </w:tcPr>
          <w:p w14:paraId="6CEE10F1" w14:textId="4C92ADE2" w:rsidR="00F649F7" w:rsidRPr="00694CD0" w:rsidRDefault="00F649F7" w:rsidP="00694CD0">
            <w:pPr>
              <w:pStyle w:val="Tabletextindented"/>
            </w:pPr>
            <w:r w:rsidRPr="00694CD0">
              <w:t>Overall</w:t>
            </w:r>
          </w:p>
        </w:tc>
        <w:tc>
          <w:tcPr>
            <w:tcW w:w="1271" w:type="dxa"/>
          </w:tcPr>
          <w:p w14:paraId="040CD4BB" w14:textId="20D15D87" w:rsidR="00F649F7" w:rsidRPr="00805A80" w:rsidRDefault="00F649F7" w:rsidP="00694CD0">
            <w:pPr>
              <w:pStyle w:val="Tabletextcentred"/>
            </w:pPr>
            <w:r w:rsidRPr="00805A80">
              <w:t>36</w:t>
            </w:r>
          </w:p>
        </w:tc>
        <w:tc>
          <w:tcPr>
            <w:tcW w:w="851" w:type="dxa"/>
          </w:tcPr>
          <w:p w14:paraId="7B49C20D" w14:textId="0D30ED67" w:rsidR="00F649F7" w:rsidRPr="00805A80" w:rsidRDefault="00F649F7" w:rsidP="00694CD0">
            <w:pPr>
              <w:pStyle w:val="Tabletextcentred"/>
            </w:pPr>
            <w:r w:rsidRPr="00805A80">
              <w:t>36</w:t>
            </w:r>
          </w:p>
        </w:tc>
        <w:tc>
          <w:tcPr>
            <w:tcW w:w="850" w:type="dxa"/>
          </w:tcPr>
          <w:p w14:paraId="57A66ECC" w14:textId="718B69B0" w:rsidR="00F649F7" w:rsidRPr="00805A80" w:rsidRDefault="00F649F7" w:rsidP="00694CD0">
            <w:pPr>
              <w:pStyle w:val="Tabletextcentred"/>
            </w:pPr>
            <w:r w:rsidRPr="00805A80">
              <w:t>36</w:t>
            </w:r>
          </w:p>
        </w:tc>
        <w:tc>
          <w:tcPr>
            <w:tcW w:w="992" w:type="dxa"/>
          </w:tcPr>
          <w:p w14:paraId="26F56E8A" w14:textId="37885B29" w:rsidR="00F649F7" w:rsidRPr="00805A80" w:rsidRDefault="00F649F7" w:rsidP="00694CD0">
            <w:pPr>
              <w:pStyle w:val="Tabletextcentred"/>
            </w:pPr>
            <w:r w:rsidRPr="00805A80">
              <w:t>37</w:t>
            </w:r>
          </w:p>
        </w:tc>
        <w:tc>
          <w:tcPr>
            <w:tcW w:w="993" w:type="dxa"/>
          </w:tcPr>
          <w:p w14:paraId="309E6339" w14:textId="69E57ACA" w:rsidR="00F649F7" w:rsidRPr="00805A80" w:rsidRDefault="00F649F7" w:rsidP="00694CD0">
            <w:pPr>
              <w:pStyle w:val="Tabletextcentred"/>
            </w:pPr>
            <w:r w:rsidRPr="00805A80">
              <w:t>37</w:t>
            </w:r>
          </w:p>
        </w:tc>
        <w:tc>
          <w:tcPr>
            <w:tcW w:w="1134" w:type="dxa"/>
          </w:tcPr>
          <w:p w14:paraId="4751594C" w14:textId="6734BB8E" w:rsidR="00F649F7" w:rsidRPr="00805A80" w:rsidRDefault="00F649F7" w:rsidP="00694CD0">
            <w:pPr>
              <w:pStyle w:val="Tabletextcentred"/>
            </w:pPr>
            <w:r w:rsidRPr="00805A80">
              <w:t>3</w:t>
            </w:r>
            <w:r w:rsidR="0070698C" w:rsidRPr="00805A80">
              <w:t>8</w:t>
            </w:r>
          </w:p>
        </w:tc>
        <w:tc>
          <w:tcPr>
            <w:tcW w:w="1564" w:type="dxa"/>
          </w:tcPr>
          <w:p w14:paraId="16DB9F6A" w14:textId="7A56E0F0" w:rsidR="00F649F7" w:rsidRPr="00805A80" w:rsidRDefault="00F649F7" w:rsidP="00694CD0">
            <w:pPr>
              <w:pStyle w:val="Tabletextcentred"/>
            </w:pPr>
            <w:r w:rsidRPr="00805A80">
              <w:t>3</w:t>
            </w:r>
            <w:r w:rsidR="008B2D8C" w:rsidRPr="00805A80">
              <w:t>7</w:t>
            </w:r>
          </w:p>
        </w:tc>
      </w:tr>
      <w:tr w:rsidR="00805A80" w:rsidRPr="00805A80" w14:paraId="322F184E" w14:textId="77777777" w:rsidTr="00F237AB">
        <w:trPr>
          <w:trHeight w:val="20"/>
        </w:trPr>
        <w:tc>
          <w:tcPr>
            <w:tcW w:w="9923" w:type="dxa"/>
            <w:gridSpan w:val="8"/>
            <w:shd w:val="clear" w:color="auto" w:fill="00DCA1"/>
          </w:tcPr>
          <w:p w14:paraId="79492986" w14:textId="5707111D" w:rsidR="00805A80" w:rsidRPr="00733B0F" w:rsidRDefault="00805A80" w:rsidP="00733B0F">
            <w:pPr>
              <w:pStyle w:val="Tableheadingcentred"/>
            </w:pPr>
            <w:r w:rsidRPr="00733B0F">
              <w:t>Indigenous status</w:t>
            </w:r>
          </w:p>
        </w:tc>
      </w:tr>
      <w:tr w:rsidR="00F649F7" w:rsidRPr="00805A80" w14:paraId="065483C2" w14:textId="77777777" w:rsidTr="00805A80">
        <w:trPr>
          <w:trHeight w:val="20"/>
        </w:trPr>
        <w:tc>
          <w:tcPr>
            <w:tcW w:w="2268" w:type="dxa"/>
          </w:tcPr>
          <w:p w14:paraId="417F929A" w14:textId="7989C65B" w:rsidR="00F649F7" w:rsidRPr="00694CD0" w:rsidRDefault="00F649F7" w:rsidP="00694CD0">
            <w:pPr>
              <w:pStyle w:val="Tabletextindented"/>
            </w:pPr>
            <w:r w:rsidRPr="00694CD0">
              <w:t>Aboriginal or Torres Strait Islander</w:t>
            </w:r>
          </w:p>
        </w:tc>
        <w:tc>
          <w:tcPr>
            <w:tcW w:w="1271" w:type="dxa"/>
          </w:tcPr>
          <w:p w14:paraId="5627EBB8" w14:textId="3C0BF944" w:rsidR="00F649F7" w:rsidRPr="00805A80" w:rsidRDefault="00F649F7" w:rsidP="00694CD0">
            <w:pPr>
              <w:pStyle w:val="Tabletextcentred"/>
            </w:pPr>
            <w:r w:rsidRPr="00805A80">
              <w:t>9</w:t>
            </w:r>
            <w:r w:rsidR="00FD29FA" w:rsidRPr="00805A80">
              <w:t>31</w:t>
            </w:r>
          </w:p>
        </w:tc>
        <w:tc>
          <w:tcPr>
            <w:tcW w:w="851" w:type="dxa"/>
          </w:tcPr>
          <w:p w14:paraId="548AE083" w14:textId="090225AB" w:rsidR="00F649F7" w:rsidRPr="00805A80" w:rsidRDefault="00F649F7" w:rsidP="00694CD0">
            <w:pPr>
              <w:pStyle w:val="Tabletextcentred"/>
            </w:pPr>
            <w:r w:rsidRPr="00805A80">
              <w:t>1,004</w:t>
            </w:r>
          </w:p>
        </w:tc>
        <w:tc>
          <w:tcPr>
            <w:tcW w:w="850" w:type="dxa"/>
          </w:tcPr>
          <w:p w14:paraId="6ED3E64A" w14:textId="1E12ED62" w:rsidR="00F649F7" w:rsidRPr="00805A80" w:rsidRDefault="00F649F7" w:rsidP="00694CD0">
            <w:pPr>
              <w:pStyle w:val="Tabletextcentred"/>
            </w:pPr>
            <w:r w:rsidRPr="00805A80">
              <w:t>1,02</w:t>
            </w:r>
            <w:r w:rsidR="00FD29FA" w:rsidRPr="00805A80">
              <w:t>2</w:t>
            </w:r>
          </w:p>
        </w:tc>
        <w:tc>
          <w:tcPr>
            <w:tcW w:w="992" w:type="dxa"/>
          </w:tcPr>
          <w:p w14:paraId="5236A9E1" w14:textId="6DEB988A" w:rsidR="00F649F7" w:rsidRPr="00805A80" w:rsidRDefault="00F649F7" w:rsidP="00694CD0">
            <w:pPr>
              <w:pStyle w:val="Tabletextcentred"/>
            </w:pPr>
            <w:r w:rsidRPr="00805A80">
              <w:t>1,06</w:t>
            </w:r>
            <w:r w:rsidR="00FD29FA" w:rsidRPr="00805A80">
              <w:t>6</w:t>
            </w:r>
          </w:p>
        </w:tc>
        <w:tc>
          <w:tcPr>
            <w:tcW w:w="993" w:type="dxa"/>
          </w:tcPr>
          <w:p w14:paraId="16200677" w14:textId="7B55E73B" w:rsidR="00F649F7" w:rsidRPr="00805A80" w:rsidRDefault="00F649F7" w:rsidP="00694CD0">
            <w:pPr>
              <w:pStyle w:val="Tabletextcentred"/>
            </w:pPr>
            <w:r w:rsidRPr="00805A80">
              <w:t>1,0</w:t>
            </w:r>
            <w:r w:rsidR="00FD29FA" w:rsidRPr="00805A80">
              <w:t>12</w:t>
            </w:r>
          </w:p>
        </w:tc>
        <w:tc>
          <w:tcPr>
            <w:tcW w:w="1134" w:type="dxa"/>
          </w:tcPr>
          <w:p w14:paraId="65A4C205" w14:textId="05E83FC0" w:rsidR="00F649F7" w:rsidRPr="00805A80" w:rsidRDefault="004D4F7D" w:rsidP="00694CD0">
            <w:pPr>
              <w:pStyle w:val="Tabletextcentred"/>
            </w:pPr>
            <w:r w:rsidRPr="00805A80">
              <w:t>1,142</w:t>
            </w:r>
          </w:p>
        </w:tc>
        <w:tc>
          <w:tcPr>
            <w:tcW w:w="1564" w:type="dxa"/>
          </w:tcPr>
          <w:p w14:paraId="7CB41BE5" w14:textId="1B2EA806" w:rsidR="00F649F7" w:rsidRPr="00805A80" w:rsidRDefault="00B20254" w:rsidP="00694CD0">
            <w:pPr>
              <w:pStyle w:val="Tabletextcentred"/>
            </w:pPr>
            <w:r w:rsidRPr="00805A80">
              <w:t>325</w:t>
            </w:r>
          </w:p>
        </w:tc>
      </w:tr>
      <w:tr w:rsidR="00F649F7" w:rsidRPr="00805A80" w14:paraId="7A701AE0" w14:textId="77777777" w:rsidTr="00805A80">
        <w:trPr>
          <w:trHeight w:val="20"/>
        </w:trPr>
        <w:tc>
          <w:tcPr>
            <w:tcW w:w="2268" w:type="dxa"/>
          </w:tcPr>
          <w:p w14:paraId="734F542F" w14:textId="5C4703F5" w:rsidR="00F649F7" w:rsidRPr="00694CD0" w:rsidRDefault="00F649F7" w:rsidP="00694CD0">
            <w:pPr>
              <w:pStyle w:val="Tabletextindented"/>
            </w:pPr>
            <w:r w:rsidRPr="00694CD0">
              <w:t>Non-Indigenous</w:t>
            </w:r>
          </w:p>
        </w:tc>
        <w:tc>
          <w:tcPr>
            <w:tcW w:w="1271" w:type="dxa"/>
          </w:tcPr>
          <w:p w14:paraId="455D7D72" w14:textId="2687DA3A" w:rsidR="00F649F7" w:rsidRPr="00805A80" w:rsidRDefault="00F649F7" w:rsidP="00694CD0">
            <w:pPr>
              <w:pStyle w:val="Tabletextcentred"/>
            </w:pPr>
            <w:r w:rsidRPr="00805A80">
              <w:t>4,2</w:t>
            </w:r>
            <w:r w:rsidR="004D4F7D" w:rsidRPr="00805A80">
              <w:t>42</w:t>
            </w:r>
          </w:p>
        </w:tc>
        <w:tc>
          <w:tcPr>
            <w:tcW w:w="851" w:type="dxa"/>
          </w:tcPr>
          <w:p w14:paraId="2EA24752" w14:textId="51BFE601" w:rsidR="00F649F7" w:rsidRPr="00805A80" w:rsidRDefault="00F649F7" w:rsidP="00694CD0">
            <w:pPr>
              <w:pStyle w:val="Tabletextcentred"/>
            </w:pPr>
            <w:r w:rsidRPr="00805A80">
              <w:t>4,48</w:t>
            </w:r>
            <w:r w:rsidR="004D4F7D" w:rsidRPr="00805A80">
              <w:t>5</w:t>
            </w:r>
          </w:p>
        </w:tc>
        <w:tc>
          <w:tcPr>
            <w:tcW w:w="850" w:type="dxa"/>
          </w:tcPr>
          <w:p w14:paraId="2296E484" w14:textId="5497836E" w:rsidR="00F649F7" w:rsidRPr="00805A80" w:rsidRDefault="00F649F7" w:rsidP="00694CD0">
            <w:pPr>
              <w:pStyle w:val="Tabletextcentred"/>
            </w:pPr>
            <w:r w:rsidRPr="00805A80">
              <w:t>4,66</w:t>
            </w:r>
            <w:r w:rsidR="004D4F7D" w:rsidRPr="00805A80">
              <w:t>5</w:t>
            </w:r>
          </w:p>
        </w:tc>
        <w:tc>
          <w:tcPr>
            <w:tcW w:w="992" w:type="dxa"/>
          </w:tcPr>
          <w:p w14:paraId="11C9599F" w14:textId="473D5F33" w:rsidR="00F649F7" w:rsidRPr="00805A80" w:rsidRDefault="00F649F7" w:rsidP="00694CD0">
            <w:pPr>
              <w:pStyle w:val="Tabletextcentred"/>
            </w:pPr>
            <w:r w:rsidRPr="00805A80">
              <w:t>5,1</w:t>
            </w:r>
            <w:r w:rsidR="004D4F7D" w:rsidRPr="00805A80">
              <w:t>32</w:t>
            </w:r>
          </w:p>
        </w:tc>
        <w:tc>
          <w:tcPr>
            <w:tcW w:w="993" w:type="dxa"/>
          </w:tcPr>
          <w:p w14:paraId="747FEF0B" w14:textId="00D5DFB2" w:rsidR="00F649F7" w:rsidRPr="00805A80" w:rsidRDefault="00F649F7" w:rsidP="00694CD0">
            <w:pPr>
              <w:pStyle w:val="Tabletextcentred"/>
            </w:pPr>
            <w:r w:rsidRPr="00805A80">
              <w:t>4,65</w:t>
            </w:r>
            <w:r w:rsidR="00341DA4" w:rsidRPr="00805A80">
              <w:t>7</w:t>
            </w:r>
          </w:p>
        </w:tc>
        <w:tc>
          <w:tcPr>
            <w:tcW w:w="1134" w:type="dxa"/>
          </w:tcPr>
          <w:p w14:paraId="6B02615E" w14:textId="2E7CD012" w:rsidR="00F649F7" w:rsidRPr="00805A80" w:rsidRDefault="00341DA4" w:rsidP="00694CD0">
            <w:pPr>
              <w:pStyle w:val="Tabletextcentred"/>
            </w:pPr>
            <w:r w:rsidRPr="00805A80">
              <w:t>4,658</w:t>
            </w:r>
          </w:p>
        </w:tc>
        <w:tc>
          <w:tcPr>
            <w:tcW w:w="1564" w:type="dxa"/>
          </w:tcPr>
          <w:p w14:paraId="555E5466" w14:textId="56C4E01F" w:rsidR="00F649F7" w:rsidRPr="00805A80" w:rsidRDefault="00F649F7" w:rsidP="00694CD0">
            <w:pPr>
              <w:pStyle w:val="Tabletextcentred"/>
            </w:pPr>
            <w:r w:rsidRPr="00805A80">
              <w:t>1,</w:t>
            </w:r>
            <w:r w:rsidR="00B20254" w:rsidRPr="00805A80">
              <w:t>057</w:t>
            </w:r>
          </w:p>
        </w:tc>
      </w:tr>
      <w:tr w:rsidR="00F649F7" w:rsidRPr="00805A80" w14:paraId="0B790730" w14:textId="77777777" w:rsidTr="00805A80">
        <w:trPr>
          <w:trHeight w:val="20"/>
        </w:trPr>
        <w:tc>
          <w:tcPr>
            <w:tcW w:w="2268" w:type="dxa"/>
          </w:tcPr>
          <w:p w14:paraId="39C3F917" w14:textId="57C51B0E" w:rsidR="00F649F7" w:rsidRPr="00694CD0" w:rsidRDefault="00F649F7" w:rsidP="00694CD0">
            <w:pPr>
              <w:pStyle w:val="Tabletextindented"/>
            </w:pPr>
            <w:r w:rsidRPr="00694CD0">
              <w:t>Not reported</w:t>
            </w:r>
          </w:p>
        </w:tc>
        <w:tc>
          <w:tcPr>
            <w:tcW w:w="1271" w:type="dxa"/>
          </w:tcPr>
          <w:p w14:paraId="2E37A89F" w14:textId="659A99FD" w:rsidR="00F649F7" w:rsidRPr="00805A80" w:rsidRDefault="00341DA4" w:rsidP="00694CD0">
            <w:pPr>
              <w:pStyle w:val="Tabletextcentred"/>
            </w:pPr>
            <w:r w:rsidRPr="00805A80">
              <w:t>190</w:t>
            </w:r>
          </w:p>
        </w:tc>
        <w:tc>
          <w:tcPr>
            <w:tcW w:w="851" w:type="dxa"/>
          </w:tcPr>
          <w:p w14:paraId="284C9742" w14:textId="79338243" w:rsidR="00F649F7" w:rsidRPr="00805A80" w:rsidRDefault="00F649F7" w:rsidP="00694CD0">
            <w:pPr>
              <w:pStyle w:val="Tabletextcentred"/>
            </w:pPr>
            <w:r w:rsidRPr="00805A80">
              <w:t>275</w:t>
            </w:r>
          </w:p>
        </w:tc>
        <w:tc>
          <w:tcPr>
            <w:tcW w:w="850" w:type="dxa"/>
          </w:tcPr>
          <w:p w14:paraId="1D537AFF" w14:textId="0ACB72BF" w:rsidR="00F649F7" w:rsidRPr="00805A80" w:rsidRDefault="00B52C78" w:rsidP="00694CD0">
            <w:pPr>
              <w:pStyle w:val="Tabletextcentred"/>
            </w:pPr>
            <w:r w:rsidRPr="00805A80">
              <w:t>495</w:t>
            </w:r>
          </w:p>
        </w:tc>
        <w:tc>
          <w:tcPr>
            <w:tcW w:w="992" w:type="dxa"/>
          </w:tcPr>
          <w:p w14:paraId="26A24F12" w14:textId="459B2C40" w:rsidR="00F649F7" w:rsidRPr="00805A80" w:rsidRDefault="00B52C78" w:rsidP="00694CD0">
            <w:pPr>
              <w:pStyle w:val="Tabletextcentred"/>
            </w:pPr>
            <w:r w:rsidRPr="00805A80">
              <w:t>366</w:t>
            </w:r>
          </w:p>
        </w:tc>
        <w:tc>
          <w:tcPr>
            <w:tcW w:w="993" w:type="dxa"/>
          </w:tcPr>
          <w:p w14:paraId="3BC0357D" w14:textId="6BE7AD0C" w:rsidR="00F649F7" w:rsidRPr="00805A80" w:rsidRDefault="00B52C78" w:rsidP="00694CD0">
            <w:pPr>
              <w:pStyle w:val="Tabletextcentred"/>
            </w:pPr>
            <w:r w:rsidRPr="00805A80">
              <w:t>308</w:t>
            </w:r>
          </w:p>
        </w:tc>
        <w:tc>
          <w:tcPr>
            <w:tcW w:w="1134" w:type="dxa"/>
          </w:tcPr>
          <w:p w14:paraId="57D0CEFB" w14:textId="478F64A0" w:rsidR="00F649F7" w:rsidRPr="00805A80" w:rsidRDefault="00B52C78" w:rsidP="00694CD0">
            <w:pPr>
              <w:pStyle w:val="Tabletextcentred"/>
            </w:pPr>
            <w:r w:rsidRPr="00805A80">
              <w:t>271</w:t>
            </w:r>
          </w:p>
        </w:tc>
        <w:tc>
          <w:tcPr>
            <w:tcW w:w="1564" w:type="dxa"/>
          </w:tcPr>
          <w:p w14:paraId="00A15378" w14:textId="276DBC68" w:rsidR="00F649F7" w:rsidRPr="00805A80" w:rsidRDefault="004E41DF" w:rsidP="00694CD0">
            <w:pPr>
              <w:pStyle w:val="Tabletextcentred"/>
            </w:pPr>
            <w:r w:rsidRPr="00805A80">
              <w:t>90</w:t>
            </w:r>
          </w:p>
        </w:tc>
      </w:tr>
      <w:tr w:rsidR="00805A80" w:rsidRPr="00805A80" w14:paraId="4584B114" w14:textId="77777777" w:rsidTr="00805A80">
        <w:trPr>
          <w:trHeight w:val="20"/>
        </w:trPr>
        <w:tc>
          <w:tcPr>
            <w:tcW w:w="9923" w:type="dxa"/>
            <w:gridSpan w:val="8"/>
            <w:shd w:val="clear" w:color="auto" w:fill="00DCA1"/>
          </w:tcPr>
          <w:p w14:paraId="3AF66E49" w14:textId="397B6021" w:rsidR="00805A80" w:rsidRPr="00733B0F" w:rsidRDefault="00805A80" w:rsidP="00733B0F">
            <w:pPr>
              <w:pStyle w:val="Tableheadingcentred"/>
            </w:pPr>
            <w:r w:rsidRPr="00733B0F">
              <w:t>Remoteness area</w:t>
            </w:r>
          </w:p>
        </w:tc>
      </w:tr>
      <w:tr w:rsidR="00F649F7" w:rsidRPr="00805A80" w14:paraId="0B0E7DDB" w14:textId="77777777" w:rsidTr="00805A80">
        <w:trPr>
          <w:trHeight w:val="20"/>
        </w:trPr>
        <w:tc>
          <w:tcPr>
            <w:tcW w:w="2268" w:type="dxa"/>
          </w:tcPr>
          <w:p w14:paraId="3B067144" w14:textId="4CA48E68" w:rsidR="00F649F7" w:rsidRPr="00694CD0" w:rsidRDefault="00F649F7" w:rsidP="00694CD0">
            <w:pPr>
              <w:pStyle w:val="Tabletextindented"/>
            </w:pPr>
            <w:r w:rsidRPr="00694CD0">
              <w:t>Major cities</w:t>
            </w:r>
          </w:p>
        </w:tc>
        <w:tc>
          <w:tcPr>
            <w:tcW w:w="1271" w:type="dxa"/>
          </w:tcPr>
          <w:p w14:paraId="01340989" w14:textId="009A503B" w:rsidR="00F649F7" w:rsidRPr="00805A80" w:rsidRDefault="00F649F7" w:rsidP="00694CD0">
            <w:pPr>
              <w:pStyle w:val="Tabletextcentred"/>
            </w:pPr>
            <w:r w:rsidRPr="00805A80">
              <w:t>4,0</w:t>
            </w:r>
            <w:r w:rsidR="00AE421D" w:rsidRPr="00805A80">
              <w:t>81</w:t>
            </w:r>
          </w:p>
        </w:tc>
        <w:tc>
          <w:tcPr>
            <w:tcW w:w="851" w:type="dxa"/>
          </w:tcPr>
          <w:p w14:paraId="445E795A" w14:textId="39813C49" w:rsidR="00F649F7" w:rsidRPr="00805A80" w:rsidRDefault="00F649F7" w:rsidP="00694CD0">
            <w:pPr>
              <w:pStyle w:val="Tabletextcentred"/>
            </w:pPr>
            <w:r w:rsidRPr="00805A80">
              <w:t>4,41</w:t>
            </w:r>
            <w:r w:rsidR="00AE421D" w:rsidRPr="00805A80">
              <w:t>4</w:t>
            </w:r>
          </w:p>
        </w:tc>
        <w:tc>
          <w:tcPr>
            <w:tcW w:w="850" w:type="dxa"/>
          </w:tcPr>
          <w:p w14:paraId="77624E74" w14:textId="4DDB4077" w:rsidR="00F649F7" w:rsidRPr="00805A80" w:rsidRDefault="00F649F7" w:rsidP="00694CD0">
            <w:pPr>
              <w:pStyle w:val="Tabletextcentred"/>
            </w:pPr>
            <w:r w:rsidRPr="00805A80">
              <w:t>4,76</w:t>
            </w:r>
            <w:r w:rsidR="00AE421D" w:rsidRPr="00805A80">
              <w:t>5</w:t>
            </w:r>
          </w:p>
        </w:tc>
        <w:tc>
          <w:tcPr>
            <w:tcW w:w="992" w:type="dxa"/>
          </w:tcPr>
          <w:p w14:paraId="1168BEDD" w14:textId="7D22B260" w:rsidR="00F649F7" w:rsidRPr="00805A80" w:rsidRDefault="00F649F7" w:rsidP="00694CD0">
            <w:pPr>
              <w:pStyle w:val="Tabletextcentred"/>
            </w:pPr>
            <w:r w:rsidRPr="00805A80">
              <w:t>4,9</w:t>
            </w:r>
            <w:r w:rsidR="00AE421D" w:rsidRPr="00805A80">
              <w:t>90</w:t>
            </w:r>
          </w:p>
        </w:tc>
        <w:tc>
          <w:tcPr>
            <w:tcW w:w="993" w:type="dxa"/>
          </w:tcPr>
          <w:p w14:paraId="7A6EEE89" w14:textId="320BB69D" w:rsidR="00F649F7" w:rsidRPr="00805A80" w:rsidRDefault="00F649F7" w:rsidP="00694CD0">
            <w:pPr>
              <w:pStyle w:val="Tabletextcentred"/>
            </w:pPr>
            <w:r w:rsidRPr="00805A80">
              <w:t>4,48</w:t>
            </w:r>
            <w:r w:rsidR="00AE421D" w:rsidRPr="00805A80">
              <w:t>2</w:t>
            </w:r>
          </w:p>
        </w:tc>
        <w:tc>
          <w:tcPr>
            <w:tcW w:w="1134" w:type="dxa"/>
          </w:tcPr>
          <w:p w14:paraId="0CC1FE33" w14:textId="44535507" w:rsidR="00F649F7" w:rsidRPr="00805A80" w:rsidRDefault="00D277F0" w:rsidP="00694CD0">
            <w:pPr>
              <w:pStyle w:val="Tabletextcentred"/>
            </w:pPr>
            <w:r w:rsidRPr="00805A80">
              <w:t>4,452</w:t>
            </w:r>
          </w:p>
        </w:tc>
        <w:tc>
          <w:tcPr>
            <w:tcW w:w="1564" w:type="dxa"/>
          </w:tcPr>
          <w:p w14:paraId="0941AAE5" w14:textId="5FCE2985" w:rsidR="00F649F7" w:rsidRPr="00805A80" w:rsidRDefault="00F649F7" w:rsidP="00694CD0">
            <w:pPr>
              <w:pStyle w:val="Tabletextcentred"/>
            </w:pPr>
            <w:r w:rsidRPr="00805A80">
              <w:t>1,</w:t>
            </w:r>
            <w:r w:rsidR="00E0355D" w:rsidRPr="00805A80">
              <w:t>045</w:t>
            </w:r>
          </w:p>
        </w:tc>
      </w:tr>
      <w:tr w:rsidR="00F649F7" w:rsidRPr="00805A80" w14:paraId="07125F08" w14:textId="77777777" w:rsidTr="00805A80">
        <w:trPr>
          <w:trHeight w:val="20"/>
        </w:trPr>
        <w:tc>
          <w:tcPr>
            <w:tcW w:w="2268" w:type="dxa"/>
          </w:tcPr>
          <w:p w14:paraId="45FEFC7F" w14:textId="396516CD" w:rsidR="00F649F7" w:rsidRPr="00694CD0" w:rsidRDefault="00F649F7" w:rsidP="00694CD0">
            <w:pPr>
              <w:pStyle w:val="Tabletextindented"/>
            </w:pPr>
            <w:r w:rsidRPr="00694CD0">
              <w:t>Inner/outer regional</w:t>
            </w:r>
          </w:p>
        </w:tc>
        <w:tc>
          <w:tcPr>
            <w:tcW w:w="1271" w:type="dxa"/>
          </w:tcPr>
          <w:p w14:paraId="622967FB" w14:textId="637A40EE" w:rsidR="00F649F7" w:rsidRPr="00805A80" w:rsidRDefault="00F649F7" w:rsidP="00694CD0">
            <w:pPr>
              <w:pStyle w:val="Tabletextcentred"/>
            </w:pPr>
            <w:r w:rsidRPr="00805A80">
              <w:t>66</w:t>
            </w:r>
            <w:r w:rsidR="0042319D" w:rsidRPr="00805A80">
              <w:t>4</w:t>
            </w:r>
          </w:p>
        </w:tc>
        <w:tc>
          <w:tcPr>
            <w:tcW w:w="851" w:type="dxa"/>
          </w:tcPr>
          <w:p w14:paraId="6986EBD6" w14:textId="4C24E8CA" w:rsidR="00F649F7" w:rsidRPr="00805A80" w:rsidRDefault="00F649F7" w:rsidP="00694CD0">
            <w:pPr>
              <w:pStyle w:val="Tabletextcentred"/>
            </w:pPr>
            <w:r w:rsidRPr="00805A80">
              <w:t>60</w:t>
            </w:r>
            <w:r w:rsidR="0042319D" w:rsidRPr="00805A80">
              <w:t>8</w:t>
            </w:r>
          </w:p>
        </w:tc>
        <w:tc>
          <w:tcPr>
            <w:tcW w:w="850" w:type="dxa"/>
          </w:tcPr>
          <w:p w14:paraId="781260E8" w14:textId="6BE11655" w:rsidR="00F649F7" w:rsidRPr="00805A80" w:rsidRDefault="00F649F7" w:rsidP="00694CD0">
            <w:pPr>
              <w:pStyle w:val="Tabletextcentred"/>
            </w:pPr>
            <w:r w:rsidRPr="00805A80">
              <w:t>7</w:t>
            </w:r>
            <w:r w:rsidR="0042319D" w:rsidRPr="00805A80">
              <w:t>61</w:t>
            </w:r>
          </w:p>
        </w:tc>
        <w:tc>
          <w:tcPr>
            <w:tcW w:w="992" w:type="dxa"/>
          </w:tcPr>
          <w:p w14:paraId="741CA142" w14:textId="0CD25006" w:rsidR="00F649F7" w:rsidRPr="00805A80" w:rsidRDefault="00F649F7" w:rsidP="00694CD0">
            <w:pPr>
              <w:pStyle w:val="Tabletextcentred"/>
            </w:pPr>
            <w:r w:rsidRPr="00805A80">
              <w:t>91</w:t>
            </w:r>
            <w:r w:rsidR="0042319D" w:rsidRPr="00805A80">
              <w:t>7</w:t>
            </w:r>
          </w:p>
        </w:tc>
        <w:tc>
          <w:tcPr>
            <w:tcW w:w="993" w:type="dxa"/>
          </w:tcPr>
          <w:p w14:paraId="09636049" w14:textId="789BD39B" w:rsidR="00F649F7" w:rsidRPr="00805A80" w:rsidRDefault="00F649F7" w:rsidP="00694CD0">
            <w:pPr>
              <w:pStyle w:val="Tabletextcentred"/>
            </w:pPr>
            <w:r w:rsidRPr="00805A80">
              <w:t>92</w:t>
            </w:r>
            <w:r w:rsidR="0042319D" w:rsidRPr="00805A80">
              <w:t>2</w:t>
            </w:r>
          </w:p>
        </w:tc>
        <w:tc>
          <w:tcPr>
            <w:tcW w:w="1134" w:type="dxa"/>
          </w:tcPr>
          <w:p w14:paraId="44717502" w14:textId="162E6D38" w:rsidR="00F649F7" w:rsidRPr="00805A80" w:rsidRDefault="0042319D" w:rsidP="00694CD0">
            <w:pPr>
              <w:pStyle w:val="Tabletextcentred"/>
            </w:pPr>
            <w:r w:rsidRPr="00805A80">
              <w:t>957</w:t>
            </w:r>
          </w:p>
        </w:tc>
        <w:tc>
          <w:tcPr>
            <w:tcW w:w="1564" w:type="dxa"/>
          </w:tcPr>
          <w:p w14:paraId="4FA2B92C" w14:textId="51E11493" w:rsidR="00F649F7" w:rsidRPr="00805A80" w:rsidRDefault="00F649F7" w:rsidP="00694CD0">
            <w:pPr>
              <w:pStyle w:val="Tabletextcentred"/>
            </w:pPr>
            <w:r w:rsidRPr="00805A80">
              <w:t>2</w:t>
            </w:r>
            <w:r w:rsidR="00C665D6" w:rsidRPr="00805A80">
              <w:t>63</w:t>
            </w:r>
          </w:p>
        </w:tc>
      </w:tr>
      <w:tr w:rsidR="00F649F7" w:rsidRPr="00805A80" w14:paraId="540FD7FB" w14:textId="77777777" w:rsidTr="00805A80">
        <w:trPr>
          <w:trHeight w:val="20"/>
        </w:trPr>
        <w:tc>
          <w:tcPr>
            <w:tcW w:w="2268" w:type="dxa"/>
          </w:tcPr>
          <w:p w14:paraId="66D46915" w14:textId="208D0662" w:rsidR="00F649F7" w:rsidRPr="00694CD0" w:rsidRDefault="00F649F7" w:rsidP="00694CD0">
            <w:pPr>
              <w:pStyle w:val="Tabletextindented"/>
            </w:pPr>
            <w:r w:rsidRPr="00694CD0">
              <w:t>Remote/very remote</w:t>
            </w:r>
          </w:p>
        </w:tc>
        <w:tc>
          <w:tcPr>
            <w:tcW w:w="1271" w:type="dxa"/>
          </w:tcPr>
          <w:p w14:paraId="7DD026CA" w14:textId="57B8E383" w:rsidR="00F649F7" w:rsidRPr="00805A80" w:rsidRDefault="00F649F7" w:rsidP="00694CD0">
            <w:pPr>
              <w:pStyle w:val="Tabletextcentred"/>
            </w:pPr>
            <w:r w:rsidRPr="00805A80">
              <w:t>48</w:t>
            </w:r>
            <w:r w:rsidR="00D35E0F" w:rsidRPr="00805A80">
              <w:t>7</w:t>
            </w:r>
          </w:p>
        </w:tc>
        <w:tc>
          <w:tcPr>
            <w:tcW w:w="851" w:type="dxa"/>
          </w:tcPr>
          <w:p w14:paraId="356CFD42" w14:textId="08B8CBED" w:rsidR="00F649F7" w:rsidRPr="00805A80" w:rsidRDefault="00F649F7" w:rsidP="00694CD0">
            <w:pPr>
              <w:pStyle w:val="Tabletextcentred"/>
            </w:pPr>
            <w:r w:rsidRPr="00805A80">
              <w:t>57</w:t>
            </w:r>
            <w:r w:rsidR="00D35E0F" w:rsidRPr="00805A80">
              <w:t>2</w:t>
            </w:r>
          </w:p>
        </w:tc>
        <w:tc>
          <w:tcPr>
            <w:tcW w:w="850" w:type="dxa"/>
          </w:tcPr>
          <w:p w14:paraId="313C99C7" w14:textId="718CCCF4" w:rsidR="00F649F7" w:rsidRPr="00805A80" w:rsidRDefault="00F649F7" w:rsidP="00694CD0">
            <w:pPr>
              <w:pStyle w:val="Tabletextcentred"/>
            </w:pPr>
            <w:r w:rsidRPr="00805A80">
              <w:t>463</w:t>
            </w:r>
          </w:p>
        </w:tc>
        <w:tc>
          <w:tcPr>
            <w:tcW w:w="992" w:type="dxa"/>
          </w:tcPr>
          <w:p w14:paraId="7CE44819" w14:textId="77598337" w:rsidR="00F649F7" w:rsidRPr="00805A80" w:rsidRDefault="00F649F7" w:rsidP="00694CD0">
            <w:pPr>
              <w:pStyle w:val="Tabletextcentred"/>
            </w:pPr>
            <w:r w:rsidRPr="00805A80">
              <w:t>4</w:t>
            </w:r>
            <w:r w:rsidR="00D35E0F" w:rsidRPr="00805A80">
              <w:t>68</w:t>
            </w:r>
          </w:p>
        </w:tc>
        <w:tc>
          <w:tcPr>
            <w:tcW w:w="993" w:type="dxa"/>
          </w:tcPr>
          <w:p w14:paraId="5CAEDAFF" w14:textId="1F325284" w:rsidR="00F649F7" w:rsidRPr="00805A80" w:rsidRDefault="00F649F7" w:rsidP="00694CD0">
            <w:pPr>
              <w:pStyle w:val="Tabletextcentred"/>
            </w:pPr>
            <w:r w:rsidRPr="00805A80">
              <w:t>41</w:t>
            </w:r>
            <w:r w:rsidR="00D35E0F" w:rsidRPr="00805A80">
              <w:t>2</w:t>
            </w:r>
          </w:p>
        </w:tc>
        <w:tc>
          <w:tcPr>
            <w:tcW w:w="1134" w:type="dxa"/>
          </w:tcPr>
          <w:p w14:paraId="3B14427A" w14:textId="717AD7DE" w:rsidR="00F649F7" w:rsidRPr="00805A80" w:rsidRDefault="00D35E0F" w:rsidP="00694CD0">
            <w:pPr>
              <w:pStyle w:val="Tabletextcentred"/>
            </w:pPr>
            <w:r w:rsidRPr="00805A80">
              <w:t>481</w:t>
            </w:r>
          </w:p>
        </w:tc>
        <w:tc>
          <w:tcPr>
            <w:tcW w:w="1564" w:type="dxa"/>
          </w:tcPr>
          <w:p w14:paraId="134713FF" w14:textId="43537121" w:rsidR="00F649F7" w:rsidRPr="00805A80" w:rsidRDefault="00F649F7" w:rsidP="00694CD0">
            <w:pPr>
              <w:pStyle w:val="Tabletextcentred"/>
            </w:pPr>
            <w:r w:rsidRPr="00805A80">
              <w:t>1</w:t>
            </w:r>
            <w:r w:rsidR="00C665D6" w:rsidRPr="00805A80">
              <w:t>39</w:t>
            </w:r>
          </w:p>
        </w:tc>
      </w:tr>
      <w:tr w:rsidR="00F649F7" w:rsidRPr="00805A80" w14:paraId="3658BF60" w14:textId="77777777" w:rsidTr="00805A80">
        <w:trPr>
          <w:trHeight w:val="20"/>
        </w:trPr>
        <w:tc>
          <w:tcPr>
            <w:tcW w:w="2268" w:type="dxa"/>
          </w:tcPr>
          <w:p w14:paraId="7EDDAA4C" w14:textId="3C3D3562" w:rsidR="00F649F7" w:rsidRPr="00694CD0" w:rsidRDefault="00F649F7" w:rsidP="00694CD0">
            <w:pPr>
              <w:pStyle w:val="Tabletextindented"/>
            </w:pPr>
            <w:r w:rsidRPr="00694CD0">
              <w:t>Not reported/ overseas resident</w:t>
            </w:r>
          </w:p>
        </w:tc>
        <w:tc>
          <w:tcPr>
            <w:tcW w:w="1271" w:type="dxa"/>
          </w:tcPr>
          <w:p w14:paraId="18DB17F4" w14:textId="22D871D5" w:rsidR="00F649F7" w:rsidRPr="00805A80" w:rsidRDefault="00F649F7" w:rsidP="00694CD0">
            <w:pPr>
              <w:pStyle w:val="Tabletextcentred"/>
            </w:pPr>
            <w:r w:rsidRPr="00805A80">
              <w:t>131</w:t>
            </w:r>
          </w:p>
        </w:tc>
        <w:tc>
          <w:tcPr>
            <w:tcW w:w="851" w:type="dxa"/>
          </w:tcPr>
          <w:p w14:paraId="2832A650" w14:textId="32FC2184" w:rsidR="00F649F7" w:rsidRPr="00805A80" w:rsidRDefault="00F649F7" w:rsidP="00694CD0">
            <w:pPr>
              <w:pStyle w:val="Tabletextcentred"/>
            </w:pPr>
            <w:r w:rsidRPr="00805A80">
              <w:t>1</w:t>
            </w:r>
            <w:r w:rsidR="002D461C" w:rsidRPr="00805A80">
              <w:t>65</w:t>
            </w:r>
          </w:p>
        </w:tc>
        <w:tc>
          <w:tcPr>
            <w:tcW w:w="850" w:type="dxa"/>
          </w:tcPr>
          <w:p w14:paraId="3A230728" w14:textId="4C167404" w:rsidR="00F649F7" w:rsidRPr="00805A80" w:rsidRDefault="002D461C" w:rsidP="00694CD0">
            <w:pPr>
              <w:pStyle w:val="Tabletextcentred"/>
            </w:pPr>
            <w:r w:rsidRPr="00805A80">
              <w:t>193</w:t>
            </w:r>
          </w:p>
        </w:tc>
        <w:tc>
          <w:tcPr>
            <w:tcW w:w="992" w:type="dxa"/>
          </w:tcPr>
          <w:p w14:paraId="6CD656EE" w14:textId="61BCBCBF" w:rsidR="00F649F7" w:rsidRPr="00805A80" w:rsidRDefault="002D461C" w:rsidP="00694CD0">
            <w:pPr>
              <w:pStyle w:val="Tabletextcentred"/>
            </w:pPr>
            <w:r w:rsidRPr="00805A80">
              <w:t>189</w:t>
            </w:r>
          </w:p>
        </w:tc>
        <w:tc>
          <w:tcPr>
            <w:tcW w:w="993" w:type="dxa"/>
          </w:tcPr>
          <w:p w14:paraId="75D1DAA6" w14:textId="695CA1CA" w:rsidR="00F649F7" w:rsidRPr="00805A80" w:rsidRDefault="002D461C" w:rsidP="00694CD0">
            <w:pPr>
              <w:pStyle w:val="Tabletextcentred"/>
            </w:pPr>
            <w:r w:rsidRPr="00805A80">
              <w:t>161</w:t>
            </w:r>
          </w:p>
        </w:tc>
        <w:tc>
          <w:tcPr>
            <w:tcW w:w="1134" w:type="dxa"/>
          </w:tcPr>
          <w:p w14:paraId="0EBE0B9E" w14:textId="57264FEB" w:rsidR="00F649F7" w:rsidRPr="00805A80" w:rsidRDefault="002D461C" w:rsidP="00694CD0">
            <w:pPr>
              <w:pStyle w:val="Tabletextcentred"/>
            </w:pPr>
            <w:r w:rsidRPr="00805A80">
              <w:t>181</w:t>
            </w:r>
          </w:p>
        </w:tc>
        <w:tc>
          <w:tcPr>
            <w:tcW w:w="1564" w:type="dxa"/>
          </w:tcPr>
          <w:p w14:paraId="2BD062DF" w14:textId="0C6DECEB" w:rsidR="00F649F7" w:rsidRPr="00805A80" w:rsidRDefault="00CD6F5A" w:rsidP="00694CD0">
            <w:pPr>
              <w:pStyle w:val="Tabletextcentred"/>
            </w:pPr>
            <w:r w:rsidRPr="00805A80">
              <w:t>25</w:t>
            </w:r>
          </w:p>
        </w:tc>
      </w:tr>
    </w:tbl>
    <w:p w14:paraId="04EF0421" w14:textId="1C063A15" w:rsidR="0005643F" w:rsidRPr="001D443D" w:rsidRDefault="0005643F" w:rsidP="001D443D">
      <w:pPr>
        <w:pStyle w:val="FootnoteText"/>
      </w:pPr>
      <w:r w:rsidRPr="001D443D">
        <w:t>Note:</w:t>
      </w:r>
    </w:p>
    <w:p w14:paraId="49684D3D" w14:textId="533B7180" w:rsidR="004505F2" w:rsidRPr="001D443D" w:rsidRDefault="00B11CC0" w:rsidP="001D443D">
      <w:pPr>
        <w:pStyle w:val="FootnoteText"/>
      </w:pPr>
      <w:r w:rsidRPr="001D443D">
        <w:t>1</w:t>
      </w:r>
      <w:r w:rsidR="00206C3D" w:rsidRPr="001D443D">
        <w:t xml:space="preserve"> </w:t>
      </w:r>
      <w:r w:rsidR="0052703F" w:rsidRPr="001D443D">
        <w:t>People who reported their sex assigned at birth as a term other than male or female.</w:t>
      </w:r>
    </w:p>
    <w:p w14:paraId="72CF60D6" w14:textId="56DC6F02" w:rsidR="00B07C1A" w:rsidRPr="003B0230" w:rsidRDefault="00B07C1A" w:rsidP="003B0230">
      <w:pPr>
        <w:pStyle w:val="Heading2"/>
      </w:pPr>
      <w:bookmarkStart w:id="23" w:name="_Toc241658042"/>
      <w:r w:rsidRPr="003B0230">
        <w:lastRenderedPageBreak/>
        <w:t>Indicator 2.1 – Notification rates</w:t>
      </w:r>
      <w:bookmarkEnd w:id="23"/>
    </w:p>
    <w:p w14:paraId="6BB24EF3" w14:textId="415B9E29" w:rsidR="007A7C8F" w:rsidRPr="009A2544" w:rsidRDefault="007A7C8F" w:rsidP="00821A4F">
      <w:pPr>
        <w:pStyle w:val="Boxemerald"/>
      </w:pPr>
      <w:r w:rsidRPr="009A2544">
        <w:t>2.1 Notification rate of infectious syphilis by Indigenous status, sex, age and remoteness area classification</w:t>
      </w:r>
    </w:p>
    <w:p w14:paraId="328BB4F1" w14:textId="369C0E0E" w:rsidR="007A7C8F" w:rsidRPr="009A2544" w:rsidRDefault="007A7C8F" w:rsidP="008124BF">
      <w:pPr>
        <w:pStyle w:val="Heading3"/>
      </w:pPr>
      <w:bookmarkStart w:id="24" w:name="_Toc241658043"/>
      <w:r w:rsidRPr="009A2544">
        <w:t>Aboriginal and Torres Strait Islander males</w:t>
      </w:r>
      <w:bookmarkEnd w:id="24"/>
    </w:p>
    <w:p w14:paraId="34A95459" w14:textId="09B36435" w:rsidR="007A7C8F" w:rsidRPr="009A2544" w:rsidRDefault="003004C0" w:rsidP="00821A4F">
      <w:pPr>
        <w:keepNext/>
      </w:pPr>
      <w:r w:rsidRPr="009A2544">
        <w:t>In Q</w:t>
      </w:r>
      <w:r w:rsidR="007051E4" w:rsidRPr="009A2544">
        <w:t>1</w:t>
      </w:r>
      <w:r w:rsidRPr="009A2544">
        <w:t xml:space="preserve"> 202</w:t>
      </w:r>
      <w:r w:rsidR="007051E4" w:rsidRPr="009A2544">
        <w:t>6</w:t>
      </w:r>
      <w:r w:rsidRPr="009A2544">
        <w:t xml:space="preserve">, notification rates among Aboriginal and Torres Strait Islander males </w:t>
      </w:r>
      <w:r w:rsidR="00A14C14" w:rsidRPr="009A2544">
        <w:t xml:space="preserve">increased </w:t>
      </w:r>
      <w:r w:rsidRPr="009A2544">
        <w:t xml:space="preserve">across most age groups in </w:t>
      </w:r>
      <w:r w:rsidR="0025543A" w:rsidRPr="009A2544">
        <w:t xml:space="preserve">all geographical areas </w:t>
      </w:r>
      <w:r w:rsidRPr="009A2544">
        <w:t xml:space="preserve">compared to the 12-month quarterly mean. </w:t>
      </w:r>
      <w:r w:rsidR="002017FA" w:rsidRPr="009A2544">
        <w:t>The greatest increases were reported in major cities of Australia in 15</w:t>
      </w:r>
      <w:r w:rsidR="0035474C">
        <w:t>–</w:t>
      </w:r>
      <w:proofErr w:type="gramStart"/>
      <w:r w:rsidR="002017FA" w:rsidRPr="009A2544">
        <w:t>24 year</w:t>
      </w:r>
      <w:r w:rsidR="003E0E86">
        <w:t>-</w:t>
      </w:r>
      <w:r w:rsidR="002017FA" w:rsidRPr="009A2544">
        <w:t>olds</w:t>
      </w:r>
      <w:proofErr w:type="gramEnd"/>
      <w:r w:rsidR="002017FA" w:rsidRPr="009A2544">
        <w:t xml:space="preserve"> </w:t>
      </w:r>
      <w:r w:rsidR="00F5471B" w:rsidRPr="009A2544">
        <w:t xml:space="preserve">(57%) </w:t>
      </w:r>
      <w:r w:rsidR="002017FA" w:rsidRPr="009A2544">
        <w:t xml:space="preserve">followed by </w:t>
      </w:r>
      <w:r w:rsidR="004E75E6" w:rsidRPr="009A2544">
        <w:t>35</w:t>
      </w:r>
      <w:r w:rsidR="0035474C">
        <w:t>–</w:t>
      </w:r>
      <w:proofErr w:type="gramStart"/>
      <w:r w:rsidR="004E75E6" w:rsidRPr="009A2544">
        <w:t>44 year</w:t>
      </w:r>
      <w:r w:rsidR="003E0E86">
        <w:t>-</w:t>
      </w:r>
      <w:r w:rsidR="004E75E6" w:rsidRPr="009A2544">
        <w:t>olds</w:t>
      </w:r>
      <w:proofErr w:type="gramEnd"/>
      <w:r w:rsidR="00F5471B" w:rsidRPr="009A2544">
        <w:t xml:space="preserve"> (52%)</w:t>
      </w:r>
      <w:r w:rsidR="004E75E6" w:rsidRPr="009A2544">
        <w:t xml:space="preserve"> </w:t>
      </w:r>
      <w:r w:rsidR="006115ED" w:rsidRPr="009A2544">
        <w:t>over the same comparison period</w:t>
      </w:r>
      <w:r w:rsidR="00F5471B" w:rsidRPr="009A2544">
        <w:t xml:space="preserve"> </w:t>
      </w:r>
      <w:r w:rsidR="007A7C8F" w:rsidRPr="009A2544">
        <w:t>(</w:t>
      </w:r>
      <w:r w:rsidR="00BF6E56" w:rsidRPr="009A2544">
        <w:fldChar w:fldCharType="begin" w:fldLock="1"/>
      </w:r>
      <w:r w:rsidR="00BF6E56" w:rsidRPr="009A2544">
        <w:instrText xml:space="preserve"> REF _Ref238208211 \r \h  \* MERGEFORMAT </w:instrText>
      </w:r>
      <w:r w:rsidR="00BF6E56" w:rsidRPr="009A2544">
        <w:fldChar w:fldCharType="separate"/>
      </w:r>
      <w:r w:rsidR="00BF6E56" w:rsidRPr="009A2544">
        <w:t>Figure 5</w:t>
      </w:r>
      <w:r w:rsidR="00BF6E56" w:rsidRPr="009A2544">
        <w:fldChar w:fldCharType="end"/>
      </w:r>
      <w:r w:rsidR="00BF6E56" w:rsidRPr="009A2544">
        <w:t xml:space="preserve"> a-c</w:t>
      </w:r>
      <w:r w:rsidR="007A7C8F" w:rsidRPr="009A2544">
        <w:t xml:space="preserve">). </w:t>
      </w:r>
    </w:p>
    <w:p w14:paraId="5F15A928" w14:textId="77777777" w:rsidR="007A7C8F" w:rsidRPr="009A2544" w:rsidRDefault="007A7C8F" w:rsidP="008124BF">
      <w:pPr>
        <w:pStyle w:val="Heading3"/>
      </w:pPr>
      <w:bookmarkStart w:id="25" w:name="_Toc241658044"/>
      <w:r w:rsidRPr="009A2544">
        <w:t>Non-Indigenous males</w:t>
      </w:r>
      <w:bookmarkEnd w:id="25"/>
    </w:p>
    <w:p w14:paraId="5D0740AA" w14:textId="09C13637" w:rsidR="007A7C8F" w:rsidRPr="009A2544" w:rsidRDefault="007A7C8F" w:rsidP="00E57389">
      <w:r w:rsidRPr="009A2544">
        <w:t>On average non-Indigenous males represent around 8</w:t>
      </w:r>
      <w:r w:rsidR="00594161" w:rsidRPr="009A2544">
        <w:t>0</w:t>
      </w:r>
      <w:r w:rsidRPr="009A2544">
        <w:t>% of all infectious syphilis notifications, with most of these cases reported in major cities of Australia (</w:t>
      </w:r>
      <w:r w:rsidR="00E57389" w:rsidRPr="009A2544">
        <w:fldChar w:fldCharType="begin" w:fldLock="1"/>
      </w:r>
      <w:r w:rsidR="00E57389" w:rsidRPr="009A2544">
        <w:instrText xml:space="preserve"> REF _Ref238208312 \r \h  \* MERGEFORMAT </w:instrText>
      </w:r>
      <w:r w:rsidR="00E57389" w:rsidRPr="009A2544">
        <w:fldChar w:fldCharType="separate"/>
      </w:r>
      <w:r w:rsidR="00E57389" w:rsidRPr="009A2544">
        <w:t>Figure 5</w:t>
      </w:r>
      <w:r w:rsidR="00E57389" w:rsidRPr="009A2544">
        <w:fldChar w:fldCharType="end"/>
      </w:r>
      <w:r w:rsidR="00E57389" w:rsidRPr="009A2544">
        <w:t xml:space="preserve"> a</w:t>
      </w:r>
      <w:r w:rsidRPr="009A2544">
        <w:t>). In Q</w:t>
      </w:r>
      <w:r w:rsidR="00E57389" w:rsidRPr="009A2544">
        <w:t>1</w:t>
      </w:r>
      <w:r w:rsidRPr="009A2544">
        <w:t xml:space="preserve"> 202</w:t>
      </w:r>
      <w:r w:rsidR="00E57389" w:rsidRPr="009A2544">
        <w:t>6</w:t>
      </w:r>
      <w:r w:rsidRPr="009A2544">
        <w:t>, notification rates in most age groups across all remoteness areas reported a decrease</w:t>
      </w:r>
      <w:r w:rsidR="001A47EE" w:rsidRPr="009A2544">
        <w:t xml:space="preserve"> or were similar </w:t>
      </w:r>
      <w:r w:rsidRPr="009A2544">
        <w:t>compared to the 12 month and 5</w:t>
      </w:r>
      <w:r w:rsidR="003E0E86">
        <w:t>-</w:t>
      </w:r>
      <w:r w:rsidRPr="009A2544">
        <w:t>year quarterly mean (</w:t>
      </w:r>
      <w:r w:rsidR="00E57389" w:rsidRPr="009A2544">
        <w:fldChar w:fldCharType="begin" w:fldLock="1"/>
      </w:r>
      <w:r w:rsidR="00E57389" w:rsidRPr="009A2544">
        <w:instrText xml:space="preserve"> REF _Ref238208345 \r \h  \* MERGEFORMAT </w:instrText>
      </w:r>
      <w:r w:rsidR="00E57389" w:rsidRPr="009A2544">
        <w:fldChar w:fldCharType="separate"/>
      </w:r>
      <w:r w:rsidR="00E57389" w:rsidRPr="009A2544">
        <w:t>Figure 5</w:t>
      </w:r>
      <w:r w:rsidR="00E57389" w:rsidRPr="009A2544">
        <w:fldChar w:fldCharType="end"/>
      </w:r>
      <w:r w:rsidR="00E57389" w:rsidRPr="009A2544">
        <w:t xml:space="preserve"> a-c</w:t>
      </w:r>
      <w:r w:rsidRPr="009A2544">
        <w:t>).</w:t>
      </w:r>
    </w:p>
    <w:p w14:paraId="7A48B17D" w14:textId="77777777" w:rsidR="007A7C8F" w:rsidRPr="009A2544" w:rsidRDefault="007A7C8F" w:rsidP="008124BF">
      <w:pPr>
        <w:pStyle w:val="Heading3"/>
      </w:pPr>
      <w:bookmarkStart w:id="26" w:name="_Toc241658045"/>
      <w:r w:rsidRPr="009A2544">
        <w:t>Aboriginal and Torres Strait Islander females</w:t>
      </w:r>
      <w:bookmarkEnd w:id="26"/>
    </w:p>
    <w:p w14:paraId="4991E49C" w14:textId="71AECC31" w:rsidR="00A926BE" w:rsidRPr="009A2544" w:rsidRDefault="004A6826" w:rsidP="007A7C8F">
      <w:r w:rsidRPr="009A2544">
        <w:t>In Q</w:t>
      </w:r>
      <w:r w:rsidR="00926558" w:rsidRPr="009A2544">
        <w:t>1</w:t>
      </w:r>
      <w:r w:rsidRPr="009A2544">
        <w:t xml:space="preserve"> 202</w:t>
      </w:r>
      <w:r w:rsidR="00926558" w:rsidRPr="009A2544">
        <w:t>6</w:t>
      </w:r>
      <w:r w:rsidRPr="009A2544">
        <w:t>, Aboriginal and Torres Strait Islander females aged 15</w:t>
      </w:r>
      <w:r w:rsidR="0035474C">
        <w:t>–</w:t>
      </w:r>
      <w:r w:rsidRPr="009A2544">
        <w:t xml:space="preserve">24 years in remote/very remote areas recorded the highest notification rate among all population and geographical groups, with a </w:t>
      </w:r>
      <w:r w:rsidR="007E2369" w:rsidRPr="009A2544">
        <w:t xml:space="preserve">notification </w:t>
      </w:r>
      <w:r w:rsidRPr="009A2544">
        <w:t xml:space="preserve">rate of </w:t>
      </w:r>
      <w:r w:rsidR="00E66B40" w:rsidRPr="009A2544">
        <w:t>308</w:t>
      </w:r>
      <w:r w:rsidRPr="009A2544">
        <w:t xml:space="preserve"> per 100,000 (</w:t>
      </w:r>
      <w:r w:rsidR="00E66B40" w:rsidRPr="009A2544">
        <w:fldChar w:fldCharType="begin" w:fldLock="1"/>
      </w:r>
      <w:r w:rsidR="00E66B40" w:rsidRPr="009A2544">
        <w:instrText xml:space="preserve"> REF _Ref238208461 \r \h  \* MERGEFORMAT </w:instrText>
      </w:r>
      <w:r w:rsidR="00E66B40" w:rsidRPr="009A2544">
        <w:fldChar w:fldCharType="separate"/>
      </w:r>
      <w:r w:rsidR="00E66B40" w:rsidRPr="009A2544">
        <w:t>Figure 6</w:t>
      </w:r>
      <w:r w:rsidR="00E66B40" w:rsidRPr="009A2544">
        <w:fldChar w:fldCharType="end"/>
      </w:r>
      <w:r w:rsidR="00E66B40" w:rsidRPr="009A2544">
        <w:t xml:space="preserve"> c</w:t>
      </w:r>
      <w:r w:rsidRPr="009A2544">
        <w:t>)</w:t>
      </w:r>
      <w:r w:rsidR="00D86555" w:rsidRPr="009A2544">
        <w:t>, increasing by 17% compared to the 12</w:t>
      </w:r>
      <w:r w:rsidR="003E0E86">
        <w:t>-</w:t>
      </w:r>
      <w:r w:rsidR="00D86555" w:rsidRPr="009A2544">
        <w:t>month quarterly mean</w:t>
      </w:r>
      <w:r w:rsidR="00BB1B3B" w:rsidRPr="009A2544">
        <w:t xml:space="preserve"> (</w:t>
      </w:r>
      <w:r w:rsidR="00BB1B3B" w:rsidRPr="009A2544">
        <w:fldChar w:fldCharType="begin" w:fldLock="1"/>
      </w:r>
      <w:r w:rsidR="00BB1B3B" w:rsidRPr="009A2544">
        <w:instrText xml:space="preserve"> REF _Ref238208461 \r \h  \* MERGEFORMAT </w:instrText>
      </w:r>
      <w:r w:rsidR="00BB1B3B" w:rsidRPr="009A2544">
        <w:fldChar w:fldCharType="separate"/>
      </w:r>
      <w:r w:rsidR="00BB1B3B" w:rsidRPr="009A2544">
        <w:t>Figure 6</w:t>
      </w:r>
      <w:r w:rsidR="00BB1B3B" w:rsidRPr="009A2544">
        <w:fldChar w:fldCharType="end"/>
      </w:r>
      <w:r w:rsidR="00BB1B3B" w:rsidRPr="009A2544">
        <w:t xml:space="preserve"> c).</w:t>
      </w:r>
      <w:r w:rsidR="00A926BE" w:rsidRPr="009A2544">
        <w:t xml:space="preserve"> </w:t>
      </w:r>
    </w:p>
    <w:p w14:paraId="51CE12A7" w14:textId="6D4BFBC5" w:rsidR="007A7C8F" w:rsidRPr="009A2544" w:rsidRDefault="00A926BE" w:rsidP="007A7C8F">
      <w:r w:rsidRPr="009A2544">
        <w:t xml:space="preserve">Across other </w:t>
      </w:r>
      <w:r w:rsidR="004A6826" w:rsidRPr="009A2544">
        <w:t>geographical areas</w:t>
      </w:r>
      <w:r w:rsidR="008E495B" w:rsidRPr="009A2544">
        <w:t xml:space="preserve"> and age groups,</w:t>
      </w:r>
      <w:r w:rsidR="004A6826" w:rsidRPr="009A2544">
        <w:t xml:space="preserve"> </w:t>
      </w:r>
      <w:r w:rsidR="008E495B" w:rsidRPr="009A2544">
        <w:t xml:space="preserve">the greatest </w:t>
      </w:r>
      <w:r w:rsidR="004A6826" w:rsidRPr="009A2544">
        <w:t>increases in notification rates compared to the 12</w:t>
      </w:r>
      <w:r w:rsidR="003E0E86">
        <w:t>-</w:t>
      </w:r>
      <w:r w:rsidR="004A6826" w:rsidRPr="009A2544">
        <w:t xml:space="preserve">month quarterly mean </w:t>
      </w:r>
      <w:r w:rsidR="008E495B" w:rsidRPr="009A2544">
        <w:t>were</w:t>
      </w:r>
      <w:r w:rsidR="004A6826" w:rsidRPr="009A2544">
        <w:t xml:space="preserve"> reported in </w:t>
      </w:r>
      <w:r w:rsidR="003E0E86" w:rsidRPr="009A2544">
        <w:t>25–</w:t>
      </w:r>
      <w:proofErr w:type="gramStart"/>
      <w:r w:rsidR="003E0E86" w:rsidRPr="009A2544">
        <w:t>34</w:t>
      </w:r>
      <w:r w:rsidR="003E0E86">
        <w:t xml:space="preserve"> </w:t>
      </w:r>
      <w:r w:rsidR="003E0E86" w:rsidRPr="009A2544">
        <w:t>year-olds</w:t>
      </w:r>
      <w:proofErr w:type="gramEnd"/>
      <w:r w:rsidR="008E495B" w:rsidRPr="009A2544">
        <w:t xml:space="preserve"> in remote/very remote areas </w:t>
      </w:r>
      <w:r w:rsidR="0066129E" w:rsidRPr="009A2544">
        <w:t xml:space="preserve">(47%) and </w:t>
      </w:r>
      <w:r w:rsidR="002C7425" w:rsidRPr="009A2544">
        <w:t>major cities of Australia</w:t>
      </w:r>
      <w:r w:rsidR="0066129E" w:rsidRPr="009A2544">
        <w:t xml:space="preserve"> (</w:t>
      </w:r>
      <w:r w:rsidR="002C7425" w:rsidRPr="009A2544">
        <w:t>48</w:t>
      </w:r>
      <w:r w:rsidR="0066129E" w:rsidRPr="009A2544">
        <w:t>%)</w:t>
      </w:r>
      <w:r w:rsidR="004A6826" w:rsidRPr="009A2544">
        <w:t xml:space="preserve"> </w:t>
      </w:r>
      <w:r w:rsidR="007A7C8F" w:rsidRPr="009A2544">
        <w:t>(</w:t>
      </w:r>
      <w:r w:rsidR="00BD7DAA" w:rsidRPr="009A2544">
        <w:fldChar w:fldCharType="begin" w:fldLock="1"/>
      </w:r>
      <w:r w:rsidR="00BD7DAA" w:rsidRPr="009A2544">
        <w:instrText xml:space="preserve"> REF _Ref238208746 \r \h  \* MERGEFORMAT </w:instrText>
      </w:r>
      <w:r w:rsidR="00BD7DAA" w:rsidRPr="009A2544">
        <w:fldChar w:fldCharType="separate"/>
      </w:r>
      <w:r w:rsidR="00BD7DAA" w:rsidRPr="009A2544">
        <w:t>Figure 6</w:t>
      </w:r>
      <w:r w:rsidR="00BD7DAA" w:rsidRPr="009A2544">
        <w:fldChar w:fldCharType="end"/>
      </w:r>
      <w:r w:rsidR="00BD7DAA" w:rsidRPr="009A2544">
        <w:t xml:space="preserve"> a-c</w:t>
      </w:r>
      <w:r w:rsidR="007A7C8F" w:rsidRPr="009A2544">
        <w:t xml:space="preserve">). </w:t>
      </w:r>
    </w:p>
    <w:p w14:paraId="69AE6F73" w14:textId="77777777" w:rsidR="007A7C8F" w:rsidRPr="009A2544" w:rsidRDefault="007A7C8F" w:rsidP="008124BF">
      <w:pPr>
        <w:pStyle w:val="Heading3"/>
      </w:pPr>
      <w:bookmarkStart w:id="27" w:name="_Toc241658046"/>
      <w:r w:rsidRPr="009A2544">
        <w:t>Non-Indigenous females</w:t>
      </w:r>
      <w:bookmarkEnd w:id="27"/>
    </w:p>
    <w:p w14:paraId="63F6865C" w14:textId="36017D5D" w:rsidR="00161F63" w:rsidRDefault="008F0E2E" w:rsidP="007A7C8F">
      <w:r w:rsidRPr="009A2544">
        <w:t>In Q</w:t>
      </w:r>
      <w:r w:rsidR="00DA38DB" w:rsidRPr="009A2544">
        <w:t>1</w:t>
      </w:r>
      <w:r w:rsidRPr="009A2544">
        <w:t xml:space="preserve"> 202</w:t>
      </w:r>
      <w:r w:rsidR="00DA38DB" w:rsidRPr="009A2544">
        <w:t>6</w:t>
      </w:r>
      <w:r w:rsidRPr="009A2544">
        <w:t>, compared to the 12</w:t>
      </w:r>
      <w:r w:rsidR="003E0E86">
        <w:t>-</w:t>
      </w:r>
      <w:r w:rsidRPr="009A2544">
        <w:t xml:space="preserve">month quarterly mean, notification rates in non-Indigenous females showed small declines or remained similar across most age and geographical groups, except for females aged </w:t>
      </w:r>
      <w:r w:rsidR="00BF70FD" w:rsidRPr="009A2544">
        <w:t>25</w:t>
      </w:r>
      <w:r w:rsidR="00600933">
        <w:t>–</w:t>
      </w:r>
      <w:r w:rsidR="00BF70FD" w:rsidRPr="009A2544">
        <w:t>34</w:t>
      </w:r>
      <w:r w:rsidR="000A044B" w:rsidRPr="009A2544">
        <w:t xml:space="preserve"> and 45+ years in</w:t>
      </w:r>
      <w:r w:rsidR="00517E24" w:rsidRPr="009A2544">
        <w:t xml:space="preserve"> inner/outer regional areas </w:t>
      </w:r>
      <w:r w:rsidRPr="009A2544">
        <w:t>where an increasing trend was observed (</w:t>
      </w:r>
      <w:r w:rsidR="00652125" w:rsidRPr="009A2544">
        <w:fldChar w:fldCharType="begin" w:fldLock="1"/>
      </w:r>
      <w:r w:rsidR="00652125" w:rsidRPr="009A2544">
        <w:instrText xml:space="preserve"> REF _Ref238208875 \r \h  \* MERGEFORMAT </w:instrText>
      </w:r>
      <w:r w:rsidR="00652125" w:rsidRPr="009A2544">
        <w:fldChar w:fldCharType="separate"/>
      </w:r>
      <w:r w:rsidR="00652125" w:rsidRPr="009A2544">
        <w:t>Figure 6</w:t>
      </w:r>
      <w:r w:rsidR="00652125" w:rsidRPr="009A2544">
        <w:fldChar w:fldCharType="end"/>
      </w:r>
      <w:r w:rsidR="00652125" w:rsidRPr="009A2544">
        <w:t xml:space="preserve"> a-c</w:t>
      </w:r>
      <w:r w:rsidRPr="009A2544">
        <w:t xml:space="preserve">). </w:t>
      </w:r>
    </w:p>
    <w:p w14:paraId="72332848" w14:textId="77777777" w:rsidR="00161F63" w:rsidRPr="00694CD0" w:rsidRDefault="00161F63" w:rsidP="00694CD0">
      <w:r w:rsidRPr="00694CD0">
        <w:br w:type="page"/>
      </w:r>
    </w:p>
    <w:p w14:paraId="3835EE14" w14:textId="191520A9" w:rsidR="000C5179" w:rsidRPr="009A2544" w:rsidRDefault="000C5179" w:rsidP="008124BF">
      <w:pPr>
        <w:pStyle w:val="Figuretitle"/>
      </w:pPr>
      <w:bookmarkStart w:id="28" w:name="_Ref237602021"/>
      <w:bookmarkStart w:id="29" w:name="_Ref238208211"/>
      <w:bookmarkStart w:id="30" w:name="_Ref238208312"/>
      <w:bookmarkStart w:id="31" w:name="_Ref238208345"/>
      <w:bookmarkStart w:id="32" w:name="_Toc240364806"/>
      <w:r w:rsidRPr="009A2544">
        <w:lastRenderedPageBreak/>
        <w:t>Notifications (number) and notification rate (per 100,000) of infectious syphilis reported in males, by Indigenous status, remoteness area, age, quarter, and year, 2020 to Q</w:t>
      </w:r>
      <w:r w:rsidR="003C6204" w:rsidRPr="009A2544">
        <w:t>1</w:t>
      </w:r>
      <w:r w:rsidRPr="009A2544">
        <w:t xml:space="preserve"> 202</w:t>
      </w:r>
      <w:r w:rsidR="003C6204" w:rsidRPr="009A2544">
        <w:t>6</w:t>
      </w:r>
      <w:r w:rsidR="0048633C" w:rsidRPr="009A2544">
        <w:rPr>
          <w:vertAlign w:val="superscript"/>
        </w:rPr>
        <w:t>1</w:t>
      </w:r>
      <w:r w:rsidRPr="009A2544">
        <w:t xml:space="preserve"> (a. Major cities, b. Inner and outer regional areas</w:t>
      </w:r>
      <w:r w:rsidR="007A77F8" w:rsidRPr="009A2544">
        <w:t>,</w:t>
      </w:r>
      <w:r w:rsidRPr="009A2544">
        <w:t xml:space="preserve"> c. Remote and very remote areas)</w:t>
      </w:r>
      <w:bookmarkEnd w:id="28"/>
      <w:bookmarkEnd w:id="29"/>
      <w:bookmarkEnd w:id="30"/>
      <w:bookmarkEnd w:id="31"/>
      <w:bookmarkEnd w:id="32"/>
      <w:r w:rsidRPr="009A2544">
        <w:t xml:space="preserve"> </w:t>
      </w:r>
    </w:p>
    <w:p w14:paraId="5089AC95" w14:textId="21F78E7A" w:rsidR="002D3908" w:rsidRPr="009A2544" w:rsidRDefault="00806285" w:rsidP="00C52BF8">
      <w:r>
        <w:rPr>
          <w:noProof/>
        </w:rPr>
        <w:drawing>
          <wp:inline distT="0" distB="0" distL="0" distR="0" wp14:anchorId="1D55905A" wp14:editId="02224B2F">
            <wp:extent cx="6181725" cy="4027923"/>
            <wp:effectExtent l="0" t="0" r="0" b="0"/>
            <wp:docPr id="824518952" name="Picture 8" descr="P5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518952" name="Picture 8" descr="P560#yIS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87533" cy="4031707"/>
                    </a:xfrm>
                    <a:prstGeom prst="rect">
                      <a:avLst/>
                    </a:prstGeom>
                    <a:noFill/>
                  </pic:spPr>
                </pic:pic>
              </a:graphicData>
            </a:graphic>
          </wp:inline>
        </w:drawing>
      </w:r>
    </w:p>
    <w:p w14:paraId="46578D72" w14:textId="2C8BF866" w:rsidR="00D40D2D" w:rsidRPr="009A2544" w:rsidRDefault="00806285" w:rsidP="00C52BF8">
      <w:r>
        <w:rPr>
          <w:noProof/>
        </w:rPr>
        <w:drawing>
          <wp:inline distT="0" distB="0" distL="0" distR="0" wp14:anchorId="59212247" wp14:editId="52863814">
            <wp:extent cx="6125021" cy="3990975"/>
            <wp:effectExtent l="0" t="0" r="9525" b="0"/>
            <wp:docPr id="367650273" name="Picture 9" descr="P5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50273" name="Picture 9" descr="P561#yIS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30648" cy="3994642"/>
                    </a:xfrm>
                    <a:prstGeom prst="rect">
                      <a:avLst/>
                    </a:prstGeom>
                    <a:noFill/>
                  </pic:spPr>
                </pic:pic>
              </a:graphicData>
            </a:graphic>
          </wp:inline>
        </w:drawing>
      </w:r>
    </w:p>
    <w:p w14:paraId="59C7AA00" w14:textId="102912BE" w:rsidR="002C634E" w:rsidRPr="009A2544" w:rsidRDefault="00A45FC9" w:rsidP="00C52BF8">
      <w:r>
        <w:rPr>
          <w:noProof/>
        </w:rPr>
        <w:lastRenderedPageBreak/>
        <w:drawing>
          <wp:inline distT="0" distB="0" distL="0" distR="0" wp14:anchorId="158C65C2" wp14:editId="77AA121F">
            <wp:extent cx="6125021" cy="3990975"/>
            <wp:effectExtent l="0" t="0" r="9525" b="0"/>
            <wp:docPr id="1121446828" name="Picture 10" descr="P5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46828" name="Picture 10" descr="P562#yIS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31759" cy="3995366"/>
                    </a:xfrm>
                    <a:prstGeom prst="rect">
                      <a:avLst/>
                    </a:prstGeom>
                    <a:noFill/>
                  </pic:spPr>
                </pic:pic>
              </a:graphicData>
            </a:graphic>
          </wp:inline>
        </w:drawing>
      </w:r>
    </w:p>
    <w:p w14:paraId="7A144D6D" w14:textId="3C576A24" w:rsidR="0048633C" w:rsidRPr="001D443D" w:rsidRDefault="00C52BF8" w:rsidP="001D443D">
      <w:pPr>
        <w:pStyle w:val="FootnoteText"/>
      </w:pPr>
      <w:bookmarkStart w:id="33" w:name="_Hlk222384420"/>
      <w:r w:rsidRPr="001D443D">
        <w:t>Note:</w:t>
      </w:r>
    </w:p>
    <w:p w14:paraId="40CFBF0F" w14:textId="668E91CA" w:rsidR="00C52BF8" w:rsidRPr="001D443D" w:rsidRDefault="0048633C" w:rsidP="001D443D">
      <w:pPr>
        <w:pStyle w:val="FootnoteText"/>
      </w:pPr>
      <w:r w:rsidRPr="001D443D">
        <w:t xml:space="preserve">1. </w:t>
      </w:r>
      <w:r w:rsidR="00C52BF8" w:rsidRPr="001D443D">
        <w:t>Excludes cases whose sex, age, Indigenous status and/or residential postcode were not reported.</w:t>
      </w:r>
      <w:bookmarkEnd w:id="33"/>
    </w:p>
    <w:p w14:paraId="4F64A6C3" w14:textId="77777777" w:rsidR="00CF51AB" w:rsidRPr="00694CD0" w:rsidRDefault="00CF51AB" w:rsidP="00694CD0">
      <w:r w:rsidRPr="00694CD0">
        <w:br w:type="page"/>
      </w:r>
    </w:p>
    <w:p w14:paraId="0EA378F0" w14:textId="75D07ACD" w:rsidR="002D3908" w:rsidRPr="009A2544" w:rsidRDefault="002D3908" w:rsidP="008124BF">
      <w:pPr>
        <w:pStyle w:val="Figuretitle"/>
      </w:pPr>
      <w:bookmarkStart w:id="34" w:name="_Ref238208461"/>
      <w:bookmarkStart w:id="35" w:name="_Ref238208746"/>
      <w:bookmarkStart w:id="36" w:name="_Ref238208875"/>
      <w:bookmarkStart w:id="37" w:name="_Toc240364807"/>
      <w:r w:rsidRPr="009A2544">
        <w:lastRenderedPageBreak/>
        <w:t>Notifications (n</w:t>
      </w:r>
      <w:r w:rsidR="00C52BF8" w:rsidRPr="009A2544">
        <w:t>umber</w:t>
      </w:r>
      <w:r w:rsidRPr="009A2544">
        <w:t xml:space="preserve">) and notification rate (per 100,000) of infectious syphilis reported in females, by Indigenous status, remoteness area, age, quarter, and year, 2020 </w:t>
      </w:r>
      <w:r w:rsidR="00C52BF8" w:rsidRPr="009A2544">
        <w:t>to</w:t>
      </w:r>
      <w:r w:rsidRPr="009A2544">
        <w:t xml:space="preserve"> Q</w:t>
      </w:r>
      <w:r w:rsidR="003C6204" w:rsidRPr="009A2544">
        <w:t>1</w:t>
      </w:r>
      <w:r w:rsidRPr="009A2544">
        <w:t xml:space="preserve"> 202</w:t>
      </w:r>
      <w:r w:rsidR="003C6204" w:rsidRPr="009A2544">
        <w:t>6</w:t>
      </w:r>
      <w:r w:rsidR="00335E3E" w:rsidRPr="009A2544">
        <w:rPr>
          <w:vertAlign w:val="superscript"/>
        </w:rPr>
        <w:t>1</w:t>
      </w:r>
      <w:r w:rsidRPr="009A2544">
        <w:t xml:space="preserve"> (a. Major cities, b. Inner and outer regional areas</w:t>
      </w:r>
      <w:r w:rsidR="00692F26" w:rsidRPr="009A2544">
        <w:t>,</w:t>
      </w:r>
      <w:r w:rsidRPr="009A2544">
        <w:t xml:space="preserve"> c. Remote and very remote area</w:t>
      </w:r>
      <w:r w:rsidR="00A6159E" w:rsidRPr="009A2544">
        <w:t>s</w:t>
      </w:r>
      <w:r w:rsidRPr="009A2544">
        <w:t>)</w:t>
      </w:r>
      <w:bookmarkEnd w:id="34"/>
      <w:bookmarkEnd w:id="35"/>
      <w:bookmarkEnd w:id="36"/>
      <w:bookmarkEnd w:id="37"/>
    </w:p>
    <w:p w14:paraId="00CBE84F" w14:textId="632C08B3" w:rsidR="002D3908" w:rsidRPr="009A2544" w:rsidRDefault="00A45FC9" w:rsidP="002D3908">
      <w:r>
        <w:rPr>
          <w:noProof/>
        </w:rPr>
        <w:drawing>
          <wp:inline distT="0" distB="0" distL="0" distR="0" wp14:anchorId="78E9FBD1" wp14:editId="43E9B3F8">
            <wp:extent cx="6212730" cy="4048125"/>
            <wp:effectExtent l="0" t="0" r="0" b="0"/>
            <wp:docPr id="1009592644" name="Picture 11" descr="P5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92644" name="Picture 11" descr="P567#yIS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218311" cy="4051762"/>
                    </a:xfrm>
                    <a:prstGeom prst="rect">
                      <a:avLst/>
                    </a:prstGeom>
                    <a:noFill/>
                  </pic:spPr>
                </pic:pic>
              </a:graphicData>
            </a:graphic>
          </wp:inline>
        </w:drawing>
      </w:r>
    </w:p>
    <w:p w14:paraId="17D9BDD9" w14:textId="616C0304" w:rsidR="00527D14" w:rsidRPr="009A2544" w:rsidRDefault="00A45FC9" w:rsidP="002D3908">
      <w:r>
        <w:rPr>
          <w:noProof/>
        </w:rPr>
        <w:drawing>
          <wp:inline distT="0" distB="0" distL="0" distR="0" wp14:anchorId="4C0E3658" wp14:editId="56422DF3">
            <wp:extent cx="6154257" cy="4010025"/>
            <wp:effectExtent l="0" t="0" r="0" b="0"/>
            <wp:docPr id="2073634402" name="Picture 12" descr="P56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34402" name="Picture 12" descr="P568#yIS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59647" cy="4013537"/>
                    </a:xfrm>
                    <a:prstGeom prst="rect">
                      <a:avLst/>
                    </a:prstGeom>
                    <a:noFill/>
                  </pic:spPr>
                </pic:pic>
              </a:graphicData>
            </a:graphic>
          </wp:inline>
        </w:drawing>
      </w:r>
    </w:p>
    <w:p w14:paraId="7FF14A55" w14:textId="57468D02" w:rsidR="00527D14" w:rsidRPr="001D443D" w:rsidRDefault="00531E33" w:rsidP="001D443D">
      <w:r>
        <w:rPr>
          <w:noProof/>
        </w:rPr>
        <w:lastRenderedPageBreak/>
        <w:drawing>
          <wp:inline distT="0" distB="0" distL="0" distR="0" wp14:anchorId="432AF90C" wp14:editId="12154D46">
            <wp:extent cx="6139639" cy="4000500"/>
            <wp:effectExtent l="0" t="0" r="0" b="0"/>
            <wp:docPr id="2139401652" name="Picture 13" descr="P56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01652" name="Picture 13" descr="P569#yIS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47026" cy="4005313"/>
                    </a:xfrm>
                    <a:prstGeom prst="rect">
                      <a:avLst/>
                    </a:prstGeom>
                    <a:noFill/>
                  </pic:spPr>
                </pic:pic>
              </a:graphicData>
            </a:graphic>
          </wp:inline>
        </w:drawing>
      </w:r>
    </w:p>
    <w:p w14:paraId="2A197039" w14:textId="395F0E73" w:rsidR="006532AD" w:rsidRPr="001D443D" w:rsidRDefault="002D3908" w:rsidP="001D443D">
      <w:pPr>
        <w:pStyle w:val="FootnoteText"/>
      </w:pPr>
      <w:r w:rsidRPr="001D443D">
        <w:t xml:space="preserve">Note: </w:t>
      </w:r>
      <w:r w:rsidR="00335E3E" w:rsidRPr="001D443D">
        <w:t xml:space="preserve">1. </w:t>
      </w:r>
      <w:r w:rsidRPr="001D443D">
        <w:t>Excludes cases whose sex, age, Indigenous status and/or residential postcode were not reported.</w:t>
      </w:r>
    </w:p>
    <w:p w14:paraId="47E9CC1F" w14:textId="77777777" w:rsidR="00CF51AB" w:rsidRPr="00694CD0" w:rsidRDefault="00CF51AB" w:rsidP="00694CD0">
      <w:r w:rsidRPr="009A2544">
        <w:br w:type="page"/>
      </w:r>
    </w:p>
    <w:p w14:paraId="263B6B5E" w14:textId="3EEDE7FE" w:rsidR="004C3C31" w:rsidRPr="00D22CE8" w:rsidRDefault="00C67DEA" w:rsidP="00D22CE8">
      <w:pPr>
        <w:pStyle w:val="Heading2"/>
      </w:pPr>
      <w:bookmarkStart w:id="38" w:name="_Toc241658047"/>
      <w:r w:rsidRPr="00D22CE8">
        <w:lastRenderedPageBreak/>
        <w:t xml:space="preserve">Indicators 2.2 and 2.3 – </w:t>
      </w:r>
      <w:r w:rsidR="00D41C42" w:rsidRPr="00D22CE8">
        <w:t>Geographical areas</w:t>
      </w:r>
      <w:bookmarkEnd w:id="38"/>
    </w:p>
    <w:p w14:paraId="12639F46" w14:textId="613AC243" w:rsidR="00D72C6C" w:rsidRPr="009A2544" w:rsidRDefault="00D72C6C" w:rsidP="00B21AD1">
      <w:pPr>
        <w:pStyle w:val="Boxemerald"/>
      </w:pPr>
      <w:r w:rsidRPr="009A2544">
        <w:t>2.2 Notification rate of infectious syphilis in Aboriginal and Torres Strait Islander peoples by Indigenous Areas (IAREs)</w:t>
      </w:r>
    </w:p>
    <w:p w14:paraId="12E1EDC4" w14:textId="77777777" w:rsidR="00D72C6C" w:rsidRPr="009A2544" w:rsidRDefault="00D72C6C" w:rsidP="00B21AD1">
      <w:pPr>
        <w:pStyle w:val="Boxemerald"/>
      </w:pPr>
      <w:r w:rsidRPr="009A2544">
        <w:t>2.3 Notification rate of infectious syphilis by Statistical Area 3 (SA3), by Indigenous status</w:t>
      </w:r>
    </w:p>
    <w:p w14:paraId="4032AD8B" w14:textId="751604F7" w:rsidR="00595C4A" w:rsidRPr="003C1FD3" w:rsidRDefault="00477026" w:rsidP="003C1FD3">
      <w:r w:rsidRPr="003C1FD3">
        <w:t>M</w:t>
      </w:r>
      <w:r w:rsidR="00D72C6C" w:rsidRPr="003C1FD3">
        <w:t xml:space="preserve">apped notification data </w:t>
      </w:r>
      <w:r w:rsidR="00922F88" w:rsidRPr="003C1FD3">
        <w:t>uses</w:t>
      </w:r>
      <w:r w:rsidR="00D72C6C" w:rsidRPr="003C1FD3">
        <w:t xml:space="preserve"> </w:t>
      </w:r>
      <w:r w:rsidR="00922F88" w:rsidRPr="003C1FD3">
        <w:t xml:space="preserve">residential </w:t>
      </w:r>
      <w:r w:rsidR="00D72C6C" w:rsidRPr="003C1FD3">
        <w:t>postcodes</w:t>
      </w:r>
      <w:r w:rsidR="00922F88" w:rsidRPr="003C1FD3">
        <w:t xml:space="preserve"> of notified cases</w:t>
      </w:r>
      <w:r w:rsidR="00D72C6C" w:rsidRPr="003C1FD3">
        <w:t xml:space="preserve"> to allocate cases to a geographical area. This may not necessarily reflect where the infection was acquired</w:t>
      </w:r>
      <w:r w:rsidR="00595C4A" w:rsidRPr="003C1FD3">
        <w:t>,</w:t>
      </w:r>
      <w:r w:rsidR="00D72C6C" w:rsidRPr="003C1FD3">
        <w:t xml:space="preserve"> and in some instances the postcode reported may reflect the location where the case was diagnosed rather than residence and locality of acquisition. </w:t>
      </w:r>
    </w:p>
    <w:p w14:paraId="59BB4AC7" w14:textId="22CFC514" w:rsidR="00595C4A" w:rsidRPr="009A2544" w:rsidRDefault="00D72C6C" w:rsidP="00D72C6C">
      <w:r w:rsidRPr="009A2544">
        <w:t>If the postcode reflects the location where an individual sought health care, the mapped notifications may reflect areas of high volume or centralised services where people are being diagnosed rather than areas with a high burden of infection or acquisition.</w:t>
      </w:r>
    </w:p>
    <w:p w14:paraId="006B2790" w14:textId="3BE16210" w:rsidR="00D72C6C" w:rsidRPr="003C1FD3" w:rsidRDefault="00D72C6C" w:rsidP="003C1FD3">
      <w:r w:rsidRPr="003C1FD3">
        <w:t xml:space="preserve">Availability and accessibility of safe and culturally appropriate health services, particularly in remote/very remote areas and Aboriginal and Torres Strait Islander communities, along with other social factors may influence where people are tested and diagnosed, noting that this may occur outside of an individual’s place of residence </w:t>
      </w:r>
      <w:r w:rsidR="000C0E87" w:rsidRPr="003C1FD3">
        <w:fldChar w:fldCharType="begin"/>
      </w:r>
      <w:r w:rsidR="00DF3CAA" w:rsidRPr="003C1FD3">
        <w:instrText xml:space="preserve"> ADDIN EN.CITE &lt;EndNote&gt;&lt;Cite&gt;&lt;Author&gt;Australian Institute of Health and Welfare&lt;/Author&gt;&lt;Year&gt;2025&lt;/Year&gt;&lt;RecNum&gt;29&lt;/RecNum&gt;&lt;DisplayText&gt;(4)&lt;/DisplayText&gt;&lt;record&gt;&lt;rec-number&gt;29&lt;/rec-number&gt;&lt;foreign-keys&gt;&lt;key app="EN" db-id="rerr5wt9dra05fetxw4p02tp0vtzztp05ef0" timestamp="1759360924"&gt;29&lt;/key&gt;&lt;/foreign-keys&gt;&lt;ref-type name="Report"&gt;27&lt;/ref-type&gt;&lt;contributors&gt;&lt;authors&gt;&lt;author&gt;Australian Institute of Health and Welfare,&lt;/author&gt;&lt;/authors&gt;&lt;/contributors&gt;&lt;titles&gt;&lt;title&gt;Aboriginal and Torres Strait Islander Health Performance Framework: summary report&lt;/title&gt;&lt;/titles&gt;&lt;dates&gt;&lt;year&gt;2025&lt;/year&gt;&lt;/dates&gt;&lt;publisher&gt;AIHW: Australian Government&lt;/publisher&gt;&lt;urls&gt;&lt;related-urls&gt;&lt;url&gt;https://www.indigenoushpf.gov.au/getattachment/36db9308-d7ed-47b9-945c-5ceebb956528/hpf_summary-report-june-2025.pdf&lt;/url&gt;&lt;/related-urls&gt;&lt;/urls&gt;&lt;/record&gt;&lt;/Cite&gt;&lt;/EndNote&gt;</w:instrText>
      </w:r>
      <w:r w:rsidR="000C0E87" w:rsidRPr="003C1FD3">
        <w:fldChar w:fldCharType="separate"/>
      </w:r>
      <w:r w:rsidR="001629AA" w:rsidRPr="003C1FD3">
        <w:t>(4)</w:t>
      </w:r>
      <w:r w:rsidR="000C0E87" w:rsidRPr="003C1FD3">
        <w:fldChar w:fldCharType="end"/>
      </w:r>
      <w:r w:rsidR="000C0E87" w:rsidRPr="003C1FD3">
        <w:t>.</w:t>
      </w:r>
    </w:p>
    <w:p w14:paraId="29D96AFF" w14:textId="57403018" w:rsidR="00D72C6C" w:rsidRPr="009A2544" w:rsidRDefault="00D72C6C" w:rsidP="008124BF">
      <w:pPr>
        <w:pStyle w:val="Heading3"/>
      </w:pPr>
      <w:bookmarkStart w:id="39" w:name="_Toc241658048"/>
      <w:r w:rsidRPr="009A2544">
        <w:t>Indigenous Areas</w:t>
      </w:r>
      <w:bookmarkEnd w:id="39"/>
    </w:p>
    <w:p w14:paraId="70EBEF72" w14:textId="7F36A275" w:rsidR="00E44C05" w:rsidRPr="009A2544" w:rsidRDefault="00D72C6C" w:rsidP="00D72C6C">
      <w:r w:rsidRPr="009A2544">
        <w:t xml:space="preserve">Indigenous Areas (IAREs) are geographic areas built from Indigenous </w:t>
      </w:r>
      <w:r w:rsidR="00255909" w:rsidRPr="009A2544">
        <w:t>l</w:t>
      </w:r>
      <w:r w:rsidRPr="009A2544">
        <w:t xml:space="preserve">ocations, which are designed to represent Aboriginal and Torres Strait Islander communities (urban and rural) that are near each other or that share language, traditional borders or Native </w:t>
      </w:r>
      <w:r w:rsidR="00E44C05" w:rsidRPr="009A2544">
        <w:t xml:space="preserve">Title </w:t>
      </w:r>
      <w:r w:rsidR="00E44C05" w:rsidRPr="009A2544">
        <w:fldChar w:fldCharType="begin"/>
      </w:r>
      <w:r w:rsidR="00DF3CAA">
        <w:instrText xml:space="preserve"> ADDIN EN.CITE &lt;EndNote&gt;&lt;Cite ExcludeAuth="1"&gt;&lt;Year&gt;2021&lt;/Year&gt;&lt;RecNum&gt;28&lt;/RecNum&gt;&lt;DisplayText&gt;(5)&lt;/DisplayText&gt;&lt;record&gt;&lt;rec-number&gt;28&lt;/rec-number&gt;&lt;foreign-keys&gt;&lt;key app="EN" db-id="rerr5wt9dra05fetxw4p02tp0vtzztp05ef0" timestamp="1757563079"&gt;28&lt;/key&gt;&lt;/foreign-keys&gt;&lt;ref-type name="Web Page"&gt;12&lt;/ref-type&gt;&lt;contributors&gt;&lt;/contributors&gt;&lt;titles&gt;&lt;title&gt;Australian Statistical Geography Standard (ASGS) Edition 3: Indigenous Structure&lt;/title&gt;&lt;/titles&gt;&lt;volume&gt;2025&lt;/volume&gt;&lt;number&gt;11 September&lt;/number&gt;&lt;dates&gt;&lt;year&gt;2021&lt;/year&gt;&lt;/dates&gt;&lt;publisher&gt;Australian Bureau of Statistics&lt;/publisher&gt;&lt;urls&gt;&lt;related-urls&gt;&lt;url&gt;https://www.abs.gov.au/statistics/standards/australian-statistical-geography-standard-asgs-edition-3/jul2021-jun2026/indigenous-structure&lt;/url&gt;&lt;/related-urls&gt;&lt;/urls&gt;&lt;/record&gt;&lt;/Cite&gt;&lt;/EndNote&gt;</w:instrText>
      </w:r>
      <w:r w:rsidR="00E44C05" w:rsidRPr="009A2544">
        <w:fldChar w:fldCharType="separate"/>
      </w:r>
      <w:r w:rsidR="001629AA" w:rsidRPr="009A2544">
        <w:rPr>
          <w:noProof/>
        </w:rPr>
        <w:t>(5)</w:t>
      </w:r>
      <w:r w:rsidR="00E44C05" w:rsidRPr="009A2544">
        <w:fldChar w:fldCharType="end"/>
      </w:r>
      <w:r w:rsidR="00E44C05" w:rsidRPr="009A2544">
        <w:t>.</w:t>
      </w:r>
    </w:p>
    <w:p w14:paraId="1723C1E9" w14:textId="79E76D31" w:rsidR="00534530" w:rsidRPr="003C1FD3" w:rsidRDefault="00D72C6C" w:rsidP="003C1FD3">
      <w:r w:rsidRPr="003C1FD3">
        <w:t>Age standardised infectious syphilis notification rates by IAREs for Aboriginal and Torres Strait Islander peoples are presented in Map 1 for the previous 12 months (Q</w:t>
      </w:r>
      <w:r w:rsidR="00402C84" w:rsidRPr="003C1FD3">
        <w:t>2</w:t>
      </w:r>
      <w:r w:rsidRPr="003C1FD3">
        <w:t xml:space="preserve"> 202</w:t>
      </w:r>
      <w:r w:rsidR="00402C84" w:rsidRPr="003C1FD3">
        <w:t>5</w:t>
      </w:r>
      <w:r w:rsidRPr="003C1FD3">
        <w:t xml:space="preserve"> </w:t>
      </w:r>
      <w:r w:rsidR="00534530" w:rsidRPr="003C1FD3">
        <w:t>to</w:t>
      </w:r>
      <w:r w:rsidRPr="003C1FD3">
        <w:t xml:space="preserve"> Q</w:t>
      </w:r>
      <w:r w:rsidR="00402C84" w:rsidRPr="003C1FD3">
        <w:t>1</w:t>
      </w:r>
      <w:r w:rsidRPr="003C1FD3">
        <w:t xml:space="preserve"> 202</w:t>
      </w:r>
      <w:r w:rsidR="00402C84" w:rsidRPr="003C1FD3">
        <w:t>6</w:t>
      </w:r>
      <w:r w:rsidRPr="003C1FD3">
        <w:t>).</w:t>
      </w:r>
    </w:p>
    <w:p w14:paraId="1EC88A43" w14:textId="77777777" w:rsidR="00534530" w:rsidRPr="009A2544" w:rsidRDefault="00D72C6C" w:rsidP="00D72C6C">
      <w:r w:rsidRPr="009A2544">
        <w:t xml:space="preserve">The highest notification rates were reported largely in very remote areas of Western Australia, South Australia and the Northern Territory, noting that in some IAREs the population was small. </w:t>
      </w:r>
    </w:p>
    <w:p w14:paraId="14EA8E82" w14:textId="7CB0CE0C" w:rsidR="00D72C6C" w:rsidRPr="009A2544" w:rsidRDefault="00D72C6C" w:rsidP="00D72C6C">
      <w:r w:rsidRPr="009A2544">
        <w:t>High notification rates in outer regional areas (Darwin and surrounds)</w:t>
      </w:r>
      <w:r w:rsidR="00247108" w:rsidRPr="009A2544">
        <w:t xml:space="preserve"> and </w:t>
      </w:r>
      <w:r w:rsidR="000E1E77" w:rsidRPr="009A2544">
        <w:t>communities in the</w:t>
      </w:r>
      <w:r w:rsidRPr="009A2544">
        <w:t xml:space="preserve"> </w:t>
      </w:r>
      <w:r w:rsidR="00AF6472" w:rsidRPr="009A2544">
        <w:t xml:space="preserve">Top End, Big Rivers (Katherine) and East Arnhem regions </w:t>
      </w:r>
      <w:r w:rsidRPr="009A2544">
        <w:t>reflect the increase in reported cases in urban</w:t>
      </w:r>
      <w:r w:rsidR="00AF6472" w:rsidRPr="009A2544">
        <w:t xml:space="preserve"> and remote </w:t>
      </w:r>
      <w:r w:rsidRPr="009A2544">
        <w:t>areas in the Northern Territory</w:t>
      </w:r>
      <w:r w:rsidR="00170126" w:rsidRPr="009A2544">
        <w:t xml:space="preserve"> </w:t>
      </w:r>
      <w:r w:rsidR="00CE3FDF" w:rsidRPr="009A2544">
        <w:fldChar w:fldCharType="begin"/>
      </w:r>
      <w:r w:rsidR="00DF3CAA">
        <w:instrText xml:space="preserve"> ADDIN EN.CITE &lt;EndNote&gt;&lt;Cite&gt;&lt;Author&gt;NT Health&lt;/Author&gt;&lt;Year&gt;2026&lt;/Year&gt;&lt;RecNum&gt;43&lt;/RecNum&gt;&lt;DisplayText&gt;(3)&lt;/DisplayText&gt;&lt;record&gt;&lt;rec-number&gt;43&lt;/rec-number&gt;&lt;foreign-keys&gt;&lt;key app="EN" db-id="rerr5wt9dra05fetxw4p02tp0vtzztp05ef0" timestamp="1786406005"&gt;43&lt;/key&gt;&lt;/foreign-keys&gt;&lt;ref-type name="Web Page"&gt;12&lt;/ref-type&gt;&lt;contributors&gt;&lt;authors&gt;&lt;author&gt;NT Health,&lt;/author&gt;&lt;/authors&gt;&lt;/contributors&gt;&lt;titles&gt;&lt;title&gt;Public health alert: syphilis - ongoing high transmission&lt;/title&gt;&lt;/titles&gt;&lt;dates&gt;&lt;year&gt;2026&lt;/year&gt;&lt;/dates&gt;&lt;publisher&gt;NT Health Centre for Disease Control&lt;/publisher&gt;&lt;urls&gt;&lt;related-urls&gt;&lt;url&gt;https://health.nt.gov.au/__data/assets/pdf_file/0009/1592199/health-alert-syphilis-update-11.02.2026.pdf&lt;/url&gt;&lt;/related-urls&gt;&lt;/urls&gt;&lt;access-date&gt;11 February 2026&lt;/access-date&gt;&lt;/record&gt;&lt;/Cite&gt;&lt;/EndNote&gt;</w:instrText>
      </w:r>
      <w:r w:rsidR="00CE3FDF" w:rsidRPr="009A2544">
        <w:fldChar w:fldCharType="separate"/>
      </w:r>
      <w:r w:rsidR="00D307A8" w:rsidRPr="009A2544">
        <w:rPr>
          <w:noProof/>
        </w:rPr>
        <w:t>(3)</w:t>
      </w:r>
      <w:r w:rsidR="00CE3FDF" w:rsidRPr="009A2544">
        <w:fldChar w:fldCharType="end"/>
      </w:r>
      <w:r w:rsidRPr="009A2544">
        <w:t>.</w:t>
      </w:r>
    </w:p>
    <w:p w14:paraId="0569D65A" w14:textId="77777777" w:rsidR="00D72C6C" w:rsidRPr="009A2544" w:rsidRDefault="00D72C6C" w:rsidP="008124BF">
      <w:pPr>
        <w:pStyle w:val="Heading3"/>
      </w:pPr>
      <w:bookmarkStart w:id="40" w:name="_Toc241658049"/>
      <w:r w:rsidRPr="009A2544">
        <w:t>Statistical Area 3 (SA3)</w:t>
      </w:r>
      <w:bookmarkEnd w:id="40"/>
    </w:p>
    <w:p w14:paraId="1703BAD3" w14:textId="77777777" w:rsidR="00DE19BA" w:rsidRPr="009A2544" w:rsidRDefault="00D72C6C" w:rsidP="00D72C6C">
      <w:r w:rsidRPr="009A2544">
        <w:t>In the previous 12 months</w:t>
      </w:r>
      <w:r w:rsidR="00DE19BA" w:rsidRPr="009A2544">
        <w:t>,</w:t>
      </w:r>
      <w:r w:rsidRPr="009A2544">
        <w:t xml:space="preserve"> age-standardised notification rates of infectious syphilis by statistical area 3 (SA3) were widely distributed across Australia (Map 2). </w:t>
      </w:r>
    </w:p>
    <w:p w14:paraId="0D49F06D" w14:textId="378F5C20" w:rsidR="00DE19BA" w:rsidRPr="009A2544" w:rsidRDefault="00D72C6C" w:rsidP="00D72C6C">
      <w:r w:rsidRPr="009A2544">
        <w:t xml:space="preserve">The highest </w:t>
      </w:r>
      <w:r w:rsidR="009E2A9F" w:rsidRPr="009A2544">
        <w:t xml:space="preserve">notification </w:t>
      </w:r>
      <w:r w:rsidRPr="009A2544">
        <w:t xml:space="preserve">rates were reported across very remote areas in the north-west of Australia and SA3s in some major cities, including Sydney. </w:t>
      </w:r>
    </w:p>
    <w:p w14:paraId="4850F09B" w14:textId="05FBF7E7" w:rsidR="00D72C6C" w:rsidRPr="009A2544" w:rsidRDefault="00D72C6C" w:rsidP="00D72C6C">
      <w:r w:rsidRPr="009A2544">
        <w:lastRenderedPageBreak/>
        <w:t>This geographical distribution reflects the concurrent infectious syphilis outbreaks and sub-epidemics occurring across populations groups in Australia, including</w:t>
      </w:r>
      <w:r w:rsidR="00F73DEA" w:rsidRPr="009A2544">
        <w:t xml:space="preserve"> </w:t>
      </w:r>
      <w:r w:rsidR="00FB71C9">
        <w:t>Aboriginal</w:t>
      </w:r>
      <w:r w:rsidRPr="009A2544">
        <w:t xml:space="preserve"> and Torres Strait Islander peoples in regional and remote areas, gay and bisexual men in major cities of Australia, and non-Indigenous women in major cities.</w:t>
      </w:r>
    </w:p>
    <w:p w14:paraId="2D10355E" w14:textId="77777777" w:rsidR="00A9048C" w:rsidRPr="009A2544" w:rsidRDefault="00F73DEA" w:rsidP="00D72C6C">
      <w:r w:rsidRPr="009A2544">
        <w:t>R</w:t>
      </w:r>
      <w:r w:rsidR="00D72C6C" w:rsidRPr="009A2544">
        <w:t>efer to the methodological notes for further information on the development of the maps</w:t>
      </w:r>
      <w:r w:rsidRPr="009A2544">
        <w:t>.</w:t>
      </w:r>
    </w:p>
    <w:p w14:paraId="6D5484D7" w14:textId="77777777" w:rsidR="00992F6F" w:rsidRPr="009A2544" w:rsidRDefault="00992F6F" w:rsidP="00D72C6C">
      <w:pPr>
        <w:sectPr w:rsidR="00992F6F" w:rsidRPr="009A2544" w:rsidSect="00E57389">
          <w:pgSz w:w="11900" w:h="16840"/>
          <w:pgMar w:top="1134" w:right="985" w:bottom="1134" w:left="1134" w:header="709" w:footer="527" w:gutter="0"/>
          <w:cols w:space="708"/>
          <w:docGrid w:linePitch="360"/>
        </w:sectPr>
      </w:pPr>
    </w:p>
    <w:p w14:paraId="112C94A6" w14:textId="034884E1" w:rsidR="00094FE2" w:rsidRPr="00694CD0" w:rsidRDefault="00094FE2" w:rsidP="00694CD0">
      <w:pPr>
        <w:pStyle w:val="Caption"/>
      </w:pPr>
      <w:r w:rsidRPr="00694CD0">
        <w:lastRenderedPageBreak/>
        <w:t>Map 1: Notification rate (per 100,000) of infectious syphilis in Aboriginal and Torres Strait Islander peoples by Indigenous Areas (IAREs) in the previous 12 months (Q</w:t>
      </w:r>
      <w:r w:rsidR="002D03ED" w:rsidRPr="00694CD0">
        <w:t>2</w:t>
      </w:r>
      <w:r w:rsidRPr="00694CD0">
        <w:t xml:space="preserve"> 202</w:t>
      </w:r>
      <w:r w:rsidR="002D03ED" w:rsidRPr="00694CD0">
        <w:t>5</w:t>
      </w:r>
      <w:r w:rsidRPr="00694CD0">
        <w:t xml:space="preserve"> </w:t>
      </w:r>
      <w:r w:rsidR="004E5DE4" w:rsidRPr="00694CD0">
        <w:t>to</w:t>
      </w:r>
      <w:r w:rsidRPr="00694CD0">
        <w:t xml:space="preserve"> Q</w:t>
      </w:r>
      <w:r w:rsidR="002D03ED" w:rsidRPr="00694CD0">
        <w:t>1</w:t>
      </w:r>
      <w:r w:rsidRPr="00694CD0">
        <w:t xml:space="preserve"> 202</w:t>
      </w:r>
      <w:r w:rsidR="002D03ED" w:rsidRPr="00694CD0">
        <w:t>6</w:t>
      </w:r>
      <w:r w:rsidRPr="00694CD0">
        <w:t>)</w:t>
      </w:r>
    </w:p>
    <w:p w14:paraId="18EB286E" w14:textId="08ABD1E9" w:rsidR="00903717" w:rsidRPr="001D443D" w:rsidRDefault="00903717" w:rsidP="001D443D">
      <w:r w:rsidRPr="001D443D">
        <w:rPr>
          <w:noProof/>
        </w:rPr>
        <w:drawing>
          <wp:inline distT="0" distB="0" distL="0" distR="0" wp14:anchorId="51432B91" wp14:editId="603FFA13">
            <wp:extent cx="8115300" cy="5214081"/>
            <wp:effectExtent l="0" t="0" r="0" b="5715"/>
            <wp:docPr id="1039461205" name="Picture 3" descr="P59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461205" name="Picture 3" descr="P590#yIS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143985" cy="5232511"/>
                    </a:xfrm>
                    <a:prstGeom prst="rect">
                      <a:avLst/>
                    </a:prstGeom>
                    <a:noFill/>
                    <a:ln>
                      <a:noFill/>
                    </a:ln>
                  </pic:spPr>
                </pic:pic>
              </a:graphicData>
            </a:graphic>
          </wp:inline>
        </w:drawing>
      </w:r>
    </w:p>
    <w:p w14:paraId="615CD8C1" w14:textId="71CC5F91" w:rsidR="00DD588F" w:rsidRPr="001D443D" w:rsidRDefault="00DD588F" w:rsidP="001D443D">
      <w:pPr>
        <w:pStyle w:val="FootnoteText"/>
      </w:pPr>
      <w:r w:rsidRPr="001D443D">
        <w:t>Note: Excludes cases whose Indigenous status and/or residential postcode were not reported.</w:t>
      </w:r>
    </w:p>
    <w:p w14:paraId="6B035FB8" w14:textId="44779A37" w:rsidR="004E5DE4" w:rsidRPr="00694CD0" w:rsidRDefault="004E5DE4" w:rsidP="00694CD0">
      <w:pPr>
        <w:pStyle w:val="Caption"/>
      </w:pPr>
      <w:r w:rsidRPr="00694CD0">
        <w:lastRenderedPageBreak/>
        <w:t>Map 2: Age-standardised notification rate (per 100,000) of infectious syphilis by Statistical Area 3 (SA3) in the previous 12 months (Q</w:t>
      </w:r>
      <w:r w:rsidR="002D03ED" w:rsidRPr="00694CD0">
        <w:t>2</w:t>
      </w:r>
      <w:r w:rsidRPr="00694CD0">
        <w:t xml:space="preserve"> 202</w:t>
      </w:r>
      <w:r w:rsidR="002D03ED" w:rsidRPr="00694CD0">
        <w:t>5</w:t>
      </w:r>
      <w:r w:rsidRPr="00694CD0">
        <w:t xml:space="preserve"> – Q</w:t>
      </w:r>
      <w:r w:rsidR="002D03ED" w:rsidRPr="00694CD0">
        <w:t>1</w:t>
      </w:r>
      <w:r w:rsidRPr="00694CD0">
        <w:t xml:space="preserve"> 202</w:t>
      </w:r>
      <w:r w:rsidR="002D03ED" w:rsidRPr="00694CD0">
        <w:t>6</w:t>
      </w:r>
      <w:r w:rsidRPr="00694CD0">
        <w:t xml:space="preserve">) </w:t>
      </w:r>
    </w:p>
    <w:p w14:paraId="1EAF0F30" w14:textId="7DDD7BCF" w:rsidR="00FF296C" w:rsidRPr="00733B0F" w:rsidRDefault="00FF296C" w:rsidP="00733B0F">
      <w:pPr>
        <w:rPr>
          <w:lang w:eastAsia="en-AU"/>
        </w:rPr>
      </w:pPr>
      <w:r w:rsidRPr="00733B0F">
        <w:rPr>
          <w:noProof/>
          <w:lang w:eastAsia="en-AU"/>
        </w:rPr>
        <w:drawing>
          <wp:inline distT="0" distB="0" distL="0" distR="0" wp14:anchorId="1BE79796" wp14:editId="381ED670">
            <wp:extent cx="8181975" cy="5260001"/>
            <wp:effectExtent l="0" t="0" r="0" b="0"/>
            <wp:docPr id="1468315137" name="Picture 5" descr="P59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315137" name="Picture 5" descr="P593#yIS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195846" cy="5268919"/>
                    </a:xfrm>
                    <a:prstGeom prst="rect">
                      <a:avLst/>
                    </a:prstGeom>
                    <a:noFill/>
                    <a:ln>
                      <a:noFill/>
                    </a:ln>
                  </pic:spPr>
                </pic:pic>
              </a:graphicData>
            </a:graphic>
          </wp:inline>
        </w:drawing>
      </w:r>
    </w:p>
    <w:p w14:paraId="11B1ACED" w14:textId="2AB4B68F" w:rsidR="00DB006C" w:rsidRPr="001D443D" w:rsidRDefault="00AA1EEA" w:rsidP="001D443D">
      <w:pPr>
        <w:pStyle w:val="FootnoteText"/>
      </w:pPr>
      <w:r w:rsidRPr="001D443D">
        <w:t>Note: Excludes cases whose residential postcode w</w:t>
      </w:r>
      <w:r w:rsidR="00F86A29" w:rsidRPr="001D443D">
        <w:t>as</w:t>
      </w:r>
      <w:r w:rsidRPr="001D443D">
        <w:t xml:space="preserve"> not reported.</w:t>
      </w:r>
      <w:r w:rsidR="00DB006C" w:rsidRPr="001D443D">
        <w:br w:type="page"/>
      </w:r>
    </w:p>
    <w:p w14:paraId="6C8586A1" w14:textId="5C62FBFA" w:rsidR="00580ABD" w:rsidRPr="00694CD0" w:rsidRDefault="00580ABD" w:rsidP="00694CD0">
      <w:pPr>
        <w:sectPr w:rsidR="00580ABD" w:rsidRPr="00694CD0" w:rsidSect="005F0659">
          <w:pgSz w:w="16840" w:h="11900" w:orient="landscape"/>
          <w:pgMar w:top="1134" w:right="1134" w:bottom="1134" w:left="1134" w:header="709" w:footer="527" w:gutter="0"/>
          <w:cols w:space="708"/>
          <w:docGrid w:linePitch="360"/>
        </w:sectPr>
      </w:pPr>
    </w:p>
    <w:p w14:paraId="65DEC6FF" w14:textId="4D26C377" w:rsidR="00D41C42" w:rsidRPr="00D22CE8" w:rsidRDefault="00D41C42" w:rsidP="00D22CE8">
      <w:pPr>
        <w:pStyle w:val="Heading2"/>
      </w:pPr>
      <w:bookmarkStart w:id="41" w:name="_Toc241658050"/>
      <w:r w:rsidRPr="00D22CE8">
        <w:lastRenderedPageBreak/>
        <w:t>Indicator 2.</w:t>
      </w:r>
      <w:r w:rsidR="00603757" w:rsidRPr="00D22CE8">
        <w:t>4 – Women of reproductive age</w:t>
      </w:r>
      <w:bookmarkEnd w:id="41"/>
    </w:p>
    <w:p w14:paraId="5EF05C73" w14:textId="212D6740" w:rsidR="00902F72" w:rsidRPr="009A2544" w:rsidRDefault="00902F72" w:rsidP="00B21AD1">
      <w:pPr>
        <w:pStyle w:val="Boxemerald"/>
      </w:pPr>
      <w:r w:rsidRPr="009A2544">
        <w:t>2.4 Notification rate of infectious syphilis in women of reproductive age (15 to 44 years) by Indigenous status and remoteness area</w:t>
      </w:r>
    </w:p>
    <w:p w14:paraId="46179C24" w14:textId="232C1E4B" w:rsidR="00902F72" w:rsidRPr="009A2544" w:rsidRDefault="00902F72" w:rsidP="00902F72">
      <w:pPr>
        <w:tabs>
          <w:tab w:val="left" w:pos="4010"/>
        </w:tabs>
      </w:pPr>
      <w:r w:rsidRPr="009A2544">
        <w:t>Between 2020 and Q</w:t>
      </w:r>
      <w:r w:rsidR="004863F8" w:rsidRPr="009A2544">
        <w:t>1</w:t>
      </w:r>
      <w:r w:rsidRPr="009A2544">
        <w:t xml:space="preserve"> 202</w:t>
      </w:r>
      <w:r w:rsidR="004863F8" w:rsidRPr="009A2544">
        <w:t>6</w:t>
      </w:r>
      <w:r w:rsidRPr="009A2544">
        <w:t>, of infectious syphilis cases reported among women, most (8</w:t>
      </w:r>
      <w:r w:rsidR="004863F8" w:rsidRPr="009A2544">
        <w:t>6</w:t>
      </w:r>
      <w:r w:rsidRPr="009A2544">
        <w:t>%) were in women aged between 15</w:t>
      </w:r>
      <w:r w:rsidR="00741F55" w:rsidRPr="009A2544">
        <w:t> to </w:t>
      </w:r>
      <w:r w:rsidRPr="009A2544">
        <w:t>44</w:t>
      </w:r>
      <w:r w:rsidR="00741F55" w:rsidRPr="009A2544">
        <w:t> </w:t>
      </w:r>
      <w:r w:rsidRPr="009A2544">
        <w:t>years of age, with the average proportion among Aboriginal and Torres Strait Islander women higher (</w:t>
      </w:r>
      <w:r w:rsidR="00EA75BB" w:rsidRPr="009A2544">
        <w:t>89</w:t>
      </w:r>
      <w:r w:rsidRPr="009A2544">
        <w:t>%) and non-Indigenous women lower (</w:t>
      </w:r>
      <w:r w:rsidR="00EA75BB" w:rsidRPr="009A2544">
        <w:t>84</w:t>
      </w:r>
      <w:r w:rsidRPr="009A2544">
        <w:t>%)</w:t>
      </w:r>
      <w:r w:rsidR="00B90A7A" w:rsidRPr="009A2544">
        <w:t>.</w:t>
      </w:r>
      <w:r w:rsidRPr="009A2544">
        <w:t xml:space="preserve"> </w:t>
      </w:r>
    </w:p>
    <w:p w14:paraId="12CDEE4B" w14:textId="77777777" w:rsidR="00902F72" w:rsidRPr="009A2544" w:rsidRDefault="00902F72" w:rsidP="00AD56C7">
      <w:pPr>
        <w:pStyle w:val="Heading3"/>
      </w:pPr>
      <w:bookmarkStart w:id="42" w:name="_Toc241658051"/>
      <w:r w:rsidRPr="009A2544">
        <w:t>Aboriginal and Torres Strait Islander women</w:t>
      </w:r>
      <w:bookmarkEnd w:id="42"/>
    </w:p>
    <w:p w14:paraId="0FD86B2C" w14:textId="438CE800" w:rsidR="00DC3F94" w:rsidRPr="009A2544" w:rsidRDefault="00902F72" w:rsidP="00902F72">
      <w:pPr>
        <w:tabs>
          <w:tab w:val="left" w:pos="4010"/>
        </w:tabs>
      </w:pPr>
      <w:r w:rsidRPr="009A2544">
        <w:t>The highest proportion and notification rates among Aboriginal and Torres Strait Islander women of reproductive age have consistently been reported in remote</w:t>
      </w:r>
      <w:r w:rsidR="00DA4AB5" w:rsidRPr="009A2544">
        <w:t xml:space="preserve"> and </w:t>
      </w:r>
      <w:r w:rsidRPr="009A2544">
        <w:t xml:space="preserve">very remote areas of Australia, representing half of the cases (50%) reported between 2020 and </w:t>
      </w:r>
      <w:r w:rsidR="00795869" w:rsidRPr="009A2544">
        <w:t>Q1 2026</w:t>
      </w:r>
      <w:r w:rsidRPr="009A2544">
        <w:t xml:space="preserve"> (</w:t>
      </w:r>
      <w:r w:rsidR="00293E71" w:rsidRPr="009A2544">
        <w:fldChar w:fldCharType="begin" w:fldLock="1"/>
      </w:r>
      <w:r w:rsidR="00293E71" w:rsidRPr="009A2544">
        <w:instrText xml:space="preserve"> REF _Ref238207075 \r \h  \* MERGEFORMAT </w:instrText>
      </w:r>
      <w:r w:rsidR="00293E71" w:rsidRPr="009A2544">
        <w:fldChar w:fldCharType="separate"/>
      </w:r>
      <w:r w:rsidR="00293E71" w:rsidRPr="009A2544">
        <w:t>Figure 7</w:t>
      </w:r>
      <w:r w:rsidR="00293E71" w:rsidRPr="009A2544">
        <w:fldChar w:fldCharType="end"/>
      </w:r>
      <w:r w:rsidR="00293E71" w:rsidRPr="009A2544">
        <w:t xml:space="preserve"> </w:t>
      </w:r>
      <w:r w:rsidRPr="009A2544">
        <w:t xml:space="preserve">a). </w:t>
      </w:r>
    </w:p>
    <w:p w14:paraId="013B653A" w14:textId="574F7AAD" w:rsidR="00902F72" w:rsidRPr="009A2544" w:rsidRDefault="00902F72" w:rsidP="00902F72">
      <w:pPr>
        <w:tabs>
          <w:tab w:val="left" w:pos="4010"/>
        </w:tabs>
      </w:pPr>
      <w:r w:rsidRPr="009A2544">
        <w:t xml:space="preserve">Although lower notifications and rates have been reported in major cities of Australia, the proportion of cases overall has been </w:t>
      </w:r>
      <w:r w:rsidR="00753253" w:rsidRPr="009A2544">
        <w:t xml:space="preserve">steadily </w:t>
      </w:r>
      <w:r w:rsidRPr="009A2544">
        <w:t>increasing</w:t>
      </w:r>
      <w:r w:rsidR="00BE06DF" w:rsidRPr="009A2544">
        <w:t xml:space="preserve">, </w:t>
      </w:r>
      <w:r w:rsidR="00A023FE" w:rsidRPr="009A2544">
        <w:t xml:space="preserve">representing on </w:t>
      </w:r>
      <w:r w:rsidRPr="009A2544">
        <w:t xml:space="preserve">average </w:t>
      </w:r>
      <w:r w:rsidR="006D1F7A" w:rsidRPr="009A2544">
        <w:t xml:space="preserve">26% </w:t>
      </w:r>
      <w:r w:rsidR="00BE06DF" w:rsidRPr="009A2544">
        <w:t xml:space="preserve">of all cases in Aboriginal and Torres Strait Islander </w:t>
      </w:r>
      <w:r w:rsidR="00220D25" w:rsidRPr="009A2544">
        <w:t xml:space="preserve">women of reproductive age. </w:t>
      </w:r>
      <w:r w:rsidR="00DE3F33" w:rsidRPr="009A2544">
        <w:t>I</w:t>
      </w:r>
      <w:r w:rsidRPr="009A2544">
        <w:t xml:space="preserve">n inner and outer regional </w:t>
      </w:r>
      <w:r w:rsidR="006D1F7A" w:rsidRPr="009A2544">
        <w:t>areas,</w:t>
      </w:r>
      <w:r w:rsidRPr="009A2544">
        <w:t xml:space="preserve"> the proportion has remained relatively constant</w:t>
      </w:r>
      <w:r w:rsidR="00DE3F33" w:rsidRPr="009A2544">
        <w:t>, representing on average 2</w:t>
      </w:r>
      <w:r w:rsidR="00980F30" w:rsidRPr="009A2544">
        <w:t>4</w:t>
      </w:r>
      <w:r w:rsidR="00DE3F33" w:rsidRPr="009A2544">
        <w:t>%</w:t>
      </w:r>
      <w:r w:rsidRPr="009A2544">
        <w:t xml:space="preserve"> (</w:t>
      </w:r>
      <w:r w:rsidR="0031664B" w:rsidRPr="009A2544">
        <w:fldChar w:fldCharType="begin" w:fldLock="1"/>
      </w:r>
      <w:r w:rsidR="0031664B" w:rsidRPr="009A2544">
        <w:instrText xml:space="preserve"> REF _Ref238207443 \r \h </w:instrText>
      </w:r>
      <w:r w:rsidR="009A2544">
        <w:instrText xml:space="preserve"> \* MERGEFORMAT </w:instrText>
      </w:r>
      <w:r w:rsidR="0031664B" w:rsidRPr="009A2544">
        <w:fldChar w:fldCharType="separate"/>
      </w:r>
      <w:r w:rsidR="0031664B" w:rsidRPr="009A2544">
        <w:t>Figure 7</w:t>
      </w:r>
      <w:r w:rsidR="0031664B" w:rsidRPr="009A2544">
        <w:fldChar w:fldCharType="end"/>
      </w:r>
      <w:r w:rsidR="0031664B" w:rsidRPr="009A2544">
        <w:t xml:space="preserve"> </w:t>
      </w:r>
      <w:r w:rsidRPr="009A2544">
        <w:t>a).</w:t>
      </w:r>
    </w:p>
    <w:p w14:paraId="5EA71B77" w14:textId="77777777" w:rsidR="00902F72" w:rsidRPr="009A2544" w:rsidRDefault="00902F72" w:rsidP="00AD56C7">
      <w:pPr>
        <w:pStyle w:val="Heading3"/>
      </w:pPr>
      <w:bookmarkStart w:id="43" w:name="_Toc241658052"/>
      <w:r w:rsidRPr="009A2544">
        <w:t>Non-Indigenous women</w:t>
      </w:r>
      <w:bookmarkEnd w:id="43"/>
    </w:p>
    <w:p w14:paraId="4BD58351" w14:textId="4710B1B2" w:rsidR="00902F72" w:rsidRPr="009A2544" w:rsidRDefault="00902F72" w:rsidP="00902F72">
      <w:pPr>
        <w:tabs>
          <w:tab w:val="left" w:pos="4010"/>
        </w:tabs>
      </w:pPr>
      <w:r w:rsidRPr="009A2544">
        <w:t>Most notifications among non-Indigenous women of reproductive age were reported in major cities of Australia, on average representing 80% of cases reported between 2020 and Q</w:t>
      </w:r>
      <w:r w:rsidR="005777A9" w:rsidRPr="009A2544">
        <w:t>1</w:t>
      </w:r>
      <w:r w:rsidRPr="009A2544">
        <w:t xml:space="preserve"> 202</w:t>
      </w:r>
      <w:r w:rsidR="005777A9" w:rsidRPr="009A2544">
        <w:t>6</w:t>
      </w:r>
      <w:r w:rsidRPr="009A2544">
        <w:t>. A smaller proportion (average 19%) were reported in inner</w:t>
      </w:r>
      <w:r w:rsidR="00DA4AB5" w:rsidRPr="009A2544">
        <w:t xml:space="preserve"> and </w:t>
      </w:r>
      <w:r w:rsidRPr="009A2544">
        <w:t xml:space="preserve">outer regional areas, and </w:t>
      </w:r>
      <w:r w:rsidR="00EB74A8" w:rsidRPr="009A2544">
        <w:t>small</w:t>
      </w:r>
      <w:r w:rsidRPr="009A2544">
        <w:t xml:space="preserve"> proportion (average 1%) in remote and very remote Australia (</w:t>
      </w:r>
      <w:r w:rsidR="005777A9" w:rsidRPr="009A2544">
        <w:fldChar w:fldCharType="begin" w:fldLock="1"/>
      </w:r>
      <w:r w:rsidR="005777A9" w:rsidRPr="009A2544">
        <w:instrText xml:space="preserve"> REF _Ref238207495 \r \h  \* MERGEFORMAT </w:instrText>
      </w:r>
      <w:r w:rsidR="005777A9" w:rsidRPr="009A2544">
        <w:fldChar w:fldCharType="separate"/>
      </w:r>
      <w:r w:rsidR="005777A9" w:rsidRPr="009A2544">
        <w:t>Figure 7</w:t>
      </w:r>
      <w:r w:rsidR="005777A9" w:rsidRPr="009A2544">
        <w:fldChar w:fldCharType="end"/>
      </w:r>
      <w:r w:rsidR="005777A9" w:rsidRPr="009A2544">
        <w:t xml:space="preserve"> </w:t>
      </w:r>
      <w:r w:rsidRPr="009A2544">
        <w:t>b).</w:t>
      </w:r>
    </w:p>
    <w:p w14:paraId="33DE6442" w14:textId="77777777" w:rsidR="00E01237" w:rsidRPr="00694CD0" w:rsidRDefault="00E01237" w:rsidP="00694CD0">
      <w:r w:rsidRPr="00694CD0">
        <w:br w:type="page"/>
      </w:r>
    </w:p>
    <w:p w14:paraId="588F52F2" w14:textId="5A6452A7" w:rsidR="003E2698" w:rsidRPr="009A2544" w:rsidRDefault="00902F72" w:rsidP="00AD56C7">
      <w:pPr>
        <w:pStyle w:val="Figuretitle"/>
      </w:pPr>
      <w:bookmarkStart w:id="44" w:name="_Ref238207075"/>
      <w:bookmarkStart w:id="45" w:name="_Ref238207443"/>
      <w:bookmarkStart w:id="46" w:name="_Ref238207495"/>
      <w:bookmarkStart w:id="47" w:name="_Toc240364808"/>
      <w:r w:rsidRPr="009A2544">
        <w:lastRenderedPageBreak/>
        <w:t>Notifications (n</w:t>
      </w:r>
      <w:r w:rsidR="004D1D01" w:rsidRPr="009A2544">
        <w:t>umber</w:t>
      </w:r>
      <w:r w:rsidRPr="009A2544">
        <w:t>) and notification rate (per 100,000) of infectious syphilis reported in women</w:t>
      </w:r>
      <w:r w:rsidR="005B74C2" w:rsidRPr="009A2544">
        <w:t xml:space="preserve"> </w:t>
      </w:r>
      <w:r w:rsidRPr="009A2544">
        <w:t>aged 15</w:t>
      </w:r>
      <w:r w:rsidR="005B74C2" w:rsidRPr="009A2544">
        <w:t> to </w:t>
      </w:r>
      <w:r w:rsidRPr="009A2544">
        <w:t>44</w:t>
      </w:r>
      <w:r w:rsidR="005B74C2" w:rsidRPr="009A2544">
        <w:t> </w:t>
      </w:r>
      <w:r w:rsidRPr="009A2544">
        <w:t xml:space="preserve">years, by Indigenous status, remoteness area, quarter, and year, 2020 </w:t>
      </w:r>
      <w:r w:rsidR="005B74C2" w:rsidRPr="009A2544">
        <w:t>to</w:t>
      </w:r>
      <w:r w:rsidRPr="009A2544">
        <w:t xml:space="preserve"> Q</w:t>
      </w:r>
      <w:r w:rsidR="003C6204" w:rsidRPr="009A2544">
        <w:t>1</w:t>
      </w:r>
      <w:r w:rsidRPr="009A2544">
        <w:t xml:space="preserve"> 202</w:t>
      </w:r>
      <w:r w:rsidR="003C6204" w:rsidRPr="009A2544">
        <w:t>6</w:t>
      </w:r>
      <w:r w:rsidRPr="009A2544">
        <w:t xml:space="preserve"> (a. Aboriginal and Torres Strait Islander</w:t>
      </w:r>
      <w:r w:rsidR="005B74C2" w:rsidRPr="009A2544">
        <w:t>,</w:t>
      </w:r>
      <w:r w:rsidRPr="009A2544">
        <w:t xml:space="preserve"> b. </w:t>
      </w:r>
      <w:r w:rsidR="000D1E67">
        <w:t>N</w:t>
      </w:r>
      <w:r w:rsidRPr="009A2544">
        <w:t>on-Indigenous)</w:t>
      </w:r>
      <w:bookmarkEnd w:id="44"/>
      <w:bookmarkEnd w:id="45"/>
      <w:bookmarkEnd w:id="46"/>
      <w:bookmarkEnd w:id="47"/>
    </w:p>
    <w:p w14:paraId="3C88067F" w14:textId="77651A3B" w:rsidR="00473CF8" w:rsidRPr="009A2544" w:rsidRDefault="004E1148" w:rsidP="00902F72">
      <w:pPr>
        <w:tabs>
          <w:tab w:val="left" w:pos="4010"/>
        </w:tabs>
      </w:pPr>
      <w:r>
        <w:rPr>
          <w:noProof/>
        </w:rPr>
        <w:drawing>
          <wp:inline distT="0" distB="0" distL="0" distR="0" wp14:anchorId="45F10347" wp14:editId="22808945">
            <wp:extent cx="6057900" cy="3947240"/>
            <wp:effectExtent l="0" t="0" r="0" b="0"/>
            <wp:docPr id="141211037" name="Picture 14" descr="P60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1037" name="Picture 14" descr="P606#yIS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070486" cy="3955441"/>
                    </a:xfrm>
                    <a:prstGeom prst="rect">
                      <a:avLst/>
                    </a:prstGeom>
                    <a:noFill/>
                  </pic:spPr>
                </pic:pic>
              </a:graphicData>
            </a:graphic>
          </wp:inline>
        </w:drawing>
      </w:r>
    </w:p>
    <w:p w14:paraId="1402B47B" w14:textId="53F44E4A" w:rsidR="004E1148" w:rsidRPr="001D443D" w:rsidRDefault="004E1148" w:rsidP="001D443D">
      <w:r w:rsidRPr="001D443D">
        <w:rPr>
          <w:noProof/>
        </w:rPr>
        <w:drawing>
          <wp:inline distT="0" distB="0" distL="0" distR="0" wp14:anchorId="6EDA1A32" wp14:editId="7EB93704">
            <wp:extent cx="6095786" cy="3971925"/>
            <wp:effectExtent l="0" t="0" r="635" b="0"/>
            <wp:docPr id="34189957" name="Picture 15" descr="P6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9957" name="Picture 15" descr="P607#yIS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08264" cy="3980055"/>
                    </a:xfrm>
                    <a:prstGeom prst="rect">
                      <a:avLst/>
                    </a:prstGeom>
                    <a:noFill/>
                  </pic:spPr>
                </pic:pic>
              </a:graphicData>
            </a:graphic>
          </wp:inline>
        </w:drawing>
      </w:r>
    </w:p>
    <w:p w14:paraId="7EBE2974" w14:textId="1A30358B" w:rsidR="00A83448" w:rsidRPr="001D443D" w:rsidRDefault="001E6E65" w:rsidP="001D443D">
      <w:pPr>
        <w:pStyle w:val="FootnoteText"/>
      </w:pPr>
      <w:r w:rsidRPr="001D443D">
        <w:lastRenderedPageBreak/>
        <w:t>Note:</w:t>
      </w:r>
      <w:r w:rsidR="004E1148" w:rsidRPr="001D443D">
        <w:t xml:space="preserve"> </w:t>
      </w:r>
      <w:r w:rsidR="00A83448" w:rsidRPr="001D443D">
        <w:t xml:space="preserve">1. Excludes cases whose </w:t>
      </w:r>
      <w:r w:rsidR="00403BA6" w:rsidRPr="001D443D">
        <w:t xml:space="preserve">sex, </w:t>
      </w:r>
      <w:r w:rsidR="00A83448" w:rsidRPr="001D443D">
        <w:t>age, Indigenous status and/or residential postcode were not reported.</w:t>
      </w:r>
    </w:p>
    <w:p w14:paraId="1AAF63FB" w14:textId="18F737FC" w:rsidR="006329C5" w:rsidRPr="00677E3C" w:rsidRDefault="006329C5" w:rsidP="00694CD0">
      <w:pPr>
        <w:pStyle w:val="Heading2"/>
      </w:pPr>
      <w:bookmarkStart w:id="48" w:name="_Toc241658053"/>
      <w:r w:rsidRPr="00677E3C">
        <w:t xml:space="preserve">Indicators 2.5 and 2.6 </w:t>
      </w:r>
      <w:r w:rsidR="009618FB" w:rsidRPr="00677E3C">
        <w:t>–</w:t>
      </w:r>
      <w:r w:rsidRPr="00677E3C">
        <w:t xml:space="preserve"> </w:t>
      </w:r>
      <w:r w:rsidR="009618FB" w:rsidRPr="00677E3C">
        <w:t>M</w:t>
      </w:r>
      <w:r w:rsidR="00403BA6" w:rsidRPr="00677E3C">
        <w:t>ales</w:t>
      </w:r>
      <w:r w:rsidR="009618FB" w:rsidRPr="00677E3C">
        <w:t xml:space="preserve"> by sexual exposure</w:t>
      </w:r>
      <w:bookmarkEnd w:id="48"/>
    </w:p>
    <w:p w14:paraId="42CF8E90" w14:textId="77777777" w:rsidR="00B27159" w:rsidRDefault="000C75AA" w:rsidP="00B21AD1">
      <w:pPr>
        <w:pStyle w:val="Boxemerald"/>
      </w:pPr>
      <w:r w:rsidRPr="009A2544">
        <w:t>2.5 Proportion of infectious syphilis notifications in men reporting sexual exposure with men only</w:t>
      </w:r>
    </w:p>
    <w:p w14:paraId="1BB4AA6A" w14:textId="291C6EB3" w:rsidR="000C75AA" w:rsidRPr="009A2544" w:rsidRDefault="000C75AA" w:rsidP="00B21AD1">
      <w:pPr>
        <w:pStyle w:val="Boxemerald"/>
      </w:pPr>
      <w:r w:rsidRPr="009A2544">
        <w:t>2.6 Proportion of infectious syphilis notifications in men reporting sexual exposure with men and women</w:t>
      </w:r>
    </w:p>
    <w:p w14:paraId="2F5A4BDE" w14:textId="16484317" w:rsidR="0005590E" w:rsidRPr="009A2544" w:rsidRDefault="0005590E" w:rsidP="000C75AA">
      <w:r w:rsidRPr="009A2544">
        <w:t xml:space="preserve">‘Sexual exposure’ refers to the sex of the sexual contact of the notified case and can be reported as either: </w:t>
      </w:r>
    </w:p>
    <w:p w14:paraId="5ABD929F" w14:textId="7ADC76A5" w:rsidR="0005590E" w:rsidRPr="009A2544" w:rsidRDefault="00BE12DA" w:rsidP="00DD25C4">
      <w:pPr>
        <w:pStyle w:val="ListBullet"/>
      </w:pPr>
      <w:r w:rsidRPr="009A2544">
        <w:t>person(s)</w:t>
      </w:r>
      <w:r w:rsidR="0005590E" w:rsidRPr="009A2544">
        <w:t xml:space="preserve"> of different sex only</w:t>
      </w:r>
    </w:p>
    <w:p w14:paraId="0C3F979B" w14:textId="0580C406" w:rsidR="0005590E" w:rsidRPr="009A2544" w:rsidRDefault="00BE12DA" w:rsidP="00DD25C4">
      <w:pPr>
        <w:pStyle w:val="ListBullet"/>
      </w:pPr>
      <w:r w:rsidRPr="009A2544">
        <w:t xml:space="preserve">person(s) </w:t>
      </w:r>
      <w:r w:rsidR="0005590E" w:rsidRPr="009A2544">
        <w:t>of same sex only</w:t>
      </w:r>
    </w:p>
    <w:p w14:paraId="4F785F3B" w14:textId="125B3A8D" w:rsidR="0005590E" w:rsidRPr="009A2544" w:rsidRDefault="00BE12DA" w:rsidP="00DD25C4">
      <w:pPr>
        <w:pStyle w:val="ListBullet"/>
      </w:pPr>
      <w:r w:rsidRPr="009A2544">
        <w:t xml:space="preserve">person(s) </w:t>
      </w:r>
      <w:r w:rsidR="0005590E" w:rsidRPr="009A2544">
        <w:t>of different sex AND person(s) of same sex</w:t>
      </w:r>
    </w:p>
    <w:p w14:paraId="4705884B" w14:textId="74A42064" w:rsidR="0005590E" w:rsidRPr="009A2544" w:rsidRDefault="0005590E" w:rsidP="00DD25C4">
      <w:pPr>
        <w:pStyle w:val="ListBullet"/>
      </w:pPr>
      <w:r w:rsidRPr="009A2544">
        <w:t>sexual exposure unknown.</w:t>
      </w:r>
    </w:p>
    <w:p w14:paraId="7CFA6BE9" w14:textId="4CC2CF9D" w:rsidR="000C75AA" w:rsidRPr="009A2544" w:rsidRDefault="000C75AA" w:rsidP="000C75AA">
      <w:r w:rsidRPr="009A2544">
        <w:t>Enhanced data (sexual exposure: same sex, opposite sex and both sexes) are used to report against indicators 2.5 and 2.6.</w:t>
      </w:r>
    </w:p>
    <w:p w14:paraId="2E0ACDD2" w14:textId="4B2E3CB0" w:rsidR="000C75AA" w:rsidRPr="009A2544" w:rsidRDefault="000C75AA" w:rsidP="000C75AA">
      <w:r w:rsidRPr="009A2544">
        <w:t>Completeness of sexual exposure in males notified with infectious syphilis fluctuated between 2020 and Q</w:t>
      </w:r>
      <w:r w:rsidR="007E56A0" w:rsidRPr="009A2544">
        <w:t>1</w:t>
      </w:r>
      <w:r w:rsidRPr="009A2544">
        <w:t xml:space="preserve"> 202</w:t>
      </w:r>
      <w:r w:rsidR="007E56A0" w:rsidRPr="009A2544">
        <w:t>6</w:t>
      </w:r>
      <w:r w:rsidRPr="009A2544">
        <w:t>, ranging from 6</w:t>
      </w:r>
      <w:r w:rsidR="007D2A66" w:rsidRPr="009A2544">
        <w:t>7</w:t>
      </w:r>
      <w:r w:rsidRPr="009A2544">
        <w:t>% to 8</w:t>
      </w:r>
      <w:r w:rsidR="007D2A66" w:rsidRPr="009A2544">
        <w:t>1</w:t>
      </w:r>
      <w:r w:rsidRPr="009A2544">
        <w:t>% (average 7</w:t>
      </w:r>
      <w:r w:rsidR="00582AE8" w:rsidRPr="009A2544">
        <w:t>7</w:t>
      </w:r>
      <w:r w:rsidRPr="009A2544">
        <w:t>%).</w:t>
      </w:r>
      <w:r w:rsidR="00532709" w:rsidRPr="009A2544">
        <w:t xml:space="preserve"> In Q1 2026, </w:t>
      </w:r>
      <w:r w:rsidR="00F00CBD" w:rsidRPr="009A2544">
        <w:t xml:space="preserve">completeness for this variable was lower (67%) than </w:t>
      </w:r>
      <w:r w:rsidR="00863054" w:rsidRPr="009A2544">
        <w:t>historical avera</w:t>
      </w:r>
      <w:r w:rsidR="00B90CF1" w:rsidRPr="009A2544">
        <w:t>ges</w:t>
      </w:r>
      <w:r w:rsidR="002065D1" w:rsidRPr="009A2544">
        <w:t xml:space="preserve">. Incomplete data may influence </w:t>
      </w:r>
      <w:r w:rsidR="00BC62F4" w:rsidRPr="009A2544">
        <w:t>trends for other sexual exposure categories this reporting period</w:t>
      </w:r>
      <w:r w:rsidR="00813129" w:rsidRPr="009A2544">
        <w:t>, with improvements</w:t>
      </w:r>
      <w:r w:rsidR="00142B25" w:rsidRPr="009A2544">
        <w:t xml:space="preserve"> in completeness expected in future reports.</w:t>
      </w:r>
    </w:p>
    <w:p w14:paraId="5EFBB6F3" w14:textId="34EFDC42" w:rsidR="009763D4" w:rsidRPr="009A2544" w:rsidRDefault="000C75AA" w:rsidP="000C75AA">
      <w:r w:rsidRPr="009A2544">
        <w:t>Males reporting sexual exposure with the same sex only represented the highest proportion of sexual exposure events (</w:t>
      </w:r>
      <w:r w:rsidR="00E5118F" w:rsidRPr="009A2544">
        <w:t>4</w:t>
      </w:r>
      <w:r w:rsidR="007D6570" w:rsidRPr="009A2544">
        <w:t>4</w:t>
      </w:r>
      <w:r w:rsidRPr="009A2544">
        <w:t>%) in Q</w:t>
      </w:r>
      <w:r w:rsidR="007D6570" w:rsidRPr="009A2544">
        <w:t>1</w:t>
      </w:r>
      <w:r w:rsidRPr="009A2544">
        <w:t xml:space="preserve"> 202</w:t>
      </w:r>
      <w:r w:rsidR="007D6570" w:rsidRPr="009A2544">
        <w:t>6</w:t>
      </w:r>
      <w:r w:rsidR="00D807EF">
        <w:t>,</w:t>
      </w:r>
      <w:r w:rsidRPr="009A2544">
        <w:t xml:space="preserve"> consistent with historical trends. </w:t>
      </w:r>
    </w:p>
    <w:p w14:paraId="6F86B4A6" w14:textId="2B8C152E" w:rsidR="000C75AA" w:rsidRPr="009A2544" w:rsidRDefault="000C75AA" w:rsidP="000C75AA">
      <w:r w:rsidRPr="009A2544">
        <w:t xml:space="preserve">The proportion of males reporting sexual exposure with people of a different sex only was </w:t>
      </w:r>
      <w:r w:rsidR="007D6570" w:rsidRPr="009A2544">
        <w:t>18</w:t>
      </w:r>
      <w:r w:rsidRPr="009A2544">
        <w:t>% in Q</w:t>
      </w:r>
      <w:r w:rsidR="007D6570" w:rsidRPr="009A2544">
        <w:t>1</w:t>
      </w:r>
      <w:r w:rsidRPr="009A2544">
        <w:t xml:space="preserve"> 202</w:t>
      </w:r>
      <w:r w:rsidR="001F25F8" w:rsidRPr="009A2544">
        <w:t>6</w:t>
      </w:r>
      <w:r w:rsidRPr="009A2544">
        <w:t xml:space="preserve">, </w:t>
      </w:r>
      <w:r w:rsidR="0033385F" w:rsidRPr="009A2544">
        <w:t>a proportional decline</w:t>
      </w:r>
      <w:r w:rsidRPr="009A2544">
        <w:t xml:space="preserve"> compared with the 12</w:t>
      </w:r>
      <w:r w:rsidR="00D807EF">
        <w:t>-</w:t>
      </w:r>
      <w:r w:rsidRPr="009A2544">
        <w:t>month and 5</w:t>
      </w:r>
      <w:r w:rsidR="00914FE8" w:rsidRPr="009A2544">
        <w:t>-</w:t>
      </w:r>
      <w:r w:rsidRPr="009A2544">
        <w:t xml:space="preserve">year quarterly means, </w:t>
      </w:r>
      <w:r w:rsidR="00221D5A" w:rsidRPr="009A2544">
        <w:t>2</w:t>
      </w:r>
      <w:r w:rsidR="001F25F8" w:rsidRPr="009A2544">
        <w:t>2</w:t>
      </w:r>
      <w:r w:rsidR="00221D5A" w:rsidRPr="009A2544">
        <w:t>%</w:t>
      </w:r>
      <w:r w:rsidRPr="009A2544">
        <w:t xml:space="preserve"> and </w:t>
      </w:r>
      <w:r w:rsidR="004F3B29" w:rsidRPr="009A2544">
        <w:t>19%,</w:t>
      </w:r>
      <w:r w:rsidRPr="009A2544">
        <w:t xml:space="preserve"> respectively. Proportionally</w:t>
      </w:r>
      <w:r w:rsidR="00D807EF">
        <w:t>,</w:t>
      </w:r>
      <w:r w:rsidRPr="009A2544">
        <w:t xml:space="preserve"> males reporting sexual exposure with people of different and same sex was </w:t>
      </w:r>
      <w:r w:rsidR="00823632" w:rsidRPr="009A2544">
        <w:t>5</w:t>
      </w:r>
      <w:r w:rsidRPr="009A2544">
        <w:t>% in Q</w:t>
      </w:r>
      <w:r w:rsidR="00823632" w:rsidRPr="009A2544">
        <w:t>1</w:t>
      </w:r>
      <w:r w:rsidRPr="009A2544">
        <w:t xml:space="preserve"> 202</w:t>
      </w:r>
      <w:r w:rsidR="00823632" w:rsidRPr="009A2544">
        <w:t>6</w:t>
      </w:r>
      <w:r w:rsidR="00532709" w:rsidRPr="009A2544">
        <w:t xml:space="preserve">, </w:t>
      </w:r>
      <w:proofErr w:type="gramStart"/>
      <w:r w:rsidR="00532709" w:rsidRPr="009A2544">
        <w:t>similar to</w:t>
      </w:r>
      <w:proofErr w:type="gramEnd"/>
      <w:r w:rsidR="00532709" w:rsidRPr="009A2544">
        <w:t xml:space="preserve"> historical trends</w:t>
      </w:r>
      <w:r w:rsidRPr="009A2544">
        <w:t xml:space="preserve"> (</w:t>
      </w:r>
      <w:r w:rsidR="00293BCA" w:rsidRPr="009A2544">
        <w:fldChar w:fldCharType="begin" w:fldLock="1"/>
      </w:r>
      <w:r w:rsidR="00293BCA" w:rsidRPr="009A2544">
        <w:instrText xml:space="preserve"> REF _Ref237946677 \r \h </w:instrText>
      </w:r>
      <w:r w:rsidR="009A2544">
        <w:instrText xml:space="preserve"> \* MERGEFORMAT </w:instrText>
      </w:r>
      <w:r w:rsidR="00293BCA" w:rsidRPr="009A2544">
        <w:fldChar w:fldCharType="separate"/>
      </w:r>
      <w:r w:rsidR="00293BCA" w:rsidRPr="009A2544">
        <w:t>Figure 8</w:t>
      </w:r>
      <w:r w:rsidR="00293BCA" w:rsidRPr="009A2544">
        <w:fldChar w:fldCharType="end"/>
      </w:r>
      <w:r w:rsidRPr="009A2544">
        <w:t>).</w:t>
      </w:r>
    </w:p>
    <w:p w14:paraId="1DCD2976" w14:textId="5DFDCA4B" w:rsidR="000C75AA" w:rsidRPr="003C1FD3" w:rsidRDefault="000C75AA" w:rsidP="003C1FD3">
      <w:r w:rsidRPr="003C1FD3">
        <w:t xml:space="preserve">Changes in sexual exposure over time suggests potential overlapping in sexual networks influencing the epidemiology of syphilis transmission across Australia, including increasing exposure risk for females. This concept has also been observed in genomic analysis of Treponema pallidum (syphilis) in Australia and other sexually transmissible infections </w:t>
      </w:r>
      <w:r w:rsidR="005C68E6" w:rsidRPr="003C1FD3">
        <w:fldChar w:fldCharType="begin">
          <w:fldData xml:space="preserve">PEVuZE5vdGU+PENpdGU+PEF1dGhvcj5UYW91azwvQXV0aG9yPjxZZWFyPjIwMjI8L1llYXI+PFJl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</w:fldData>
        </w:fldChar>
      </w:r>
      <w:r w:rsidR="00DF3CAA" w:rsidRPr="003C1FD3">
        <w:instrText xml:space="preserve"> ADDIN EN.CITE </w:instrText>
      </w:r>
      <w:r w:rsidR="00DF3CAA" w:rsidRPr="003C1FD3">
        <w:fldChar w:fldCharType="begin">
          <w:fldData xml:space="preserve">PEVuZE5vdGU+PENpdGU+PEF1dGhvcj5UYW91azwvQXV0aG9yPjxZZWFyPjIwMjI8L1llYXI+PFJl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</w:fldData>
        </w:fldChar>
      </w:r>
      <w:r w:rsidR="00DF3CAA" w:rsidRPr="003C1FD3">
        <w:instrText xml:space="preserve"> ADDIN EN.CITE.DATA </w:instrText>
      </w:r>
      <w:r w:rsidR="00DF3CAA" w:rsidRPr="003C1FD3">
        <w:fldChar w:fldCharType="end"/>
      </w:r>
      <w:r w:rsidR="005C68E6" w:rsidRPr="003C1FD3">
        <w:fldChar w:fldCharType="separate"/>
      </w:r>
      <w:r w:rsidR="001629AA" w:rsidRPr="003C1FD3">
        <w:t>(6, 7)</w:t>
      </w:r>
      <w:r w:rsidR="005C68E6" w:rsidRPr="003C1FD3">
        <w:fldChar w:fldCharType="end"/>
      </w:r>
      <w:r w:rsidR="005C68E6" w:rsidRPr="003C1FD3">
        <w:t>.</w:t>
      </w:r>
      <w:r w:rsidR="0056314B" w:rsidRPr="003C1FD3">
        <w:t>6,7</w:t>
      </w:r>
    </w:p>
    <w:p w14:paraId="73570335" w14:textId="77777777" w:rsidR="007A5A53" w:rsidRPr="00694CD0" w:rsidRDefault="007A5A53" w:rsidP="00694CD0">
      <w:r w:rsidRPr="00694CD0">
        <w:br w:type="page"/>
      </w:r>
    </w:p>
    <w:p w14:paraId="375BCE1F" w14:textId="50780BB3" w:rsidR="00FA4688" w:rsidRPr="009A2544" w:rsidRDefault="000C75AA" w:rsidP="00DD25C4">
      <w:pPr>
        <w:pStyle w:val="Figuretitle"/>
      </w:pPr>
      <w:bookmarkStart w:id="49" w:name="_Ref237946677"/>
      <w:bookmarkStart w:id="50" w:name="_Toc240364809"/>
      <w:r w:rsidRPr="009A2544">
        <w:lastRenderedPageBreak/>
        <w:t xml:space="preserve">Number of infectious syphilis notifications among males and proportion (%) of cases by sexual exposure and year 2020 </w:t>
      </w:r>
      <w:r w:rsidR="005C68E6" w:rsidRPr="009A2544">
        <w:t>to</w:t>
      </w:r>
      <w:r w:rsidRPr="009A2544">
        <w:t xml:space="preserve"> Q</w:t>
      </w:r>
      <w:r w:rsidR="003C6204" w:rsidRPr="009A2544">
        <w:t>1</w:t>
      </w:r>
      <w:r w:rsidR="005C68E6" w:rsidRPr="009A2544">
        <w:t xml:space="preserve"> </w:t>
      </w:r>
      <w:r w:rsidRPr="009A2544">
        <w:t>202</w:t>
      </w:r>
      <w:r w:rsidR="003C6204" w:rsidRPr="009A2544">
        <w:t>6</w:t>
      </w:r>
      <w:bookmarkEnd w:id="49"/>
      <w:bookmarkEnd w:id="50"/>
    </w:p>
    <w:p w14:paraId="6F3C7D08" w14:textId="03B0C842" w:rsidR="00E906E7" w:rsidRDefault="00720EBF" w:rsidP="00E906E7">
      <w:r>
        <w:rPr>
          <w:noProof/>
        </w:rPr>
        <w:drawing>
          <wp:inline distT="0" distB="0" distL="0" distR="0" wp14:anchorId="4D6F8C43" wp14:editId="749E79F2">
            <wp:extent cx="6105525" cy="3978272"/>
            <wp:effectExtent l="0" t="0" r="0" b="3810"/>
            <wp:docPr id="940101569" name="Picture 16" descr="P6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101569" name="Picture 16" descr="P624#yIS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13039" cy="3983168"/>
                    </a:xfrm>
                    <a:prstGeom prst="rect">
                      <a:avLst/>
                    </a:prstGeom>
                    <a:noFill/>
                  </pic:spPr>
                </pic:pic>
              </a:graphicData>
            </a:graphic>
          </wp:inline>
        </w:drawing>
      </w:r>
    </w:p>
    <w:p w14:paraId="38C883EA" w14:textId="38B53259" w:rsidR="00720EBF" w:rsidRPr="00694CD0" w:rsidRDefault="00720EBF" w:rsidP="00694CD0">
      <w:r w:rsidRPr="00694CD0">
        <w:br w:type="page"/>
      </w:r>
    </w:p>
    <w:p w14:paraId="0A3541A3" w14:textId="77777777" w:rsidR="001A3688" w:rsidRPr="00555327" w:rsidRDefault="001A3688" w:rsidP="00555327">
      <w:pPr>
        <w:pStyle w:val="Heading1"/>
      </w:pPr>
      <w:bookmarkStart w:id="51" w:name="_Toc241658054"/>
      <w:r w:rsidRPr="00555327">
        <w:lastRenderedPageBreak/>
        <w:t>Goal 3: Reduce morbidity and mortality associated with syphilis</w:t>
      </w:r>
      <w:bookmarkEnd w:id="51"/>
    </w:p>
    <w:p w14:paraId="26F30E05" w14:textId="3445E381" w:rsidR="0045711B" w:rsidRPr="009A2544" w:rsidRDefault="001A3688" w:rsidP="001A3688">
      <w:r w:rsidRPr="009A2544">
        <w:t xml:space="preserve">Death and hospitalisations data reported to the NNDSS are not used in reporting against this goal due to poor completeness and inconsistencies in reporting. </w:t>
      </w:r>
    </w:p>
    <w:p w14:paraId="3823D332" w14:textId="08516C06" w:rsidR="001A3688" w:rsidRPr="009A2544" w:rsidRDefault="001A3688" w:rsidP="001A3688">
      <w:r w:rsidRPr="009A2544">
        <w:t xml:space="preserve">More comprehensive data are available through </w:t>
      </w:r>
      <w:r w:rsidR="00D807EF">
        <w:t>t</w:t>
      </w:r>
      <w:r w:rsidRPr="009A2544">
        <w:t xml:space="preserve">he Australian Bureau of Statistics (ABS) and </w:t>
      </w:r>
      <w:r w:rsidR="00D807EF">
        <w:t>t</w:t>
      </w:r>
      <w:r w:rsidRPr="009A2544">
        <w:t>he Australian Institute of Health and Welfare (AIHW) data collections</w:t>
      </w:r>
      <w:r w:rsidR="0045711B" w:rsidRPr="009A2544">
        <w:t>. H</w:t>
      </w:r>
      <w:r w:rsidRPr="009A2544">
        <w:t>owever</w:t>
      </w:r>
      <w:r w:rsidR="0045711B" w:rsidRPr="009A2544">
        <w:t>,</w:t>
      </w:r>
      <w:r w:rsidRPr="009A2544">
        <w:t xml:space="preserve"> these data are less timely with at least a minimum </w:t>
      </w:r>
      <w:r w:rsidR="0045711B" w:rsidRPr="009A2544">
        <w:t>1</w:t>
      </w:r>
      <w:r w:rsidR="00D807EF">
        <w:t>-</w:t>
      </w:r>
      <w:r w:rsidRPr="009A2544">
        <w:t xml:space="preserve"> to </w:t>
      </w:r>
      <w:r w:rsidR="0045711B" w:rsidRPr="009A2544">
        <w:t>2-</w:t>
      </w:r>
      <w:r w:rsidRPr="009A2544">
        <w:t>year delay from the reporting year.</w:t>
      </w:r>
    </w:p>
    <w:p w14:paraId="16883D0E" w14:textId="52C743E9" w:rsidR="00555327" w:rsidRDefault="001A3688" w:rsidP="001A3688">
      <w:r w:rsidRPr="009A2544">
        <w:t>The latest available data from the ABS and AIHW will be incorporated into annual reporting for this goal.</w:t>
      </w:r>
    </w:p>
    <w:p w14:paraId="41852599" w14:textId="77777777" w:rsidR="00555327" w:rsidRPr="00694CD0" w:rsidRDefault="00555327" w:rsidP="00694CD0">
      <w:r w:rsidRPr="00694CD0">
        <w:br w:type="page"/>
      </w:r>
    </w:p>
    <w:p w14:paraId="6AE99EFC" w14:textId="77777777" w:rsidR="00F950FD" w:rsidRPr="00555327" w:rsidRDefault="00F950FD" w:rsidP="00555327">
      <w:pPr>
        <w:pStyle w:val="Heading1"/>
      </w:pPr>
      <w:bookmarkStart w:id="52" w:name="_Toc241658055"/>
      <w:r w:rsidRPr="00555327">
        <w:lastRenderedPageBreak/>
        <w:t>Goal 4: Eliminate congenital syphilis (defined as sustained zero congenital syphilis cases)</w:t>
      </w:r>
      <w:bookmarkEnd w:id="52"/>
    </w:p>
    <w:p w14:paraId="4DAAC9B2" w14:textId="77777777" w:rsidR="00AF4088" w:rsidRPr="009A2544" w:rsidRDefault="00AF4088" w:rsidP="00694CD0">
      <w:pPr>
        <w:pStyle w:val="BoxBulletGreen"/>
      </w:pPr>
      <w:r w:rsidRPr="009A2544">
        <w:t>Key facts</w:t>
      </w:r>
    </w:p>
    <w:p w14:paraId="38431044" w14:textId="4594A376" w:rsidR="008D26CE" w:rsidRPr="00C33651" w:rsidRDefault="00445D19" w:rsidP="00C33651">
      <w:pPr>
        <w:pStyle w:val="BoxTextGreen"/>
      </w:pPr>
      <w:r w:rsidRPr="00C33651">
        <w:t>In Q1 2026</w:t>
      </w:r>
      <w:r w:rsidR="008D26CE" w:rsidRPr="00C33651">
        <w:t>:</w:t>
      </w:r>
    </w:p>
    <w:p w14:paraId="2C089C37" w14:textId="24FDCCD5" w:rsidR="00AF4088" w:rsidRPr="009A2544" w:rsidRDefault="00445D19" w:rsidP="008D26CE">
      <w:pPr>
        <w:pStyle w:val="BoxBulletGreen"/>
      </w:pPr>
      <w:r w:rsidRPr="00C33651">
        <w:rPr>
          <w:rStyle w:val="Strong"/>
        </w:rPr>
        <w:t>4</w:t>
      </w:r>
      <w:r w:rsidR="00AF4088" w:rsidRPr="00C33651">
        <w:rPr>
          <w:rStyle w:val="Strong"/>
        </w:rPr>
        <w:t xml:space="preserve"> cases</w:t>
      </w:r>
      <w:r w:rsidR="00AF4088" w:rsidRPr="009A2544">
        <w:t xml:space="preserve"> of </w:t>
      </w:r>
      <w:r w:rsidR="00AF4088" w:rsidRPr="00C33651">
        <w:rPr>
          <w:rStyle w:val="Strong"/>
        </w:rPr>
        <w:t>congenital syphilis</w:t>
      </w:r>
      <w:r w:rsidR="00AF4088" w:rsidRPr="009A2544">
        <w:t xml:space="preserve"> were reported</w:t>
      </w:r>
      <w:r w:rsidR="003140EE" w:rsidRPr="009A2544">
        <w:t>. Of those</w:t>
      </w:r>
      <w:r w:rsidR="00AF4088" w:rsidRPr="009A2544">
        <w:t>:</w:t>
      </w:r>
    </w:p>
    <w:p w14:paraId="615DA8B2" w14:textId="1AFBB336" w:rsidR="00AF4088" w:rsidRPr="009A2544" w:rsidRDefault="00877CF5" w:rsidP="007E5BE3">
      <w:pPr>
        <w:pStyle w:val="BoxBulletGreenindent"/>
      </w:pPr>
      <w:r w:rsidRPr="009A2544">
        <w:t xml:space="preserve">- </w:t>
      </w:r>
      <w:r w:rsidR="00C457EF" w:rsidRPr="009A2544">
        <w:t>3</w:t>
      </w:r>
      <w:r w:rsidR="00AF4088" w:rsidRPr="009A2544">
        <w:t xml:space="preserve"> </w:t>
      </w:r>
      <w:r w:rsidR="003140EE" w:rsidRPr="009A2544">
        <w:t xml:space="preserve">were </w:t>
      </w:r>
      <w:r w:rsidR="00AF4088" w:rsidRPr="009A2544">
        <w:t>non-Indigenous infants</w:t>
      </w:r>
    </w:p>
    <w:p w14:paraId="611D8FC6" w14:textId="36A9E83D" w:rsidR="00AF4088" w:rsidRPr="009A2544" w:rsidRDefault="00877CF5" w:rsidP="007E5BE3">
      <w:pPr>
        <w:pStyle w:val="BoxBulletGreenindent"/>
      </w:pPr>
      <w:r w:rsidRPr="009A2544">
        <w:t xml:space="preserve">- </w:t>
      </w:r>
      <w:r w:rsidR="005C7C1A" w:rsidRPr="009A2544">
        <w:t>1 was an</w:t>
      </w:r>
      <w:r w:rsidR="003140EE" w:rsidRPr="009A2544">
        <w:t xml:space="preserve"> </w:t>
      </w:r>
      <w:r w:rsidR="00AF4088" w:rsidRPr="009A2544">
        <w:t>Aboriginal and Torres Strait Islander infant who sadly died</w:t>
      </w:r>
      <w:r w:rsidR="00D807EF">
        <w:t>.</w:t>
      </w:r>
    </w:p>
    <w:p w14:paraId="46219A56" w14:textId="2F3F3FA2" w:rsidR="00AF4088" w:rsidRPr="00C33651" w:rsidRDefault="00C062B2" w:rsidP="00C33651">
      <w:pPr>
        <w:pStyle w:val="BoxBulletGreen"/>
        <w:rPr>
          <w:rStyle w:val="Strong"/>
        </w:rPr>
      </w:pPr>
      <w:r w:rsidRPr="009A2544">
        <w:t>All women</w:t>
      </w:r>
      <w:r w:rsidR="00AF4088" w:rsidRPr="00C33651">
        <w:rPr>
          <w:rStyle w:val="Strong"/>
        </w:rPr>
        <w:t xml:space="preserve"> who gave birth </w:t>
      </w:r>
      <w:r w:rsidR="00AF4088" w:rsidRPr="009A2544">
        <w:t>to these infants were diagnosed with syphilis</w:t>
      </w:r>
      <w:r w:rsidR="00AF4088" w:rsidRPr="00C33651">
        <w:rPr>
          <w:rStyle w:val="Strong"/>
        </w:rPr>
        <w:t xml:space="preserve"> </w:t>
      </w:r>
      <w:r w:rsidR="00AF4088" w:rsidRPr="009A2544">
        <w:t>late in pregnancy</w:t>
      </w:r>
      <w:r w:rsidR="00AF4088" w:rsidRPr="00C33651">
        <w:rPr>
          <w:rStyle w:val="Strong"/>
        </w:rPr>
        <w:t xml:space="preserve"> and did not receive adequate treatment prior to delivery</w:t>
      </w:r>
      <w:r w:rsidR="00D807EF" w:rsidRPr="00C33651">
        <w:rPr>
          <w:rStyle w:val="Strong"/>
        </w:rPr>
        <w:t>.</w:t>
      </w:r>
    </w:p>
    <w:p w14:paraId="122AB54E" w14:textId="2878EAAB" w:rsidR="00AF4088" w:rsidRPr="009A2544" w:rsidRDefault="00AF4088" w:rsidP="00C33651">
      <w:pPr>
        <w:pStyle w:val="BoxBulletGreen"/>
      </w:pPr>
      <w:r w:rsidRPr="00C33651">
        <w:rPr>
          <w:rStyle w:val="Strong"/>
        </w:rPr>
        <w:t>1</w:t>
      </w:r>
      <w:r w:rsidR="007C5250" w:rsidRPr="00C33651">
        <w:rPr>
          <w:rStyle w:val="Strong"/>
        </w:rPr>
        <w:t>4</w:t>
      </w:r>
      <w:r w:rsidRPr="00C33651">
        <w:rPr>
          <w:rStyle w:val="Strong"/>
        </w:rPr>
        <w:t>%</w:t>
      </w:r>
      <w:r w:rsidRPr="009A2544">
        <w:t xml:space="preserve"> of</w:t>
      </w:r>
      <w:r w:rsidR="000B5661" w:rsidRPr="009A2544">
        <w:t xml:space="preserve"> all</w:t>
      </w:r>
      <w:r w:rsidRPr="009A2544">
        <w:t xml:space="preserve"> women of reproductive age </w:t>
      </w:r>
      <w:r w:rsidR="000B5661" w:rsidRPr="009A2544">
        <w:t xml:space="preserve">diagnosed with </w:t>
      </w:r>
      <w:r w:rsidRPr="009A2544">
        <w:t xml:space="preserve">syphilis </w:t>
      </w:r>
      <w:r w:rsidR="000B5661" w:rsidRPr="009A2544">
        <w:t xml:space="preserve">were </w:t>
      </w:r>
      <w:r w:rsidR="000B5661" w:rsidRPr="00C33651">
        <w:rPr>
          <w:rStyle w:val="Strong"/>
        </w:rPr>
        <w:t>pregnant</w:t>
      </w:r>
      <w:r w:rsidR="00D807EF" w:rsidRPr="00C33651">
        <w:rPr>
          <w:rStyle w:val="Strong"/>
        </w:rPr>
        <w:t>.</w:t>
      </w:r>
      <w:r w:rsidRPr="009A2544">
        <w:t xml:space="preserve"> </w:t>
      </w:r>
    </w:p>
    <w:p w14:paraId="0B7A1F92" w14:textId="440F9AEF" w:rsidR="00AF4088" w:rsidRPr="009A2544" w:rsidRDefault="00AF4088" w:rsidP="00694CD0">
      <w:pPr>
        <w:pStyle w:val="BoxBulletGreen"/>
      </w:pPr>
      <w:r w:rsidRPr="009A2544">
        <w:t>Long</w:t>
      </w:r>
      <w:r w:rsidR="00F427C8" w:rsidRPr="009A2544">
        <w:t>-</w:t>
      </w:r>
      <w:r w:rsidRPr="009A2544">
        <w:t>term trends</w:t>
      </w:r>
    </w:p>
    <w:p w14:paraId="56424FA1" w14:textId="6610C8A5" w:rsidR="00C11745" w:rsidRPr="00C33651" w:rsidRDefault="001F37ED" w:rsidP="00AF4088">
      <w:pPr>
        <w:pStyle w:val="BoxTextGreen"/>
      </w:pPr>
      <w:r w:rsidRPr="009A2544">
        <w:t xml:space="preserve">Between </w:t>
      </w:r>
      <w:r w:rsidRPr="00C33651">
        <w:t>2020 and Q</w:t>
      </w:r>
      <w:r w:rsidR="005C7C1A" w:rsidRPr="00C33651">
        <w:t>1</w:t>
      </w:r>
      <w:r w:rsidRPr="00C33651">
        <w:t xml:space="preserve"> 202</w:t>
      </w:r>
      <w:r w:rsidR="005C7C1A" w:rsidRPr="00C33651">
        <w:t>6</w:t>
      </w:r>
      <w:r w:rsidR="00C11745" w:rsidRPr="00C33651">
        <w:t>:</w:t>
      </w:r>
    </w:p>
    <w:p w14:paraId="6719DA49" w14:textId="37A7D408" w:rsidR="00AF4088" w:rsidRPr="009A2544" w:rsidRDefault="00A220E6" w:rsidP="004155CA">
      <w:pPr>
        <w:pStyle w:val="BoxBulletGreen"/>
      </w:pPr>
      <w:r w:rsidRPr="00C33651">
        <w:rPr>
          <w:rStyle w:val="Strong"/>
        </w:rPr>
        <w:t>95</w:t>
      </w:r>
      <w:r w:rsidR="00AC103E" w:rsidRPr="00C33651">
        <w:rPr>
          <w:rStyle w:val="Strong"/>
        </w:rPr>
        <w:t xml:space="preserve"> cases</w:t>
      </w:r>
      <w:r w:rsidR="00AF4088" w:rsidRPr="009A2544">
        <w:t xml:space="preserve"> </w:t>
      </w:r>
      <w:r w:rsidR="00AC103E" w:rsidRPr="009A2544">
        <w:t xml:space="preserve">of </w:t>
      </w:r>
      <w:r w:rsidR="00AF4088" w:rsidRPr="009A2544">
        <w:t>congenital syphilis have been reported, including</w:t>
      </w:r>
      <w:r w:rsidR="00AF4088" w:rsidRPr="00C33651">
        <w:rPr>
          <w:rStyle w:val="Strong"/>
        </w:rPr>
        <w:t xml:space="preserve"> 3</w:t>
      </w:r>
      <w:r w:rsidR="00742924" w:rsidRPr="00C33651">
        <w:rPr>
          <w:rStyle w:val="Strong"/>
        </w:rPr>
        <w:t>4</w:t>
      </w:r>
      <w:r w:rsidR="00AF4088" w:rsidRPr="00C33651">
        <w:rPr>
          <w:rStyle w:val="Strong"/>
        </w:rPr>
        <w:t xml:space="preserve"> deaths</w:t>
      </w:r>
      <w:r w:rsidR="003140EE" w:rsidRPr="00C33651">
        <w:rPr>
          <w:rStyle w:val="Strong"/>
        </w:rPr>
        <w:t xml:space="preserve">. </w:t>
      </w:r>
      <w:r w:rsidR="003140EE" w:rsidRPr="009A2544">
        <w:t>Of those:</w:t>
      </w:r>
    </w:p>
    <w:p w14:paraId="65D80FD7" w14:textId="23D8BE91" w:rsidR="00AF4088" w:rsidRPr="009A2544" w:rsidRDefault="00A16878" w:rsidP="007E5BE3">
      <w:pPr>
        <w:pStyle w:val="BoxBulletGreenindent"/>
      </w:pPr>
      <w:r w:rsidRPr="009A2544">
        <w:t xml:space="preserve">- </w:t>
      </w:r>
      <w:r w:rsidR="00AF4088" w:rsidRPr="00C33651">
        <w:rPr>
          <w:rStyle w:val="Strong"/>
        </w:rPr>
        <w:t>4</w:t>
      </w:r>
      <w:r w:rsidR="00047C29" w:rsidRPr="00C33651">
        <w:rPr>
          <w:rStyle w:val="Strong"/>
        </w:rPr>
        <w:t>9</w:t>
      </w:r>
      <w:r w:rsidR="00AF4088" w:rsidRPr="00C33651">
        <w:rPr>
          <w:rStyle w:val="Strong"/>
        </w:rPr>
        <w:t xml:space="preserve"> </w:t>
      </w:r>
      <w:r w:rsidR="003140EE" w:rsidRPr="00C33651">
        <w:rPr>
          <w:rStyle w:val="Strong"/>
        </w:rPr>
        <w:t xml:space="preserve">were </w:t>
      </w:r>
      <w:r w:rsidR="00AF4088" w:rsidRPr="00C33651">
        <w:rPr>
          <w:rStyle w:val="Strong"/>
        </w:rPr>
        <w:t>Aboriginal and Torres Strait Islander infants</w:t>
      </w:r>
      <w:r w:rsidR="00AF4088" w:rsidRPr="009A2544">
        <w:t xml:space="preserve">, including </w:t>
      </w:r>
      <w:r w:rsidR="00420A2C" w:rsidRPr="00C33651">
        <w:rPr>
          <w:rStyle w:val="Strong"/>
        </w:rPr>
        <w:t>20</w:t>
      </w:r>
      <w:r w:rsidR="00AF4088" w:rsidRPr="00C33651">
        <w:rPr>
          <w:rStyle w:val="Strong"/>
        </w:rPr>
        <w:t xml:space="preserve"> deaths</w:t>
      </w:r>
    </w:p>
    <w:p w14:paraId="2CE48578" w14:textId="4D6A12DB" w:rsidR="00AF4088" w:rsidRPr="009A2544" w:rsidRDefault="00A16878" w:rsidP="007E5BE3">
      <w:pPr>
        <w:pStyle w:val="BoxBulletGreenindent"/>
      </w:pPr>
      <w:r w:rsidRPr="009A2544">
        <w:t xml:space="preserve">- </w:t>
      </w:r>
      <w:r w:rsidR="00420A2C" w:rsidRPr="00C33651">
        <w:rPr>
          <w:rStyle w:val="Strong"/>
        </w:rPr>
        <w:t>44</w:t>
      </w:r>
      <w:r w:rsidR="00AF4088" w:rsidRPr="00C33651">
        <w:rPr>
          <w:rStyle w:val="Strong"/>
        </w:rPr>
        <w:t xml:space="preserve"> </w:t>
      </w:r>
      <w:r w:rsidR="003140EE" w:rsidRPr="00C33651">
        <w:rPr>
          <w:rStyle w:val="Strong"/>
        </w:rPr>
        <w:t xml:space="preserve">were </w:t>
      </w:r>
      <w:r w:rsidR="00AF4088" w:rsidRPr="00C33651">
        <w:rPr>
          <w:rStyle w:val="Strong"/>
        </w:rPr>
        <w:t>non-Indigenous infants</w:t>
      </w:r>
      <w:r w:rsidR="00AF4088" w:rsidRPr="009A2544">
        <w:t xml:space="preserve">, including </w:t>
      </w:r>
      <w:r w:rsidR="00AF4088" w:rsidRPr="00C33651">
        <w:rPr>
          <w:rStyle w:val="Strong"/>
        </w:rPr>
        <w:t>1</w:t>
      </w:r>
      <w:r w:rsidR="00420A2C" w:rsidRPr="00C33651">
        <w:rPr>
          <w:rStyle w:val="Strong"/>
        </w:rPr>
        <w:t>2</w:t>
      </w:r>
      <w:r w:rsidR="00AF4088" w:rsidRPr="00C33651">
        <w:rPr>
          <w:rStyle w:val="Strong"/>
        </w:rPr>
        <w:t xml:space="preserve"> deaths</w:t>
      </w:r>
    </w:p>
    <w:p w14:paraId="55E128AE" w14:textId="2DE5E855" w:rsidR="00AF4088" w:rsidRPr="009A2544" w:rsidRDefault="00A16878" w:rsidP="007E5BE3">
      <w:pPr>
        <w:pStyle w:val="BoxBulletGreenindent"/>
      </w:pPr>
      <w:r w:rsidRPr="009A2544">
        <w:t xml:space="preserve">- </w:t>
      </w:r>
      <w:r w:rsidR="00AF4088" w:rsidRPr="009A2544">
        <w:t xml:space="preserve">2 infants </w:t>
      </w:r>
      <w:r w:rsidR="003140EE" w:rsidRPr="009A2544">
        <w:t>with</w:t>
      </w:r>
      <w:r w:rsidR="00AF4088" w:rsidRPr="009A2544">
        <w:t xml:space="preserve"> unknown Indigenous status who died of the infection.</w:t>
      </w:r>
    </w:p>
    <w:p w14:paraId="39E27E1E" w14:textId="6DAE9D3E" w:rsidR="00AF4088" w:rsidRPr="009A2544" w:rsidRDefault="00AF4088" w:rsidP="00AC103E">
      <w:pPr>
        <w:pStyle w:val="BoxBulletGreen"/>
      </w:pPr>
      <w:r w:rsidRPr="009A2544">
        <w:t>Of the women giving birth to an infant with congenital syphilis</w:t>
      </w:r>
      <w:r w:rsidR="00033B34" w:rsidRPr="009A2544">
        <w:t xml:space="preserve"> (with data available)</w:t>
      </w:r>
      <w:r w:rsidRPr="009A2544">
        <w:t xml:space="preserve"> </w:t>
      </w:r>
    </w:p>
    <w:p w14:paraId="410D15BF" w14:textId="08813490" w:rsidR="00AF4088" w:rsidRPr="009A2544" w:rsidRDefault="00D15E74" w:rsidP="007E5BE3">
      <w:pPr>
        <w:pStyle w:val="BoxBulletGreenindent"/>
      </w:pPr>
      <w:r w:rsidRPr="009A2544">
        <w:t xml:space="preserve">- </w:t>
      </w:r>
      <w:r w:rsidR="00AF4088" w:rsidRPr="00C33651">
        <w:rPr>
          <w:rStyle w:val="Strong"/>
        </w:rPr>
        <w:t>8</w:t>
      </w:r>
      <w:r w:rsidR="00084D67" w:rsidRPr="00C33651">
        <w:rPr>
          <w:rStyle w:val="Strong"/>
        </w:rPr>
        <w:t>2</w:t>
      </w:r>
      <w:r w:rsidR="00AF4088" w:rsidRPr="00C33651">
        <w:rPr>
          <w:rStyle w:val="Strong"/>
        </w:rPr>
        <w:t>%</w:t>
      </w:r>
      <w:r w:rsidR="00AF4088" w:rsidRPr="009A2544">
        <w:t xml:space="preserve"> were </w:t>
      </w:r>
      <w:r w:rsidR="00AF4088" w:rsidRPr="00C33651">
        <w:rPr>
          <w:rStyle w:val="Strong"/>
        </w:rPr>
        <w:t>diagnosed late</w:t>
      </w:r>
      <w:r w:rsidR="00AF4088" w:rsidRPr="009A2544">
        <w:t xml:space="preserve"> in pregnancy</w:t>
      </w:r>
    </w:p>
    <w:p w14:paraId="2E0819DA" w14:textId="286CC962" w:rsidR="00AF4088" w:rsidRPr="009A2544" w:rsidRDefault="00033B34" w:rsidP="007E5BE3">
      <w:pPr>
        <w:pStyle w:val="BoxBulletGreenindent"/>
      </w:pPr>
      <w:r w:rsidRPr="009A2544">
        <w:t xml:space="preserve">- </w:t>
      </w:r>
      <w:r w:rsidR="00AF4088" w:rsidRPr="00C33651">
        <w:rPr>
          <w:rStyle w:val="Strong"/>
        </w:rPr>
        <w:t>9</w:t>
      </w:r>
      <w:r w:rsidR="0065711B" w:rsidRPr="00C33651">
        <w:rPr>
          <w:rStyle w:val="Strong"/>
        </w:rPr>
        <w:t>7</w:t>
      </w:r>
      <w:r w:rsidR="00AF4088" w:rsidRPr="00C33651">
        <w:rPr>
          <w:rStyle w:val="Strong"/>
        </w:rPr>
        <w:t>% did not receive adequate treatment</w:t>
      </w:r>
      <w:r w:rsidR="00AF4088" w:rsidRPr="009A2544">
        <w:t xml:space="preserve"> prior to delivery</w:t>
      </w:r>
    </w:p>
    <w:p w14:paraId="07D49564" w14:textId="41CF5A2B" w:rsidR="00AF4088" w:rsidRPr="009A2544" w:rsidRDefault="00033B34" w:rsidP="007E5BE3">
      <w:pPr>
        <w:pStyle w:val="BoxBulletGreenindent"/>
      </w:pPr>
      <w:r w:rsidRPr="007E5BE3">
        <w:t xml:space="preserve">- </w:t>
      </w:r>
      <w:r w:rsidR="00AF4088" w:rsidRPr="00C33651">
        <w:rPr>
          <w:rStyle w:val="Strong"/>
        </w:rPr>
        <w:t>6</w:t>
      </w:r>
      <w:r w:rsidR="0065711B" w:rsidRPr="00C33651">
        <w:rPr>
          <w:rStyle w:val="Strong"/>
        </w:rPr>
        <w:t>6</w:t>
      </w:r>
      <w:r w:rsidR="00AF4088" w:rsidRPr="00C33651">
        <w:rPr>
          <w:rStyle w:val="Strong"/>
        </w:rPr>
        <w:t>% did not have a previous syphilis test</w:t>
      </w:r>
      <w:r w:rsidR="00AF4088" w:rsidRPr="009A2544">
        <w:t xml:space="preserve"> in pregnancy</w:t>
      </w:r>
      <w:r w:rsidR="00D807EF">
        <w:t>.</w:t>
      </w:r>
    </w:p>
    <w:p w14:paraId="039BECBE" w14:textId="76F773CB" w:rsidR="0045711B" w:rsidRPr="009A2544" w:rsidRDefault="00EF5105" w:rsidP="00111000">
      <w:pPr>
        <w:pStyle w:val="Heading2"/>
      </w:pPr>
      <w:bookmarkStart w:id="53" w:name="_Toc241658056"/>
      <w:r w:rsidRPr="009A2544">
        <w:t xml:space="preserve">Indicators 4.1, 4.2 and 4.3 </w:t>
      </w:r>
      <w:r w:rsidR="00A83BAD" w:rsidRPr="009A2544">
        <w:t>–</w:t>
      </w:r>
      <w:r w:rsidRPr="009A2544">
        <w:t xml:space="preserve"> </w:t>
      </w:r>
      <w:r w:rsidR="00990D59" w:rsidRPr="009A2544">
        <w:t>Remoteness area and Indigenous status</w:t>
      </w:r>
      <w:bookmarkEnd w:id="53"/>
    </w:p>
    <w:p w14:paraId="744BCBFF" w14:textId="77777777" w:rsidR="00A83BAD" w:rsidRPr="009A2544" w:rsidRDefault="00A83BAD" w:rsidP="00A83BAD">
      <w:pPr>
        <w:pStyle w:val="Boxemerald"/>
      </w:pPr>
      <w:r w:rsidRPr="009A2544">
        <w:t>4.1 Number of congenital syphilis cases by remoteness area and Indigenous status</w:t>
      </w:r>
    </w:p>
    <w:p w14:paraId="1ADDDFBD" w14:textId="77777777" w:rsidR="00A83BAD" w:rsidRPr="009A2544" w:rsidRDefault="00A83BAD" w:rsidP="00A83BAD">
      <w:pPr>
        <w:pStyle w:val="Boxemerald"/>
      </w:pPr>
      <w:r w:rsidRPr="009A2544">
        <w:t>4.2 Number of congenital syphilis related deaths by Indigenous status</w:t>
      </w:r>
    </w:p>
    <w:p w14:paraId="45E582B1" w14:textId="5E8439D1" w:rsidR="00CF75DA" w:rsidRPr="009A2544" w:rsidRDefault="00A83BAD" w:rsidP="00A83BAD">
      <w:pPr>
        <w:pStyle w:val="Boxemerald"/>
      </w:pPr>
      <w:r w:rsidRPr="009A2544">
        <w:t>4.3 Notification rate of congenital syphilis per 100,000 live births by remoteness area and Indigenous status</w:t>
      </w:r>
    </w:p>
    <w:p w14:paraId="57DF47F0" w14:textId="451EA4A4" w:rsidR="00A83BAD" w:rsidRPr="009A2544" w:rsidRDefault="00A83BAD" w:rsidP="00A83BAD">
      <w:r w:rsidRPr="009A2544">
        <w:t xml:space="preserve">In the first </w:t>
      </w:r>
      <w:r w:rsidR="00100C67" w:rsidRPr="009A2544">
        <w:t>quarter of 2026</w:t>
      </w:r>
      <w:r w:rsidRPr="009A2544">
        <w:t xml:space="preserve">, </w:t>
      </w:r>
      <w:r w:rsidR="00B358CB" w:rsidRPr="009A2544">
        <w:t>4</w:t>
      </w:r>
      <w:r w:rsidRPr="009A2544">
        <w:t xml:space="preserve"> cases of congenital syphilis were reported</w:t>
      </w:r>
      <w:r w:rsidR="000D33CB" w:rsidRPr="009A2544">
        <w:t>. Of those</w:t>
      </w:r>
      <w:r w:rsidRPr="009A2544">
        <w:t>:</w:t>
      </w:r>
    </w:p>
    <w:p w14:paraId="2BD794FC" w14:textId="487B22E8" w:rsidR="00A83BAD" w:rsidRPr="009A2544" w:rsidRDefault="00B358CB" w:rsidP="00733B0F">
      <w:pPr>
        <w:pStyle w:val="ListBullet"/>
      </w:pPr>
      <w:r w:rsidRPr="009A2544">
        <w:t>3</w:t>
      </w:r>
      <w:r w:rsidR="009B7B5A" w:rsidRPr="009A2544">
        <w:t xml:space="preserve"> were</w:t>
      </w:r>
      <w:r w:rsidR="00A83BAD" w:rsidRPr="009A2544">
        <w:t xml:space="preserve"> non-Indigenous infants </w:t>
      </w:r>
      <w:r w:rsidR="00946F0F" w:rsidRPr="009A2544">
        <w:t xml:space="preserve">– 2 </w:t>
      </w:r>
      <w:r w:rsidR="00A83BAD" w:rsidRPr="009A2544">
        <w:t>from major cities of Australia</w:t>
      </w:r>
      <w:r w:rsidR="00946F0F" w:rsidRPr="009A2544">
        <w:t xml:space="preserve"> and 1 from an inner/outer regional area.</w:t>
      </w:r>
    </w:p>
    <w:p w14:paraId="087B5660" w14:textId="2A7581F0" w:rsidR="00A83BAD" w:rsidRPr="009A2544" w:rsidRDefault="004B4369" w:rsidP="00733B0F">
      <w:pPr>
        <w:pStyle w:val="ListBullet"/>
      </w:pPr>
      <w:r w:rsidRPr="009A2544">
        <w:t>1 was an</w:t>
      </w:r>
      <w:r w:rsidR="00A83BAD" w:rsidRPr="009A2544">
        <w:t xml:space="preserve"> Aboriginal and Torres Strait Islander infant</w:t>
      </w:r>
      <w:r w:rsidR="00A73FB5" w:rsidRPr="009A2544">
        <w:t xml:space="preserve"> from </w:t>
      </w:r>
      <w:r w:rsidRPr="009A2544">
        <w:t xml:space="preserve">an </w:t>
      </w:r>
      <w:proofErr w:type="gramStart"/>
      <w:r w:rsidR="00A73FB5" w:rsidRPr="009A2544">
        <w:t>inner/outer regional areas</w:t>
      </w:r>
      <w:proofErr w:type="gramEnd"/>
      <w:r w:rsidR="00A83BAD" w:rsidRPr="009A2544">
        <w:t xml:space="preserve"> who sadly died. </w:t>
      </w:r>
    </w:p>
    <w:p w14:paraId="5B565899" w14:textId="071BDB18" w:rsidR="00465349" w:rsidRPr="009A2544" w:rsidRDefault="00A83BAD" w:rsidP="00A83BAD">
      <w:r w:rsidRPr="009A2544">
        <w:t>Between 2020 and Q</w:t>
      </w:r>
      <w:r w:rsidR="00255183" w:rsidRPr="009A2544">
        <w:t>1</w:t>
      </w:r>
      <w:r w:rsidRPr="009A2544">
        <w:t xml:space="preserve"> 202</w:t>
      </w:r>
      <w:r w:rsidR="00255183" w:rsidRPr="009A2544">
        <w:t>6</w:t>
      </w:r>
      <w:r w:rsidRPr="009A2544">
        <w:t xml:space="preserve">, </w:t>
      </w:r>
      <w:r w:rsidR="00255183" w:rsidRPr="009A2544">
        <w:t>95</w:t>
      </w:r>
      <w:r w:rsidR="007268C4" w:rsidRPr="009A2544">
        <w:t xml:space="preserve"> </w:t>
      </w:r>
      <w:r w:rsidRPr="009A2544">
        <w:t xml:space="preserve">cases of congenital syphilis cases have been notified. </w:t>
      </w:r>
    </w:p>
    <w:p w14:paraId="27928E6E" w14:textId="58686683" w:rsidR="0043317B" w:rsidRPr="009A2544" w:rsidRDefault="00A83BAD" w:rsidP="00A83BAD">
      <w:r w:rsidRPr="009A2544">
        <w:lastRenderedPageBreak/>
        <w:t>More than half (4</w:t>
      </w:r>
      <w:r w:rsidR="007268C4" w:rsidRPr="009A2544">
        <w:t>9</w:t>
      </w:r>
      <w:r w:rsidRPr="009A2544">
        <w:t>/</w:t>
      </w:r>
      <w:r w:rsidR="007268C4" w:rsidRPr="009A2544">
        <w:t>95</w:t>
      </w:r>
      <w:r w:rsidRPr="009A2544">
        <w:t>,</w:t>
      </w:r>
      <w:r w:rsidR="0043317B" w:rsidRPr="009A2544">
        <w:t xml:space="preserve"> </w:t>
      </w:r>
      <w:r w:rsidRPr="009A2544">
        <w:t>5</w:t>
      </w:r>
      <w:r w:rsidR="007268C4" w:rsidRPr="009A2544">
        <w:t>2</w:t>
      </w:r>
      <w:r w:rsidRPr="009A2544">
        <w:t xml:space="preserve">%) were reported in Aboriginal and Torres Strait Islander infants, </w:t>
      </w:r>
      <w:r w:rsidR="0013549E">
        <w:t>44</w:t>
      </w:r>
      <w:r w:rsidRPr="009A2544">
        <w:t xml:space="preserve"> in non-Indigenous infants (</w:t>
      </w:r>
      <w:r w:rsidR="00317ABA" w:rsidRPr="009A2544">
        <w:t>44</w:t>
      </w:r>
      <w:r w:rsidRPr="009A2544">
        <w:t>/</w:t>
      </w:r>
      <w:r w:rsidR="00317ABA" w:rsidRPr="009A2544">
        <w:t>95</w:t>
      </w:r>
      <w:r w:rsidRPr="009A2544">
        <w:t>, 4</w:t>
      </w:r>
      <w:r w:rsidR="00317ABA" w:rsidRPr="009A2544">
        <w:t>6</w:t>
      </w:r>
      <w:r w:rsidRPr="009A2544">
        <w:t xml:space="preserve">%) and </w:t>
      </w:r>
      <w:r w:rsidR="0043317B" w:rsidRPr="009A2544">
        <w:t>2</w:t>
      </w:r>
      <w:r w:rsidRPr="009A2544">
        <w:t xml:space="preserve"> cases with an unknown Indigenous status reported (2/</w:t>
      </w:r>
      <w:r w:rsidR="00317ABA" w:rsidRPr="009A2544">
        <w:t>95</w:t>
      </w:r>
      <w:r w:rsidRPr="009A2544">
        <w:t>, 2%)</w:t>
      </w:r>
      <w:r w:rsidR="00AD74C7" w:rsidRPr="009A2544">
        <w:t>.</w:t>
      </w:r>
    </w:p>
    <w:p w14:paraId="7EAD57A5" w14:textId="4D4F76A8" w:rsidR="00A83BAD" w:rsidRPr="009A2544" w:rsidRDefault="00A83BAD" w:rsidP="00A83BAD">
      <w:r w:rsidRPr="009A2544">
        <w:t xml:space="preserve">Of the </w:t>
      </w:r>
      <w:r w:rsidR="008B6C2C" w:rsidRPr="009A2544">
        <w:t>95</w:t>
      </w:r>
      <w:r w:rsidRPr="009A2544">
        <w:t xml:space="preserve"> cases reported, 3</w:t>
      </w:r>
      <w:r w:rsidR="005A7267" w:rsidRPr="009A2544">
        <w:t>4</w:t>
      </w:r>
      <w:r w:rsidRPr="009A2544">
        <w:t xml:space="preserve"> infants tragically died</w:t>
      </w:r>
      <w:r w:rsidR="00D807EF">
        <w:t xml:space="preserve"> </w:t>
      </w:r>
      <w:r w:rsidR="007A1A1E">
        <w:t>–</w:t>
      </w:r>
      <w:r w:rsidRPr="009A2544">
        <w:t xml:space="preserve"> </w:t>
      </w:r>
      <w:r w:rsidR="005A7267" w:rsidRPr="009A2544">
        <w:t>20</w:t>
      </w:r>
      <w:r w:rsidRPr="009A2544">
        <w:t xml:space="preserve"> Aboriginal and Torres Strait Islander infants, 1</w:t>
      </w:r>
      <w:r w:rsidR="006278CC" w:rsidRPr="009A2544">
        <w:t>2</w:t>
      </w:r>
      <w:r w:rsidRPr="009A2544">
        <w:t xml:space="preserve"> non-Indigenous infants, and </w:t>
      </w:r>
      <w:r w:rsidR="006278CC" w:rsidRPr="009A2544">
        <w:t>2</w:t>
      </w:r>
      <w:r w:rsidRPr="009A2544">
        <w:t xml:space="preserve"> infants with an unknown Indigenous status (</w:t>
      </w:r>
      <w:r w:rsidR="008B6C2C" w:rsidRPr="009A2544">
        <w:fldChar w:fldCharType="begin" w:fldLock="1"/>
      </w:r>
      <w:r w:rsidR="008B6C2C" w:rsidRPr="009A2544">
        <w:instrText xml:space="preserve"> REF _Ref237957223 \r \h </w:instrText>
      </w:r>
      <w:r w:rsidR="006278CC" w:rsidRPr="009A2544">
        <w:instrText xml:space="preserve"> \* MERGEFORMAT </w:instrText>
      </w:r>
      <w:r w:rsidR="008B6C2C" w:rsidRPr="009A2544">
        <w:fldChar w:fldCharType="separate"/>
      </w:r>
      <w:r w:rsidR="008B6C2C" w:rsidRPr="009A2544">
        <w:t>Figure 9</w:t>
      </w:r>
      <w:r w:rsidR="008B6C2C" w:rsidRPr="009A2544">
        <w:fldChar w:fldCharType="end"/>
      </w:r>
      <w:r w:rsidRPr="009A2544">
        <w:t>).</w:t>
      </w:r>
    </w:p>
    <w:p w14:paraId="09389E2C" w14:textId="475D97B3" w:rsidR="00A83BAD" w:rsidRPr="009A2544" w:rsidRDefault="00A83BAD" w:rsidP="00DD25C4">
      <w:pPr>
        <w:pStyle w:val="Figuretitle"/>
      </w:pPr>
      <w:bookmarkStart w:id="54" w:name="_Ref237957150"/>
      <w:bookmarkStart w:id="55" w:name="_Ref237957223"/>
      <w:bookmarkStart w:id="56" w:name="_Toc240364810"/>
      <w:r w:rsidRPr="009A2544">
        <w:t>Notifications (n</w:t>
      </w:r>
      <w:r w:rsidR="0043317B" w:rsidRPr="009A2544">
        <w:t>umber</w:t>
      </w:r>
      <w:r w:rsidRPr="009A2544">
        <w:t>) and notification rate (per 100,000 live births</w:t>
      </w:r>
      <w:r w:rsidR="00DE69D6" w:rsidRPr="009A2544">
        <w:rPr>
          <w:vertAlign w:val="superscript"/>
        </w:rPr>
        <w:t>1</w:t>
      </w:r>
      <w:r w:rsidRPr="009A2544">
        <w:t xml:space="preserve">) of congenital syphilis, by Indigenous status, remoteness area, and year, 2020 </w:t>
      </w:r>
      <w:r w:rsidR="0043317B" w:rsidRPr="009A2544">
        <w:t>to</w:t>
      </w:r>
      <w:r w:rsidRPr="009A2544">
        <w:t xml:space="preserve"> Q</w:t>
      </w:r>
      <w:r w:rsidR="003C6204" w:rsidRPr="009A2544">
        <w:t>1</w:t>
      </w:r>
      <w:r w:rsidRPr="009A2544">
        <w:t xml:space="preserve"> 202</w:t>
      </w:r>
      <w:r w:rsidR="003C6204" w:rsidRPr="009A2544">
        <w:t>6</w:t>
      </w:r>
      <w:r w:rsidR="00AF2DFC" w:rsidRPr="009A2544">
        <w:t>*</w:t>
      </w:r>
      <w:bookmarkEnd w:id="54"/>
      <w:bookmarkEnd w:id="55"/>
      <w:bookmarkEnd w:id="56"/>
    </w:p>
    <w:p w14:paraId="1BABBC46" w14:textId="3F628295" w:rsidR="005C4F8A" w:rsidRPr="00694CD0" w:rsidRDefault="00FA0ED1" w:rsidP="00694CD0">
      <w:r>
        <w:rPr>
          <w:noProof/>
        </w:rPr>
        <w:drawing>
          <wp:inline distT="0" distB="0" distL="0" distR="0" wp14:anchorId="456F4D73" wp14:editId="5C77A269">
            <wp:extent cx="6081166" cy="3962400"/>
            <wp:effectExtent l="0" t="0" r="0" b="0"/>
            <wp:docPr id="961145350" name="Picture 17" descr="P6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45350" name="Picture 17" descr="P660#yIS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88452" cy="3967148"/>
                    </a:xfrm>
                    <a:prstGeom prst="rect">
                      <a:avLst/>
                    </a:prstGeom>
                    <a:noFill/>
                  </pic:spPr>
                </pic:pic>
              </a:graphicData>
            </a:graphic>
          </wp:inline>
        </w:drawing>
      </w:r>
    </w:p>
    <w:p w14:paraId="72333C25" w14:textId="77777777" w:rsidR="00D47255" w:rsidRPr="001D443D" w:rsidRDefault="0043317B" w:rsidP="001D443D">
      <w:pPr>
        <w:pStyle w:val="FootnoteText"/>
      </w:pPr>
      <w:r w:rsidRPr="001D443D">
        <w:t>Note:</w:t>
      </w:r>
    </w:p>
    <w:p w14:paraId="6B851A69" w14:textId="6CE93DF1" w:rsidR="0043317B" w:rsidRPr="001D443D" w:rsidRDefault="00DE69D6" w:rsidP="001D443D">
      <w:pPr>
        <w:pStyle w:val="FootnoteText"/>
      </w:pPr>
      <w:r w:rsidRPr="001D443D">
        <w:t xml:space="preserve">1. </w:t>
      </w:r>
      <w:r w:rsidR="005C4F8A" w:rsidRPr="001D443D">
        <w:t xml:space="preserve">The denominator (live births) is for the complete year, whereas the numerator (congenital syphilis notifications) represents cases for the reporting period. The </w:t>
      </w:r>
      <w:r w:rsidR="00DB5601" w:rsidRPr="001D443D">
        <w:t xml:space="preserve">notification </w:t>
      </w:r>
      <w:r w:rsidR="005C4F8A" w:rsidRPr="001D443D">
        <w:t>rate calculated may be lower than</w:t>
      </w:r>
      <w:r w:rsidR="00BA4449" w:rsidRPr="001D443D">
        <w:t xml:space="preserve"> notification</w:t>
      </w:r>
      <w:r w:rsidR="005C4F8A" w:rsidRPr="001D443D">
        <w:t xml:space="preserve"> rates reported for a complete (12</w:t>
      </w:r>
      <w:r w:rsidR="00F77CA3" w:rsidRPr="001D443D">
        <w:t> </w:t>
      </w:r>
      <w:r w:rsidR="005C4F8A" w:rsidRPr="001D443D">
        <w:t>months) year.</w:t>
      </w:r>
    </w:p>
    <w:p w14:paraId="66B740BE" w14:textId="5CB5448B" w:rsidR="00111000" w:rsidRPr="009F4F39" w:rsidRDefault="00111000" w:rsidP="009F4F39">
      <w:pPr>
        <w:pStyle w:val="Heading2"/>
      </w:pPr>
      <w:bookmarkStart w:id="57" w:name="_Toc241658057"/>
      <w:r w:rsidRPr="009F4F39">
        <w:t xml:space="preserve">Indicator 4.4 </w:t>
      </w:r>
      <w:r w:rsidR="00F34CCB" w:rsidRPr="009F4F39">
        <w:t>–</w:t>
      </w:r>
      <w:r w:rsidRPr="009F4F39">
        <w:t xml:space="preserve"> </w:t>
      </w:r>
      <w:r w:rsidR="00F34CCB" w:rsidRPr="009F4F39">
        <w:t>Women who were pregnant</w:t>
      </w:r>
      <w:bookmarkEnd w:id="57"/>
    </w:p>
    <w:p w14:paraId="0D2829D4" w14:textId="3D043D7A" w:rsidR="00793FC9" w:rsidRPr="009A2544" w:rsidRDefault="00793FC9" w:rsidP="00F34CCB">
      <w:pPr>
        <w:pStyle w:val="Boxemerald"/>
      </w:pPr>
      <w:r w:rsidRPr="009A2544">
        <w:t>4.4 Proportion of syphilis notifications among women</w:t>
      </w:r>
      <w:r w:rsidR="00CC4731" w:rsidRPr="009A2544">
        <w:t xml:space="preserve"> </w:t>
      </w:r>
      <w:r w:rsidRPr="009A2544">
        <w:t>of reproductive age (1</w:t>
      </w:r>
      <w:r w:rsidR="00CC4731" w:rsidRPr="009A2544">
        <w:t>5 to </w:t>
      </w:r>
      <w:r w:rsidRPr="009A2544">
        <w:t>44</w:t>
      </w:r>
      <w:r w:rsidR="00CC4731" w:rsidRPr="009A2544">
        <w:t> </w:t>
      </w:r>
      <w:r w:rsidRPr="009A2544">
        <w:t>years) who were pregnant at time of diagnosis, by remoteness area and Indigenous status</w:t>
      </w:r>
    </w:p>
    <w:p w14:paraId="62738CAC" w14:textId="4334FDBD" w:rsidR="0036434E" w:rsidRPr="009A2544" w:rsidRDefault="0036434E" w:rsidP="004B23F5">
      <w:r w:rsidRPr="009A2544">
        <w:t>Pregnancy data were available for:</w:t>
      </w:r>
      <w:r w:rsidR="0032600F" w:rsidRPr="009A2544">
        <w:t xml:space="preserve"> </w:t>
      </w:r>
      <w:r w:rsidRPr="009A2544">
        <w:t>6 jurisdictions in 2020 (excluding Victoria and the Northern Territory)</w:t>
      </w:r>
      <w:r w:rsidR="0032600F" w:rsidRPr="009A2544">
        <w:t xml:space="preserve">; </w:t>
      </w:r>
      <w:r w:rsidRPr="009A2544">
        <w:t>7 jurisdictions in 2021 to 2023 (excluding the Northern Territory)</w:t>
      </w:r>
      <w:r w:rsidR="0032600F" w:rsidRPr="009A2544">
        <w:t>;</w:t>
      </w:r>
      <w:r w:rsidR="00101CEB">
        <w:t xml:space="preserve"> </w:t>
      </w:r>
      <w:r w:rsidR="004B23F5" w:rsidRPr="009A2544">
        <w:t>8</w:t>
      </w:r>
      <w:r w:rsidRPr="009A2544">
        <w:t xml:space="preserve"> jurisdictions </w:t>
      </w:r>
      <w:r w:rsidR="008379A8" w:rsidRPr="009A2544">
        <w:t xml:space="preserve">in 2024 </w:t>
      </w:r>
      <w:r w:rsidR="00246B0F" w:rsidRPr="009A2544">
        <w:t>to</w:t>
      </w:r>
      <w:r w:rsidRPr="009A2544">
        <w:t xml:space="preserve"> 2025</w:t>
      </w:r>
      <w:r w:rsidR="006553BB" w:rsidRPr="009A2544">
        <w:t xml:space="preserve">, and; </w:t>
      </w:r>
      <w:r w:rsidR="00246B0F" w:rsidRPr="009A2544">
        <w:t>6</w:t>
      </w:r>
      <w:r w:rsidR="008E35C4" w:rsidRPr="009A2544">
        <w:t xml:space="preserve"> jurisdictions</w:t>
      </w:r>
      <w:r w:rsidR="00246B0F" w:rsidRPr="009A2544">
        <w:t xml:space="preserve"> in Q1 2026 </w:t>
      </w:r>
      <w:r w:rsidR="008E35C4" w:rsidRPr="009A2544">
        <w:t xml:space="preserve">(excluding Victoria </w:t>
      </w:r>
      <w:r w:rsidR="00246B0F" w:rsidRPr="009A2544">
        <w:t xml:space="preserve">and the </w:t>
      </w:r>
      <w:r w:rsidR="00246B0F" w:rsidRPr="009A2544">
        <w:lastRenderedPageBreak/>
        <w:t xml:space="preserve">Northern Territory </w:t>
      </w:r>
      <w:r w:rsidR="008E35C4" w:rsidRPr="009A2544">
        <w:t>as data were not available at the time of writing, however it is expected tha</w:t>
      </w:r>
      <w:r w:rsidR="00355758" w:rsidRPr="009A2544">
        <w:t>t data will be included in the Q</w:t>
      </w:r>
      <w:r w:rsidR="00AA0D83" w:rsidRPr="009A2544">
        <w:t>2</w:t>
      </w:r>
      <w:r w:rsidR="00355758" w:rsidRPr="009A2544">
        <w:t xml:space="preserve"> 202</w:t>
      </w:r>
      <w:r w:rsidR="00AA0D83" w:rsidRPr="009A2544">
        <w:t>6</w:t>
      </w:r>
      <w:r w:rsidR="00355758" w:rsidRPr="009A2544">
        <w:t xml:space="preserve"> report).</w:t>
      </w:r>
    </w:p>
    <w:p w14:paraId="05E88B2A" w14:textId="7352B309" w:rsidR="0036434E" w:rsidRPr="009A2544" w:rsidRDefault="00D06038" w:rsidP="0036434E">
      <w:r w:rsidRPr="009A2544">
        <w:t xml:space="preserve">Interpretation of </w:t>
      </w:r>
      <w:r w:rsidR="00ED7E9A" w:rsidRPr="009A2544">
        <w:t xml:space="preserve">these data are affected by </w:t>
      </w:r>
      <w:r w:rsidR="0036434E" w:rsidRPr="009A2544">
        <w:t>high proportion</w:t>
      </w:r>
      <w:r w:rsidR="00ED7E9A" w:rsidRPr="009A2544">
        <w:t>s</w:t>
      </w:r>
      <w:r w:rsidR="0036434E" w:rsidRPr="009A2544">
        <w:t xml:space="preserve"> of cases with an unknown pregnancy status and retrospective changes to the data,</w:t>
      </w:r>
      <w:r w:rsidR="00B3695E" w:rsidRPr="009A2544">
        <w:t xml:space="preserve"> including</w:t>
      </w:r>
      <w:r w:rsidR="0036434E" w:rsidRPr="009A2544">
        <w:t xml:space="preserve"> </w:t>
      </w:r>
      <w:r w:rsidR="00B3695E" w:rsidRPr="009A2544">
        <w:t>d</w:t>
      </w:r>
      <w:r w:rsidR="0036434E" w:rsidRPr="009A2544">
        <w:t xml:space="preserve">ifferences with previous reports due to pregnancy status being reclassified </w:t>
      </w:r>
      <w:proofErr w:type="gramStart"/>
      <w:r w:rsidR="0036434E" w:rsidRPr="009A2544">
        <w:t>and  inclusion</w:t>
      </w:r>
      <w:proofErr w:type="gramEnd"/>
      <w:r w:rsidR="0036434E" w:rsidRPr="009A2544">
        <w:t xml:space="preserve"> of new historical data from jurisdictions. </w:t>
      </w:r>
    </w:p>
    <w:p w14:paraId="452F7438" w14:textId="51AC292B" w:rsidR="009F4F39" w:rsidRDefault="0036434E" w:rsidP="0036434E">
      <w:r w:rsidRPr="009A2544">
        <w:t>In Q</w:t>
      </w:r>
      <w:r w:rsidR="00997E58" w:rsidRPr="009A2544">
        <w:t>1</w:t>
      </w:r>
      <w:r w:rsidRPr="009A2544">
        <w:t xml:space="preserve"> 202</w:t>
      </w:r>
      <w:r w:rsidR="00997E58" w:rsidRPr="009A2544">
        <w:t>6</w:t>
      </w:r>
      <w:r w:rsidRPr="009A2544">
        <w:t>, 1</w:t>
      </w:r>
      <w:r w:rsidR="00F135CC" w:rsidRPr="009A2544">
        <w:t>4</w:t>
      </w:r>
      <w:r w:rsidRPr="009A2544">
        <w:t xml:space="preserve">% of all women of reproductive age, including those with an unknown Indigenous status, were reported to be pregnant at the time of their syphilis diagnosis, </w:t>
      </w:r>
      <w:r w:rsidR="00653F94">
        <w:t>lower</w:t>
      </w:r>
      <w:r w:rsidRPr="009A2544">
        <w:t xml:space="preserve"> than the 12</w:t>
      </w:r>
      <w:r w:rsidR="00FB4D2D" w:rsidRPr="009A2544">
        <w:t>-</w:t>
      </w:r>
      <w:r w:rsidRPr="009A2544">
        <w:t xml:space="preserve">month and </w:t>
      </w:r>
      <w:r w:rsidR="00D41E87" w:rsidRPr="009A2544">
        <w:t xml:space="preserve">the same as the </w:t>
      </w:r>
      <w:r w:rsidRPr="009A2544">
        <w:t>5</w:t>
      </w:r>
      <w:r w:rsidR="00FB4D2D" w:rsidRPr="009A2544">
        <w:t>-</w:t>
      </w:r>
      <w:r w:rsidRPr="009A2544">
        <w:t>year quarterly mean (1</w:t>
      </w:r>
      <w:r w:rsidR="002756E3" w:rsidRPr="009A2544">
        <w:t>5</w:t>
      </w:r>
      <w:r w:rsidRPr="009A2544">
        <w:t>% and 1</w:t>
      </w:r>
      <w:r w:rsidR="00D41E87" w:rsidRPr="009A2544">
        <w:t>7</w:t>
      </w:r>
      <w:r w:rsidRPr="009A2544">
        <w:t>%, respectively) (</w:t>
      </w:r>
      <w:r w:rsidR="002756E3" w:rsidRPr="009A2544">
        <w:fldChar w:fldCharType="begin" w:fldLock="1"/>
      </w:r>
      <w:r w:rsidR="002756E3" w:rsidRPr="009A2544">
        <w:instrText xml:space="preserve"> REF _Ref237951296 \r \h  \* MERGEFORMAT </w:instrText>
      </w:r>
      <w:r w:rsidR="002756E3" w:rsidRPr="009A2544">
        <w:fldChar w:fldCharType="separate"/>
      </w:r>
      <w:r w:rsidR="002756E3" w:rsidRPr="009A2544">
        <w:t>Figure 10</w:t>
      </w:r>
      <w:r w:rsidR="002756E3" w:rsidRPr="009A2544">
        <w:fldChar w:fldCharType="end"/>
      </w:r>
      <w:r w:rsidRPr="009A2544">
        <w:t xml:space="preserve">). </w:t>
      </w:r>
      <w:r w:rsidR="00701227" w:rsidRPr="009A2544">
        <w:t>In Q</w:t>
      </w:r>
      <w:r w:rsidR="004F0032" w:rsidRPr="009A2544">
        <w:t>1</w:t>
      </w:r>
      <w:r w:rsidR="00701227" w:rsidRPr="009A2544">
        <w:t xml:space="preserve"> 202</w:t>
      </w:r>
      <w:r w:rsidR="004F0032" w:rsidRPr="009A2544">
        <w:t>6</w:t>
      </w:r>
      <w:r w:rsidR="00701227" w:rsidRPr="009A2544">
        <w:t>, t</w:t>
      </w:r>
      <w:r w:rsidR="008B5EF3" w:rsidRPr="009A2544">
        <w:t xml:space="preserve">he proportion of </w:t>
      </w:r>
      <w:r w:rsidRPr="009A2544">
        <w:t>women of reproductive</w:t>
      </w:r>
      <w:r w:rsidR="001F1484" w:rsidRPr="009A2544">
        <w:t xml:space="preserve"> </w:t>
      </w:r>
      <w:r w:rsidR="00653F94">
        <w:t xml:space="preserve">age </w:t>
      </w:r>
      <w:r w:rsidR="001F1484" w:rsidRPr="009A2544">
        <w:t>pregnant at syphilis diagnosis was higher</w:t>
      </w:r>
      <w:r w:rsidR="00701227" w:rsidRPr="009A2544">
        <w:t xml:space="preserve"> among non-Indigenous women (</w:t>
      </w:r>
      <w:r w:rsidR="004F0032" w:rsidRPr="009A2544">
        <w:t>16</w:t>
      </w:r>
      <w:r w:rsidR="00701227" w:rsidRPr="009A2544">
        <w:t>%) than</w:t>
      </w:r>
      <w:r w:rsidR="00607735" w:rsidRPr="009A2544">
        <w:t xml:space="preserve"> Aboriginal and Torres Strait Islander women (1</w:t>
      </w:r>
      <w:r w:rsidR="004F0032" w:rsidRPr="009A2544">
        <w:t>3</w:t>
      </w:r>
      <w:r w:rsidR="00607735" w:rsidRPr="009A2544">
        <w:t>%)</w:t>
      </w:r>
      <w:r w:rsidRPr="009A2544">
        <w:t xml:space="preserve"> (</w:t>
      </w:r>
      <w:r w:rsidR="004F0032" w:rsidRPr="009A2544">
        <w:fldChar w:fldCharType="begin" w:fldLock="1"/>
      </w:r>
      <w:r w:rsidR="004F0032" w:rsidRPr="009A2544">
        <w:instrText xml:space="preserve"> REF _Ref237951357 \r \h  \* MERGEFORMAT </w:instrText>
      </w:r>
      <w:r w:rsidR="004F0032" w:rsidRPr="009A2544">
        <w:fldChar w:fldCharType="separate"/>
      </w:r>
      <w:r w:rsidR="004F0032" w:rsidRPr="009A2544">
        <w:t>Figure 10</w:t>
      </w:r>
      <w:r w:rsidR="004F0032" w:rsidRPr="009A2544">
        <w:fldChar w:fldCharType="end"/>
      </w:r>
      <w:r w:rsidRPr="009A2544">
        <w:t xml:space="preserve"> and </w:t>
      </w:r>
      <w:r w:rsidR="004F0032" w:rsidRPr="009A2544">
        <w:fldChar w:fldCharType="begin" w:fldLock="1"/>
      </w:r>
      <w:r w:rsidR="004F0032" w:rsidRPr="009A2544">
        <w:instrText xml:space="preserve"> REF _Ref237951371 \r \h  \* MERGEFORMAT </w:instrText>
      </w:r>
      <w:r w:rsidR="004F0032" w:rsidRPr="009A2544">
        <w:fldChar w:fldCharType="separate"/>
      </w:r>
      <w:r w:rsidR="004F0032" w:rsidRPr="009A2544">
        <w:t>Figure 11</w:t>
      </w:r>
      <w:r w:rsidR="004F0032" w:rsidRPr="009A2544">
        <w:fldChar w:fldCharType="end"/>
      </w:r>
      <w:r w:rsidR="004F0032" w:rsidRPr="009A2544">
        <w:t xml:space="preserve"> </w:t>
      </w:r>
      <w:r w:rsidRPr="009A2544">
        <w:t xml:space="preserve">a-b). </w:t>
      </w:r>
      <w:r w:rsidR="005625C6" w:rsidRPr="009A2544">
        <w:t xml:space="preserve">The overall </w:t>
      </w:r>
      <w:r w:rsidR="00FD36B6" w:rsidRPr="009A2544">
        <w:t>5-year</w:t>
      </w:r>
      <w:r w:rsidR="00020C82" w:rsidRPr="009A2544">
        <w:t xml:space="preserve"> proportiona</w:t>
      </w:r>
      <w:r w:rsidR="007F5B84" w:rsidRPr="009A2544">
        <w:t xml:space="preserve">l </w:t>
      </w:r>
      <w:r w:rsidR="005625C6" w:rsidRPr="009A2544">
        <w:t xml:space="preserve">trend </w:t>
      </w:r>
      <w:r w:rsidR="00C6092E" w:rsidRPr="009A2544">
        <w:t xml:space="preserve">for </w:t>
      </w:r>
      <w:r w:rsidR="00FD36B6" w:rsidRPr="009A2544">
        <w:t xml:space="preserve">both groups were the same (17%), noting </w:t>
      </w:r>
      <w:r w:rsidR="00066534" w:rsidRPr="009A2544">
        <w:t xml:space="preserve">variability across the </w:t>
      </w:r>
      <w:proofErr w:type="gramStart"/>
      <w:r w:rsidR="00066534" w:rsidRPr="009A2544">
        <w:t>time period</w:t>
      </w:r>
      <w:proofErr w:type="gramEnd"/>
      <w:r w:rsidR="00066534" w:rsidRPr="009A2544">
        <w:t xml:space="preserve"> likely attributed to the number of jurisdictions reporting and completeness of the data.</w:t>
      </w:r>
    </w:p>
    <w:p w14:paraId="02731E7B" w14:textId="05776CFC" w:rsidR="006F63C8" w:rsidRPr="009A2544" w:rsidRDefault="006F63C8" w:rsidP="00DD25C4">
      <w:pPr>
        <w:pStyle w:val="Figuretitle"/>
      </w:pPr>
      <w:bookmarkStart w:id="58" w:name="_Ref237951296"/>
      <w:bookmarkStart w:id="59" w:name="_Ref237951357"/>
      <w:bookmarkStart w:id="60" w:name="_Toc240364811"/>
      <w:r w:rsidRPr="009A2544">
        <w:t>Number of syphilis notifications among wome</w:t>
      </w:r>
      <w:r w:rsidR="000B21B4" w:rsidRPr="009A2544">
        <w:t>n</w:t>
      </w:r>
      <w:r w:rsidRPr="009A2544">
        <w:t xml:space="preserve"> of reproductive age (15</w:t>
      </w:r>
      <w:r w:rsidR="00125A41" w:rsidRPr="009A2544">
        <w:t> to </w:t>
      </w:r>
      <w:r w:rsidRPr="009A2544">
        <w:t>44</w:t>
      </w:r>
      <w:r w:rsidR="00125A41" w:rsidRPr="009A2544">
        <w:t> </w:t>
      </w:r>
      <w:r w:rsidRPr="009A2544">
        <w:t>years) and proportion (%) of cases pregnant at time of syphilis diagnosis, 2020</w:t>
      </w:r>
      <w:r w:rsidR="000E7E22" w:rsidRPr="009A2544">
        <w:t xml:space="preserve"> to</w:t>
      </w:r>
      <w:r w:rsidRPr="009A2544">
        <w:t xml:space="preserve"> Q</w:t>
      </w:r>
      <w:r w:rsidR="003C6204" w:rsidRPr="009A2544">
        <w:t>1</w:t>
      </w:r>
      <w:r w:rsidRPr="009A2544">
        <w:t xml:space="preserve"> 202</w:t>
      </w:r>
      <w:r w:rsidR="003C6204" w:rsidRPr="009A2544">
        <w:t>6</w:t>
      </w:r>
      <w:r w:rsidR="00B54163" w:rsidRPr="009A2544">
        <w:rPr>
          <w:vertAlign w:val="superscript"/>
        </w:rPr>
        <w:t>1</w:t>
      </w:r>
      <w:bookmarkEnd w:id="58"/>
      <w:bookmarkEnd w:id="59"/>
      <w:bookmarkEnd w:id="60"/>
    </w:p>
    <w:p w14:paraId="50315C58" w14:textId="75FEE709" w:rsidR="00F6115A" w:rsidRPr="009A2544" w:rsidRDefault="000574E5" w:rsidP="001D026A">
      <w:pPr>
        <w:rPr>
          <w:rStyle w:val="Heading1Char"/>
        </w:rPr>
      </w:pPr>
      <w:r w:rsidRPr="009A2544">
        <w:rPr>
          <w:rStyle w:val="Heading1Char"/>
        </w:rPr>
        <w:t xml:space="preserve"> </w:t>
      </w:r>
      <w:r w:rsidR="00B631F2" w:rsidRPr="001D026A">
        <w:rPr>
          <w:noProof/>
        </w:rPr>
        <w:drawing>
          <wp:inline distT="0" distB="0" distL="0" distR="0" wp14:anchorId="48C5EC17" wp14:editId="264FBFA3">
            <wp:extent cx="6037311" cy="3933825"/>
            <wp:effectExtent l="0" t="0" r="1905" b="0"/>
            <wp:docPr id="721031087" name="Picture 18" descr="P66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31087" name="Picture 18" descr="P669#yIS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041961" cy="3936855"/>
                    </a:xfrm>
                    <a:prstGeom prst="rect">
                      <a:avLst/>
                    </a:prstGeom>
                    <a:noFill/>
                  </pic:spPr>
                </pic:pic>
              </a:graphicData>
            </a:graphic>
          </wp:inline>
        </w:drawing>
      </w:r>
    </w:p>
    <w:p w14:paraId="53D4B03C" w14:textId="576EC967" w:rsidR="00711180" w:rsidRPr="009A2544" w:rsidRDefault="00711180" w:rsidP="00694CD0">
      <w:pPr>
        <w:pStyle w:val="FootnoteText"/>
      </w:pPr>
      <w:r w:rsidRPr="009A2544">
        <w:t xml:space="preserve">Note: </w:t>
      </w:r>
    </w:p>
    <w:p w14:paraId="2179C3BE" w14:textId="6D8A3B2D" w:rsidR="00711180" w:rsidRPr="009A2544" w:rsidRDefault="00711180" w:rsidP="00694CD0">
      <w:pPr>
        <w:pStyle w:val="FootnoteText"/>
      </w:pPr>
      <w:r w:rsidRPr="009A2544">
        <w:t>1. Excludes cases for whom sex</w:t>
      </w:r>
      <w:r w:rsidR="006D11C2" w:rsidRPr="009A2544">
        <w:t xml:space="preserve"> and</w:t>
      </w:r>
      <w:r w:rsidRPr="009A2544">
        <w:t xml:space="preserve"> age</w:t>
      </w:r>
      <w:r w:rsidR="006D11C2" w:rsidRPr="009A2544">
        <w:t xml:space="preserve"> </w:t>
      </w:r>
      <w:r w:rsidRPr="009A2544">
        <w:t>were not reported.</w:t>
      </w:r>
    </w:p>
    <w:p w14:paraId="204C3C29" w14:textId="27D0037B" w:rsidR="00E04C4C" w:rsidRPr="009A2544" w:rsidRDefault="00E04C4C" w:rsidP="000C54A6">
      <w:pPr>
        <w:pStyle w:val="Figuretitle"/>
      </w:pPr>
      <w:bookmarkStart w:id="61" w:name="_Ref237951371"/>
      <w:bookmarkStart w:id="62" w:name="_Toc240364812"/>
      <w:r w:rsidRPr="009A2544">
        <w:lastRenderedPageBreak/>
        <w:t>Number of syphilis notifications among women of reproductive age (15</w:t>
      </w:r>
      <w:r w:rsidR="00CD7F37" w:rsidRPr="009A2544">
        <w:t> to </w:t>
      </w:r>
      <w:r w:rsidRPr="009A2544">
        <w:t>44</w:t>
      </w:r>
      <w:r w:rsidR="00CD7F37" w:rsidRPr="009A2544">
        <w:t> </w:t>
      </w:r>
      <w:r w:rsidRPr="009A2544">
        <w:t xml:space="preserve">years) and proportion (%) of cases pregnant at time of syphilis diagnosis, by Indigenous status, 2020 </w:t>
      </w:r>
      <w:r w:rsidR="00CD7F37" w:rsidRPr="009A2544">
        <w:t>to</w:t>
      </w:r>
      <w:r w:rsidRPr="009A2544">
        <w:t xml:space="preserve"> Q</w:t>
      </w:r>
      <w:r w:rsidR="003C6204" w:rsidRPr="009A2544">
        <w:t>1</w:t>
      </w:r>
      <w:r w:rsidRPr="009A2544">
        <w:t xml:space="preserve"> 202</w:t>
      </w:r>
      <w:r w:rsidR="003C6204" w:rsidRPr="009A2544">
        <w:t>6</w:t>
      </w:r>
      <w:r w:rsidR="0083373E" w:rsidRPr="009A2544">
        <w:rPr>
          <w:vertAlign w:val="superscript"/>
        </w:rPr>
        <w:t>1</w:t>
      </w:r>
      <w:r w:rsidRPr="009A2544">
        <w:t xml:space="preserve"> (a. </w:t>
      </w:r>
      <w:r w:rsidR="009F4F39">
        <w:t>N</w:t>
      </w:r>
      <w:r w:rsidR="00C659C2" w:rsidRPr="009A2544">
        <w:t>on-Indigenous</w:t>
      </w:r>
      <w:r w:rsidR="00CD7F37" w:rsidRPr="009A2544">
        <w:t>,</w:t>
      </w:r>
      <w:r w:rsidRPr="009A2544">
        <w:t xml:space="preserve"> b. </w:t>
      </w:r>
      <w:r w:rsidR="00C659C2" w:rsidRPr="009A2544">
        <w:t>Aboriginal and Torres Strait Islander</w:t>
      </w:r>
      <w:r w:rsidRPr="009A2544">
        <w:t>)</w:t>
      </w:r>
      <w:bookmarkEnd w:id="61"/>
      <w:bookmarkEnd w:id="62"/>
    </w:p>
    <w:p w14:paraId="5B7EB809" w14:textId="357D2D41" w:rsidR="008D61E0" w:rsidRDefault="005753AB" w:rsidP="001D443D">
      <w:r w:rsidRPr="001D443D">
        <w:rPr>
          <w:noProof/>
        </w:rPr>
        <w:drawing>
          <wp:inline distT="0" distB="0" distL="0" distR="0" wp14:anchorId="52D94BCD" wp14:editId="76AEADD5">
            <wp:extent cx="5964220" cy="3886200"/>
            <wp:effectExtent l="0" t="0" r="0" b="0"/>
            <wp:docPr id="143634427" name="Picture 19" descr="P6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4427" name="Picture 19" descr="P673#yIS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77942" cy="3895141"/>
                    </a:xfrm>
                    <a:prstGeom prst="rect">
                      <a:avLst/>
                    </a:prstGeom>
                    <a:noFill/>
                  </pic:spPr>
                </pic:pic>
              </a:graphicData>
            </a:graphic>
          </wp:inline>
        </w:drawing>
      </w:r>
    </w:p>
    <w:p w14:paraId="0606691A" w14:textId="77777777" w:rsidR="00953382" w:rsidRPr="009A2544" w:rsidRDefault="00953382" w:rsidP="001D443D"/>
    <w:p w14:paraId="676A88AE" w14:textId="4F55720F" w:rsidR="00645D71" w:rsidRPr="001D443D" w:rsidRDefault="00293168" w:rsidP="001D443D">
      <w:r w:rsidRPr="001D443D">
        <w:rPr>
          <w:noProof/>
        </w:rPr>
        <w:drawing>
          <wp:inline distT="0" distB="0" distL="0" distR="0" wp14:anchorId="35651264" wp14:editId="4E0D7E2F">
            <wp:extent cx="5981700" cy="3897590"/>
            <wp:effectExtent l="0" t="0" r="0" b="8255"/>
            <wp:docPr id="1282124788" name="Picture 20" descr="P6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24788" name="Picture 20" descr="P674#yIS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00672" cy="3909952"/>
                    </a:xfrm>
                    <a:prstGeom prst="rect">
                      <a:avLst/>
                    </a:prstGeom>
                    <a:noFill/>
                  </pic:spPr>
                </pic:pic>
              </a:graphicData>
            </a:graphic>
          </wp:inline>
        </w:drawing>
      </w:r>
    </w:p>
    <w:p w14:paraId="6B9C0FE4" w14:textId="68B46DCF" w:rsidR="0079591C" w:rsidRPr="001D443D" w:rsidRDefault="000B21B4" w:rsidP="001D443D">
      <w:pPr>
        <w:pStyle w:val="FootnoteText"/>
      </w:pPr>
      <w:r w:rsidRPr="001D443D">
        <w:lastRenderedPageBreak/>
        <w:t xml:space="preserve">Note: </w:t>
      </w:r>
      <w:r w:rsidR="0083373E" w:rsidRPr="001D443D">
        <w:t xml:space="preserve">1. </w:t>
      </w:r>
      <w:r w:rsidR="0079591C" w:rsidRPr="001D443D">
        <w:t>Excludes cases for whom sex, age</w:t>
      </w:r>
      <w:r w:rsidR="006D11C2" w:rsidRPr="001D443D">
        <w:t xml:space="preserve"> and </w:t>
      </w:r>
      <w:r w:rsidR="0079591C" w:rsidRPr="001D443D">
        <w:t>Indigenous status were not reported.</w:t>
      </w:r>
    </w:p>
    <w:p w14:paraId="3822BA8C" w14:textId="0976B912" w:rsidR="00E77291" w:rsidRPr="00CC0771" w:rsidRDefault="00F34CCB" w:rsidP="00CC0771">
      <w:pPr>
        <w:pStyle w:val="Heading2"/>
      </w:pPr>
      <w:bookmarkStart w:id="63" w:name="_Toc241658058"/>
      <w:r w:rsidRPr="00CC0771">
        <w:t xml:space="preserve">Indicator 4.5 </w:t>
      </w:r>
      <w:r w:rsidR="002B4811" w:rsidRPr="00CC0771">
        <w:t>–</w:t>
      </w:r>
      <w:r w:rsidR="00C77B8E" w:rsidRPr="00CC0771">
        <w:t xml:space="preserve"> L</w:t>
      </w:r>
      <w:r w:rsidR="00C96016" w:rsidRPr="00CC0771">
        <w:t>ate diagnosis</w:t>
      </w:r>
      <w:bookmarkEnd w:id="63"/>
    </w:p>
    <w:p w14:paraId="69FD8F1E" w14:textId="326678AE" w:rsidR="00CF7242" w:rsidRPr="009A2544" w:rsidRDefault="00CF7242" w:rsidP="00CF7242">
      <w:pPr>
        <w:pStyle w:val="Boxemerald"/>
      </w:pPr>
      <w:r w:rsidRPr="009A2544">
        <w:t>4.5 Number of women giving birth to an infant with congenital syphilis who were diagnosed with syphilis late</w:t>
      </w:r>
      <w:r w:rsidR="002639D7" w:rsidRPr="009A2544">
        <w:t xml:space="preserve"> </w:t>
      </w:r>
      <w:r w:rsidRPr="009A2544">
        <w:t>in pregnancy by Indigenous status</w:t>
      </w:r>
    </w:p>
    <w:p w14:paraId="3F6865F6" w14:textId="3ECA0CFF" w:rsidR="00CF7242" w:rsidRPr="009A2544" w:rsidRDefault="00CF7242" w:rsidP="00CF7242">
      <w:r w:rsidRPr="009A2544">
        <w:t>Late diagnosis with syphilis in pregnancy refers</w:t>
      </w:r>
      <w:r w:rsidR="007C1FD9" w:rsidRPr="009A2544">
        <w:t xml:space="preserve"> to</w:t>
      </w:r>
      <w:r w:rsidRPr="009A2544">
        <w:t xml:space="preserve"> women who did not receive treatment more than 30 days prior to delivery. Late diagnosis also includes women who were diagnosed with syphilis at-birth (day of delivery) or post-birth and therefore could not receive adequate treatment for their syphilis infection.</w:t>
      </w:r>
    </w:p>
    <w:p w14:paraId="231C7612" w14:textId="79FA4B07" w:rsidR="00CF7242" w:rsidRPr="009A2544" w:rsidRDefault="00CF7242" w:rsidP="00CF7242">
      <w:r w:rsidRPr="009A2544">
        <w:t>Most women (8</w:t>
      </w:r>
      <w:r w:rsidR="00CB3423" w:rsidRPr="009A2544">
        <w:t>2</w:t>
      </w:r>
      <w:r w:rsidRPr="009A2544">
        <w:t xml:space="preserve">%, </w:t>
      </w:r>
      <w:r w:rsidR="00CB3423" w:rsidRPr="009A2544">
        <w:t>7</w:t>
      </w:r>
      <w:r w:rsidR="001A1857" w:rsidRPr="009A2544">
        <w:t>8</w:t>
      </w:r>
      <w:r w:rsidRPr="009A2544">
        <w:t>/</w:t>
      </w:r>
      <w:r w:rsidR="001A1857" w:rsidRPr="009A2544">
        <w:t>95</w:t>
      </w:r>
      <w:r w:rsidRPr="009A2544">
        <w:t>) giving birth to an infant with congenital syphilis between 2020 and Q</w:t>
      </w:r>
      <w:r w:rsidR="001A1857" w:rsidRPr="009A2544">
        <w:t>1</w:t>
      </w:r>
      <w:r w:rsidRPr="009A2544">
        <w:t xml:space="preserve"> 202</w:t>
      </w:r>
      <w:r w:rsidR="001A1857" w:rsidRPr="009A2544">
        <w:t>6</w:t>
      </w:r>
      <w:r w:rsidRPr="009A2544">
        <w:t>, were diagnosed late in pregnancy. Among non-Indigenous women this proportion was 8</w:t>
      </w:r>
      <w:r w:rsidR="001A1857" w:rsidRPr="009A2544">
        <w:t>6</w:t>
      </w:r>
      <w:r w:rsidRPr="009A2544">
        <w:t>% (3</w:t>
      </w:r>
      <w:r w:rsidR="001A1857" w:rsidRPr="009A2544">
        <w:t>8</w:t>
      </w:r>
      <w:r w:rsidRPr="009A2544">
        <w:t>/</w:t>
      </w:r>
      <w:r w:rsidR="00124171" w:rsidRPr="009A2544">
        <w:t>44</w:t>
      </w:r>
      <w:r w:rsidRPr="009A2544">
        <w:t>), and Aboriginal and Torres Strait Islander women 7</w:t>
      </w:r>
      <w:r w:rsidR="00124171" w:rsidRPr="009A2544">
        <w:t>8</w:t>
      </w:r>
      <w:r w:rsidRPr="009A2544">
        <w:t>% (3</w:t>
      </w:r>
      <w:r w:rsidR="00124171" w:rsidRPr="009A2544">
        <w:t>8</w:t>
      </w:r>
      <w:r w:rsidRPr="009A2544">
        <w:t>/4</w:t>
      </w:r>
      <w:r w:rsidR="00124171" w:rsidRPr="009A2544">
        <w:t>9</w:t>
      </w:r>
      <w:r w:rsidRPr="009A2544">
        <w:t>) (</w:t>
      </w:r>
      <w:r w:rsidR="00B60AC6" w:rsidRPr="009A2544">
        <w:fldChar w:fldCharType="begin" w:fldLock="1"/>
      </w:r>
      <w:r w:rsidR="00B60AC6" w:rsidRPr="009A2544">
        <w:instrText xml:space="preserve"> REF _Ref238041558 \r \h </w:instrText>
      </w:r>
      <w:r w:rsidR="009A2544">
        <w:instrText xml:space="preserve"> \* MERGEFORMAT </w:instrText>
      </w:r>
      <w:r w:rsidR="00B60AC6" w:rsidRPr="009A2544">
        <w:fldChar w:fldCharType="separate"/>
      </w:r>
      <w:r w:rsidR="00B60AC6" w:rsidRPr="009A2544">
        <w:t>Table 4</w:t>
      </w:r>
      <w:r w:rsidR="00B60AC6" w:rsidRPr="009A2544">
        <w:fldChar w:fldCharType="end"/>
      </w:r>
      <w:r w:rsidRPr="009A2544">
        <w:t>).</w:t>
      </w:r>
    </w:p>
    <w:p w14:paraId="15EA5301" w14:textId="65AF75ED" w:rsidR="00CF7242" w:rsidRPr="009A2544" w:rsidRDefault="00CF7242" w:rsidP="000C54A6">
      <w:pPr>
        <w:pStyle w:val="Tabletitle"/>
      </w:pPr>
      <w:bookmarkStart w:id="64" w:name="_Ref238041558"/>
      <w:bookmarkStart w:id="65" w:name="_Toc240364762"/>
      <w:r w:rsidRPr="009A2544">
        <w:t xml:space="preserve">Number of women giving birth to an infant with congenital syphilis, by trimester mother was diagnosed with syphilis, 2020 </w:t>
      </w:r>
      <w:r w:rsidR="004C0206" w:rsidRPr="009A2544">
        <w:t>to</w:t>
      </w:r>
      <w:r w:rsidRPr="009A2544">
        <w:t xml:space="preserve"> Q</w:t>
      </w:r>
      <w:r w:rsidR="00FD02E4" w:rsidRPr="009A2544">
        <w:t>1</w:t>
      </w:r>
      <w:r w:rsidRPr="009A2544">
        <w:t xml:space="preserve"> 202</w:t>
      </w:r>
      <w:r w:rsidR="00FD02E4" w:rsidRPr="009A2544">
        <w:t>6</w:t>
      </w:r>
      <w:bookmarkEnd w:id="64"/>
      <w:bookmarkEnd w:id="65"/>
    </w:p>
    <w:tbl>
      <w:tblPr>
        <w:tblStyle w:val="CDCTable2"/>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2536"/>
        <w:gridCol w:w="1003"/>
        <w:gridCol w:w="992"/>
        <w:gridCol w:w="993"/>
        <w:gridCol w:w="992"/>
        <w:gridCol w:w="992"/>
        <w:gridCol w:w="1276"/>
        <w:gridCol w:w="1276"/>
      </w:tblGrid>
      <w:tr w:rsidR="000C54A6" w:rsidRPr="000C54A6" w14:paraId="117C91E2" w14:textId="77777777" w:rsidTr="00352F1F">
        <w:trPr>
          <w:cnfStyle w:val="100000000000" w:firstRow="1" w:lastRow="0" w:firstColumn="0" w:lastColumn="0" w:oddVBand="0" w:evenVBand="0" w:oddHBand="0" w:evenHBand="0" w:firstRowFirstColumn="0" w:firstRowLastColumn="0" w:lastRowFirstColumn="0" w:lastRowLastColumn="0"/>
          <w:trHeight w:val="20"/>
          <w:tblHeader/>
        </w:trPr>
        <w:tc>
          <w:tcPr>
            <w:tcW w:w="2536" w:type="dxa"/>
            <w:tcBorders>
              <w:bottom w:val="nil"/>
            </w:tcBorders>
            <w:shd w:val="clear" w:color="auto" w:fill="025F5D"/>
          </w:tcPr>
          <w:p w14:paraId="14DE4633" w14:textId="727C8C40" w:rsidR="000C54A6" w:rsidRPr="000C54A6" w:rsidRDefault="000C54A6" w:rsidP="00C33651">
            <w:pPr>
              <w:pStyle w:val="Tableheaderrowwhite"/>
            </w:pPr>
            <w:r w:rsidRPr="000C54A6">
              <w:t>Stage of pregnancy</w:t>
            </w:r>
          </w:p>
        </w:tc>
        <w:tc>
          <w:tcPr>
            <w:tcW w:w="1003" w:type="dxa"/>
            <w:tcBorders>
              <w:bottom w:val="nil"/>
            </w:tcBorders>
            <w:shd w:val="clear" w:color="auto" w:fill="025F5D"/>
          </w:tcPr>
          <w:p w14:paraId="2E37CDA6" w14:textId="77777777" w:rsidR="000C54A6" w:rsidRPr="000C54A6" w:rsidRDefault="000C54A6" w:rsidP="00C33651">
            <w:pPr>
              <w:pStyle w:val="Tableheaderrowwhite"/>
            </w:pPr>
            <w:r w:rsidRPr="000C54A6">
              <w:t>2020</w:t>
            </w:r>
          </w:p>
        </w:tc>
        <w:tc>
          <w:tcPr>
            <w:tcW w:w="992" w:type="dxa"/>
            <w:tcBorders>
              <w:bottom w:val="nil"/>
            </w:tcBorders>
            <w:shd w:val="clear" w:color="auto" w:fill="025F5D"/>
          </w:tcPr>
          <w:p w14:paraId="2DD918D8" w14:textId="77777777" w:rsidR="000C54A6" w:rsidRPr="000C54A6" w:rsidRDefault="000C54A6" w:rsidP="00C33651">
            <w:pPr>
              <w:pStyle w:val="Tableheaderrowwhite"/>
            </w:pPr>
            <w:r w:rsidRPr="000C54A6">
              <w:t>2021</w:t>
            </w:r>
          </w:p>
        </w:tc>
        <w:tc>
          <w:tcPr>
            <w:tcW w:w="993" w:type="dxa"/>
            <w:tcBorders>
              <w:bottom w:val="nil"/>
            </w:tcBorders>
            <w:shd w:val="clear" w:color="auto" w:fill="025F5D"/>
          </w:tcPr>
          <w:p w14:paraId="7C9AF181" w14:textId="77777777" w:rsidR="000C54A6" w:rsidRPr="000C54A6" w:rsidRDefault="000C54A6" w:rsidP="00C33651">
            <w:pPr>
              <w:pStyle w:val="Tableheaderrowwhite"/>
            </w:pPr>
            <w:r w:rsidRPr="000C54A6">
              <w:t>2022</w:t>
            </w:r>
          </w:p>
        </w:tc>
        <w:tc>
          <w:tcPr>
            <w:tcW w:w="992" w:type="dxa"/>
            <w:tcBorders>
              <w:bottom w:val="nil"/>
            </w:tcBorders>
            <w:shd w:val="clear" w:color="auto" w:fill="025F5D"/>
          </w:tcPr>
          <w:p w14:paraId="5F2FD64D" w14:textId="77777777" w:rsidR="000C54A6" w:rsidRPr="000C54A6" w:rsidRDefault="000C54A6" w:rsidP="00C33651">
            <w:pPr>
              <w:pStyle w:val="Tableheaderrowwhite"/>
            </w:pPr>
            <w:r w:rsidRPr="000C54A6">
              <w:t>2023</w:t>
            </w:r>
          </w:p>
        </w:tc>
        <w:tc>
          <w:tcPr>
            <w:tcW w:w="992" w:type="dxa"/>
            <w:tcBorders>
              <w:bottom w:val="nil"/>
            </w:tcBorders>
            <w:shd w:val="clear" w:color="auto" w:fill="025F5D"/>
          </w:tcPr>
          <w:p w14:paraId="493D2C4D" w14:textId="77777777" w:rsidR="000C54A6" w:rsidRPr="000C54A6" w:rsidRDefault="000C54A6" w:rsidP="00C33651">
            <w:pPr>
              <w:pStyle w:val="Tableheaderrowwhite"/>
            </w:pPr>
            <w:r w:rsidRPr="000C54A6">
              <w:t>2024</w:t>
            </w:r>
          </w:p>
        </w:tc>
        <w:tc>
          <w:tcPr>
            <w:tcW w:w="1276" w:type="dxa"/>
            <w:tcBorders>
              <w:bottom w:val="nil"/>
            </w:tcBorders>
            <w:shd w:val="clear" w:color="auto" w:fill="025F5D"/>
          </w:tcPr>
          <w:p w14:paraId="71BF46E2" w14:textId="77777777" w:rsidR="000C54A6" w:rsidRPr="00733B0F" w:rsidRDefault="000C54A6" w:rsidP="00C33651">
            <w:pPr>
              <w:pStyle w:val="Tableheaderrowwhite"/>
            </w:pPr>
            <w:r w:rsidRPr="00733B0F">
              <w:t>2025</w:t>
            </w:r>
          </w:p>
        </w:tc>
        <w:tc>
          <w:tcPr>
            <w:tcW w:w="1276" w:type="dxa"/>
            <w:shd w:val="clear" w:color="auto" w:fill="025F5D"/>
          </w:tcPr>
          <w:p w14:paraId="520F3FDD" w14:textId="374E1C9C" w:rsidR="000C54A6" w:rsidRPr="00C33651" w:rsidRDefault="000C54A6" w:rsidP="00C33651">
            <w:pPr>
              <w:pStyle w:val="Tableheaderrowwhite"/>
            </w:pPr>
            <w:r w:rsidRPr="00733B0F">
              <w:t>2026</w:t>
            </w:r>
            <w:r w:rsidR="00C33651">
              <w:t xml:space="preserve"> </w:t>
            </w:r>
            <w:r w:rsidR="00394C57" w:rsidRPr="00733B0F">
              <w:t>Q1</w:t>
            </w:r>
          </w:p>
        </w:tc>
      </w:tr>
      <w:tr w:rsidR="00FA732D" w:rsidRPr="000C54A6" w14:paraId="111DDAB9" w14:textId="77777777" w:rsidTr="00352F1F">
        <w:trPr>
          <w:trHeight w:val="356"/>
        </w:trPr>
        <w:tc>
          <w:tcPr>
            <w:tcW w:w="10060" w:type="dxa"/>
            <w:gridSpan w:val="8"/>
            <w:shd w:val="clear" w:color="auto" w:fill="00DCA1"/>
          </w:tcPr>
          <w:p w14:paraId="35D11CFC" w14:textId="587FE776" w:rsidR="00FA732D" w:rsidRPr="00733B0F" w:rsidRDefault="00FA732D" w:rsidP="00C33651">
            <w:pPr>
              <w:pStyle w:val="Tableheadingcentred"/>
            </w:pPr>
            <w:r w:rsidRPr="00733B0F">
              <w:t>Aboriginal and Torres Strait Islander women</w:t>
            </w:r>
          </w:p>
        </w:tc>
      </w:tr>
      <w:tr w:rsidR="005A72EC" w:rsidRPr="000C54A6" w14:paraId="291A55F8" w14:textId="77777777" w:rsidTr="00352F1F">
        <w:trPr>
          <w:trHeight w:val="20"/>
        </w:trPr>
        <w:tc>
          <w:tcPr>
            <w:tcW w:w="2536" w:type="dxa"/>
          </w:tcPr>
          <w:p w14:paraId="6AE9DF75" w14:textId="6BD45FCD" w:rsidR="005A72EC" w:rsidRPr="000C54A6" w:rsidRDefault="005A72EC" w:rsidP="00991310">
            <w:pPr>
              <w:pStyle w:val="Tabletextleft"/>
            </w:pPr>
            <w:r w:rsidRPr="000C54A6">
              <w:t>First trimester</w:t>
            </w:r>
          </w:p>
        </w:tc>
        <w:tc>
          <w:tcPr>
            <w:tcW w:w="1003" w:type="dxa"/>
          </w:tcPr>
          <w:p w14:paraId="292E6C3E" w14:textId="768C7E8A" w:rsidR="005A72EC" w:rsidRPr="000C54A6" w:rsidRDefault="00431359" w:rsidP="00694CD0">
            <w:pPr>
              <w:pStyle w:val="Tabletextcentred"/>
            </w:pPr>
            <w:r w:rsidRPr="000C54A6">
              <w:t>0</w:t>
            </w:r>
          </w:p>
        </w:tc>
        <w:tc>
          <w:tcPr>
            <w:tcW w:w="992" w:type="dxa"/>
          </w:tcPr>
          <w:p w14:paraId="74FB3DBE" w14:textId="06DF5FBC" w:rsidR="005A72EC" w:rsidRPr="000C54A6" w:rsidRDefault="00431359" w:rsidP="00694CD0">
            <w:pPr>
              <w:pStyle w:val="Tabletextcentred"/>
            </w:pPr>
            <w:r w:rsidRPr="000C54A6">
              <w:t>0</w:t>
            </w:r>
          </w:p>
        </w:tc>
        <w:tc>
          <w:tcPr>
            <w:tcW w:w="993" w:type="dxa"/>
          </w:tcPr>
          <w:p w14:paraId="657C9D34" w14:textId="38B0A277" w:rsidR="005A72EC" w:rsidRPr="000C54A6" w:rsidRDefault="00431359" w:rsidP="00694CD0">
            <w:pPr>
              <w:pStyle w:val="Tabletextcentred"/>
            </w:pPr>
            <w:r w:rsidRPr="000C54A6">
              <w:t>0</w:t>
            </w:r>
          </w:p>
        </w:tc>
        <w:tc>
          <w:tcPr>
            <w:tcW w:w="992" w:type="dxa"/>
          </w:tcPr>
          <w:p w14:paraId="78A7C567" w14:textId="4B89886F" w:rsidR="005A72EC" w:rsidRPr="000C54A6" w:rsidRDefault="00431359" w:rsidP="00694CD0">
            <w:pPr>
              <w:pStyle w:val="Tabletextcentred"/>
            </w:pPr>
            <w:r w:rsidRPr="000C54A6">
              <w:t>0</w:t>
            </w:r>
          </w:p>
        </w:tc>
        <w:tc>
          <w:tcPr>
            <w:tcW w:w="992" w:type="dxa"/>
          </w:tcPr>
          <w:p w14:paraId="574D07BD" w14:textId="2EF50C51" w:rsidR="005A72EC" w:rsidRPr="000C54A6" w:rsidRDefault="005A72EC" w:rsidP="00694CD0">
            <w:pPr>
              <w:pStyle w:val="Tabletextcentred"/>
            </w:pPr>
            <w:r w:rsidRPr="000C54A6">
              <w:t>1</w:t>
            </w:r>
          </w:p>
        </w:tc>
        <w:tc>
          <w:tcPr>
            <w:tcW w:w="1276" w:type="dxa"/>
          </w:tcPr>
          <w:p w14:paraId="412EB94C" w14:textId="278EDA2C" w:rsidR="005A72EC" w:rsidRPr="000C54A6" w:rsidRDefault="00431359" w:rsidP="00694CD0">
            <w:pPr>
              <w:pStyle w:val="Tabletextcentred"/>
            </w:pPr>
            <w:r w:rsidRPr="000C54A6">
              <w:t>0</w:t>
            </w:r>
          </w:p>
        </w:tc>
        <w:tc>
          <w:tcPr>
            <w:tcW w:w="1276" w:type="dxa"/>
          </w:tcPr>
          <w:p w14:paraId="38877812" w14:textId="7ADC63D8" w:rsidR="005A72EC" w:rsidRPr="000C54A6" w:rsidRDefault="00431359" w:rsidP="00694CD0">
            <w:pPr>
              <w:pStyle w:val="Tabletextcentred"/>
            </w:pPr>
            <w:r w:rsidRPr="000C54A6">
              <w:t>0</w:t>
            </w:r>
          </w:p>
        </w:tc>
      </w:tr>
      <w:tr w:rsidR="005A72EC" w:rsidRPr="000C54A6" w14:paraId="7F4B2466" w14:textId="77777777" w:rsidTr="00352F1F">
        <w:trPr>
          <w:trHeight w:val="20"/>
        </w:trPr>
        <w:tc>
          <w:tcPr>
            <w:tcW w:w="2536" w:type="dxa"/>
          </w:tcPr>
          <w:p w14:paraId="7260CF0D" w14:textId="12F6CF89" w:rsidR="005A72EC" w:rsidRPr="000C54A6" w:rsidRDefault="005A72EC" w:rsidP="00991310">
            <w:pPr>
              <w:pStyle w:val="Tabletextleft"/>
            </w:pPr>
            <w:r w:rsidRPr="000C54A6">
              <w:t>Second trimester</w:t>
            </w:r>
          </w:p>
        </w:tc>
        <w:tc>
          <w:tcPr>
            <w:tcW w:w="1003" w:type="dxa"/>
          </w:tcPr>
          <w:p w14:paraId="06F41C43" w14:textId="54F81D3E" w:rsidR="005A72EC" w:rsidRPr="000C54A6" w:rsidRDefault="005A72EC" w:rsidP="00694CD0">
            <w:pPr>
              <w:pStyle w:val="Tabletextcentred"/>
            </w:pPr>
            <w:r w:rsidRPr="000C54A6">
              <w:t>1</w:t>
            </w:r>
          </w:p>
        </w:tc>
        <w:tc>
          <w:tcPr>
            <w:tcW w:w="992" w:type="dxa"/>
          </w:tcPr>
          <w:p w14:paraId="5DECF79A" w14:textId="73EF5FB5" w:rsidR="005A72EC" w:rsidRPr="000C54A6" w:rsidRDefault="00431359" w:rsidP="00694CD0">
            <w:pPr>
              <w:pStyle w:val="Tabletextcentred"/>
            </w:pPr>
            <w:r w:rsidRPr="000C54A6">
              <w:t>0</w:t>
            </w:r>
          </w:p>
        </w:tc>
        <w:tc>
          <w:tcPr>
            <w:tcW w:w="993" w:type="dxa"/>
          </w:tcPr>
          <w:p w14:paraId="66E3B0CD" w14:textId="0A645055" w:rsidR="005A72EC" w:rsidRPr="000C54A6" w:rsidRDefault="005A72EC" w:rsidP="00694CD0">
            <w:pPr>
              <w:pStyle w:val="Tabletextcentred"/>
            </w:pPr>
            <w:r w:rsidRPr="000C54A6">
              <w:t>2</w:t>
            </w:r>
          </w:p>
        </w:tc>
        <w:tc>
          <w:tcPr>
            <w:tcW w:w="992" w:type="dxa"/>
          </w:tcPr>
          <w:p w14:paraId="48028ADA" w14:textId="200A88E8" w:rsidR="005A72EC" w:rsidRPr="000C54A6" w:rsidRDefault="005A72EC" w:rsidP="00694CD0">
            <w:pPr>
              <w:pStyle w:val="Tabletextcentred"/>
            </w:pPr>
            <w:r w:rsidRPr="000C54A6">
              <w:t>2</w:t>
            </w:r>
          </w:p>
        </w:tc>
        <w:tc>
          <w:tcPr>
            <w:tcW w:w="992" w:type="dxa"/>
          </w:tcPr>
          <w:p w14:paraId="2495B9FE" w14:textId="4137A7E7" w:rsidR="005A72EC" w:rsidRPr="000C54A6" w:rsidRDefault="00431359" w:rsidP="00694CD0">
            <w:pPr>
              <w:pStyle w:val="Tabletextcentred"/>
            </w:pPr>
            <w:r w:rsidRPr="000C54A6">
              <w:t>0</w:t>
            </w:r>
          </w:p>
        </w:tc>
        <w:tc>
          <w:tcPr>
            <w:tcW w:w="1276" w:type="dxa"/>
          </w:tcPr>
          <w:p w14:paraId="1F0D1539" w14:textId="5CC8786D" w:rsidR="005A72EC" w:rsidRPr="000C54A6" w:rsidRDefault="005A72EC" w:rsidP="00694CD0">
            <w:pPr>
              <w:pStyle w:val="Tabletextcentred"/>
            </w:pPr>
            <w:r w:rsidRPr="000C54A6">
              <w:t>2</w:t>
            </w:r>
          </w:p>
        </w:tc>
        <w:tc>
          <w:tcPr>
            <w:tcW w:w="1276" w:type="dxa"/>
          </w:tcPr>
          <w:p w14:paraId="53F3FE47" w14:textId="0F311A38" w:rsidR="005A72EC" w:rsidRPr="000C54A6" w:rsidRDefault="00431359" w:rsidP="00694CD0">
            <w:pPr>
              <w:pStyle w:val="Tabletextcentred"/>
            </w:pPr>
            <w:r w:rsidRPr="000C54A6">
              <w:t>0</w:t>
            </w:r>
          </w:p>
        </w:tc>
      </w:tr>
      <w:tr w:rsidR="005A72EC" w:rsidRPr="000C54A6" w14:paraId="19424259" w14:textId="77777777" w:rsidTr="00352F1F">
        <w:trPr>
          <w:trHeight w:val="20"/>
        </w:trPr>
        <w:tc>
          <w:tcPr>
            <w:tcW w:w="2536" w:type="dxa"/>
          </w:tcPr>
          <w:p w14:paraId="5D38BCED" w14:textId="6C0D3FF2" w:rsidR="005A72EC" w:rsidRPr="000C54A6" w:rsidRDefault="005A72EC" w:rsidP="00991310">
            <w:pPr>
              <w:pStyle w:val="Tabletextleft"/>
            </w:pPr>
            <w:r w:rsidRPr="000C54A6">
              <w:t>Third trimester</w:t>
            </w:r>
          </w:p>
        </w:tc>
        <w:tc>
          <w:tcPr>
            <w:tcW w:w="1003" w:type="dxa"/>
          </w:tcPr>
          <w:p w14:paraId="64B4B15B" w14:textId="69C78CE4" w:rsidR="005A72EC" w:rsidRPr="000C54A6" w:rsidRDefault="00431359" w:rsidP="00694CD0">
            <w:pPr>
              <w:pStyle w:val="Tabletextcentred"/>
            </w:pPr>
            <w:r w:rsidRPr="000C54A6">
              <w:t>0</w:t>
            </w:r>
          </w:p>
        </w:tc>
        <w:tc>
          <w:tcPr>
            <w:tcW w:w="992" w:type="dxa"/>
          </w:tcPr>
          <w:p w14:paraId="0304CC86" w14:textId="41A58D65" w:rsidR="005A72EC" w:rsidRPr="000C54A6" w:rsidRDefault="005A72EC" w:rsidP="00694CD0">
            <w:pPr>
              <w:pStyle w:val="Tabletextcentred"/>
            </w:pPr>
            <w:r w:rsidRPr="000C54A6">
              <w:t>2</w:t>
            </w:r>
          </w:p>
        </w:tc>
        <w:tc>
          <w:tcPr>
            <w:tcW w:w="993" w:type="dxa"/>
          </w:tcPr>
          <w:p w14:paraId="6A26E9B3" w14:textId="154C571D" w:rsidR="005A72EC" w:rsidRPr="000C54A6" w:rsidRDefault="005A72EC" w:rsidP="00694CD0">
            <w:pPr>
              <w:pStyle w:val="Tabletextcentred"/>
            </w:pPr>
            <w:r w:rsidRPr="000C54A6">
              <w:t>1</w:t>
            </w:r>
          </w:p>
        </w:tc>
        <w:tc>
          <w:tcPr>
            <w:tcW w:w="992" w:type="dxa"/>
          </w:tcPr>
          <w:p w14:paraId="71E05AA2" w14:textId="75C4B4AC" w:rsidR="005A72EC" w:rsidRPr="000C54A6" w:rsidRDefault="005A72EC" w:rsidP="00694CD0">
            <w:pPr>
              <w:pStyle w:val="Tabletextcentred"/>
            </w:pPr>
            <w:r w:rsidRPr="000C54A6">
              <w:t>4</w:t>
            </w:r>
          </w:p>
        </w:tc>
        <w:tc>
          <w:tcPr>
            <w:tcW w:w="992" w:type="dxa"/>
          </w:tcPr>
          <w:p w14:paraId="4701EB31" w14:textId="4B34C246" w:rsidR="005A72EC" w:rsidRPr="000C54A6" w:rsidRDefault="00431359" w:rsidP="00694CD0">
            <w:pPr>
              <w:pStyle w:val="Tabletextcentred"/>
            </w:pPr>
            <w:r w:rsidRPr="000C54A6">
              <w:t>0</w:t>
            </w:r>
          </w:p>
        </w:tc>
        <w:tc>
          <w:tcPr>
            <w:tcW w:w="1276" w:type="dxa"/>
          </w:tcPr>
          <w:p w14:paraId="2FA897D6" w14:textId="5B3D423A" w:rsidR="005A72EC" w:rsidRPr="000C54A6" w:rsidRDefault="005A72EC" w:rsidP="00694CD0">
            <w:pPr>
              <w:pStyle w:val="Tabletextcentred"/>
            </w:pPr>
            <w:r w:rsidRPr="000C54A6">
              <w:t>2</w:t>
            </w:r>
          </w:p>
        </w:tc>
        <w:tc>
          <w:tcPr>
            <w:tcW w:w="1276" w:type="dxa"/>
          </w:tcPr>
          <w:p w14:paraId="71D5A8D5" w14:textId="4142F9F1" w:rsidR="005A72EC" w:rsidRPr="000C54A6" w:rsidRDefault="005A72EC" w:rsidP="00694CD0">
            <w:pPr>
              <w:pStyle w:val="Tabletextcentred"/>
            </w:pPr>
            <w:r w:rsidRPr="000C54A6">
              <w:t>1</w:t>
            </w:r>
          </w:p>
        </w:tc>
      </w:tr>
      <w:tr w:rsidR="005A72EC" w:rsidRPr="000C54A6" w14:paraId="5B692055" w14:textId="77777777" w:rsidTr="00352F1F">
        <w:trPr>
          <w:trHeight w:val="20"/>
        </w:trPr>
        <w:tc>
          <w:tcPr>
            <w:tcW w:w="2536" w:type="dxa"/>
          </w:tcPr>
          <w:p w14:paraId="6CA5E184" w14:textId="64BDB3E5" w:rsidR="005A72EC" w:rsidRPr="000C54A6" w:rsidRDefault="005A72EC" w:rsidP="00991310">
            <w:pPr>
              <w:pStyle w:val="Tabletextleft"/>
            </w:pPr>
            <w:r w:rsidRPr="000C54A6">
              <w:t>At birth</w:t>
            </w:r>
          </w:p>
        </w:tc>
        <w:tc>
          <w:tcPr>
            <w:tcW w:w="1003" w:type="dxa"/>
          </w:tcPr>
          <w:p w14:paraId="32C97858" w14:textId="394D0F3B" w:rsidR="005A72EC" w:rsidRPr="000C54A6" w:rsidRDefault="005A72EC" w:rsidP="00694CD0">
            <w:pPr>
              <w:pStyle w:val="Tabletextcentred"/>
            </w:pPr>
            <w:r w:rsidRPr="000C54A6">
              <w:t>4</w:t>
            </w:r>
          </w:p>
        </w:tc>
        <w:tc>
          <w:tcPr>
            <w:tcW w:w="992" w:type="dxa"/>
          </w:tcPr>
          <w:p w14:paraId="761A9751" w14:textId="3B655387" w:rsidR="005A72EC" w:rsidRPr="000C54A6" w:rsidRDefault="005A72EC" w:rsidP="00694CD0">
            <w:pPr>
              <w:pStyle w:val="Tabletextcentred"/>
            </w:pPr>
            <w:r w:rsidRPr="000C54A6">
              <w:t>4</w:t>
            </w:r>
          </w:p>
        </w:tc>
        <w:tc>
          <w:tcPr>
            <w:tcW w:w="993" w:type="dxa"/>
          </w:tcPr>
          <w:p w14:paraId="752BE5F9" w14:textId="3AE0D737" w:rsidR="005A72EC" w:rsidRPr="000C54A6" w:rsidRDefault="005A72EC" w:rsidP="00694CD0">
            <w:pPr>
              <w:pStyle w:val="Tabletextcentred"/>
            </w:pPr>
            <w:r w:rsidRPr="000C54A6">
              <w:t>3</w:t>
            </w:r>
          </w:p>
        </w:tc>
        <w:tc>
          <w:tcPr>
            <w:tcW w:w="992" w:type="dxa"/>
          </w:tcPr>
          <w:p w14:paraId="302282DC" w14:textId="372FC0B1" w:rsidR="005A72EC" w:rsidRPr="000C54A6" w:rsidRDefault="005A72EC" w:rsidP="00694CD0">
            <w:pPr>
              <w:pStyle w:val="Tabletextcentred"/>
            </w:pPr>
            <w:r w:rsidRPr="000C54A6">
              <w:t>4</w:t>
            </w:r>
          </w:p>
        </w:tc>
        <w:tc>
          <w:tcPr>
            <w:tcW w:w="992" w:type="dxa"/>
          </w:tcPr>
          <w:p w14:paraId="37030013" w14:textId="25C3F7EA" w:rsidR="005A72EC" w:rsidRPr="000C54A6" w:rsidRDefault="005A72EC" w:rsidP="00694CD0">
            <w:pPr>
              <w:pStyle w:val="Tabletextcentred"/>
            </w:pPr>
            <w:r w:rsidRPr="000C54A6">
              <w:t>1</w:t>
            </w:r>
          </w:p>
        </w:tc>
        <w:tc>
          <w:tcPr>
            <w:tcW w:w="1276" w:type="dxa"/>
          </w:tcPr>
          <w:p w14:paraId="09269DB1" w14:textId="420DD504" w:rsidR="005A72EC" w:rsidRPr="000C54A6" w:rsidRDefault="00431359" w:rsidP="00694CD0">
            <w:pPr>
              <w:pStyle w:val="Tabletextcentred"/>
            </w:pPr>
            <w:r w:rsidRPr="000C54A6">
              <w:t>0</w:t>
            </w:r>
          </w:p>
        </w:tc>
        <w:tc>
          <w:tcPr>
            <w:tcW w:w="1276" w:type="dxa"/>
          </w:tcPr>
          <w:p w14:paraId="297C390A" w14:textId="27B1CF46" w:rsidR="005A72EC" w:rsidRPr="000C54A6" w:rsidRDefault="00431359" w:rsidP="00694CD0">
            <w:pPr>
              <w:pStyle w:val="Tabletextcentred"/>
            </w:pPr>
            <w:r w:rsidRPr="000C54A6">
              <w:t>0</w:t>
            </w:r>
          </w:p>
        </w:tc>
      </w:tr>
      <w:tr w:rsidR="005A72EC" w:rsidRPr="000C54A6" w14:paraId="19D0C548" w14:textId="77777777" w:rsidTr="00352F1F">
        <w:trPr>
          <w:trHeight w:val="20"/>
        </w:trPr>
        <w:tc>
          <w:tcPr>
            <w:tcW w:w="2536" w:type="dxa"/>
          </w:tcPr>
          <w:p w14:paraId="3B0D80F6" w14:textId="3C4F1FBB" w:rsidR="005A72EC" w:rsidRPr="000C54A6" w:rsidRDefault="005A72EC" w:rsidP="00991310">
            <w:pPr>
              <w:pStyle w:val="Tabletextleft"/>
            </w:pPr>
            <w:r w:rsidRPr="000C54A6">
              <w:t>Post birth</w:t>
            </w:r>
          </w:p>
        </w:tc>
        <w:tc>
          <w:tcPr>
            <w:tcW w:w="1003" w:type="dxa"/>
          </w:tcPr>
          <w:p w14:paraId="1019253A" w14:textId="4BF3CC2D" w:rsidR="005A72EC" w:rsidRPr="000C54A6" w:rsidRDefault="005A72EC" w:rsidP="00694CD0">
            <w:pPr>
              <w:pStyle w:val="Tabletextcentred"/>
            </w:pPr>
            <w:r w:rsidRPr="000C54A6">
              <w:t>3</w:t>
            </w:r>
          </w:p>
        </w:tc>
        <w:tc>
          <w:tcPr>
            <w:tcW w:w="992" w:type="dxa"/>
          </w:tcPr>
          <w:p w14:paraId="2FB5DCF7" w14:textId="2C50D80D" w:rsidR="005A72EC" w:rsidRPr="000C54A6" w:rsidRDefault="005A72EC" w:rsidP="00694CD0">
            <w:pPr>
              <w:pStyle w:val="Tabletextcentred"/>
            </w:pPr>
            <w:r w:rsidRPr="000C54A6">
              <w:t>3</w:t>
            </w:r>
          </w:p>
        </w:tc>
        <w:tc>
          <w:tcPr>
            <w:tcW w:w="993" w:type="dxa"/>
          </w:tcPr>
          <w:p w14:paraId="6EEAC0BA" w14:textId="6B697B95" w:rsidR="005A72EC" w:rsidRPr="000C54A6" w:rsidRDefault="00431359" w:rsidP="00694CD0">
            <w:pPr>
              <w:pStyle w:val="Tabletextcentred"/>
            </w:pPr>
            <w:r w:rsidRPr="000C54A6">
              <w:t>0</w:t>
            </w:r>
          </w:p>
        </w:tc>
        <w:tc>
          <w:tcPr>
            <w:tcW w:w="992" w:type="dxa"/>
          </w:tcPr>
          <w:p w14:paraId="3EF086F9" w14:textId="59C4848C" w:rsidR="005A72EC" w:rsidRPr="000C54A6" w:rsidRDefault="005A72EC" w:rsidP="00694CD0">
            <w:pPr>
              <w:pStyle w:val="Tabletextcentred"/>
            </w:pPr>
            <w:r w:rsidRPr="000C54A6">
              <w:t>3</w:t>
            </w:r>
          </w:p>
        </w:tc>
        <w:tc>
          <w:tcPr>
            <w:tcW w:w="992" w:type="dxa"/>
          </w:tcPr>
          <w:p w14:paraId="2C76CB69" w14:textId="08A94CB4" w:rsidR="005A72EC" w:rsidRPr="000C54A6" w:rsidRDefault="005A72EC" w:rsidP="00694CD0">
            <w:pPr>
              <w:pStyle w:val="Tabletextcentred"/>
            </w:pPr>
            <w:r w:rsidRPr="000C54A6">
              <w:t>1</w:t>
            </w:r>
          </w:p>
        </w:tc>
        <w:tc>
          <w:tcPr>
            <w:tcW w:w="1276" w:type="dxa"/>
          </w:tcPr>
          <w:p w14:paraId="64664386" w14:textId="5A16FF18" w:rsidR="005A72EC" w:rsidRPr="000C54A6" w:rsidRDefault="005A72EC" w:rsidP="00694CD0">
            <w:pPr>
              <w:pStyle w:val="Tabletextcentred"/>
            </w:pPr>
            <w:r w:rsidRPr="000C54A6">
              <w:t>2</w:t>
            </w:r>
          </w:p>
        </w:tc>
        <w:tc>
          <w:tcPr>
            <w:tcW w:w="1276" w:type="dxa"/>
          </w:tcPr>
          <w:p w14:paraId="4239575A" w14:textId="48B6E416" w:rsidR="005A72EC" w:rsidRPr="000C54A6" w:rsidRDefault="00431359" w:rsidP="00694CD0">
            <w:pPr>
              <w:pStyle w:val="Tabletextcentred"/>
            </w:pPr>
            <w:r w:rsidRPr="000C54A6">
              <w:t>0</w:t>
            </w:r>
          </w:p>
        </w:tc>
      </w:tr>
      <w:tr w:rsidR="005A72EC" w:rsidRPr="000C54A6" w14:paraId="2F6FD4B1" w14:textId="77777777" w:rsidTr="00352F1F">
        <w:trPr>
          <w:trHeight w:val="20"/>
        </w:trPr>
        <w:tc>
          <w:tcPr>
            <w:tcW w:w="2536" w:type="dxa"/>
          </w:tcPr>
          <w:p w14:paraId="0A2E7FDD" w14:textId="22E14785" w:rsidR="005A72EC" w:rsidRPr="000C54A6" w:rsidRDefault="005A72EC" w:rsidP="00991310">
            <w:pPr>
              <w:pStyle w:val="Tabletextleft"/>
            </w:pPr>
            <w:r w:rsidRPr="000C54A6">
              <w:t>Unknown</w:t>
            </w:r>
          </w:p>
        </w:tc>
        <w:tc>
          <w:tcPr>
            <w:tcW w:w="1003" w:type="dxa"/>
          </w:tcPr>
          <w:p w14:paraId="34EC0180" w14:textId="2B58FBA2" w:rsidR="005A72EC" w:rsidRPr="000C54A6" w:rsidRDefault="00431359" w:rsidP="00694CD0">
            <w:pPr>
              <w:pStyle w:val="Tabletextcentred"/>
            </w:pPr>
            <w:r w:rsidRPr="000C54A6">
              <w:t>0</w:t>
            </w:r>
          </w:p>
        </w:tc>
        <w:tc>
          <w:tcPr>
            <w:tcW w:w="992" w:type="dxa"/>
          </w:tcPr>
          <w:p w14:paraId="5D025886" w14:textId="0FBA2EF3" w:rsidR="005A72EC" w:rsidRPr="000C54A6" w:rsidRDefault="00431359" w:rsidP="00694CD0">
            <w:pPr>
              <w:pStyle w:val="Tabletextcentred"/>
            </w:pPr>
            <w:r w:rsidRPr="000C54A6">
              <w:t>0</w:t>
            </w:r>
          </w:p>
        </w:tc>
        <w:tc>
          <w:tcPr>
            <w:tcW w:w="993" w:type="dxa"/>
          </w:tcPr>
          <w:p w14:paraId="3E0B0264" w14:textId="585804FF" w:rsidR="005A72EC" w:rsidRPr="000C54A6" w:rsidRDefault="005A72EC" w:rsidP="00694CD0">
            <w:pPr>
              <w:pStyle w:val="Tabletextcentred"/>
            </w:pPr>
            <w:r w:rsidRPr="000C54A6">
              <w:t>3</w:t>
            </w:r>
          </w:p>
        </w:tc>
        <w:tc>
          <w:tcPr>
            <w:tcW w:w="992" w:type="dxa"/>
          </w:tcPr>
          <w:p w14:paraId="47679DE1" w14:textId="47ECDDA1" w:rsidR="005A72EC" w:rsidRPr="000C54A6" w:rsidRDefault="00ED5D9E" w:rsidP="00694CD0">
            <w:pPr>
              <w:pStyle w:val="Tabletextcentred"/>
            </w:pPr>
            <w:r w:rsidRPr="000C54A6">
              <w:t>0</w:t>
            </w:r>
          </w:p>
        </w:tc>
        <w:tc>
          <w:tcPr>
            <w:tcW w:w="992" w:type="dxa"/>
          </w:tcPr>
          <w:p w14:paraId="6D209BA0" w14:textId="64FF3D2E" w:rsidR="005A72EC" w:rsidRPr="000C54A6" w:rsidRDefault="00ED5D9E" w:rsidP="00694CD0">
            <w:pPr>
              <w:pStyle w:val="Tabletextcentred"/>
            </w:pPr>
            <w:r w:rsidRPr="000C54A6">
              <w:t>0</w:t>
            </w:r>
          </w:p>
        </w:tc>
        <w:tc>
          <w:tcPr>
            <w:tcW w:w="1276" w:type="dxa"/>
          </w:tcPr>
          <w:p w14:paraId="16FF2FA1" w14:textId="2EDB09CB" w:rsidR="005A72EC" w:rsidRPr="000C54A6" w:rsidRDefault="00ED5D9E" w:rsidP="00694CD0">
            <w:pPr>
              <w:pStyle w:val="Tabletextcentred"/>
            </w:pPr>
            <w:r w:rsidRPr="000C54A6">
              <w:t>0</w:t>
            </w:r>
          </w:p>
        </w:tc>
        <w:tc>
          <w:tcPr>
            <w:tcW w:w="1276" w:type="dxa"/>
          </w:tcPr>
          <w:p w14:paraId="56D2F98C" w14:textId="241382CB" w:rsidR="005A72EC" w:rsidRPr="000C54A6" w:rsidRDefault="00ED5D9E" w:rsidP="00694CD0">
            <w:pPr>
              <w:pStyle w:val="Tabletextcentred"/>
            </w:pPr>
            <w:r w:rsidRPr="000C54A6">
              <w:t>0</w:t>
            </w:r>
          </w:p>
        </w:tc>
      </w:tr>
      <w:tr w:rsidR="005A72EC" w:rsidRPr="000C54A6" w14:paraId="585FD403" w14:textId="77777777" w:rsidTr="00352F1F">
        <w:trPr>
          <w:trHeight w:val="20"/>
        </w:trPr>
        <w:tc>
          <w:tcPr>
            <w:tcW w:w="2536" w:type="dxa"/>
          </w:tcPr>
          <w:p w14:paraId="1BC62002" w14:textId="0E525CBB" w:rsidR="005A72EC" w:rsidRPr="000C54A6" w:rsidRDefault="005A72EC" w:rsidP="004824CB">
            <w:pPr>
              <w:pStyle w:val="Tabletextrightaligned"/>
            </w:pPr>
            <w:r w:rsidRPr="000C54A6">
              <w:t>Late diagnosis</w:t>
            </w:r>
          </w:p>
        </w:tc>
        <w:tc>
          <w:tcPr>
            <w:tcW w:w="1003" w:type="dxa"/>
          </w:tcPr>
          <w:p w14:paraId="1AC6AA05" w14:textId="0654857C" w:rsidR="005A72EC" w:rsidRPr="000C54A6" w:rsidRDefault="005A72EC" w:rsidP="00694CD0">
            <w:pPr>
              <w:pStyle w:val="Tabletextcentred"/>
            </w:pPr>
            <w:r w:rsidRPr="000C54A6">
              <w:t>7</w:t>
            </w:r>
          </w:p>
        </w:tc>
        <w:tc>
          <w:tcPr>
            <w:tcW w:w="992" w:type="dxa"/>
          </w:tcPr>
          <w:p w14:paraId="52754B9F" w14:textId="313A7831" w:rsidR="005A72EC" w:rsidRPr="000C54A6" w:rsidRDefault="005A72EC" w:rsidP="00694CD0">
            <w:pPr>
              <w:pStyle w:val="Tabletextcentred"/>
            </w:pPr>
            <w:r w:rsidRPr="000C54A6">
              <w:t>9</w:t>
            </w:r>
          </w:p>
        </w:tc>
        <w:tc>
          <w:tcPr>
            <w:tcW w:w="993" w:type="dxa"/>
          </w:tcPr>
          <w:p w14:paraId="78E2E960" w14:textId="49F0EDDF" w:rsidR="005A72EC" w:rsidRPr="000C54A6" w:rsidRDefault="005A72EC" w:rsidP="00694CD0">
            <w:pPr>
              <w:pStyle w:val="Tabletextcentred"/>
            </w:pPr>
            <w:r w:rsidRPr="000C54A6">
              <w:t>4</w:t>
            </w:r>
          </w:p>
        </w:tc>
        <w:tc>
          <w:tcPr>
            <w:tcW w:w="992" w:type="dxa"/>
          </w:tcPr>
          <w:p w14:paraId="3420072E" w14:textId="19318621" w:rsidR="005A72EC" w:rsidRPr="000C54A6" w:rsidRDefault="005A72EC" w:rsidP="00694CD0">
            <w:pPr>
              <w:pStyle w:val="Tabletextcentred"/>
            </w:pPr>
            <w:r w:rsidRPr="000C54A6">
              <w:t>11</w:t>
            </w:r>
          </w:p>
        </w:tc>
        <w:tc>
          <w:tcPr>
            <w:tcW w:w="992" w:type="dxa"/>
          </w:tcPr>
          <w:p w14:paraId="4BC03A90" w14:textId="6200C073" w:rsidR="005A72EC" w:rsidRPr="000C54A6" w:rsidRDefault="005A72EC" w:rsidP="00694CD0">
            <w:pPr>
              <w:pStyle w:val="Tabletextcentred"/>
            </w:pPr>
            <w:r w:rsidRPr="000C54A6">
              <w:t>2</w:t>
            </w:r>
          </w:p>
        </w:tc>
        <w:tc>
          <w:tcPr>
            <w:tcW w:w="1276" w:type="dxa"/>
          </w:tcPr>
          <w:p w14:paraId="289391C3" w14:textId="31386A03" w:rsidR="005A72EC" w:rsidRPr="000C54A6" w:rsidRDefault="005A72EC" w:rsidP="00694CD0">
            <w:pPr>
              <w:pStyle w:val="Tabletextcentred"/>
            </w:pPr>
            <w:r w:rsidRPr="000C54A6">
              <w:t>4</w:t>
            </w:r>
          </w:p>
        </w:tc>
        <w:tc>
          <w:tcPr>
            <w:tcW w:w="1276" w:type="dxa"/>
          </w:tcPr>
          <w:p w14:paraId="404BAB73" w14:textId="4A58CC71" w:rsidR="005A72EC" w:rsidRPr="000C54A6" w:rsidRDefault="005A72EC" w:rsidP="00694CD0">
            <w:pPr>
              <w:pStyle w:val="Tabletextcentred"/>
            </w:pPr>
            <w:r w:rsidRPr="000C54A6">
              <w:t>1</w:t>
            </w:r>
          </w:p>
        </w:tc>
      </w:tr>
      <w:tr w:rsidR="005A72EC" w:rsidRPr="000C54A6" w14:paraId="30E389E0" w14:textId="77777777" w:rsidTr="00352F1F">
        <w:trPr>
          <w:trHeight w:val="20"/>
        </w:trPr>
        <w:tc>
          <w:tcPr>
            <w:tcW w:w="2536" w:type="dxa"/>
          </w:tcPr>
          <w:p w14:paraId="2406BF1F" w14:textId="11D142D1" w:rsidR="005A72EC" w:rsidRPr="00AE3913" w:rsidRDefault="005A72EC" w:rsidP="00991310">
            <w:pPr>
              <w:pStyle w:val="Tabletextleft"/>
            </w:pPr>
            <w:r w:rsidRPr="00AE3913">
              <w:t>Total</w:t>
            </w:r>
          </w:p>
        </w:tc>
        <w:tc>
          <w:tcPr>
            <w:tcW w:w="1003" w:type="dxa"/>
          </w:tcPr>
          <w:p w14:paraId="31DEC9C1" w14:textId="0485FF2D" w:rsidR="005A72EC" w:rsidRPr="00394C57" w:rsidRDefault="005A72EC" w:rsidP="00AE3913">
            <w:pPr>
              <w:pStyle w:val="Tabletextcentred"/>
            </w:pPr>
            <w:r w:rsidRPr="00394C57">
              <w:t>8</w:t>
            </w:r>
          </w:p>
        </w:tc>
        <w:tc>
          <w:tcPr>
            <w:tcW w:w="992" w:type="dxa"/>
          </w:tcPr>
          <w:p w14:paraId="4AEEB227" w14:textId="0D24CF3A" w:rsidR="005A72EC" w:rsidRPr="00394C57" w:rsidRDefault="005A72EC" w:rsidP="00AE3913">
            <w:pPr>
              <w:pStyle w:val="Tabletextcentred"/>
            </w:pPr>
            <w:r w:rsidRPr="00394C57">
              <w:t>9</w:t>
            </w:r>
          </w:p>
        </w:tc>
        <w:tc>
          <w:tcPr>
            <w:tcW w:w="993" w:type="dxa"/>
          </w:tcPr>
          <w:p w14:paraId="42354F1F" w14:textId="1061518D" w:rsidR="005A72EC" w:rsidRPr="00394C57" w:rsidRDefault="005A72EC" w:rsidP="00AE3913">
            <w:pPr>
              <w:pStyle w:val="Tabletextcentred"/>
            </w:pPr>
            <w:r w:rsidRPr="00394C57">
              <w:t>9</w:t>
            </w:r>
          </w:p>
        </w:tc>
        <w:tc>
          <w:tcPr>
            <w:tcW w:w="992" w:type="dxa"/>
          </w:tcPr>
          <w:p w14:paraId="122920A5" w14:textId="1E8CD3CF" w:rsidR="005A72EC" w:rsidRPr="00394C57" w:rsidRDefault="005A72EC" w:rsidP="00AE3913">
            <w:pPr>
              <w:pStyle w:val="Tabletextcentred"/>
            </w:pPr>
            <w:r w:rsidRPr="00394C57">
              <w:t>13</w:t>
            </w:r>
          </w:p>
        </w:tc>
        <w:tc>
          <w:tcPr>
            <w:tcW w:w="992" w:type="dxa"/>
          </w:tcPr>
          <w:p w14:paraId="4ED61F40" w14:textId="58D98B36" w:rsidR="005A72EC" w:rsidRPr="00394C57" w:rsidRDefault="005A72EC" w:rsidP="00AE3913">
            <w:pPr>
              <w:pStyle w:val="Tabletextcentred"/>
            </w:pPr>
            <w:r w:rsidRPr="00394C57">
              <w:t>3</w:t>
            </w:r>
          </w:p>
        </w:tc>
        <w:tc>
          <w:tcPr>
            <w:tcW w:w="1276" w:type="dxa"/>
          </w:tcPr>
          <w:p w14:paraId="0779B4C4" w14:textId="20282313" w:rsidR="005A72EC" w:rsidRPr="00394C57" w:rsidRDefault="005A72EC" w:rsidP="00AE3913">
            <w:pPr>
              <w:pStyle w:val="Tabletextcentred"/>
            </w:pPr>
            <w:r w:rsidRPr="00394C57">
              <w:t>6</w:t>
            </w:r>
          </w:p>
        </w:tc>
        <w:tc>
          <w:tcPr>
            <w:tcW w:w="1276" w:type="dxa"/>
          </w:tcPr>
          <w:p w14:paraId="631886DD" w14:textId="3F6794F1" w:rsidR="005A72EC" w:rsidRPr="00394C57" w:rsidRDefault="005A72EC" w:rsidP="00AE3913">
            <w:pPr>
              <w:pStyle w:val="Tabletextcentred"/>
            </w:pPr>
            <w:r w:rsidRPr="00394C57">
              <w:t>1</w:t>
            </w:r>
          </w:p>
        </w:tc>
      </w:tr>
      <w:tr w:rsidR="00EB053E" w:rsidRPr="000C54A6" w14:paraId="7CA03544" w14:textId="77777777" w:rsidTr="00352F1F">
        <w:trPr>
          <w:trHeight w:val="20"/>
        </w:trPr>
        <w:tc>
          <w:tcPr>
            <w:tcW w:w="10060" w:type="dxa"/>
            <w:gridSpan w:val="8"/>
            <w:shd w:val="clear" w:color="auto" w:fill="00DCA1"/>
          </w:tcPr>
          <w:p w14:paraId="059A71BD" w14:textId="0CE37873" w:rsidR="00EB053E" w:rsidRPr="00C33651" w:rsidRDefault="00EB053E" w:rsidP="00C33651">
            <w:pPr>
              <w:pStyle w:val="Tableheadingcentred"/>
            </w:pPr>
            <w:r w:rsidRPr="00733B0F">
              <w:t>Non-Indigenous women</w:t>
            </w:r>
          </w:p>
        </w:tc>
      </w:tr>
      <w:tr w:rsidR="005B07B4" w:rsidRPr="000C54A6" w14:paraId="3A50861A" w14:textId="77777777" w:rsidTr="00352F1F">
        <w:trPr>
          <w:trHeight w:val="20"/>
        </w:trPr>
        <w:tc>
          <w:tcPr>
            <w:tcW w:w="2536" w:type="dxa"/>
          </w:tcPr>
          <w:p w14:paraId="29285E93" w14:textId="77777777" w:rsidR="005B07B4" w:rsidRPr="00AE3913" w:rsidRDefault="005B07B4" w:rsidP="00991310">
            <w:pPr>
              <w:pStyle w:val="Tabletextleft"/>
            </w:pPr>
            <w:r w:rsidRPr="00AE3913">
              <w:t>First trimester</w:t>
            </w:r>
          </w:p>
        </w:tc>
        <w:tc>
          <w:tcPr>
            <w:tcW w:w="1003" w:type="dxa"/>
          </w:tcPr>
          <w:p w14:paraId="0CC10466" w14:textId="2FEFD7F4" w:rsidR="005B07B4" w:rsidRPr="000C54A6" w:rsidRDefault="00ED5D9E" w:rsidP="00694CD0">
            <w:pPr>
              <w:pStyle w:val="Tabletextcentred"/>
            </w:pPr>
            <w:r w:rsidRPr="000C54A6">
              <w:t>0</w:t>
            </w:r>
          </w:p>
        </w:tc>
        <w:tc>
          <w:tcPr>
            <w:tcW w:w="992" w:type="dxa"/>
          </w:tcPr>
          <w:p w14:paraId="63D26C1C" w14:textId="1F3C699C" w:rsidR="005B07B4" w:rsidRPr="000C54A6" w:rsidRDefault="00ED5D9E" w:rsidP="00694CD0">
            <w:pPr>
              <w:pStyle w:val="Tabletextcentred"/>
            </w:pPr>
            <w:r w:rsidRPr="000C54A6">
              <w:t>0</w:t>
            </w:r>
          </w:p>
        </w:tc>
        <w:tc>
          <w:tcPr>
            <w:tcW w:w="993" w:type="dxa"/>
          </w:tcPr>
          <w:p w14:paraId="1A8A4AB6" w14:textId="6BAC4176" w:rsidR="005B07B4" w:rsidRPr="000C54A6" w:rsidRDefault="00ED5D9E" w:rsidP="00694CD0">
            <w:pPr>
              <w:pStyle w:val="Tabletextcentred"/>
            </w:pPr>
            <w:r w:rsidRPr="000C54A6">
              <w:t>0</w:t>
            </w:r>
          </w:p>
        </w:tc>
        <w:tc>
          <w:tcPr>
            <w:tcW w:w="992" w:type="dxa"/>
          </w:tcPr>
          <w:p w14:paraId="4660E81B" w14:textId="4A584A1F" w:rsidR="005B07B4" w:rsidRPr="000C54A6" w:rsidRDefault="00ED5D9E" w:rsidP="00694CD0">
            <w:pPr>
              <w:pStyle w:val="Tabletextcentred"/>
            </w:pPr>
            <w:r w:rsidRPr="000C54A6">
              <w:t>0</w:t>
            </w:r>
          </w:p>
        </w:tc>
        <w:tc>
          <w:tcPr>
            <w:tcW w:w="992" w:type="dxa"/>
          </w:tcPr>
          <w:p w14:paraId="0EB5324C" w14:textId="382063A6" w:rsidR="005B07B4" w:rsidRPr="000C54A6" w:rsidRDefault="00ED5D9E" w:rsidP="00694CD0">
            <w:pPr>
              <w:pStyle w:val="Tabletextcentred"/>
            </w:pPr>
            <w:r w:rsidRPr="000C54A6">
              <w:t>0</w:t>
            </w:r>
          </w:p>
        </w:tc>
        <w:tc>
          <w:tcPr>
            <w:tcW w:w="1276" w:type="dxa"/>
          </w:tcPr>
          <w:p w14:paraId="585742F5" w14:textId="4D9BAFB8" w:rsidR="005B07B4" w:rsidRPr="000C54A6" w:rsidRDefault="00ED5D9E" w:rsidP="00694CD0">
            <w:pPr>
              <w:pStyle w:val="Tabletextcentred"/>
            </w:pPr>
            <w:r w:rsidRPr="000C54A6">
              <w:t>0</w:t>
            </w:r>
          </w:p>
        </w:tc>
        <w:tc>
          <w:tcPr>
            <w:tcW w:w="1276" w:type="dxa"/>
          </w:tcPr>
          <w:p w14:paraId="26B0976F" w14:textId="68B10C91" w:rsidR="005B07B4" w:rsidRPr="000C54A6" w:rsidRDefault="00ED5D9E" w:rsidP="00694CD0">
            <w:pPr>
              <w:pStyle w:val="Tabletextcentred"/>
            </w:pPr>
            <w:r w:rsidRPr="000C54A6">
              <w:t>0</w:t>
            </w:r>
          </w:p>
        </w:tc>
      </w:tr>
      <w:tr w:rsidR="005B07B4" w:rsidRPr="000C54A6" w14:paraId="34EB4428" w14:textId="77777777" w:rsidTr="00352F1F">
        <w:trPr>
          <w:trHeight w:val="20"/>
        </w:trPr>
        <w:tc>
          <w:tcPr>
            <w:tcW w:w="2536" w:type="dxa"/>
          </w:tcPr>
          <w:p w14:paraId="3E3553E2" w14:textId="77777777" w:rsidR="005B07B4" w:rsidRPr="00AE3913" w:rsidRDefault="005B07B4" w:rsidP="00991310">
            <w:pPr>
              <w:pStyle w:val="Tabletextleft"/>
            </w:pPr>
            <w:r w:rsidRPr="00AE3913">
              <w:t>Second trimester</w:t>
            </w:r>
          </w:p>
        </w:tc>
        <w:tc>
          <w:tcPr>
            <w:tcW w:w="1003" w:type="dxa"/>
          </w:tcPr>
          <w:p w14:paraId="1EDFE709" w14:textId="6B3C1800" w:rsidR="005B07B4" w:rsidRPr="000C54A6" w:rsidRDefault="00ED5D9E" w:rsidP="00694CD0">
            <w:pPr>
              <w:pStyle w:val="Tabletextcentred"/>
            </w:pPr>
            <w:r w:rsidRPr="000C54A6">
              <w:t>0</w:t>
            </w:r>
          </w:p>
        </w:tc>
        <w:tc>
          <w:tcPr>
            <w:tcW w:w="992" w:type="dxa"/>
          </w:tcPr>
          <w:p w14:paraId="0EAF0742" w14:textId="7B71A578" w:rsidR="005B07B4" w:rsidRPr="000C54A6" w:rsidRDefault="00ED5D9E" w:rsidP="00694CD0">
            <w:pPr>
              <w:pStyle w:val="Tabletextcentred"/>
            </w:pPr>
            <w:r w:rsidRPr="000C54A6">
              <w:t>0</w:t>
            </w:r>
          </w:p>
        </w:tc>
        <w:tc>
          <w:tcPr>
            <w:tcW w:w="993" w:type="dxa"/>
          </w:tcPr>
          <w:p w14:paraId="6BB63149" w14:textId="51C71D0C" w:rsidR="005B07B4" w:rsidRPr="000C54A6" w:rsidRDefault="005B07B4" w:rsidP="00694CD0">
            <w:pPr>
              <w:pStyle w:val="Tabletextcentred"/>
            </w:pPr>
            <w:r w:rsidRPr="000C54A6">
              <w:t>1</w:t>
            </w:r>
          </w:p>
        </w:tc>
        <w:tc>
          <w:tcPr>
            <w:tcW w:w="992" w:type="dxa"/>
          </w:tcPr>
          <w:p w14:paraId="478DB435" w14:textId="75DD7CC8" w:rsidR="005B07B4" w:rsidRPr="000C54A6" w:rsidRDefault="005B07B4" w:rsidP="00694CD0">
            <w:pPr>
              <w:pStyle w:val="Tabletextcentred"/>
            </w:pPr>
            <w:r w:rsidRPr="000C54A6">
              <w:t>3</w:t>
            </w:r>
          </w:p>
        </w:tc>
        <w:tc>
          <w:tcPr>
            <w:tcW w:w="992" w:type="dxa"/>
          </w:tcPr>
          <w:p w14:paraId="2247244E" w14:textId="51E5D4F8" w:rsidR="005B07B4" w:rsidRPr="000C54A6" w:rsidRDefault="00ED5D9E" w:rsidP="00694CD0">
            <w:pPr>
              <w:pStyle w:val="Tabletextcentred"/>
            </w:pPr>
            <w:r w:rsidRPr="000C54A6">
              <w:t>0</w:t>
            </w:r>
          </w:p>
        </w:tc>
        <w:tc>
          <w:tcPr>
            <w:tcW w:w="1276" w:type="dxa"/>
          </w:tcPr>
          <w:p w14:paraId="1E489004" w14:textId="64FDFFA0" w:rsidR="005B07B4" w:rsidRPr="000C54A6" w:rsidRDefault="005B07B4" w:rsidP="00694CD0">
            <w:pPr>
              <w:pStyle w:val="Tabletextcentred"/>
            </w:pPr>
            <w:r w:rsidRPr="000C54A6">
              <w:t>1</w:t>
            </w:r>
          </w:p>
        </w:tc>
        <w:tc>
          <w:tcPr>
            <w:tcW w:w="1276" w:type="dxa"/>
          </w:tcPr>
          <w:p w14:paraId="60C9AE76" w14:textId="792808FB" w:rsidR="005B07B4" w:rsidRPr="000C54A6" w:rsidRDefault="00ED5D9E" w:rsidP="00694CD0">
            <w:pPr>
              <w:pStyle w:val="Tabletextcentred"/>
            </w:pPr>
            <w:r w:rsidRPr="000C54A6">
              <w:t>0</w:t>
            </w:r>
          </w:p>
        </w:tc>
      </w:tr>
      <w:tr w:rsidR="005B07B4" w:rsidRPr="000C54A6" w14:paraId="747016C8" w14:textId="77777777" w:rsidTr="00352F1F">
        <w:trPr>
          <w:trHeight w:val="20"/>
        </w:trPr>
        <w:tc>
          <w:tcPr>
            <w:tcW w:w="2536" w:type="dxa"/>
          </w:tcPr>
          <w:p w14:paraId="40A28BB2" w14:textId="77777777" w:rsidR="005B07B4" w:rsidRPr="00AE3913" w:rsidRDefault="005B07B4" w:rsidP="00991310">
            <w:pPr>
              <w:pStyle w:val="Tabletextleft"/>
            </w:pPr>
            <w:r w:rsidRPr="00AE3913">
              <w:t>Third trimester</w:t>
            </w:r>
          </w:p>
        </w:tc>
        <w:tc>
          <w:tcPr>
            <w:tcW w:w="1003" w:type="dxa"/>
          </w:tcPr>
          <w:p w14:paraId="36D60B59" w14:textId="0C2079BB" w:rsidR="005B07B4" w:rsidRPr="000C54A6" w:rsidRDefault="005B07B4" w:rsidP="00694CD0">
            <w:pPr>
              <w:pStyle w:val="Tabletextcentred"/>
            </w:pPr>
            <w:r w:rsidRPr="000C54A6">
              <w:t>2</w:t>
            </w:r>
          </w:p>
        </w:tc>
        <w:tc>
          <w:tcPr>
            <w:tcW w:w="992" w:type="dxa"/>
          </w:tcPr>
          <w:p w14:paraId="4C7E2D73" w14:textId="49A4EA27" w:rsidR="005B07B4" w:rsidRPr="000C54A6" w:rsidRDefault="005B07B4" w:rsidP="00694CD0">
            <w:pPr>
              <w:pStyle w:val="Tabletextcentred"/>
            </w:pPr>
            <w:r w:rsidRPr="000C54A6">
              <w:t>1</w:t>
            </w:r>
          </w:p>
        </w:tc>
        <w:tc>
          <w:tcPr>
            <w:tcW w:w="993" w:type="dxa"/>
          </w:tcPr>
          <w:p w14:paraId="1FA25FA2" w14:textId="61F451B7" w:rsidR="005B07B4" w:rsidRPr="000C54A6" w:rsidRDefault="005B07B4" w:rsidP="00694CD0">
            <w:pPr>
              <w:pStyle w:val="Tabletextcentred"/>
            </w:pPr>
            <w:r w:rsidRPr="000C54A6">
              <w:t>1</w:t>
            </w:r>
          </w:p>
        </w:tc>
        <w:tc>
          <w:tcPr>
            <w:tcW w:w="992" w:type="dxa"/>
          </w:tcPr>
          <w:p w14:paraId="333B8EF0" w14:textId="0FED6BB0" w:rsidR="005B07B4" w:rsidRPr="000C54A6" w:rsidRDefault="00ED5D9E" w:rsidP="00694CD0">
            <w:pPr>
              <w:pStyle w:val="Tabletextcentred"/>
            </w:pPr>
            <w:r w:rsidRPr="000C54A6">
              <w:t>0</w:t>
            </w:r>
          </w:p>
        </w:tc>
        <w:tc>
          <w:tcPr>
            <w:tcW w:w="992" w:type="dxa"/>
          </w:tcPr>
          <w:p w14:paraId="0EE752CD" w14:textId="5E079901" w:rsidR="005B07B4" w:rsidRPr="000C54A6" w:rsidRDefault="005B07B4" w:rsidP="00694CD0">
            <w:pPr>
              <w:pStyle w:val="Tabletextcentred"/>
            </w:pPr>
            <w:r w:rsidRPr="000C54A6">
              <w:t>1</w:t>
            </w:r>
          </w:p>
        </w:tc>
        <w:tc>
          <w:tcPr>
            <w:tcW w:w="1276" w:type="dxa"/>
          </w:tcPr>
          <w:p w14:paraId="5B602C22" w14:textId="316B81A5" w:rsidR="005B07B4" w:rsidRPr="000C54A6" w:rsidRDefault="00B93B32" w:rsidP="00694CD0">
            <w:pPr>
              <w:pStyle w:val="Tabletextcentred"/>
            </w:pPr>
            <w:r w:rsidRPr="000C54A6">
              <w:t>0</w:t>
            </w:r>
          </w:p>
        </w:tc>
        <w:tc>
          <w:tcPr>
            <w:tcW w:w="1276" w:type="dxa"/>
          </w:tcPr>
          <w:p w14:paraId="1389EDE5" w14:textId="50C102DA" w:rsidR="005B07B4" w:rsidRPr="000C54A6" w:rsidRDefault="005B07B4" w:rsidP="00694CD0">
            <w:pPr>
              <w:pStyle w:val="Tabletextcentred"/>
            </w:pPr>
            <w:r w:rsidRPr="000C54A6">
              <w:t>1</w:t>
            </w:r>
          </w:p>
        </w:tc>
      </w:tr>
      <w:tr w:rsidR="005B07B4" w:rsidRPr="000C54A6" w14:paraId="3A7A7A1E" w14:textId="77777777" w:rsidTr="00352F1F">
        <w:trPr>
          <w:trHeight w:val="20"/>
        </w:trPr>
        <w:tc>
          <w:tcPr>
            <w:tcW w:w="2536" w:type="dxa"/>
          </w:tcPr>
          <w:p w14:paraId="0B26E9C0" w14:textId="77777777" w:rsidR="005B07B4" w:rsidRPr="00AE3913" w:rsidRDefault="005B07B4" w:rsidP="00991310">
            <w:pPr>
              <w:pStyle w:val="Tabletextleft"/>
            </w:pPr>
            <w:r w:rsidRPr="00AE3913">
              <w:t>At birth</w:t>
            </w:r>
          </w:p>
        </w:tc>
        <w:tc>
          <w:tcPr>
            <w:tcW w:w="1003" w:type="dxa"/>
          </w:tcPr>
          <w:p w14:paraId="6EE21E39" w14:textId="227675A1" w:rsidR="005B07B4" w:rsidRPr="000C54A6" w:rsidRDefault="005B07B4" w:rsidP="00694CD0">
            <w:pPr>
              <w:pStyle w:val="Tabletextcentred"/>
            </w:pPr>
            <w:r w:rsidRPr="000C54A6">
              <w:t>2</w:t>
            </w:r>
          </w:p>
        </w:tc>
        <w:tc>
          <w:tcPr>
            <w:tcW w:w="992" w:type="dxa"/>
          </w:tcPr>
          <w:p w14:paraId="73AE68BD" w14:textId="41D664E5" w:rsidR="005B07B4" w:rsidRPr="000C54A6" w:rsidRDefault="005B07B4" w:rsidP="00694CD0">
            <w:pPr>
              <w:pStyle w:val="Tabletextcentred"/>
            </w:pPr>
            <w:r w:rsidRPr="000C54A6">
              <w:t>1</w:t>
            </w:r>
          </w:p>
        </w:tc>
        <w:tc>
          <w:tcPr>
            <w:tcW w:w="993" w:type="dxa"/>
          </w:tcPr>
          <w:p w14:paraId="04F51A91" w14:textId="12E30EC0" w:rsidR="005B07B4" w:rsidRPr="000C54A6" w:rsidRDefault="005B07B4" w:rsidP="00694CD0">
            <w:pPr>
              <w:pStyle w:val="Tabletextcentred"/>
            </w:pPr>
            <w:r w:rsidRPr="000C54A6">
              <w:t>1</w:t>
            </w:r>
          </w:p>
        </w:tc>
        <w:tc>
          <w:tcPr>
            <w:tcW w:w="992" w:type="dxa"/>
          </w:tcPr>
          <w:p w14:paraId="4A08E28D" w14:textId="0ACF1DB1" w:rsidR="005B07B4" w:rsidRPr="000C54A6" w:rsidRDefault="005B07B4" w:rsidP="00694CD0">
            <w:pPr>
              <w:pStyle w:val="Tabletextcentred"/>
            </w:pPr>
            <w:r w:rsidRPr="000C54A6">
              <w:t>1</w:t>
            </w:r>
          </w:p>
        </w:tc>
        <w:tc>
          <w:tcPr>
            <w:tcW w:w="992" w:type="dxa"/>
          </w:tcPr>
          <w:p w14:paraId="51E805B3" w14:textId="52F29D72" w:rsidR="005B07B4" w:rsidRPr="000C54A6" w:rsidRDefault="005B07B4" w:rsidP="00694CD0">
            <w:pPr>
              <w:pStyle w:val="Tabletextcentred"/>
            </w:pPr>
            <w:r w:rsidRPr="000C54A6">
              <w:t>1</w:t>
            </w:r>
          </w:p>
        </w:tc>
        <w:tc>
          <w:tcPr>
            <w:tcW w:w="1276" w:type="dxa"/>
          </w:tcPr>
          <w:p w14:paraId="4D2F92FF" w14:textId="4B0CC24C" w:rsidR="005B07B4" w:rsidRPr="000C54A6" w:rsidRDefault="005B07B4" w:rsidP="00694CD0">
            <w:pPr>
              <w:pStyle w:val="Tabletextcentred"/>
            </w:pPr>
            <w:r w:rsidRPr="000C54A6">
              <w:t>3</w:t>
            </w:r>
          </w:p>
        </w:tc>
        <w:tc>
          <w:tcPr>
            <w:tcW w:w="1276" w:type="dxa"/>
          </w:tcPr>
          <w:p w14:paraId="35271ADA" w14:textId="23BF76DD" w:rsidR="005B07B4" w:rsidRPr="000C54A6" w:rsidRDefault="005B07B4" w:rsidP="00694CD0">
            <w:pPr>
              <w:pStyle w:val="Tabletextcentred"/>
            </w:pPr>
            <w:r w:rsidRPr="000C54A6">
              <w:t>1</w:t>
            </w:r>
          </w:p>
        </w:tc>
      </w:tr>
      <w:tr w:rsidR="005B07B4" w:rsidRPr="000C54A6" w14:paraId="185251AD" w14:textId="77777777" w:rsidTr="00352F1F">
        <w:trPr>
          <w:trHeight w:val="20"/>
        </w:trPr>
        <w:tc>
          <w:tcPr>
            <w:tcW w:w="2536" w:type="dxa"/>
          </w:tcPr>
          <w:p w14:paraId="07ABA100" w14:textId="77777777" w:rsidR="005B07B4" w:rsidRPr="00AE3913" w:rsidRDefault="005B07B4" w:rsidP="00991310">
            <w:pPr>
              <w:pStyle w:val="Tabletextleft"/>
            </w:pPr>
            <w:r w:rsidRPr="00AE3913">
              <w:t>Post birth</w:t>
            </w:r>
          </w:p>
        </w:tc>
        <w:tc>
          <w:tcPr>
            <w:tcW w:w="1003" w:type="dxa"/>
          </w:tcPr>
          <w:p w14:paraId="5E4C3725" w14:textId="3F74446C" w:rsidR="005B07B4" w:rsidRPr="000C54A6" w:rsidRDefault="005B07B4" w:rsidP="00694CD0">
            <w:pPr>
              <w:pStyle w:val="Tabletextcentred"/>
            </w:pPr>
            <w:r w:rsidRPr="000C54A6">
              <w:t>5</w:t>
            </w:r>
          </w:p>
        </w:tc>
        <w:tc>
          <w:tcPr>
            <w:tcW w:w="992" w:type="dxa"/>
          </w:tcPr>
          <w:p w14:paraId="2CEC5E7C" w14:textId="2949E0C0" w:rsidR="005B07B4" w:rsidRPr="000C54A6" w:rsidRDefault="005B07B4" w:rsidP="00694CD0">
            <w:pPr>
              <w:pStyle w:val="Tabletextcentred"/>
            </w:pPr>
            <w:r w:rsidRPr="000C54A6">
              <w:t>4</w:t>
            </w:r>
          </w:p>
        </w:tc>
        <w:tc>
          <w:tcPr>
            <w:tcW w:w="993" w:type="dxa"/>
          </w:tcPr>
          <w:p w14:paraId="02F17EF0" w14:textId="39DE90D1" w:rsidR="005B07B4" w:rsidRPr="000C54A6" w:rsidRDefault="005B07B4" w:rsidP="00694CD0">
            <w:pPr>
              <w:pStyle w:val="Tabletextcentred"/>
            </w:pPr>
            <w:r w:rsidRPr="000C54A6">
              <w:t>2</w:t>
            </w:r>
          </w:p>
        </w:tc>
        <w:tc>
          <w:tcPr>
            <w:tcW w:w="992" w:type="dxa"/>
          </w:tcPr>
          <w:p w14:paraId="059F6008" w14:textId="36AA16C4" w:rsidR="005B07B4" w:rsidRPr="000C54A6" w:rsidRDefault="005B07B4" w:rsidP="00694CD0">
            <w:pPr>
              <w:pStyle w:val="Tabletextcentred"/>
            </w:pPr>
            <w:r w:rsidRPr="000C54A6">
              <w:t>3</w:t>
            </w:r>
          </w:p>
        </w:tc>
        <w:tc>
          <w:tcPr>
            <w:tcW w:w="992" w:type="dxa"/>
          </w:tcPr>
          <w:p w14:paraId="4E33D824" w14:textId="25A7528A" w:rsidR="005B07B4" w:rsidRPr="000C54A6" w:rsidRDefault="005B07B4" w:rsidP="00694CD0">
            <w:pPr>
              <w:pStyle w:val="Tabletextcentred"/>
            </w:pPr>
            <w:r w:rsidRPr="000C54A6">
              <w:t>4</w:t>
            </w:r>
          </w:p>
        </w:tc>
        <w:tc>
          <w:tcPr>
            <w:tcW w:w="1276" w:type="dxa"/>
          </w:tcPr>
          <w:p w14:paraId="35F7C79E" w14:textId="35A43705" w:rsidR="005B07B4" w:rsidRPr="000C54A6" w:rsidRDefault="005B07B4" w:rsidP="00694CD0">
            <w:pPr>
              <w:pStyle w:val="Tabletextcentred"/>
            </w:pPr>
            <w:r w:rsidRPr="000C54A6">
              <w:t>4</w:t>
            </w:r>
          </w:p>
        </w:tc>
        <w:tc>
          <w:tcPr>
            <w:tcW w:w="1276" w:type="dxa"/>
          </w:tcPr>
          <w:p w14:paraId="7DB1CE30" w14:textId="54B34118" w:rsidR="005B07B4" w:rsidRPr="000C54A6" w:rsidRDefault="005B07B4" w:rsidP="00694CD0">
            <w:pPr>
              <w:pStyle w:val="Tabletextcentred"/>
            </w:pPr>
            <w:r w:rsidRPr="000C54A6">
              <w:t>1</w:t>
            </w:r>
          </w:p>
        </w:tc>
      </w:tr>
      <w:tr w:rsidR="005B07B4" w:rsidRPr="000C54A6" w14:paraId="32F7D7D8" w14:textId="77777777" w:rsidTr="00352F1F">
        <w:trPr>
          <w:trHeight w:val="20"/>
        </w:trPr>
        <w:tc>
          <w:tcPr>
            <w:tcW w:w="2536" w:type="dxa"/>
          </w:tcPr>
          <w:p w14:paraId="291413D8" w14:textId="37816B4B" w:rsidR="005B07B4" w:rsidRPr="00AE3913" w:rsidRDefault="005B07B4" w:rsidP="00991310">
            <w:pPr>
              <w:pStyle w:val="Tabletextleft"/>
            </w:pPr>
            <w:r w:rsidRPr="00AE3913">
              <w:t>Unknown</w:t>
            </w:r>
          </w:p>
        </w:tc>
        <w:tc>
          <w:tcPr>
            <w:tcW w:w="1003" w:type="dxa"/>
          </w:tcPr>
          <w:p w14:paraId="024A0F94" w14:textId="045970B6" w:rsidR="005B07B4" w:rsidRPr="000C54A6" w:rsidRDefault="00B93B32" w:rsidP="00694CD0">
            <w:pPr>
              <w:pStyle w:val="Tabletextcentred"/>
            </w:pPr>
            <w:r w:rsidRPr="000C54A6">
              <w:t>0</w:t>
            </w:r>
          </w:p>
        </w:tc>
        <w:tc>
          <w:tcPr>
            <w:tcW w:w="992" w:type="dxa"/>
          </w:tcPr>
          <w:p w14:paraId="6E444687" w14:textId="76459A74" w:rsidR="005B07B4" w:rsidRPr="000C54A6" w:rsidRDefault="00B93B32" w:rsidP="00694CD0">
            <w:pPr>
              <w:pStyle w:val="Tabletextcentred"/>
            </w:pPr>
            <w:r w:rsidRPr="000C54A6">
              <w:t>0</w:t>
            </w:r>
          </w:p>
        </w:tc>
        <w:tc>
          <w:tcPr>
            <w:tcW w:w="993" w:type="dxa"/>
          </w:tcPr>
          <w:p w14:paraId="4C5297DD" w14:textId="67435803" w:rsidR="005B07B4" w:rsidRPr="000C54A6" w:rsidRDefault="00B93B32" w:rsidP="00694CD0">
            <w:pPr>
              <w:pStyle w:val="Tabletextcentred"/>
            </w:pPr>
            <w:r w:rsidRPr="000C54A6">
              <w:t>0</w:t>
            </w:r>
          </w:p>
        </w:tc>
        <w:tc>
          <w:tcPr>
            <w:tcW w:w="992" w:type="dxa"/>
          </w:tcPr>
          <w:p w14:paraId="1798DC91" w14:textId="1D945F4E" w:rsidR="005B07B4" w:rsidRPr="000C54A6" w:rsidRDefault="00B93B32" w:rsidP="00694CD0">
            <w:pPr>
              <w:pStyle w:val="Tabletextcentred"/>
            </w:pPr>
            <w:r w:rsidRPr="000C54A6">
              <w:t>0</w:t>
            </w:r>
          </w:p>
        </w:tc>
        <w:tc>
          <w:tcPr>
            <w:tcW w:w="992" w:type="dxa"/>
          </w:tcPr>
          <w:p w14:paraId="5E527400" w14:textId="6019029C" w:rsidR="005B07B4" w:rsidRPr="000C54A6" w:rsidRDefault="00B93B32" w:rsidP="00694CD0">
            <w:pPr>
              <w:pStyle w:val="Tabletextcentred"/>
            </w:pPr>
            <w:r w:rsidRPr="000C54A6">
              <w:t>0</w:t>
            </w:r>
          </w:p>
        </w:tc>
        <w:tc>
          <w:tcPr>
            <w:tcW w:w="1276" w:type="dxa"/>
          </w:tcPr>
          <w:p w14:paraId="1C390F3A" w14:textId="3A85FB41" w:rsidR="005B07B4" w:rsidRPr="000C54A6" w:rsidRDefault="00B93B32" w:rsidP="00694CD0">
            <w:pPr>
              <w:pStyle w:val="Tabletextcentred"/>
            </w:pPr>
            <w:r w:rsidRPr="000C54A6">
              <w:t>0</w:t>
            </w:r>
          </w:p>
        </w:tc>
        <w:tc>
          <w:tcPr>
            <w:tcW w:w="1276" w:type="dxa"/>
          </w:tcPr>
          <w:p w14:paraId="5409D4C6" w14:textId="4104CB9F" w:rsidR="005B07B4" w:rsidRPr="000C54A6" w:rsidRDefault="00B93B32" w:rsidP="00694CD0">
            <w:pPr>
              <w:pStyle w:val="Tabletextcentred"/>
            </w:pPr>
            <w:r w:rsidRPr="000C54A6">
              <w:t>0</w:t>
            </w:r>
          </w:p>
        </w:tc>
      </w:tr>
      <w:tr w:rsidR="005B07B4" w:rsidRPr="000C54A6" w14:paraId="2960A260" w14:textId="77777777" w:rsidTr="00352F1F">
        <w:trPr>
          <w:trHeight w:val="20"/>
        </w:trPr>
        <w:tc>
          <w:tcPr>
            <w:tcW w:w="2536" w:type="dxa"/>
          </w:tcPr>
          <w:p w14:paraId="692039D4" w14:textId="77777777" w:rsidR="005B07B4" w:rsidRPr="00AE3913" w:rsidRDefault="005B07B4" w:rsidP="00991310">
            <w:pPr>
              <w:pStyle w:val="Tabletextleft"/>
            </w:pPr>
            <w:r w:rsidRPr="00AE3913">
              <w:t>Late diagnosis</w:t>
            </w:r>
          </w:p>
        </w:tc>
        <w:tc>
          <w:tcPr>
            <w:tcW w:w="1003" w:type="dxa"/>
          </w:tcPr>
          <w:p w14:paraId="14577B58" w14:textId="3CD81C25" w:rsidR="005B07B4" w:rsidRPr="00394C57" w:rsidRDefault="005B07B4" w:rsidP="00694CD0">
            <w:pPr>
              <w:pStyle w:val="Tabletextcentred"/>
            </w:pPr>
            <w:r w:rsidRPr="00394C57">
              <w:t>8</w:t>
            </w:r>
          </w:p>
        </w:tc>
        <w:tc>
          <w:tcPr>
            <w:tcW w:w="992" w:type="dxa"/>
          </w:tcPr>
          <w:p w14:paraId="7B23A613" w14:textId="61A86E21" w:rsidR="005B07B4" w:rsidRPr="00394C57" w:rsidRDefault="005B07B4" w:rsidP="00694CD0">
            <w:pPr>
              <w:pStyle w:val="Tabletextcentred"/>
            </w:pPr>
            <w:r w:rsidRPr="00394C57">
              <w:t>6</w:t>
            </w:r>
          </w:p>
        </w:tc>
        <w:tc>
          <w:tcPr>
            <w:tcW w:w="993" w:type="dxa"/>
          </w:tcPr>
          <w:p w14:paraId="21A70F34" w14:textId="2F7B79B2" w:rsidR="005B07B4" w:rsidRPr="00394C57" w:rsidRDefault="005B07B4" w:rsidP="00694CD0">
            <w:pPr>
              <w:pStyle w:val="Tabletextcentred"/>
            </w:pPr>
            <w:r w:rsidRPr="00394C57">
              <w:t>4</w:t>
            </w:r>
          </w:p>
        </w:tc>
        <w:tc>
          <w:tcPr>
            <w:tcW w:w="992" w:type="dxa"/>
          </w:tcPr>
          <w:p w14:paraId="20FF11BD" w14:textId="0A2E9D80" w:rsidR="005B07B4" w:rsidRPr="00394C57" w:rsidRDefault="005B07B4" w:rsidP="00694CD0">
            <w:pPr>
              <w:pStyle w:val="Tabletextcentred"/>
            </w:pPr>
            <w:r w:rsidRPr="00394C57">
              <w:t>4</w:t>
            </w:r>
          </w:p>
        </w:tc>
        <w:tc>
          <w:tcPr>
            <w:tcW w:w="992" w:type="dxa"/>
          </w:tcPr>
          <w:p w14:paraId="74583CF3" w14:textId="3DBA9E77" w:rsidR="005B07B4" w:rsidRPr="00394C57" w:rsidRDefault="005B07B4" w:rsidP="00694CD0">
            <w:pPr>
              <w:pStyle w:val="Tabletextcentred"/>
            </w:pPr>
            <w:r w:rsidRPr="00394C57">
              <w:t>6</w:t>
            </w:r>
          </w:p>
        </w:tc>
        <w:tc>
          <w:tcPr>
            <w:tcW w:w="1276" w:type="dxa"/>
          </w:tcPr>
          <w:p w14:paraId="78272671" w14:textId="23584558" w:rsidR="005B07B4" w:rsidRPr="00394C57" w:rsidRDefault="005B07B4" w:rsidP="00694CD0">
            <w:pPr>
              <w:pStyle w:val="Tabletextcentred"/>
            </w:pPr>
            <w:r w:rsidRPr="00394C57">
              <w:t>7</w:t>
            </w:r>
          </w:p>
        </w:tc>
        <w:tc>
          <w:tcPr>
            <w:tcW w:w="1276" w:type="dxa"/>
          </w:tcPr>
          <w:p w14:paraId="10FABA1C" w14:textId="320364C0" w:rsidR="005B07B4" w:rsidRPr="00394C57" w:rsidRDefault="005B07B4" w:rsidP="00694CD0">
            <w:pPr>
              <w:pStyle w:val="Tabletextcentred"/>
            </w:pPr>
            <w:r w:rsidRPr="00394C57">
              <w:t>3</w:t>
            </w:r>
          </w:p>
        </w:tc>
      </w:tr>
      <w:tr w:rsidR="005B07B4" w:rsidRPr="000C54A6" w14:paraId="14A1ADAA" w14:textId="77777777" w:rsidTr="00352F1F">
        <w:trPr>
          <w:trHeight w:val="20"/>
        </w:trPr>
        <w:tc>
          <w:tcPr>
            <w:tcW w:w="2536" w:type="dxa"/>
          </w:tcPr>
          <w:p w14:paraId="7B41F73E" w14:textId="77777777" w:rsidR="005B07B4" w:rsidRPr="000C54A6" w:rsidRDefault="005B07B4" w:rsidP="00991310">
            <w:pPr>
              <w:pStyle w:val="Tabletextleft"/>
            </w:pPr>
            <w:r w:rsidRPr="000C54A6">
              <w:t>Total</w:t>
            </w:r>
          </w:p>
        </w:tc>
        <w:tc>
          <w:tcPr>
            <w:tcW w:w="1003" w:type="dxa"/>
          </w:tcPr>
          <w:p w14:paraId="2CB6F278" w14:textId="06C46BC4" w:rsidR="005B07B4" w:rsidRPr="00394C57" w:rsidRDefault="005B07B4" w:rsidP="00AE3913">
            <w:pPr>
              <w:pStyle w:val="Tabletextcentred"/>
            </w:pPr>
            <w:r w:rsidRPr="00394C57">
              <w:t>9</w:t>
            </w:r>
          </w:p>
        </w:tc>
        <w:tc>
          <w:tcPr>
            <w:tcW w:w="992" w:type="dxa"/>
          </w:tcPr>
          <w:p w14:paraId="0180C3A2" w14:textId="6118C8F5" w:rsidR="005B07B4" w:rsidRPr="00394C57" w:rsidRDefault="005B07B4" w:rsidP="00AE3913">
            <w:pPr>
              <w:pStyle w:val="Tabletextcentred"/>
            </w:pPr>
            <w:r w:rsidRPr="00394C57">
              <w:t>6</w:t>
            </w:r>
          </w:p>
        </w:tc>
        <w:tc>
          <w:tcPr>
            <w:tcW w:w="993" w:type="dxa"/>
          </w:tcPr>
          <w:p w14:paraId="43DDCFC1" w14:textId="1AFB81FE" w:rsidR="005B07B4" w:rsidRPr="00394C57" w:rsidRDefault="005B07B4" w:rsidP="00AE3913">
            <w:pPr>
              <w:pStyle w:val="Tabletextcentred"/>
            </w:pPr>
            <w:r w:rsidRPr="00394C57">
              <w:t>5</w:t>
            </w:r>
          </w:p>
        </w:tc>
        <w:tc>
          <w:tcPr>
            <w:tcW w:w="992" w:type="dxa"/>
          </w:tcPr>
          <w:p w14:paraId="2F77F7E8" w14:textId="23F983A3" w:rsidR="005B07B4" w:rsidRPr="00394C57" w:rsidRDefault="005B07B4" w:rsidP="00AE3913">
            <w:pPr>
              <w:pStyle w:val="Tabletextcentred"/>
            </w:pPr>
            <w:r w:rsidRPr="00394C57">
              <w:t>7</w:t>
            </w:r>
          </w:p>
        </w:tc>
        <w:tc>
          <w:tcPr>
            <w:tcW w:w="992" w:type="dxa"/>
          </w:tcPr>
          <w:p w14:paraId="286E4797" w14:textId="2F304E60" w:rsidR="005B07B4" w:rsidRPr="00394C57" w:rsidRDefault="005B07B4" w:rsidP="00AE3913">
            <w:pPr>
              <w:pStyle w:val="Tabletextcentred"/>
            </w:pPr>
            <w:r w:rsidRPr="00394C57">
              <w:t>6</w:t>
            </w:r>
          </w:p>
        </w:tc>
        <w:tc>
          <w:tcPr>
            <w:tcW w:w="1276" w:type="dxa"/>
          </w:tcPr>
          <w:p w14:paraId="29BD2A33" w14:textId="6519C370" w:rsidR="005B07B4" w:rsidRPr="00394C57" w:rsidRDefault="005B07B4" w:rsidP="00AE3913">
            <w:pPr>
              <w:pStyle w:val="Tabletextcentred"/>
            </w:pPr>
            <w:r w:rsidRPr="00394C57">
              <w:t>8</w:t>
            </w:r>
          </w:p>
        </w:tc>
        <w:tc>
          <w:tcPr>
            <w:tcW w:w="1276" w:type="dxa"/>
          </w:tcPr>
          <w:p w14:paraId="59089ECC" w14:textId="41E7D643" w:rsidR="005B07B4" w:rsidRPr="00394C57" w:rsidRDefault="005B07B4" w:rsidP="00AE3913">
            <w:pPr>
              <w:pStyle w:val="Tabletextcentred"/>
            </w:pPr>
            <w:r w:rsidRPr="00394C57">
              <w:t>3</w:t>
            </w:r>
          </w:p>
        </w:tc>
      </w:tr>
      <w:tr w:rsidR="00EB053E" w:rsidRPr="000C54A6" w14:paraId="5D5722AE" w14:textId="77777777" w:rsidTr="00352F1F">
        <w:trPr>
          <w:trHeight w:val="20"/>
        </w:trPr>
        <w:tc>
          <w:tcPr>
            <w:tcW w:w="10060" w:type="dxa"/>
            <w:gridSpan w:val="8"/>
            <w:shd w:val="clear" w:color="auto" w:fill="00DCA1"/>
          </w:tcPr>
          <w:p w14:paraId="2B3282E3" w14:textId="72E98F3B" w:rsidR="00EB053E" w:rsidRPr="000C54A6" w:rsidRDefault="00EB053E" w:rsidP="00582961">
            <w:pPr>
              <w:pStyle w:val="Tableheadingcentred"/>
              <w:rPr>
                <w:rFonts w:cs="Segoe UI"/>
                <w:sz w:val="24"/>
                <w:szCs w:val="24"/>
                <w:vertAlign w:val="superscript"/>
              </w:rPr>
            </w:pPr>
            <w:r w:rsidRPr="00733B0F">
              <w:lastRenderedPageBreak/>
              <w:t>Total women</w:t>
            </w:r>
            <w:r w:rsidRPr="00334A40">
              <w:rPr>
                <w:rStyle w:val="SuperscriptblackChar"/>
              </w:rPr>
              <w:t>1</w:t>
            </w:r>
          </w:p>
        </w:tc>
      </w:tr>
      <w:tr w:rsidR="007610E6" w:rsidRPr="000C54A6" w14:paraId="57251079" w14:textId="77777777" w:rsidTr="00352F1F">
        <w:trPr>
          <w:trHeight w:val="20"/>
        </w:trPr>
        <w:tc>
          <w:tcPr>
            <w:tcW w:w="2536" w:type="dxa"/>
          </w:tcPr>
          <w:p w14:paraId="72DA501D" w14:textId="77777777" w:rsidR="007610E6" w:rsidRPr="000C54A6" w:rsidRDefault="007610E6" w:rsidP="00991310">
            <w:pPr>
              <w:pStyle w:val="Tabletextleft"/>
            </w:pPr>
            <w:r w:rsidRPr="000C54A6">
              <w:t>First trimester</w:t>
            </w:r>
          </w:p>
        </w:tc>
        <w:tc>
          <w:tcPr>
            <w:tcW w:w="1003" w:type="dxa"/>
          </w:tcPr>
          <w:p w14:paraId="3C405FBF" w14:textId="70FF3A45" w:rsidR="007610E6" w:rsidRPr="000C54A6" w:rsidRDefault="00FE24D0" w:rsidP="00694CD0">
            <w:pPr>
              <w:pStyle w:val="Tabletextcentred"/>
            </w:pPr>
            <w:r w:rsidRPr="000C54A6">
              <w:t>0</w:t>
            </w:r>
          </w:p>
        </w:tc>
        <w:tc>
          <w:tcPr>
            <w:tcW w:w="992" w:type="dxa"/>
          </w:tcPr>
          <w:p w14:paraId="0CA5FBEE" w14:textId="0A6B6454" w:rsidR="007610E6" w:rsidRPr="000C54A6" w:rsidRDefault="00FE24D0" w:rsidP="00694CD0">
            <w:pPr>
              <w:pStyle w:val="Tabletextcentred"/>
            </w:pPr>
            <w:r w:rsidRPr="000C54A6">
              <w:t>0</w:t>
            </w:r>
          </w:p>
        </w:tc>
        <w:tc>
          <w:tcPr>
            <w:tcW w:w="993" w:type="dxa"/>
          </w:tcPr>
          <w:p w14:paraId="56BE8F42" w14:textId="54F49659" w:rsidR="007610E6" w:rsidRPr="000C54A6" w:rsidRDefault="00FE24D0" w:rsidP="00694CD0">
            <w:pPr>
              <w:pStyle w:val="Tabletextcentred"/>
            </w:pPr>
            <w:r w:rsidRPr="000C54A6">
              <w:t>0</w:t>
            </w:r>
          </w:p>
        </w:tc>
        <w:tc>
          <w:tcPr>
            <w:tcW w:w="992" w:type="dxa"/>
          </w:tcPr>
          <w:p w14:paraId="678AC0D9" w14:textId="4638B823" w:rsidR="007610E6" w:rsidRPr="000C54A6" w:rsidRDefault="00FE24D0" w:rsidP="00694CD0">
            <w:pPr>
              <w:pStyle w:val="Tabletextcentred"/>
            </w:pPr>
            <w:r w:rsidRPr="000C54A6">
              <w:t>0</w:t>
            </w:r>
          </w:p>
        </w:tc>
        <w:tc>
          <w:tcPr>
            <w:tcW w:w="992" w:type="dxa"/>
          </w:tcPr>
          <w:p w14:paraId="511537EC" w14:textId="642C2F51" w:rsidR="007610E6" w:rsidRPr="000C54A6" w:rsidRDefault="007610E6" w:rsidP="00694CD0">
            <w:pPr>
              <w:pStyle w:val="Tabletextcentred"/>
            </w:pPr>
            <w:r w:rsidRPr="000C54A6">
              <w:t>1</w:t>
            </w:r>
          </w:p>
        </w:tc>
        <w:tc>
          <w:tcPr>
            <w:tcW w:w="1276" w:type="dxa"/>
          </w:tcPr>
          <w:p w14:paraId="360F3293" w14:textId="08FCEE76" w:rsidR="007610E6" w:rsidRPr="000C54A6" w:rsidRDefault="00FE24D0" w:rsidP="00694CD0">
            <w:pPr>
              <w:pStyle w:val="Tabletextcentred"/>
            </w:pPr>
            <w:r w:rsidRPr="000C54A6">
              <w:t>0</w:t>
            </w:r>
          </w:p>
        </w:tc>
        <w:tc>
          <w:tcPr>
            <w:tcW w:w="1276" w:type="dxa"/>
          </w:tcPr>
          <w:p w14:paraId="00140314" w14:textId="6A54CCE0" w:rsidR="007610E6" w:rsidRPr="000C54A6" w:rsidRDefault="00FE24D0" w:rsidP="00694CD0">
            <w:pPr>
              <w:pStyle w:val="Tabletextcentred"/>
            </w:pPr>
            <w:r w:rsidRPr="000C54A6">
              <w:t>0</w:t>
            </w:r>
          </w:p>
        </w:tc>
      </w:tr>
      <w:tr w:rsidR="007610E6" w:rsidRPr="000C54A6" w14:paraId="7DC12C6E" w14:textId="77777777" w:rsidTr="00352F1F">
        <w:trPr>
          <w:trHeight w:val="20"/>
        </w:trPr>
        <w:tc>
          <w:tcPr>
            <w:tcW w:w="2536" w:type="dxa"/>
          </w:tcPr>
          <w:p w14:paraId="43F5CB59" w14:textId="77777777" w:rsidR="007610E6" w:rsidRPr="000C54A6" w:rsidRDefault="007610E6" w:rsidP="00991310">
            <w:pPr>
              <w:pStyle w:val="Tabletextleft"/>
            </w:pPr>
            <w:r w:rsidRPr="000C54A6">
              <w:t>Second trimester</w:t>
            </w:r>
          </w:p>
        </w:tc>
        <w:tc>
          <w:tcPr>
            <w:tcW w:w="1003" w:type="dxa"/>
          </w:tcPr>
          <w:p w14:paraId="4786E38F" w14:textId="63CA3EC5" w:rsidR="007610E6" w:rsidRPr="000C54A6" w:rsidRDefault="007610E6" w:rsidP="00694CD0">
            <w:pPr>
              <w:pStyle w:val="Tabletextcentred"/>
            </w:pPr>
            <w:r w:rsidRPr="000C54A6">
              <w:t>1</w:t>
            </w:r>
          </w:p>
        </w:tc>
        <w:tc>
          <w:tcPr>
            <w:tcW w:w="992" w:type="dxa"/>
          </w:tcPr>
          <w:p w14:paraId="1CD4B0B4" w14:textId="5244AD6D" w:rsidR="007610E6" w:rsidRPr="000C54A6" w:rsidRDefault="00FE24D0" w:rsidP="00694CD0">
            <w:pPr>
              <w:pStyle w:val="Tabletextcentred"/>
            </w:pPr>
            <w:r w:rsidRPr="000C54A6">
              <w:t>0</w:t>
            </w:r>
          </w:p>
        </w:tc>
        <w:tc>
          <w:tcPr>
            <w:tcW w:w="993" w:type="dxa"/>
          </w:tcPr>
          <w:p w14:paraId="268BB55F" w14:textId="4F3E085C" w:rsidR="007610E6" w:rsidRPr="000C54A6" w:rsidRDefault="007610E6" w:rsidP="00694CD0">
            <w:pPr>
              <w:pStyle w:val="Tabletextcentred"/>
            </w:pPr>
            <w:r w:rsidRPr="000C54A6">
              <w:t>3</w:t>
            </w:r>
          </w:p>
        </w:tc>
        <w:tc>
          <w:tcPr>
            <w:tcW w:w="992" w:type="dxa"/>
          </w:tcPr>
          <w:p w14:paraId="58B9B808" w14:textId="651C294B" w:rsidR="007610E6" w:rsidRPr="000C54A6" w:rsidRDefault="007610E6" w:rsidP="00694CD0">
            <w:pPr>
              <w:pStyle w:val="Tabletextcentred"/>
            </w:pPr>
            <w:r w:rsidRPr="000C54A6">
              <w:t>5</w:t>
            </w:r>
          </w:p>
        </w:tc>
        <w:tc>
          <w:tcPr>
            <w:tcW w:w="992" w:type="dxa"/>
          </w:tcPr>
          <w:p w14:paraId="67D5DF6C" w14:textId="2FBE18B3" w:rsidR="007610E6" w:rsidRPr="000C54A6" w:rsidRDefault="00FE24D0" w:rsidP="00694CD0">
            <w:pPr>
              <w:pStyle w:val="Tabletextcentred"/>
            </w:pPr>
            <w:r w:rsidRPr="000C54A6">
              <w:t>0</w:t>
            </w:r>
          </w:p>
        </w:tc>
        <w:tc>
          <w:tcPr>
            <w:tcW w:w="1276" w:type="dxa"/>
          </w:tcPr>
          <w:p w14:paraId="12E92E3E" w14:textId="310436F3" w:rsidR="007610E6" w:rsidRPr="000C54A6" w:rsidRDefault="007610E6" w:rsidP="00694CD0">
            <w:pPr>
              <w:pStyle w:val="Tabletextcentred"/>
            </w:pPr>
            <w:r w:rsidRPr="000C54A6">
              <w:t>3</w:t>
            </w:r>
          </w:p>
        </w:tc>
        <w:tc>
          <w:tcPr>
            <w:tcW w:w="1276" w:type="dxa"/>
          </w:tcPr>
          <w:p w14:paraId="169FCB9B" w14:textId="2AC6464C" w:rsidR="007610E6" w:rsidRPr="000C54A6" w:rsidRDefault="00FE24D0" w:rsidP="00694CD0">
            <w:pPr>
              <w:pStyle w:val="Tabletextcentred"/>
            </w:pPr>
            <w:r w:rsidRPr="000C54A6">
              <w:t>0</w:t>
            </w:r>
          </w:p>
        </w:tc>
      </w:tr>
      <w:tr w:rsidR="007610E6" w:rsidRPr="000C54A6" w14:paraId="6B5CDAB2" w14:textId="77777777" w:rsidTr="00352F1F">
        <w:trPr>
          <w:trHeight w:val="20"/>
        </w:trPr>
        <w:tc>
          <w:tcPr>
            <w:tcW w:w="2536" w:type="dxa"/>
          </w:tcPr>
          <w:p w14:paraId="76D26F78" w14:textId="77777777" w:rsidR="007610E6" w:rsidRPr="000C54A6" w:rsidRDefault="007610E6" w:rsidP="00991310">
            <w:pPr>
              <w:pStyle w:val="Tabletextleft"/>
            </w:pPr>
            <w:r w:rsidRPr="000C54A6">
              <w:t>Third trimester</w:t>
            </w:r>
          </w:p>
        </w:tc>
        <w:tc>
          <w:tcPr>
            <w:tcW w:w="1003" w:type="dxa"/>
          </w:tcPr>
          <w:p w14:paraId="020B4403" w14:textId="4827D15E" w:rsidR="007610E6" w:rsidRPr="000C54A6" w:rsidRDefault="007610E6" w:rsidP="00694CD0">
            <w:pPr>
              <w:pStyle w:val="Tabletextcentred"/>
            </w:pPr>
            <w:r w:rsidRPr="000C54A6">
              <w:t>2</w:t>
            </w:r>
          </w:p>
        </w:tc>
        <w:tc>
          <w:tcPr>
            <w:tcW w:w="992" w:type="dxa"/>
          </w:tcPr>
          <w:p w14:paraId="053CCC7C" w14:textId="6EDA8985" w:rsidR="007610E6" w:rsidRPr="000C54A6" w:rsidRDefault="007610E6" w:rsidP="00694CD0">
            <w:pPr>
              <w:pStyle w:val="Tabletextcentred"/>
            </w:pPr>
            <w:r w:rsidRPr="000C54A6">
              <w:t>3</w:t>
            </w:r>
          </w:p>
        </w:tc>
        <w:tc>
          <w:tcPr>
            <w:tcW w:w="993" w:type="dxa"/>
          </w:tcPr>
          <w:p w14:paraId="087D56AB" w14:textId="6ED881A6" w:rsidR="007610E6" w:rsidRPr="000C54A6" w:rsidRDefault="007610E6" w:rsidP="00694CD0">
            <w:pPr>
              <w:pStyle w:val="Tabletextcentred"/>
            </w:pPr>
            <w:r w:rsidRPr="000C54A6">
              <w:t>2</w:t>
            </w:r>
          </w:p>
        </w:tc>
        <w:tc>
          <w:tcPr>
            <w:tcW w:w="992" w:type="dxa"/>
          </w:tcPr>
          <w:p w14:paraId="4B728945" w14:textId="31C23F90" w:rsidR="007610E6" w:rsidRPr="000C54A6" w:rsidRDefault="007610E6" w:rsidP="00694CD0">
            <w:pPr>
              <w:pStyle w:val="Tabletextcentred"/>
            </w:pPr>
            <w:r w:rsidRPr="000C54A6">
              <w:t>4</w:t>
            </w:r>
          </w:p>
        </w:tc>
        <w:tc>
          <w:tcPr>
            <w:tcW w:w="992" w:type="dxa"/>
          </w:tcPr>
          <w:p w14:paraId="0408FEA1" w14:textId="0CFAD8D7" w:rsidR="007610E6" w:rsidRPr="000C54A6" w:rsidRDefault="007610E6" w:rsidP="00694CD0">
            <w:pPr>
              <w:pStyle w:val="Tabletextcentred"/>
            </w:pPr>
            <w:r w:rsidRPr="000C54A6">
              <w:t>1</w:t>
            </w:r>
          </w:p>
        </w:tc>
        <w:tc>
          <w:tcPr>
            <w:tcW w:w="1276" w:type="dxa"/>
          </w:tcPr>
          <w:p w14:paraId="681D1BE9" w14:textId="2F15A490" w:rsidR="007610E6" w:rsidRPr="000C54A6" w:rsidRDefault="007610E6" w:rsidP="00694CD0">
            <w:pPr>
              <w:pStyle w:val="Tabletextcentred"/>
            </w:pPr>
            <w:r w:rsidRPr="000C54A6">
              <w:t>2</w:t>
            </w:r>
          </w:p>
        </w:tc>
        <w:tc>
          <w:tcPr>
            <w:tcW w:w="1276" w:type="dxa"/>
          </w:tcPr>
          <w:p w14:paraId="3FC4A70A" w14:textId="5DB8C958" w:rsidR="007610E6" w:rsidRPr="000C54A6" w:rsidRDefault="007610E6" w:rsidP="00694CD0">
            <w:pPr>
              <w:pStyle w:val="Tabletextcentred"/>
            </w:pPr>
            <w:r w:rsidRPr="000C54A6">
              <w:t>2</w:t>
            </w:r>
          </w:p>
        </w:tc>
      </w:tr>
      <w:tr w:rsidR="007610E6" w:rsidRPr="000C54A6" w14:paraId="6F257684" w14:textId="77777777" w:rsidTr="00352F1F">
        <w:trPr>
          <w:trHeight w:val="20"/>
        </w:trPr>
        <w:tc>
          <w:tcPr>
            <w:tcW w:w="2536" w:type="dxa"/>
          </w:tcPr>
          <w:p w14:paraId="643EC218" w14:textId="77777777" w:rsidR="007610E6" w:rsidRPr="000C54A6" w:rsidRDefault="007610E6" w:rsidP="00991310">
            <w:pPr>
              <w:pStyle w:val="Tabletextleft"/>
            </w:pPr>
            <w:r w:rsidRPr="000C54A6">
              <w:t>At birth</w:t>
            </w:r>
          </w:p>
        </w:tc>
        <w:tc>
          <w:tcPr>
            <w:tcW w:w="1003" w:type="dxa"/>
          </w:tcPr>
          <w:p w14:paraId="56A8EE0E" w14:textId="4B40E38F" w:rsidR="007610E6" w:rsidRPr="000C54A6" w:rsidRDefault="007610E6" w:rsidP="00694CD0">
            <w:pPr>
              <w:pStyle w:val="Tabletextcentred"/>
            </w:pPr>
            <w:r w:rsidRPr="000C54A6">
              <w:t>6</w:t>
            </w:r>
          </w:p>
        </w:tc>
        <w:tc>
          <w:tcPr>
            <w:tcW w:w="992" w:type="dxa"/>
          </w:tcPr>
          <w:p w14:paraId="29C17909" w14:textId="6927CC3D" w:rsidR="007610E6" w:rsidRPr="000C54A6" w:rsidRDefault="007610E6" w:rsidP="00694CD0">
            <w:pPr>
              <w:pStyle w:val="Tabletextcentred"/>
            </w:pPr>
            <w:r w:rsidRPr="000C54A6">
              <w:t>5</w:t>
            </w:r>
          </w:p>
        </w:tc>
        <w:tc>
          <w:tcPr>
            <w:tcW w:w="993" w:type="dxa"/>
          </w:tcPr>
          <w:p w14:paraId="7E4D21F6" w14:textId="617B7FE7" w:rsidR="007610E6" w:rsidRPr="000C54A6" w:rsidRDefault="007610E6" w:rsidP="00694CD0">
            <w:pPr>
              <w:pStyle w:val="Tabletextcentred"/>
            </w:pPr>
            <w:r w:rsidRPr="000C54A6">
              <w:t>4</w:t>
            </w:r>
          </w:p>
        </w:tc>
        <w:tc>
          <w:tcPr>
            <w:tcW w:w="992" w:type="dxa"/>
          </w:tcPr>
          <w:p w14:paraId="701CD672" w14:textId="02D0E7DB" w:rsidR="007610E6" w:rsidRPr="000C54A6" w:rsidRDefault="007610E6" w:rsidP="00694CD0">
            <w:pPr>
              <w:pStyle w:val="Tabletextcentred"/>
            </w:pPr>
            <w:r w:rsidRPr="000C54A6">
              <w:t>5</w:t>
            </w:r>
          </w:p>
        </w:tc>
        <w:tc>
          <w:tcPr>
            <w:tcW w:w="992" w:type="dxa"/>
          </w:tcPr>
          <w:p w14:paraId="1D5BCBD4" w14:textId="0333F9FC" w:rsidR="007610E6" w:rsidRPr="000C54A6" w:rsidRDefault="007610E6" w:rsidP="00694CD0">
            <w:pPr>
              <w:pStyle w:val="Tabletextcentred"/>
            </w:pPr>
            <w:r w:rsidRPr="000C54A6">
              <w:t>2</w:t>
            </w:r>
          </w:p>
        </w:tc>
        <w:tc>
          <w:tcPr>
            <w:tcW w:w="1276" w:type="dxa"/>
          </w:tcPr>
          <w:p w14:paraId="65A73398" w14:textId="25CFBB6A" w:rsidR="007610E6" w:rsidRPr="000C54A6" w:rsidRDefault="007610E6" w:rsidP="00694CD0">
            <w:pPr>
              <w:pStyle w:val="Tabletextcentred"/>
            </w:pPr>
            <w:r w:rsidRPr="000C54A6">
              <w:t>3</w:t>
            </w:r>
          </w:p>
        </w:tc>
        <w:tc>
          <w:tcPr>
            <w:tcW w:w="1276" w:type="dxa"/>
          </w:tcPr>
          <w:p w14:paraId="5A73352B" w14:textId="467F3656" w:rsidR="007610E6" w:rsidRPr="000C54A6" w:rsidRDefault="007610E6" w:rsidP="00694CD0">
            <w:pPr>
              <w:pStyle w:val="Tabletextcentred"/>
            </w:pPr>
            <w:r w:rsidRPr="000C54A6">
              <w:t>1</w:t>
            </w:r>
          </w:p>
        </w:tc>
      </w:tr>
      <w:tr w:rsidR="007610E6" w:rsidRPr="000C54A6" w14:paraId="3C694B7B" w14:textId="77777777" w:rsidTr="00352F1F">
        <w:trPr>
          <w:trHeight w:val="20"/>
        </w:trPr>
        <w:tc>
          <w:tcPr>
            <w:tcW w:w="2536" w:type="dxa"/>
          </w:tcPr>
          <w:p w14:paraId="0B408F61" w14:textId="77777777" w:rsidR="007610E6" w:rsidRPr="000C54A6" w:rsidRDefault="007610E6" w:rsidP="00991310">
            <w:pPr>
              <w:pStyle w:val="Tabletextleft"/>
            </w:pPr>
            <w:r w:rsidRPr="000C54A6">
              <w:t>Post birth</w:t>
            </w:r>
          </w:p>
        </w:tc>
        <w:tc>
          <w:tcPr>
            <w:tcW w:w="1003" w:type="dxa"/>
          </w:tcPr>
          <w:p w14:paraId="46C94598" w14:textId="55F77220" w:rsidR="007610E6" w:rsidRPr="000C54A6" w:rsidRDefault="007610E6" w:rsidP="00694CD0">
            <w:pPr>
              <w:pStyle w:val="Tabletextcentred"/>
            </w:pPr>
            <w:r w:rsidRPr="000C54A6">
              <w:t>8</w:t>
            </w:r>
          </w:p>
        </w:tc>
        <w:tc>
          <w:tcPr>
            <w:tcW w:w="992" w:type="dxa"/>
          </w:tcPr>
          <w:p w14:paraId="327FAB64" w14:textId="4CCB4AA4" w:rsidR="007610E6" w:rsidRPr="000C54A6" w:rsidRDefault="007610E6" w:rsidP="00694CD0">
            <w:pPr>
              <w:pStyle w:val="Tabletextcentred"/>
            </w:pPr>
            <w:r w:rsidRPr="000C54A6">
              <w:t>7</w:t>
            </w:r>
          </w:p>
        </w:tc>
        <w:tc>
          <w:tcPr>
            <w:tcW w:w="993" w:type="dxa"/>
          </w:tcPr>
          <w:p w14:paraId="66DEE6A1" w14:textId="1EEE78DA" w:rsidR="007610E6" w:rsidRPr="000C54A6" w:rsidRDefault="007610E6" w:rsidP="00694CD0">
            <w:pPr>
              <w:pStyle w:val="Tabletextcentred"/>
            </w:pPr>
            <w:r w:rsidRPr="000C54A6">
              <w:t>3</w:t>
            </w:r>
          </w:p>
        </w:tc>
        <w:tc>
          <w:tcPr>
            <w:tcW w:w="992" w:type="dxa"/>
          </w:tcPr>
          <w:p w14:paraId="10429D63" w14:textId="1B048123" w:rsidR="007610E6" w:rsidRPr="000C54A6" w:rsidRDefault="007610E6" w:rsidP="00694CD0">
            <w:pPr>
              <w:pStyle w:val="Tabletextcentred"/>
            </w:pPr>
            <w:r w:rsidRPr="000C54A6">
              <w:t>6</w:t>
            </w:r>
          </w:p>
        </w:tc>
        <w:tc>
          <w:tcPr>
            <w:tcW w:w="992" w:type="dxa"/>
          </w:tcPr>
          <w:p w14:paraId="669C8BD8" w14:textId="62FAE018" w:rsidR="007610E6" w:rsidRPr="000C54A6" w:rsidRDefault="007610E6" w:rsidP="00694CD0">
            <w:pPr>
              <w:pStyle w:val="Tabletextcentred"/>
            </w:pPr>
            <w:r w:rsidRPr="000C54A6">
              <w:t>6</w:t>
            </w:r>
          </w:p>
        </w:tc>
        <w:tc>
          <w:tcPr>
            <w:tcW w:w="1276" w:type="dxa"/>
          </w:tcPr>
          <w:p w14:paraId="1EADD61B" w14:textId="6F5BC9E1" w:rsidR="007610E6" w:rsidRPr="000C54A6" w:rsidRDefault="007610E6" w:rsidP="00694CD0">
            <w:pPr>
              <w:pStyle w:val="Tabletextcentred"/>
            </w:pPr>
            <w:r w:rsidRPr="000C54A6">
              <w:t>6</w:t>
            </w:r>
          </w:p>
        </w:tc>
        <w:tc>
          <w:tcPr>
            <w:tcW w:w="1276" w:type="dxa"/>
          </w:tcPr>
          <w:p w14:paraId="0DFB8E39" w14:textId="0F347011" w:rsidR="007610E6" w:rsidRPr="000C54A6" w:rsidRDefault="007610E6" w:rsidP="00694CD0">
            <w:pPr>
              <w:pStyle w:val="Tabletextcentred"/>
            </w:pPr>
            <w:r w:rsidRPr="000C54A6">
              <w:t>1</w:t>
            </w:r>
          </w:p>
        </w:tc>
      </w:tr>
      <w:tr w:rsidR="007610E6" w:rsidRPr="000C54A6" w14:paraId="3C04EDF6" w14:textId="77777777" w:rsidTr="00352F1F">
        <w:trPr>
          <w:trHeight w:val="20"/>
        </w:trPr>
        <w:tc>
          <w:tcPr>
            <w:tcW w:w="2536" w:type="dxa"/>
          </w:tcPr>
          <w:p w14:paraId="2E8183DA" w14:textId="7E95B47E" w:rsidR="007610E6" w:rsidRPr="000C54A6" w:rsidRDefault="007610E6" w:rsidP="00991310">
            <w:pPr>
              <w:pStyle w:val="Tabletextleft"/>
            </w:pPr>
            <w:r w:rsidRPr="000C54A6">
              <w:t>Unknown</w:t>
            </w:r>
          </w:p>
        </w:tc>
        <w:tc>
          <w:tcPr>
            <w:tcW w:w="1003" w:type="dxa"/>
          </w:tcPr>
          <w:p w14:paraId="39AC17B0" w14:textId="13839F17" w:rsidR="007610E6" w:rsidRPr="000C54A6" w:rsidRDefault="00FE24D0" w:rsidP="00694CD0">
            <w:pPr>
              <w:pStyle w:val="Tabletextcentred"/>
            </w:pPr>
            <w:r w:rsidRPr="000C54A6">
              <w:t>0</w:t>
            </w:r>
          </w:p>
        </w:tc>
        <w:tc>
          <w:tcPr>
            <w:tcW w:w="992" w:type="dxa"/>
          </w:tcPr>
          <w:p w14:paraId="1A159E72" w14:textId="3B7AE1CA" w:rsidR="007610E6" w:rsidRPr="000C54A6" w:rsidRDefault="00FE24D0" w:rsidP="00694CD0">
            <w:pPr>
              <w:pStyle w:val="Tabletextcentred"/>
            </w:pPr>
            <w:r w:rsidRPr="000C54A6">
              <w:t>0</w:t>
            </w:r>
          </w:p>
        </w:tc>
        <w:tc>
          <w:tcPr>
            <w:tcW w:w="993" w:type="dxa"/>
          </w:tcPr>
          <w:p w14:paraId="4A6C3748" w14:textId="116C11AA" w:rsidR="007610E6" w:rsidRPr="000C54A6" w:rsidRDefault="007610E6" w:rsidP="00694CD0">
            <w:pPr>
              <w:pStyle w:val="Tabletextcentred"/>
            </w:pPr>
            <w:r w:rsidRPr="000C54A6">
              <w:t>3</w:t>
            </w:r>
          </w:p>
        </w:tc>
        <w:tc>
          <w:tcPr>
            <w:tcW w:w="992" w:type="dxa"/>
          </w:tcPr>
          <w:p w14:paraId="3491A404" w14:textId="7434D134" w:rsidR="007610E6" w:rsidRPr="000C54A6" w:rsidRDefault="00FE24D0" w:rsidP="00694CD0">
            <w:pPr>
              <w:pStyle w:val="Tabletextcentred"/>
            </w:pPr>
            <w:r w:rsidRPr="000C54A6">
              <w:t>0</w:t>
            </w:r>
          </w:p>
        </w:tc>
        <w:tc>
          <w:tcPr>
            <w:tcW w:w="992" w:type="dxa"/>
          </w:tcPr>
          <w:p w14:paraId="524E05A5" w14:textId="294ABB64" w:rsidR="007610E6" w:rsidRPr="000C54A6" w:rsidRDefault="00FE24D0" w:rsidP="00694CD0">
            <w:pPr>
              <w:pStyle w:val="Tabletextcentred"/>
            </w:pPr>
            <w:r w:rsidRPr="000C54A6">
              <w:t>0</w:t>
            </w:r>
          </w:p>
        </w:tc>
        <w:tc>
          <w:tcPr>
            <w:tcW w:w="1276" w:type="dxa"/>
          </w:tcPr>
          <w:p w14:paraId="163B5CC4" w14:textId="3303BCC7" w:rsidR="007610E6" w:rsidRPr="000C54A6" w:rsidRDefault="00FE24D0" w:rsidP="00694CD0">
            <w:pPr>
              <w:pStyle w:val="Tabletextcentred"/>
            </w:pPr>
            <w:r w:rsidRPr="000C54A6">
              <w:t>0</w:t>
            </w:r>
          </w:p>
        </w:tc>
        <w:tc>
          <w:tcPr>
            <w:tcW w:w="1276" w:type="dxa"/>
          </w:tcPr>
          <w:p w14:paraId="7E628C2A" w14:textId="316DE2C7" w:rsidR="007610E6" w:rsidRPr="000C54A6" w:rsidRDefault="00FE24D0" w:rsidP="00694CD0">
            <w:pPr>
              <w:pStyle w:val="Tabletextcentred"/>
            </w:pPr>
            <w:r w:rsidRPr="000C54A6">
              <w:t>0</w:t>
            </w:r>
          </w:p>
        </w:tc>
      </w:tr>
      <w:tr w:rsidR="007610E6" w:rsidRPr="000C54A6" w14:paraId="0A562E58" w14:textId="77777777" w:rsidTr="00352F1F">
        <w:trPr>
          <w:trHeight w:val="20"/>
        </w:trPr>
        <w:tc>
          <w:tcPr>
            <w:tcW w:w="2536" w:type="dxa"/>
          </w:tcPr>
          <w:p w14:paraId="2429C93D" w14:textId="77777777" w:rsidR="007610E6" w:rsidRPr="00394C57" w:rsidRDefault="007610E6" w:rsidP="004824CB">
            <w:pPr>
              <w:pStyle w:val="Tabletextrightaligned"/>
            </w:pPr>
            <w:r w:rsidRPr="00394C57">
              <w:t>Late diagnosis</w:t>
            </w:r>
          </w:p>
        </w:tc>
        <w:tc>
          <w:tcPr>
            <w:tcW w:w="1003" w:type="dxa"/>
          </w:tcPr>
          <w:p w14:paraId="7219FEF3" w14:textId="7D0B04F1" w:rsidR="007610E6" w:rsidRPr="00394C57" w:rsidRDefault="007610E6" w:rsidP="00694CD0">
            <w:pPr>
              <w:pStyle w:val="Tabletextcentred"/>
            </w:pPr>
            <w:r w:rsidRPr="00394C57">
              <w:t>15</w:t>
            </w:r>
          </w:p>
        </w:tc>
        <w:tc>
          <w:tcPr>
            <w:tcW w:w="992" w:type="dxa"/>
          </w:tcPr>
          <w:p w14:paraId="6A56AFA7" w14:textId="131A1D28" w:rsidR="007610E6" w:rsidRPr="00394C57" w:rsidRDefault="007610E6" w:rsidP="00694CD0">
            <w:pPr>
              <w:pStyle w:val="Tabletextcentred"/>
            </w:pPr>
            <w:r w:rsidRPr="00394C57">
              <w:t>15</w:t>
            </w:r>
          </w:p>
        </w:tc>
        <w:tc>
          <w:tcPr>
            <w:tcW w:w="993" w:type="dxa"/>
          </w:tcPr>
          <w:p w14:paraId="1A9D91C8" w14:textId="1FEE7BC2" w:rsidR="007610E6" w:rsidRPr="00394C57" w:rsidRDefault="007610E6" w:rsidP="00694CD0">
            <w:pPr>
              <w:pStyle w:val="Tabletextcentred"/>
            </w:pPr>
            <w:r w:rsidRPr="00394C57">
              <w:t>9</w:t>
            </w:r>
          </w:p>
        </w:tc>
        <w:tc>
          <w:tcPr>
            <w:tcW w:w="992" w:type="dxa"/>
          </w:tcPr>
          <w:p w14:paraId="29EE5FA7" w14:textId="142B0C01" w:rsidR="007610E6" w:rsidRPr="00394C57" w:rsidRDefault="007610E6" w:rsidP="00694CD0">
            <w:pPr>
              <w:pStyle w:val="Tabletextcentred"/>
            </w:pPr>
            <w:r w:rsidRPr="00394C57">
              <w:t>15</w:t>
            </w:r>
          </w:p>
        </w:tc>
        <w:tc>
          <w:tcPr>
            <w:tcW w:w="992" w:type="dxa"/>
          </w:tcPr>
          <w:p w14:paraId="38D853C6" w14:textId="6CD25B71" w:rsidR="007610E6" w:rsidRPr="00394C57" w:rsidRDefault="007610E6" w:rsidP="00694CD0">
            <w:pPr>
              <w:pStyle w:val="Tabletextcentred"/>
            </w:pPr>
            <w:r w:rsidRPr="00394C57">
              <w:t>9</w:t>
            </w:r>
          </w:p>
        </w:tc>
        <w:tc>
          <w:tcPr>
            <w:tcW w:w="1276" w:type="dxa"/>
          </w:tcPr>
          <w:p w14:paraId="5E129F0E" w14:textId="07E5EB17" w:rsidR="007610E6" w:rsidRPr="00394C57" w:rsidRDefault="007610E6" w:rsidP="00694CD0">
            <w:pPr>
              <w:pStyle w:val="Tabletextcentred"/>
            </w:pPr>
            <w:r w:rsidRPr="00394C57">
              <w:t>11</w:t>
            </w:r>
          </w:p>
        </w:tc>
        <w:tc>
          <w:tcPr>
            <w:tcW w:w="1276" w:type="dxa"/>
          </w:tcPr>
          <w:p w14:paraId="0B6CCAE9" w14:textId="1DCBC2B3" w:rsidR="007610E6" w:rsidRPr="00394C57" w:rsidRDefault="007610E6" w:rsidP="00694CD0">
            <w:pPr>
              <w:pStyle w:val="Tabletextcentred"/>
            </w:pPr>
            <w:r w:rsidRPr="00394C57">
              <w:t>4</w:t>
            </w:r>
          </w:p>
        </w:tc>
      </w:tr>
      <w:tr w:rsidR="007610E6" w:rsidRPr="001D443D" w14:paraId="32834A30" w14:textId="77777777" w:rsidTr="00352F1F">
        <w:trPr>
          <w:cnfStyle w:val="010000000000" w:firstRow="0" w:lastRow="1" w:firstColumn="0" w:lastColumn="0" w:oddVBand="0" w:evenVBand="0" w:oddHBand="0" w:evenHBand="0" w:firstRowFirstColumn="0" w:firstRowLastColumn="0" w:lastRowFirstColumn="0" w:lastRowLastColumn="0"/>
          <w:trHeight w:val="20"/>
        </w:trPr>
        <w:tc>
          <w:tcPr>
            <w:tcW w:w="2536" w:type="dxa"/>
            <w:shd w:val="clear" w:color="auto" w:fill="00DCA1"/>
          </w:tcPr>
          <w:p w14:paraId="273CAA01" w14:textId="77777777" w:rsidR="007610E6" w:rsidRPr="00352F1F" w:rsidRDefault="007610E6" w:rsidP="00352F1F">
            <w:pPr>
              <w:pStyle w:val="Tabletextleft"/>
            </w:pPr>
            <w:r w:rsidRPr="00352F1F">
              <w:t>Total</w:t>
            </w:r>
          </w:p>
        </w:tc>
        <w:tc>
          <w:tcPr>
            <w:tcW w:w="1003" w:type="dxa"/>
            <w:shd w:val="clear" w:color="auto" w:fill="00DCA1"/>
          </w:tcPr>
          <w:p w14:paraId="5D52BF81" w14:textId="67F40244" w:rsidR="007610E6" w:rsidRPr="00352F1F" w:rsidRDefault="007610E6" w:rsidP="00352F1F">
            <w:pPr>
              <w:pStyle w:val="Tabletextleft"/>
            </w:pPr>
            <w:r w:rsidRPr="00352F1F">
              <w:t>17</w:t>
            </w:r>
          </w:p>
        </w:tc>
        <w:tc>
          <w:tcPr>
            <w:tcW w:w="992" w:type="dxa"/>
            <w:shd w:val="clear" w:color="auto" w:fill="00DCA1"/>
          </w:tcPr>
          <w:p w14:paraId="4A899B38" w14:textId="22985CD0" w:rsidR="007610E6" w:rsidRPr="00352F1F" w:rsidRDefault="007610E6" w:rsidP="00352F1F">
            <w:pPr>
              <w:pStyle w:val="Tabletextleft"/>
            </w:pPr>
            <w:r w:rsidRPr="00352F1F">
              <w:t>15</w:t>
            </w:r>
          </w:p>
        </w:tc>
        <w:tc>
          <w:tcPr>
            <w:tcW w:w="993" w:type="dxa"/>
            <w:shd w:val="clear" w:color="auto" w:fill="00DCA1"/>
          </w:tcPr>
          <w:p w14:paraId="1C1487A4" w14:textId="4A1CC858" w:rsidR="007610E6" w:rsidRPr="00352F1F" w:rsidRDefault="007610E6" w:rsidP="00352F1F">
            <w:pPr>
              <w:pStyle w:val="Tabletextleft"/>
            </w:pPr>
            <w:r w:rsidRPr="00352F1F">
              <w:t>15</w:t>
            </w:r>
          </w:p>
        </w:tc>
        <w:tc>
          <w:tcPr>
            <w:tcW w:w="992" w:type="dxa"/>
            <w:shd w:val="clear" w:color="auto" w:fill="00DCA1"/>
          </w:tcPr>
          <w:p w14:paraId="5AA45F51" w14:textId="780A5172" w:rsidR="007610E6" w:rsidRPr="00352F1F" w:rsidRDefault="007610E6" w:rsidP="00352F1F">
            <w:pPr>
              <w:pStyle w:val="Tabletextleft"/>
            </w:pPr>
            <w:r w:rsidRPr="00352F1F">
              <w:t>20</w:t>
            </w:r>
          </w:p>
        </w:tc>
        <w:tc>
          <w:tcPr>
            <w:tcW w:w="992" w:type="dxa"/>
            <w:shd w:val="clear" w:color="auto" w:fill="00DCA1"/>
          </w:tcPr>
          <w:p w14:paraId="6EE97DDD" w14:textId="3AA0875A" w:rsidR="007610E6" w:rsidRPr="00352F1F" w:rsidRDefault="007610E6" w:rsidP="00352F1F">
            <w:pPr>
              <w:pStyle w:val="Tabletextleft"/>
            </w:pPr>
            <w:r w:rsidRPr="00352F1F">
              <w:t>10</w:t>
            </w:r>
          </w:p>
        </w:tc>
        <w:tc>
          <w:tcPr>
            <w:tcW w:w="1276" w:type="dxa"/>
            <w:shd w:val="clear" w:color="auto" w:fill="00DCA1"/>
          </w:tcPr>
          <w:p w14:paraId="0E8E8684" w14:textId="22BB2478" w:rsidR="007610E6" w:rsidRPr="00352F1F" w:rsidRDefault="007610E6" w:rsidP="00352F1F">
            <w:pPr>
              <w:pStyle w:val="Tabletextleft"/>
            </w:pPr>
            <w:r w:rsidRPr="00352F1F">
              <w:t>14</w:t>
            </w:r>
          </w:p>
        </w:tc>
        <w:tc>
          <w:tcPr>
            <w:tcW w:w="1276" w:type="dxa"/>
            <w:shd w:val="clear" w:color="auto" w:fill="00DCA1"/>
          </w:tcPr>
          <w:p w14:paraId="0CCB39EB" w14:textId="4E05B776" w:rsidR="007610E6" w:rsidRPr="00352F1F" w:rsidRDefault="007610E6" w:rsidP="00352F1F">
            <w:pPr>
              <w:pStyle w:val="Tabletextleft"/>
            </w:pPr>
            <w:r w:rsidRPr="00352F1F">
              <w:t>4</w:t>
            </w:r>
          </w:p>
        </w:tc>
      </w:tr>
    </w:tbl>
    <w:p w14:paraId="3FA79D22" w14:textId="149DA37D" w:rsidR="00042AC2" w:rsidRPr="001D443D" w:rsidRDefault="00042AC2" w:rsidP="001D443D">
      <w:pPr>
        <w:pStyle w:val="FootnoteText"/>
      </w:pPr>
      <w:r w:rsidRPr="001D443D">
        <w:t>Note:</w:t>
      </w:r>
    </w:p>
    <w:p w14:paraId="65E77423" w14:textId="1824EF15" w:rsidR="00FC7248" w:rsidRPr="001D443D" w:rsidRDefault="00FC7248" w:rsidP="001D443D">
      <w:pPr>
        <w:pStyle w:val="FootnoteText"/>
      </w:pPr>
      <w:r w:rsidRPr="001D443D">
        <w:t>1</w:t>
      </w:r>
      <w:r w:rsidR="00142D64" w:rsidRPr="001D443D">
        <w:t xml:space="preserve"> </w:t>
      </w:r>
      <w:r w:rsidR="00431786" w:rsidRPr="001D443D">
        <w:t>Includes cases with unknown Indigenous status</w:t>
      </w:r>
      <w:r w:rsidRPr="001D443D">
        <w:t>.</w:t>
      </w:r>
    </w:p>
    <w:p w14:paraId="721FBBBD" w14:textId="56500A25" w:rsidR="00714011" w:rsidRPr="009A2544" w:rsidRDefault="00714011" w:rsidP="00C77B8E">
      <w:pPr>
        <w:pStyle w:val="Heading2"/>
      </w:pPr>
      <w:bookmarkStart w:id="66" w:name="_Toc241658059"/>
      <w:r w:rsidRPr="009A2544">
        <w:t>Indicator 4.6 –</w:t>
      </w:r>
      <w:r w:rsidR="00C77B8E" w:rsidRPr="009A2544">
        <w:t xml:space="preserve"> A</w:t>
      </w:r>
      <w:r w:rsidRPr="009A2544">
        <w:t>dequate treatment</w:t>
      </w:r>
      <w:bookmarkEnd w:id="66"/>
    </w:p>
    <w:p w14:paraId="4AFAB44D" w14:textId="2DA3966A" w:rsidR="00B60AC6" w:rsidRPr="009A2544" w:rsidRDefault="00714011" w:rsidP="00C77B8E">
      <w:pPr>
        <w:pStyle w:val="Boxemerald"/>
      </w:pPr>
      <w:r w:rsidRPr="009A2544">
        <w:t>4.6 Proportion of women</w:t>
      </w:r>
      <w:r w:rsidR="00C77B8E" w:rsidRPr="009A2544">
        <w:t xml:space="preserve"> </w:t>
      </w:r>
      <w:r w:rsidRPr="009A2544">
        <w:t>giving birth to an infant with congenital syphilis receiving adequate treatment prior to delivery</w:t>
      </w:r>
    </w:p>
    <w:p w14:paraId="6FF4337C" w14:textId="5A4F4A81" w:rsidR="00710275" w:rsidRPr="009A2544" w:rsidRDefault="00710275" w:rsidP="00714011">
      <w:r w:rsidRPr="009A2544">
        <w:t>Treatment is considered adequate if a stage-appropriate penicillin-containing regimen is administered 30 days or more prior to delivery</w:t>
      </w:r>
      <w:r w:rsidR="003A345F" w:rsidRPr="009A2544">
        <w:t>,</w:t>
      </w:r>
      <w:r w:rsidRPr="009A2544">
        <w:t xml:space="preserve"> and all antenatal and delivery pathology were performed and results verified with no evidence of reinfection.</w:t>
      </w:r>
    </w:p>
    <w:p w14:paraId="1DE131F7" w14:textId="13738D08" w:rsidR="00714011" w:rsidRPr="009A2544" w:rsidRDefault="00714011" w:rsidP="00714011">
      <w:r w:rsidRPr="00583305">
        <w:t>Maternal treatment of syphilis was reported for 93% (</w:t>
      </w:r>
      <w:r w:rsidR="008477C0" w:rsidRPr="00583305">
        <w:t>8</w:t>
      </w:r>
      <w:r w:rsidR="0055757F" w:rsidRPr="00583305">
        <w:t>9</w:t>
      </w:r>
      <w:r w:rsidRPr="00583305">
        <w:t>/</w:t>
      </w:r>
      <w:r w:rsidR="0055757F" w:rsidRPr="00583305">
        <w:t>95</w:t>
      </w:r>
      <w:r w:rsidRPr="00583305">
        <w:t>) of women giving birth to an infant with congenital syphilis between 2020 and Q</w:t>
      </w:r>
      <w:r w:rsidR="00913E11" w:rsidRPr="00583305">
        <w:t>1</w:t>
      </w:r>
      <w:r w:rsidR="008477C0" w:rsidRPr="00583305">
        <w:t xml:space="preserve"> </w:t>
      </w:r>
      <w:r w:rsidRPr="00583305">
        <w:t>202</w:t>
      </w:r>
      <w:r w:rsidR="00913E11" w:rsidRPr="00583305">
        <w:t>6</w:t>
      </w:r>
      <w:r w:rsidRPr="00583305">
        <w:t>. Of these women</w:t>
      </w:r>
      <w:r w:rsidR="000E4878">
        <w:t>,</w:t>
      </w:r>
      <w:r w:rsidRPr="00583305">
        <w:t xml:space="preserve"> 9</w:t>
      </w:r>
      <w:r w:rsidR="00E1133E" w:rsidRPr="00583305">
        <w:t>7</w:t>
      </w:r>
      <w:r w:rsidRPr="00583305">
        <w:t>% (</w:t>
      </w:r>
      <w:r w:rsidR="00E1133E" w:rsidRPr="00583305">
        <w:t>86</w:t>
      </w:r>
      <w:r w:rsidRPr="00583305">
        <w:t>/</w:t>
      </w:r>
      <w:r w:rsidR="00B06D80" w:rsidRPr="00583305">
        <w:t>8</w:t>
      </w:r>
      <w:r w:rsidR="00E1133E" w:rsidRPr="00583305">
        <w:t>9</w:t>
      </w:r>
      <w:r w:rsidRPr="00583305">
        <w:t>) did not receive adequate treatment prior to delivery (</w:t>
      </w:r>
      <w:r w:rsidR="001831B1" w:rsidRPr="00583305">
        <w:fldChar w:fldCharType="begin" w:fldLock="1"/>
      </w:r>
      <w:r w:rsidR="001831B1" w:rsidRPr="00583305">
        <w:instrText xml:space="preserve"> REF _Ref238042339 \r \h </w:instrText>
      </w:r>
      <w:r w:rsidR="00A916AB" w:rsidRPr="00583305">
        <w:instrText xml:space="preserve"> \* MERGEFORMAT </w:instrText>
      </w:r>
      <w:r w:rsidR="001831B1" w:rsidRPr="00583305">
        <w:fldChar w:fldCharType="separate"/>
      </w:r>
      <w:r w:rsidR="001831B1" w:rsidRPr="00583305">
        <w:t>Figure 12</w:t>
      </w:r>
      <w:r w:rsidR="001831B1" w:rsidRPr="00583305">
        <w:fldChar w:fldCharType="end"/>
      </w:r>
      <w:r w:rsidRPr="00583305">
        <w:t>)</w:t>
      </w:r>
      <w:r w:rsidR="0067087C" w:rsidRPr="00583305">
        <w:t>. T</w:t>
      </w:r>
      <w:r w:rsidRPr="00583305">
        <w:t xml:space="preserve">his includes </w:t>
      </w:r>
      <w:r w:rsidR="008920DC" w:rsidRPr="00583305">
        <w:t>58</w:t>
      </w:r>
      <w:r w:rsidRPr="00583305">
        <w:t xml:space="preserve"> women who were diagnosed at-birth (day of delivery) and post-birth</w:t>
      </w:r>
      <w:r w:rsidR="000E4878">
        <w:t>,</w:t>
      </w:r>
      <w:r w:rsidRPr="00583305">
        <w:t xml:space="preserve"> and 1</w:t>
      </w:r>
      <w:r w:rsidR="00A916AB" w:rsidRPr="00583305">
        <w:t>5</w:t>
      </w:r>
      <w:r w:rsidRPr="00583305">
        <w:t xml:space="preserve"> women who were diagnosed in the third trimester (</w:t>
      </w:r>
      <w:r w:rsidR="00D54B18" w:rsidRPr="00583305">
        <w:t xml:space="preserve">fewer than </w:t>
      </w:r>
      <w:r w:rsidRPr="00583305">
        <w:t xml:space="preserve">30 days prior to delivery). Of the remaining cases, </w:t>
      </w:r>
      <w:r w:rsidR="00670053" w:rsidRPr="00583305">
        <w:t>10</w:t>
      </w:r>
      <w:r w:rsidRPr="00583305">
        <w:t xml:space="preserve"> were diagnosed in the 2nd trimester and </w:t>
      </w:r>
      <w:r w:rsidR="00D54B18" w:rsidRPr="00583305">
        <w:t>3</w:t>
      </w:r>
      <w:r w:rsidRPr="00583305">
        <w:t xml:space="preserve"> had an unknown trimester of diagnosis.</w:t>
      </w:r>
    </w:p>
    <w:p w14:paraId="1EE988DF" w14:textId="52F62932" w:rsidR="00D34A93" w:rsidRPr="009A2544" w:rsidRDefault="00714011" w:rsidP="00714011">
      <w:r w:rsidRPr="009A2544">
        <w:t xml:space="preserve">Of the </w:t>
      </w:r>
      <w:r w:rsidR="008920DC" w:rsidRPr="009A2544">
        <w:t>86</w:t>
      </w:r>
      <w:r w:rsidRPr="009A2544">
        <w:t xml:space="preserve"> women who did not receive adequate treatment prior to delivery</w:t>
      </w:r>
      <w:r w:rsidR="000E4878">
        <w:t>,</w:t>
      </w:r>
      <w:r w:rsidR="00097D27" w:rsidRPr="009A2544">
        <w:t xml:space="preserve"> </w:t>
      </w:r>
      <w:r w:rsidRPr="009A2544">
        <w:t>one-third (3</w:t>
      </w:r>
      <w:r w:rsidR="00334A92" w:rsidRPr="009A2544">
        <w:t>6</w:t>
      </w:r>
      <w:r w:rsidRPr="009A2544">
        <w:t xml:space="preserve">%, </w:t>
      </w:r>
      <w:r w:rsidR="00334A92" w:rsidRPr="009A2544">
        <w:t>31</w:t>
      </w:r>
      <w:r w:rsidRPr="009A2544">
        <w:t>/</w:t>
      </w:r>
      <w:r w:rsidR="00334A92" w:rsidRPr="009A2544">
        <w:t>86</w:t>
      </w:r>
      <w:r w:rsidRPr="009A2544">
        <w:t>) of these pregnancies resulted in a congenital syphilis fetal death (still-birth or following birth)</w:t>
      </w:r>
      <w:r w:rsidR="007D1B9C" w:rsidRPr="009A2544">
        <w:t>. Thirty-</w:t>
      </w:r>
      <w:r w:rsidR="00AB5D4B" w:rsidRPr="009A2544">
        <w:t>three</w:t>
      </w:r>
      <w:r w:rsidR="007D1B9C" w:rsidRPr="009A2544">
        <w:t xml:space="preserve"> per cent</w:t>
      </w:r>
      <w:r w:rsidR="00097D27" w:rsidRPr="009A2544">
        <w:t xml:space="preserve"> </w:t>
      </w:r>
      <w:r w:rsidR="007D1B9C" w:rsidRPr="009A2544">
        <w:t>(</w:t>
      </w:r>
      <w:r w:rsidRPr="009A2544">
        <w:t>3</w:t>
      </w:r>
      <w:r w:rsidR="00AB5D4B" w:rsidRPr="009A2544">
        <w:t>3</w:t>
      </w:r>
      <w:r w:rsidRPr="009A2544">
        <w:t>%</w:t>
      </w:r>
      <w:r w:rsidR="007D1B9C" w:rsidRPr="009A2544">
        <w:t xml:space="preserve">, </w:t>
      </w:r>
      <w:r w:rsidRPr="009A2544">
        <w:t>2</w:t>
      </w:r>
      <w:r w:rsidR="00AB5D4B" w:rsidRPr="009A2544">
        <w:t>8</w:t>
      </w:r>
      <w:r w:rsidRPr="009A2544">
        <w:t>/</w:t>
      </w:r>
      <w:r w:rsidR="00AB5D4B" w:rsidRPr="009A2544">
        <w:t>86</w:t>
      </w:r>
      <w:r w:rsidRPr="009A2544">
        <w:t xml:space="preserve">) gave birth to a live-born infant with a range of clinical symptoms associated with congenital syphilis including bone abnormalities, damage to spleen and/or liver, anaemia, hearing loss, jaundice and sepsis. </w:t>
      </w:r>
    </w:p>
    <w:p w14:paraId="339CD9D5" w14:textId="2EE05536" w:rsidR="00836D30" w:rsidRPr="009A2544" w:rsidRDefault="008058C2" w:rsidP="00714011">
      <w:r>
        <w:t>Eight</w:t>
      </w:r>
      <w:r w:rsidR="00714011" w:rsidRPr="009A2544">
        <w:t xml:space="preserve"> women gave birth to infants (</w:t>
      </w:r>
      <w:r w:rsidR="0087448C" w:rsidRPr="009A2544">
        <w:t>9</w:t>
      </w:r>
      <w:r w:rsidR="00714011" w:rsidRPr="009A2544">
        <w:t>%, 8/</w:t>
      </w:r>
      <w:r w:rsidR="0087448C" w:rsidRPr="009A2544">
        <w:t>86</w:t>
      </w:r>
      <w:r w:rsidR="00714011" w:rsidRPr="009A2544">
        <w:t>) with congenital syphilis</w:t>
      </w:r>
      <w:r w:rsidR="00E71022" w:rsidRPr="009A2544">
        <w:t xml:space="preserve"> who</w:t>
      </w:r>
      <w:r w:rsidR="00714011" w:rsidRPr="009A2544">
        <w:t xml:space="preserve"> were diagnosed in the weeks and months following their birth. Where additional information </w:t>
      </w:r>
      <w:proofErr w:type="gramStart"/>
      <w:r w:rsidR="00714011" w:rsidRPr="009A2544">
        <w:t>were</w:t>
      </w:r>
      <w:proofErr w:type="gramEnd"/>
      <w:r w:rsidR="00714011" w:rsidRPr="009A2544">
        <w:t xml:space="preserve"> available, the reason for the later diagnosis were reported as</w:t>
      </w:r>
      <w:r w:rsidR="00836D30" w:rsidRPr="009A2544">
        <w:t>:</w:t>
      </w:r>
    </w:p>
    <w:p w14:paraId="43ED8B28" w14:textId="77777777" w:rsidR="00836D30" w:rsidRPr="009A2544" w:rsidRDefault="00714011" w:rsidP="00477379">
      <w:pPr>
        <w:pStyle w:val="ListBullet"/>
      </w:pPr>
      <w:r w:rsidRPr="009A2544">
        <w:t>the infant not being investigated at birth as they were clinically well</w:t>
      </w:r>
    </w:p>
    <w:p w14:paraId="3D596E11" w14:textId="77777777" w:rsidR="00836D30" w:rsidRPr="009A2544" w:rsidRDefault="00714011" w:rsidP="00477379">
      <w:pPr>
        <w:pStyle w:val="ListBullet"/>
      </w:pPr>
      <w:r w:rsidRPr="009A2544">
        <w:t xml:space="preserve">the mother </w:t>
      </w:r>
      <w:r w:rsidR="00836D30" w:rsidRPr="009A2544">
        <w:t>being</w:t>
      </w:r>
      <w:r w:rsidRPr="009A2544">
        <w:t xml:space="preserve"> diagnosed with syphilis post-birth </w:t>
      </w:r>
    </w:p>
    <w:p w14:paraId="7C009045" w14:textId="57283E11" w:rsidR="00836D30" w:rsidRPr="009A2544" w:rsidRDefault="00714011" w:rsidP="00477379">
      <w:pPr>
        <w:pStyle w:val="ListBullet"/>
      </w:pPr>
      <w:r w:rsidRPr="009A2544">
        <w:lastRenderedPageBreak/>
        <w:t>the infant present</w:t>
      </w:r>
      <w:r w:rsidR="00836D30" w:rsidRPr="009A2544">
        <w:t>ing</w:t>
      </w:r>
      <w:r w:rsidRPr="009A2544">
        <w:t xml:space="preserve"> with symptoms post-birth. </w:t>
      </w:r>
    </w:p>
    <w:p w14:paraId="634689C0" w14:textId="22154140" w:rsidR="00714011" w:rsidRPr="009A2544" w:rsidRDefault="00714011" w:rsidP="00714011">
      <w:r w:rsidRPr="009A2544">
        <w:t>The remaining 1</w:t>
      </w:r>
      <w:r w:rsidR="0087448C" w:rsidRPr="009A2544">
        <w:t>9</w:t>
      </w:r>
      <w:r w:rsidRPr="009A2544">
        <w:t xml:space="preserve"> women gave birth to infants (2</w:t>
      </w:r>
      <w:r w:rsidR="000804EB" w:rsidRPr="009A2544">
        <w:t>2</w:t>
      </w:r>
      <w:r w:rsidRPr="009A2544">
        <w:t>%, 1</w:t>
      </w:r>
      <w:r w:rsidR="005E78C0" w:rsidRPr="009A2544">
        <w:t>9</w:t>
      </w:r>
      <w:r w:rsidRPr="009A2544">
        <w:t>/</w:t>
      </w:r>
      <w:r w:rsidR="005E78C0" w:rsidRPr="009A2544">
        <w:t>86</w:t>
      </w:r>
      <w:r w:rsidRPr="009A2544">
        <w:t xml:space="preserve">) with congenital syphilis that were </w:t>
      </w:r>
      <w:proofErr w:type="gramStart"/>
      <w:r w:rsidRPr="009A2544">
        <w:t>live-born</w:t>
      </w:r>
      <w:proofErr w:type="gramEnd"/>
      <w:r w:rsidRPr="009A2544">
        <w:t xml:space="preserve"> with no congenital syphilis symptoms. </w:t>
      </w:r>
    </w:p>
    <w:p w14:paraId="241F6D5C" w14:textId="79D9D88B" w:rsidR="00714011" w:rsidRPr="009A2544" w:rsidRDefault="00714011" w:rsidP="00477379">
      <w:pPr>
        <w:pStyle w:val="Figuretitle"/>
      </w:pPr>
      <w:bookmarkStart w:id="67" w:name="_Ref238042339"/>
      <w:bookmarkStart w:id="68" w:name="_Toc240364813"/>
      <w:r w:rsidRPr="009A2544">
        <w:t xml:space="preserve">Adequate maternal treatment among women giving birth to an infant with congenital syphilis, 2020 </w:t>
      </w:r>
      <w:r w:rsidR="00657FDD" w:rsidRPr="009A2544">
        <w:t>to</w:t>
      </w:r>
      <w:r w:rsidRPr="009A2544">
        <w:t xml:space="preserve"> Q</w:t>
      </w:r>
      <w:r w:rsidR="005E5ECB" w:rsidRPr="009A2544">
        <w:t>1</w:t>
      </w:r>
      <w:r w:rsidRPr="009A2544">
        <w:t xml:space="preserve"> 202</w:t>
      </w:r>
      <w:r w:rsidR="005E5ECB" w:rsidRPr="009A2544">
        <w:t>6</w:t>
      </w:r>
      <w:bookmarkEnd w:id="67"/>
      <w:bookmarkEnd w:id="68"/>
    </w:p>
    <w:p w14:paraId="76AE07A6" w14:textId="69305827" w:rsidR="00E4667E" w:rsidRPr="009A2544" w:rsidRDefault="00A2297F" w:rsidP="006329C5">
      <w:r>
        <w:rPr>
          <w:noProof/>
        </w:rPr>
        <w:drawing>
          <wp:inline distT="0" distB="0" distL="0" distR="0" wp14:anchorId="69A4562C" wp14:editId="35D0557E">
            <wp:extent cx="6086475" cy="3965859"/>
            <wp:effectExtent l="0" t="0" r="0" b="0"/>
            <wp:docPr id="496285347" name="Picture 21" descr="P9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285347" name="Picture 21" descr="P925#yIS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095039" cy="3971439"/>
                    </a:xfrm>
                    <a:prstGeom prst="rect">
                      <a:avLst/>
                    </a:prstGeom>
                    <a:noFill/>
                  </pic:spPr>
                </pic:pic>
              </a:graphicData>
            </a:graphic>
          </wp:inline>
        </w:drawing>
      </w:r>
    </w:p>
    <w:p w14:paraId="1EE8196A" w14:textId="77777777" w:rsidR="00FA5C8F" w:rsidRPr="00694CD0" w:rsidRDefault="00FA5C8F" w:rsidP="00694CD0">
      <w:r w:rsidRPr="009A2544">
        <w:br w:type="page"/>
      </w:r>
    </w:p>
    <w:p w14:paraId="3C4D4AC6" w14:textId="0F7537BD" w:rsidR="00245ADB" w:rsidRPr="009A2544" w:rsidRDefault="008F5482" w:rsidP="00222B9B">
      <w:pPr>
        <w:pStyle w:val="Heading2"/>
      </w:pPr>
      <w:bookmarkStart w:id="69" w:name="_Toc241658060"/>
      <w:r w:rsidRPr="009A2544">
        <w:lastRenderedPageBreak/>
        <w:t xml:space="preserve">Indicator 4.7 </w:t>
      </w:r>
      <w:r w:rsidR="00222B9B" w:rsidRPr="009A2544">
        <w:t>–</w:t>
      </w:r>
      <w:r w:rsidRPr="009A2544">
        <w:t xml:space="preserve"> </w:t>
      </w:r>
      <w:r w:rsidR="00222B9B" w:rsidRPr="009A2544">
        <w:t>Testing during pregnancy</w:t>
      </w:r>
      <w:bookmarkEnd w:id="69"/>
    </w:p>
    <w:p w14:paraId="314FA74D" w14:textId="0837337F" w:rsidR="00245ADB" w:rsidRPr="009A2544" w:rsidRDefault="00245ADB" w:rsidP="002E5AE7">
      <w:pPr>
        <w:pStyle w:val="Boxemerald"/>
      </w:pPr>
      <w:r w:rsidRPr="009A2544">
        <w:t>4.7 Number of women giving birth to an infant with congenital syphilis by number of syphilis tests received during their pregnancy</w:t>
      </w:r>
    </w:p>
    <w:p w14:paraId="57D214E1" w14:textId="30C3E29B" w:rsidR="00245ADB" w:rsidRPr="009A2544" w:rsidRDefault="00245ADB" w:rsidP="00245ADB">
      <w:r w:rsidRPr="009A2544">
        <w:t>Maternal syphilis testing history was reported for 9</w:t>
      </w:r>
      <w:r w:rsidR="00EA34CF" w:rsidRPr="009A2544">
        <w:t>7</w:t>
      </w:r>
      <w:r w:rsidRPr="009A2544">
        <w:t>% (</w:t>
      </w:r>
      <w:r w:rsidR="000055FD" w:rsidRPr="009A2544">
        <w:t>92</w:t>
      </w:r>
      <w:r w:rsidR="007C0F4A" w:rsidRPr="009A2544">
        <w:t>/</w:t>
      </w:r>
      <w:r w:rsidR="000055FD" w:rsidRPr="009A2544">
        <w:t>95</w:t>
      </w:r>
      <w:r w:rsidRPr="009A2544">
        <w:t>) of women giving birth to an infant</w:t>
      </w:r>
      <w:r w:rsidR="007C1FD9" w:rsidRPr="009A2544">
        <w:t xml:space="preserve"> with congenital syphilis</w:t>
      </w:r>
      <w:r w:rsidRPr="009A2544">
        <w:t xml:space="preserve"> between 2020 and </w:t>
      </w:r>
      <w:r w:rsidR="000055FD" w:rsidRPr="009A2544">
        <w:t>Q1 2026</w:t>
      </w:r>
      <w:r w:rsidRPr="009A2544">
        <w:t xml:space="preserve"> (</w:t>
      </w:r>
      <w:r w:rsidR="000055FD" w:rsidRPr="009A2544">
        <w:fldChar w:fldCharType="begin" w:fldLock="1"/>
      </w:r>
      <w:r w:rsidR="000055FD" w:rsidRPr="009A2544">
        <w:instrText xml:space="preserve"> REF _Ref238199518 \r \h </w:instrText>
      </w:r>
      <w:r w:rsidR="00190EAA" w:rsidRPr="009A2544">
        <w:instrText xml:space="preserve"> \* MERGEFORMAT </w:instrText>
      </w:r>
      <w:r w:rsidR="000055FD" w:rsidRPr="009A2544">
        <w:fldChar w:fldCharType="separate"/>
      </w:r>
      <w:r w:rsidR="000055FD" w:rsidRPr="009A2544">
        <w:t>Figure 13</w:t>
      </w:r>
      <w:r w:rsidR="000055FD" w:rsidRPr="009A2544">
        <w:fldChar w:fldCharType="end"/>
      </w:r>
      <w:r w:rsidRPr="009A2544">
        <w:t>). Of those women</w:t>
      </w:r>
      <w:r w:rsidR="00962C43" w:rsidRPr="009A2544">
        <w:t>,</w:t>
      </w:r>
      <w:r w:rsidRPr="009A2544">
        <w:t xml:space="preserve"> 6</w:t>
      </w:r>
      <w:r w:rsidR="00190EAA" w:rsidRPr="009A2544">
        <w:t>6</w:t>
      </w:r>
      <w:r w:rsidRPr="009A2544">
        <w:t>% (</w:t>
      </w:r>
      <w:r w:rsidR="00190EAA" w:rsidRPr="009A2544">
        <w:t>61</w:t>
      </w:r>
      <w:r w:rsidRPr="009A2544">
        <w:t>/</w:t>
      </w:r>
      <w:r w:rsidR="00190EAA" w:rsidRPr="009A2544">
        <w:t>92</w:t>
      </w:r>
      <w:r w:rsidRPr="009A2544">
        <w:t xml:space="preserve">) did not report a previous syphilis test during their current pregnancy prior to being diagnosed with infectious syphilis. </w:t>
      </w:r>
      <w:r w:rsidR="00076EC7" w:rsidRPr="009A2544">
        <w:t xml:space="preserve">Twenty-eight </w:t>
      </w:r>
      <w:r w:rsidR="00FC1213">
        <w:t>percent</w:t>
      </w:r>
      <w:r w:rsidR="00BE0C3F">
        <w:t xml:space="preserve"> </w:t>
      </w:r>
      <w:r w:rsidR="00BE0C3F" w:rsidRPr="009A2544">
        <w:t>(</w:t>
      </w:r>
      <w:r w:rsidR="00BE0C3F">
        <w:t xml:space="preserve">28%, </w:t>
      </w:r>
      <w:r w:rsidR="00BE0C3F" w:rsidRPr="009A2544">
        <w:t>26/92)</w:t>
      </w:r>
      <w:r w:rsidR="00BE0C3F">
        <w:t xml:space="preserve"> </w:t>
      </w:r>
      <w:r w:rsidR="000F1B60" w:rsidRPr="009A2544">
        <w:t>of cases</w:t>
      </w:r>
      <w:r w:rsidRPr="009A2544">
        <w:t xml:space="preserve"> reported at least </w:t>
      </w:r>
      <w:r w:rsidR="00BE0C3F">
        <w:t>1</w:t>
      </w:r>
      <w:r w:rsidRPr="009A2544">
        <w:t xml:space="preserve"> previous syphilis test</w:t>
      </w:r>
      <w:r w:rsidR="00824E30" w:rsidRPr="009A2544">
        <w:t xml:space="preserve"> and 1 case reported having 2 </w:t>
      </w:r>
      <w:r w:rsidR="00383020" w:rsidRPr="009A2544">
        <w:t>tests during their current pregnancy. O</w:t>
      </w:r>
      <w:r w:rsidR="00141C27" w:rsidRPr="009A2544">
        <w:t xml:space="preserve">nly </w:t>
      </w:r>
      <w:r w:rsidR="004B2029" w:rsidRPr="009A2544">
        <w:t>1</w:t>
      </w:r>
      <w:r w:rsidRPr="009A2544">
        <w:t xml:space="preserve"> wom</w:t>
      </w:r>
      <w:r w:rsidR="0034785F" w:rsidRPr="009A2544">
        <w:t>a</w:t>
      </w:r>
      <w:r w:rsidRPr="009A2544">
        <w:t xml:space="preserve">n reported having 3 or more tests during their current pregnancy as recommended in national and jurisdictional guidelines </w:t>
      </w:r>
      <w:r w:rsidRPr="009A2544">
        <w:fldChar w:fldCharType="begin">
          <w:fldData xml:space="preserve">PEVuZE5vdGU+PENpdGU+PFJlY051bT4xMjwvUmVjTnVtPjxEaXNwbGF5VGV4dD4oOC0xNSk8L0Rp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==
</w:fldData>
        </w:fldChar>
      </w:r>
      <w:r w:rsidR="00DF3CAA">
        <w:instrText xml:space="preserve"> ADDIN EN.CITE </w:instrText>
      </w:r>
      <w:r w:rsidR="00DF3CAA">
        <w:fldChar w:fldCharType="begin">
          <w:fldData xml:space="preserve">PEVuZE5vdGU+PENpdGU+PFJlY051bT4xMjwvUmVjTnVtPjxEaXNwbGF5VGV4dD4oOC0xNSk8L0Rp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==
</w:fldData>
        </w:fldChar>
      </w:r>
      <w:r w:rsidR="00DF3CAA">
        <w:instrText xml:space="preserve"> ADDIN EN.CITE.DATA </w:instrText>
      </w:r>
      <w:r w:rsidR="00DF3CAA">
        <w:fldChar w:fldCharType="end"/>
      </w:r>
      <w:r w:rsidRPr="009A2544">
        <w:fldChar w:fldCharType="separate"/>
      </w:r>
      <w:r w:rsidR="001629AA" w:rsidRPr="009A2544">
        <w:rPr>
          <w:noProof/>
        </w:rPr>
        <w:t>(8-15)</w:t>
      </w:r>
      <w:r w:rsidRPr="009A2544">
        <w:fldChar w:fldCharType="end"/>
      </w:r>
      <w:r w:rsidRPr="009A2544">
        <w:t>.</w:t>
      </w:r>
      <w:r w:rsidR="000E4878">
        <w:t xml:space="preserve"> </w:t>
      </w:r>
      <w:r w:rsidR="00FE28EB" w:rsidRPr="009A2544">
        <w:t>The remaining 3 cases report</w:t>
      </w:r>
      <w:r w:rsidR="00DD2F47" w:rsidRPr="009A2544">
        <w:t>ed</w:t>
      </w:r>
      <w:r w:rsidR="00FE28EB" w:rsidRPr="009A2544">
        <w:t xml:space="preserve"> </w:t>
      </w:r>
      <w:r w:rsidR="00DD2F47" w:rsidRPr="009A2544">
        <w:t>a</w:t>
      </w:r>
      <w:r w:rsidR="00FE28EB" w:rsidRPr="009A2544">
        <w:t xml:space="preserve"> previous test during the</w:t>
      </w:r>
      <w:r w:rsidR="00DD2F47" w:rsidRPr="009A2544">
        <w:t>ir</w:t>
      </w:r>
      <w:r w:rsidR="00FE28EB" w:rsidRPr="009A2544">
        <w:t xml:space="preserve"> current pregnancy</w:t>
      </w:r>
      <w:r w:rsidR="00DD2F47" w:rsidRPr="009A2544">
        <w:t>, but the number of tests was unknown.</w:t>
      </w:r>
    </w:p>
    <w:p w14:paraId="3177E8C3" w14:textId="7950FF01" w:rsidR="00245ADB" w:rsidRPr="009A2544" w:rsidRDefault="00245ADB" w:rsidP="00477379">
      <w:pPr>
        <w:pStyle w:val="Figuretitle"/>
      </w:pPr>
      <w:bookmarkStart w:id="70" w:name="_Ref238199518"/>
      <w:bookmarkStart w:id="71" w:name="_Toc240364814"/>
      <w:r w:rsidRPr="009A2544">
        <w:t>Maternal syphilis testing history during pregnancy among women</w:t>
      </w:r>
      <w:r w:rsidR="002E5AE7" w:rsidRPr="009A2544">
        <w:t xml:space="preserve"> </w:t>
      </w:r>
      <w:r w:rsidRPr="009A2544">
        <w:t xml:space="preserve">giving birth to an infant with congenital syphilis, by stage of pregnancy at syphilis diagnosis, 2020 </w:t>
      </w:r>
      <w:r w:rsidR="002E5AE7" w:rsidRPr="009A2544">
        <w:t>to</w:t>
      </w:r>
      <w:r w:rsidRPr="009A2544">
        <w:t xml:space="preserve"> Q</w:t>
      </w:r>
      <w:r w:rsidR="005E5ECB" w:rsidRPr="009A2544">
        <w:t>1</w:t>
      </w:r>
      <w:r w:rsidRPr="009A2544">
        <w:t xml:space="preserve"> 202</w:t>
      </w:r>
      <w:r w:rsidR="005E5ECB" w:rsidRPr="009A2544">
        <w:t>6</w:t>
      </w:r>
      <w:bookmarkEnd w:id="70"/>
      <w:bookmarkEnd w:id="71"/>
    </w:p>
    <w:p w14:paraId="6924514B" w14:textId="20BF0529" w:rsidR="00245ADB" w:rsidRPr="009A2544" w:rsidRDefault="00363175" w:rsidP="006329C5">
      <w:r>
        <w:rPr>
          <w:noProof/>
        </w:rPr>
        <w:drawing>
          <wp:inline distT="0" distB="0" distL="0" distR="0" wp14:anchorId="5464A291" wp14:editId="146C8B28">
            <wp:extent cx="6181725" cy="4027923"/>
            <wp:effectExtent l="0" t="0" r="0" b="0"/>
            <wp:docPr id="1093876705" name="Picture 22" descr="P9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876705" name="Picture 22" descr="P931#yIS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93431" cy="4035550"/>
                    </a:xfrm>
                    <a:prstGeom prst="rect">
                      <a:avLst/>
                    </a:prstGeom>
                    <a:noFill/>
                  </pic:spPr>
                </pic:pic>
              </a:graphicData>
            </a:graphic>
          </wp:inline>
        </w:drawing>
      </w:r>
    </w:p>
    <w:p w14:paraId="3A3FCBC7" w14:textId="77777777" w:rsidR="004F6405" w:rsidRPr="00694CD0" w:rsidRDefault="004F6405" w:rsidP="00694CD0">
      <w:r w:rsidRPr="009A2544">
        <w:br w:type="page"/>
      </w:r>
    </w:p>
    <w:p w14:paraId="66D66CD7" w14:textId="60C9D6BC" w:rsidR="00AB1D43" w:rsidRPr="009A2544" w:rsidRDefault="001B699C" w:rsidP="00DC6370">
      <w:pPr>
        <w:pStyle w:val="Heading2"/>
      </w:pPr>
      <w:bookmarkStart w:id="72" w:name="_Toc241658061"/>
      <w:r w:rsidRPr="009A2544">
        <w:lastRenderedPageBreak/>
        <w:t>Indicator 4.8 – Reinfection during pregnancy</w:t>
      </w:r>
      <w:bookmarkEnd w:id="72"/>
    </w:p>
    <w:p w14:paraId="4647CA34" w14:textId="6C9AE5F2" w:rsidR="00DC6370" w:rsidRPr="009A2544" w:rsidRDefault="00DC6370" w:rsidP="00DC6370">
      <w:pPr>
        <w:pStyle w:val="Boxemerald"/>
      </w:pPr>
      <w:r w:rsidRPr="009A2544">
        <w:t>4.8 Number of women giving birth to an infant with congenital syphilis reinfected during their pregnancy</w:t>
      </w:r>
    </w:p>
    <w:p w14:paraId="48497CDB" w14:textId="13E9A560" w:rsidR="00DC6370" w:rsidRPr="009A2544" w:rsidRDefault="00DB2E94" w:rsidP="006329C5">
      <w:r w:rsidRPr="009A2544">
        <w:t xml:space="preserve">Reinfection is generally diagnosed </w:t>
      </w:r>
      <w:proofErr w:type="gramStart"/>
      <w:r w:rsidRPr="009A2544">
        <w:t>on the basis of</w:t>
      </w:r>
      <w:proofErr w:type="gramEnd"/>
      <w:r w:rsidRPr="009A2544">
        <w:t xml:space="preserve"> changes in RPR titre. A four-fold or two-titre rise in RPR – for example, 1 in 2 to 1 in 8 – following previous adequate treatment is considered a re-infection.</w:t>
      </w:r>
    </w:p>
    <w:p w14:paraId="6FB9F0D4" w14:textId="3DC8F75C" w:rsidR="00AE326D" w:rsidRPr="009A2544" w:rsidRDefault="008B5747" w:rsidP="006329C5">
      <w:r w:rsidRPr="009A2544">
        <w:t>Maternal reinfection data</w:t>
      </w:r>
      <w:r w:rsidR="00AE326D" w:rsidRPr="009A2544">
        <w:t xml:space="preserve"> were available for 9</w:t>
      </w:r>
      <w:r w:rsidR="00DF390A" w:rsidRPr="009A2544">
        <w:t>6</w:t>
      </w:r>
      <w:r w:rsidR="00AE326D" w:rsidRPr="009A2544">
        <w:t>% (</w:t>
      </w:r>
      <w:r w:rsidR="00DF390A" w:rsidRPr="009A2544">
        <w:t>91</w:t>
      </w:r>
      <w:r w:rsidR="00AE326D" w:rsidRPr="009A2544">
        <w:t>/</w:t>
      </w:r>
      <w:r w:rsidR="00DF390A" w:rsidRPr="009A2544">
        <w:t>95</w:t>
      </w:r>
      <w:r w:rsidR="00AE326D" w:rsidRPr="009A2544">
        <w:t xml:space="preserve">) of women giving birth to an infant </w:t>
      </w:r>
      <w:r w:rsidR="002E0E33" w:rsidRPr="009A2544">
        <w:t xml:space="preserve">with congenital syphilis </w:t>
      </w:r>
      <w:r w:rsidR="00AE326D" w:rsidRPr="009A2544">
        <w:t>between 2020 and Q</w:t>
      </w:r>
      <w:r w:rsidR="00774750" w:rsidRPr="009A2544">
        <w:t>1</w:t>
      </w:r>
      <w:r w:rsidR="00AE326D" w:rsidRPr="009A2544">
        <w:t xml:space="preserve"> 202</w:t>
      </w:r>
      <w:r w:rsidR="00774750" w:rsidRPr="009A2544">
        <w:t>6</w:t>
      </w:r>
      <w:r w:rsidRPr="009A2544">
        <w:t>, either</w:t>
      </w:r>
      <w:r w:rsidR="00AE326D" w:rsidRPr="009A2544">
        <w:t>:</w:t>
      </w:r>
    </w:p>
    <w:p w14:paraId="67D3F01D" w14:textId="77777777" w:rsidR="00000F03" w:rsidRPr="009A2544" w:rsidRDefault="008B5747" w:rsidP="00AB451F">
      <w:pPr>
        <w:pStyle w:val="ListBullet"/>
      </w:pPr>
      <w:r w:rsidRPr="009A2544">
        <w:t>during the current pregnancy (that is, the pregnancy when the maternal notification was made</w:t>
      </w:r>
      <w:r w:rsidR="00AE326D" w:rsidRPr="009A2544">
        <w:t>)</w:t>
      </w:r>
      <w:r w:rsidRPr="009A2544">
        <w:t xml:space="preserve"> </w:t>
      </w:r>
    </w:p>
    <w:p w14:paraId="1F8A7EAC" w14:textId="6F5B15FB" w:rsidR="00AE326D" w:rsidRPr="009A2544" w:rsidRDefault="00000F03" w:rsidP="00AB451F">
      <w:pPr>
        <w:pStyle w:val="ListBullet"/>
      </w:pPr>
      <w:r w:rsidRPr="009A2544">
        <w:t>before</w:t>
      </w:r>
      <w:r w:rsidR="008B5747" w:rsidRPr="009A2544">
        <w:t xml:space="preserve"> the current pregnancy. </w:t>
      </w:r>
    </w:p>
    <w:p w14:paraId="1E341049" w14:textId="1EAA9DA4" w:rsidR="00363175" w:rsidRDefault="008B5747" w:rsidP="006329C5">
      <w:r w:rsidRPr="009A2544">
        <w:t xml:space="preserve">Of the </w:t>
      </w:r>
      <w:r w:rsidR="00A411FB" w:rsidRPr="009A2544">
        <w:t>91</w:t>
      </w:r>
      <w:r w:rsidRPr="009A2544">
        <w:t xml:space="preserve"> women with data available</w:t>
      </w:r>
      <w:r w:rsidR="00962C43" w:rsidRPr="009A2544">
        <w:t>,</w:t>
      </w:r>
      <w:r w:rsidR="004460FA" w:rsidRPr="009A2544">
        <w:t xml:space="preserve"> 5</w:t>
      </w:r>
      <w:r w:rsidRPr="009A2544">
        <w:t xml:space="preserve"> (</w:t>
      </w:r>
      <w:r w:rsidR="004460FA" w:rsidRPr="009A2544">
        <w:t>5</w:t>
      </w:r>
      <w:r w:rsidRPr="009A2544">
        <w:t xml:space="preserve">%, </w:t>
      </w:r>
      <w:r w:rsidR="004460FA" w:rsidRPr="009A2544">
        <w:t>5</w:t>
      </w:r>
      <w:r w:rsidRPr="009A2544">
        <w:t>/</w:t>
      </w:r>
      <w:r w:rsidR="004460FA" w:rsidRPr="009A2544">
        <w:t>91</w:t>
      </w:r>
      <w:r w:rsidRPr="009A2544">
        <w:t xml:space="preserve">) reported being diagnosed with a previous syphilis infection during the current or </w:t>
      </w:r>
      <w:r w:rsidR="0022375B">
        <w:t xml:space="preserve">a </w:t>
      </w:r>
      <w:r w:rsidRPr="009A2544">
        <w:t>previous pregnancy</w:t>
      </w:r>
      <w:r w:rsidR="0091589C" w:rsidRPr="009A2544">
        <w:t xml:space="preserve">. </w:t>
      </w:r>
      <w:r w:rsidR="00EE1115" w:rsidRPr="009A2544">
        <w:t>Seven</w:t>
      </w:r>
      <w:r w:rsidR="00865184" w:rsidRPr="009A2544">
        <w:t xml:space="preserve"> wom</w:t>
      </w:r>
      <w:r w:rsidR="0066701C">
        <w:t>e</w:t>
      </w:r>
      <w:r w:rsidR="00865184" w:rsidRPr="009A2544">
        <w:t xml:space="preserve">n reported a </w:t>
      </w:r>
      <w:r w:rsidR="00F866A2" w:rsidRPr="009A2544">
        <w:t>hi</w:t>
      </w:r>
      <w:r w:rsidR="00D844FA" w:rsidRPr="009A2544">
        <w:t>storical syphilis infection</w:t>
      </w:r>
      <w:r w:rsidR="00EE1115" w:rsidRPr="009A2544">
        <w:t xml:space="preserve"> but were </w:t>
      </w:r>
      <w:r w:rsidR="003A459B" w:rsidRPr="009A2544">
        <w:t>not pregnant at diagnosis</w:t>
      </w:r>
      <w:r w:rsidR="00EE1115" w:rsidRPr="009A2544">
        <w:t>,</w:t>
      </w:r>
      <w:r w:rsidR="003A459B" w:rsidRPr="009A2544">
        <w:t xml:space="preserve"> and 1 </w:t>
      </w:r>
      <w:r w:rsidR="00DD288A" w:rsidRPr="009A2544">
        <w:t xml:space="preserve">woman reported a historical </w:t>
      </w:r>
      <w:r w:rsidR="00E82587" w:rsidRPr="009A2544">
        <w:t>infection,</w:t>
      </w:r>
      <w:r w:rsidR="00DD288A" w:rsidRPr="009A2544">
        <w:t xml:space="preserve"> but it was</w:t>
      </w:r>
      <w:r w:rsidR="00AD6704" w:rsidRPr="009A2544">
        <w:t xml:space="preserve"> unknown if the woman was pregnant at </w:t>
      </w:r>
      <w:r w:rsidR="0065711B" w:rsidRPr="009A2544">
        <w:t>diagnosis. The</w:t>
      </w:r>
      <w:r w:rsidRPr="009A2544">
        <w:t xml:space="preserve"> remaining 7</w:t>
      </w:r>
      <w:r w:rsidR="00865008" w:rsidRPr="009A2544">
        <w:t>8</w:t>
      </w:r>
      <w:r w:rsidRPr="009A2544">
        <w:t xml:space="preserve"> cases (</w:t>
      </w:r>
      <w:r w:rsidR="00E82587" w:rsidRPr="009A2544">
        <w:t>86</w:t>
      </w:r>
      <w:r w:rsidRPr="009A2544">
        <w:t>%, 7</w:t>
      </w:r>
      <w:r w:rsidR="00E82587" w:rsidRPr="009A2544">
        <w:t>8</w:t>
      </w:r>
      <w:r w:rsidRPr="009A2544">
        <w:t>/</w:t>
      </w:r>
      <w:r w:rsidR="00E82587" w:rsidRPr="009A2544">
        <w:t>91</w:t>
      </w:r>
      <w:r w:rsidRPr="009A2544">
        <w:t>) did not report a previous syphilis infection prior to the current diagnosis.</w:t>
      </w:r>
    </w:p>
    <w:p w14:paraId="126E6ACE" w14:textId="77777777" w:rsidR="00363175" w:rsidRPr="00694CD0" w:rsidRDefault="00363175" w:rsidP="00694CD0">
      <w:r w:rsidRPr="00694CD0">
        <w:br w:type="page"/>
      </w:r>
    </w:p>
    <w:p w14:paraId="3507FD47" w14:textId="3B780E05" w:rsidR="001974EF" w:rsidRPr="009A2544" w:rsidRDefault="00835BCD" w:rsidP="00ED1614">
      <w:pPr>
        <w:pStyle w:val="Heading1"/>
      </w:pPr>
      <w:bookmarkStart w:id="73" w:name="_Toc241658062"/>
      <w:bookmarkStart w:id="74" w:name="_Toc218512929"/>
      <w:r w:rsidRPr="009A2544">
        <w:lastRenderedPageBreak/>
        <w:t>Notes</w:t>
      </w:r>
      <w:bookmarkEnd w:id="73"/>
    </w:p>
    <w:p w14:paraId="2076ACDC" w14:textId="738AF5E3" w:rsidR="00ED1614" w:rsidRPr="009A2544" w:rsidRDefault="00ED1614" w:rsidP="00835BCD">
      <w:pPr>
        <w:pStyle w:val="Heading2"/>
      </w:pPr>
      <w:bookmarkStart w:id="75" w:name="_Toc241658063"/>
      <w:r w:rsidRPr="009A2544">
        <w:t>Methodological notes</w:t>
      </w:r>
      <w:bookmarkEnd w:id="74"/>
      <w:bookmarkEnd w:id="75"/>
    </w:p>
    <w:p w14:paraId="03D23F4E" w14:textId="6A2A9F31" w:rsidR="00ED1614" w:rsidRPr="009A2544" w:rsidRDefault="00ED1614" w:rsidP="00677E3C">
      <w:bookmarkStart w:id="76" w:name="_Hlk149805975"/>
      <w:r w:rsidRPr="009A2544">
        <w:t xml:space="preserve">Syphilis notification and enhanced data were extracted from the NNDSS on </w:t>
      </w:r>
      <w:r w:rsidR="00E72E4F" w:rsidRPr="009A2544">
        <w:t>12 August</w:t>
      </w:r>
      <w:r w:rsidRPr="009A2544">
        <w:t xml:space="preserve"> 202</w:t>
      </w:r>
      <w:r w:rsidR="007A412A" w:rsidRPr="009A2544">
        <w:t>6</w:t>
      </w:r>
      <w:r w:rsidRPr="009A2544">
        <w:t xml:space="preserve">, by diagnosis date. Due to the dynamic nature of the NNDSS, data in this extract are subject to retrospective revision and may vary from data reported in published NNDSS reports and reports of notification data by states and territories. </w:t>
      </w:r>
      <w:bookmarkEnd w:id="76"/>
      <w:r w:rsidRPr="009A2544">
        <w:t xml:space="preserve">Data are to </w:t>
      </w:r>
      <w:r w:rsidR="002F7314" w:rsidRPr="009A2544">
        <w:t>31 March 2026</w:t>
      </w:r>
      <w:r w:rsidRPr="009A2544">
        <w:t xml:space="preserve"> unless otherwise specified.</w:t>
      </w:r>
    </w:p>
    <w:p w14:paraId="33D33C79" w14:textId="77777777" w:rsidR="00ED1614" w:rsidRPr="009A2544" w:rsidRDefault="00ED1614" w:rsidP="00677E3C">
      <w:r w:rsidRPr="009A2544">
        <w:t xml:space="preserve">In general, notification data represent only a proportion of the total cases occurring in the community, that is, only those cases for which health care was sought, a test conducted, and a diagnosis made, followed by a notification to health authorities. The degree of under-representation of all cases is unknown and is most likely variable by disease and jurisdiction. </w:t>
      </w:r>
    </w:p>
    <w:p w14:paraId="49C3BD15" w14:textId="482E8ECC" w:rsidR="00ED1614" w:rsidRPr="009A2544" w:rsidRDefault="00BD1946" w:rsidP="00677E3C">
      <w:r w:rsidRPr="009A2544">
        <w:t>C</w:t>
      </w:r>
      <w:r w:rsidR="00ED1614" w:rsidRPr="009A2544">
        <w:t>hanges in notifications over time may not solely reflect changes in disease prevalence or incidence. Changes in testing policies; screening programs including the preferential testing of high-risk populations; the use of less invasive and more sensitive diagnostic tests; and periodic awareness campaigns, may influence the number of notifications that occur annually.</w:t>
      </w:r>
    </w:p>
    <w:p w14:paraId="7539A146" w14:textId="77777777" w:rsidR="00ED1614" w:rsidRPr="009A2544" w:rsidRDefault="00ED1614" w:rsidP="00835BCD">
      <w:pPr>
        <w:pStyle w:val="Heading2"/>
      </w:pPr>
      <w:bookmarkStart w:id="77" w:name="_Toc218512930"/>
      <w:bookmarkStart w:id="78" w:name="_Toc241658064"/>
      <w:r w:rsidRPr="009A2544">
        <w:t>Data elements</w:t>
      </w:r>
      <w:bookmarkEnd w:id="77"/>
      <w:bookmarkEnd w:id="78"/>
    </w:p>
    <w:p w14:paraId="3EECE1AE" w14:textId="77777777" w:rsidR="00ED1614" w:rsidRPr="00677E3C" w:rsidRDefault="00ED1614" w:rsidP="00677E3C">
      <w:r w:rsidRPr="00677E3C">
        <w:t>‘Diagnosis year’ was used to define the period of analysis. This date represents either the onset date or where the date of onset was not known, the earliest of the specimen collection date, the notification date, or the notification received date.</w:t>
      </w:r>
    </w:p>
    <w:p w14:paraId="209AB5BE" w14:textId="77777777" w:rsidR="00ED1614" w:rsidRPr="009A2544" w:rsidRDefault="00ED1614" w:rsidP="00677E3C">
      <w:r w:rsidRPr="009A2544">
        <w:t>‘Residential postcode’ usually reflects the residential location of a case at the time of testing and does not necessarily represent the place where the disease was acquired.</w:t>
      </w:r>
    </w:p>
    <w:p w14:paraId="6A3AF238" w14:textId="77777777" w:rsidR="00ED1614" w:rsidRPr="009A2544" w:rsidRDefault="00ED1614" w:rsidP="00677E3C">
      <w:r w:rsidRPr="009A2544">
        <w:t>Residential postcode’ reported to the NNDSS was used to allocate notifications of infectious and congenital syphilis to remoteness areas and mapped data by Statistical Area 3 (SA3) (as defined by the Australian Bureau of Statistics). Where a postcode was not reported the notification was excluded from remoteness area, SA3 and IARE analysis.</w:t>
      </w:r>
    </w:p>
    <w:p w14:paraId="726B3106" w14:textId="77777777" w:rsidR="00ED1614" w:rsidRPr="009A2544" w:rsidRDefault="00ED1614" w:rsidP="00677E3C">
      <w:r w:rsidRPr="009A2544">
        <w:t>The ‘population denominator’ used to calculate notification rates, including for remoteness areas, SA3 and IARE (per 100,000 population) was extracted from the Australian Bureau of Statistics Census Table Builder (based on 2021 Census data).</w:t>
      </w:r>
    </w:p>
    <w:p w14:paraId="1544957D" w14:textId="53FFD137" w:rsidR="00ED1614" w:rsidRPr="009A2544" w:rsidRDefault="00ED1614" w:rsidP="00677E3C">
      <w:r w:rsidRPr="009A2544">
        <w:t xml:space="preserve">The determination of the Indigenous status is by descent, self-identification, and community acceptance. </w:t>
      </w:r>
      <w:r w:rsidR="00BD1946" w:rsidRPr="009A2544">
        <w:t>C</w:t>
      </w:r>
      <w:r w:rsidRPr="009A2544">
        <w:t xml:space="preserve">ompleteness of the Indigenous status field is generally high, </w:t>
      </w:r>
      <w:r w:rsidR="00BD1946" w:rsidRPr="009A2544">
        <w:t xml:space="preserve">with variations </w:t>
      </w:r>
      <w:r w:rsidRPr="009A2544">
        <w:t xml:space="preserve">from year to year and jurisdiction to jurisdiction. </w:t>
      </w:r>
    </w:p>
    <w:p w14:paraId="03279BE1" w14:textId="6AD7C5CD" w:rsidR="00ED1614" w:rsidRPr="009A2544" w:rsidRDefault="00ED1614" w:rsidP="00677E3C">
      <w:r w:rsidRPr="009A2544">
        <w:lastRenderedPageBreak/>
        <w:t>‘Syphilis testi</w:t>
      </w:r>
      <w:r w:rsidRPr="00677E3C">
        <w:t>ng data’ have been provided by participating ACCHS. A participating service refers to clinics currently funded by the Australian Government Department of Health, Disability and Ageing</w:t>
      </w:r>
      <w:r w:rsidR="00962C43" w:rsidRPr="00677E3C">
        <w:t xml:space="preserve"> </w:t>
      </w:r>
      <w:r w:rsidRPr="00677E3C">
        <w:t xml:space="preserve">to deliver point of care testing in syphilis outbreak regions. Services extract data from local clinical information management systems. Data are provided for the reporting month, and cumulatively for the previous 12 months. ‘Testing coverage’ is calculated using as the denominator ‘clients attending the service’ (a participating </w:t>
      </w:r>
      <w:r w:rsidRPr="009A2544">
        <w:t>ACCHS) during the reporting period.</w:t>
      </w:r>
    </w:p>
    <w:p w14:paraId="2193B472" w14:textId="77777777" w:rsidR="00ED1614" w:rsidRPr="009A2544" w:rsidRDefault="00ED1614" w:rsidP="00835BCD">
      <w:pPr>
        <w:pStyle w:val="Heading2"/>
      </w:pPr>
      <w:bookmarkStart w:id="79" w:name="_Toc218512931"/>
      <w:bookmarkStart w:id="80" w:name="_Toc241658065"/>
      <w:r w:rsidRPr="009A2544">
        <w:t>Case definitions</w:t>
      </w:r>
      <w:bookmarkEnd w:id="79"/>
      <w:bookmarkEnd w:id="80"/>
    </w:p>
    <w:p w14:paraId="3A7E4B9D" w14:textId="77777777" w:rsidR="00ED1614" w:rsidRPr="009A2544" w:rsidRDefault="00ED1614" w:rsidP="00ED1614">
      <w:r w:rsidRPr="009A2544">
        <w:t xml:space="preserve">The CDNA national surveillance case definitions for infectious and congenital syphilis, including any historical edits, are available at: </w:t>
      </w:r>
      <w:hyperlink r:id="rId44" w:history="1">
        <w:r w:rsidRPr="009A2544">
          <w:rPr>
            <w:rStyle w:val="Hyperlink"/>
          </w:rPr>
          <w:t>https://www.health.gov.au/casedefinitions.</w:t>
        </w:r>
      </w:hyperlink>
    </w:p>
    <w:p w14:paraId="1A279A7B" w14:textId="18FDB968" w:rsidR="00ED1614" w:rsidRPr="009A2544" w:rsidRDefault="00ED1614" w:rsidP="00835BCD">
      <w:pPr>
        <w:pStyle w:val="Heading2"/>
      </w:pPr>
      <w:bookmarkStart w:id="81" w:name="_Toc218512932"/>
      <w:bookmarkStart w:id="82" w:name="_Toc241658066"/>
      <w:r w:rsidRPr="009A2544">
        <w:t>Acknowledgements</w:t>
      </w:r>
      <w:bookmarkEnd w:id="81"/>
      <w:bookmarkEnd w:id="82"/>
    </w:p>
    <w:p w14:paraId="7C5E2F5B" w14:textId="77777777" w:rsidR="00ED1614" w:rsidRPr="009A2544" w:rsidRDefault="00ED1614" w:rsidP="00ED1614">
      <w:r w:rsidRPr="009A2544">
        <w:t xml:space="preserve">We, the Australian Centre for Disease Control, acknowledge the Traditional Owners and Custodians of Country throughout Australia. We recognise the strength and resilience of Aboriginal and Torres Strait Islander peoples and acknowledge and respect their continuing connections and relationships to country, rivers, land and sea. We acknowledge the ongoing contribution Aboriginal and Torres Strait Islander peoples make across the </w:t>
      </w:r>
      <w:proofErr w:type="gramStart"/>
      <w:r w:rsidRPr="009A2544">
        <w:t>Health</w:t>
      </w:r>
      <w:proofErr w:type="gramEnd"/>
      <w:r w:rsidRPr="009A2544">
        <w:t xml:space="preserve"> system and wider community. We also pay our respects to Elders past, present and future and extend that respect to all Traditional Custodians of this land.</w:t>
      </w:r>
    </w:p>
    <w:p w14:paraId="444BAB9F" w14:textId="123AF11B" w:rsidR="00ED1614" w:rsidRPr="009A2544" w:rsidRDefault="00ED1614" w:rsidP="00ED1614">
      <w:r w:rsidRPr="009A2544">
        <w:t>The Australian Centre for Disease Control acknowledges the Communicable Diseases Network Australia; the work of public health officers involved in the collection of surveillance data; state and territory public health communicable disease surveillance managers and data managers; Aboriginal Community Controlled Health Services, and; all public and private laboratories that support laboratory surveillance in Australia</w:t>
      </w:r>
      <w:r w:rsidR="00EB74A8" w:rsidRPr="009A2544">
        <w:t>.</w:t>
      </w:r>
    </w:p>
    <w:p w14:paraId="2603CC74" w14:textId="77777777" w:rsidR="00ED1614" w:rsidRPr="009A2544" w:rsidRDefault="00ED1614" w:rsidP="00835BCD">
      <w:pPr>
        <w:pStyle w:val="Heading2"/>
      </w:pPr>
      <w:bookmarkStart w:id="83" w:name="_Toc218512933"/>
      <w:bookmarkStart w:id="84" w:name="_Toc241658067"/>
      <w:r w:rsidRPr="009A2544">
        <w:t>Contact</w:t>
      </w:r>
      <w:bookmarkEnd w:id="83"/>
      <w:bookmarkEnd w:id="84"/>
    </w:p>
    <w:p w14:paraId="459E0614" w14:textId="08F59CDE" w:rsidR="00C735FA" w:rsidRPr="009A2544" w:rsidRDefault="00ED1614" w:rsidP="00DF3CAA">
      <w:pPr>
        <w:sectPr w:rsidR="00C735FA" w:rsidRPr="009A2544" w:rsidSect="005F0659">
          <w:pgSz w:w="11900" w:h="16840" w:code="9"/>
          <w:pgMar w:top="1134" w:right="1134" w:bottom="1134" w:left="1134" w:header="709" w:footer="425" w:gutter="0"/>
          <w:cols w:space="708"/>
          <w:docGrid w:linePitch="360"/>
        </w:sectPr>
      </w:pPr>
      <w:r w:rsidRPr="009A2544">
        <w:t xml:space="preserve">For any further details about information contained in this report please contact Ms Amy Bright by emailing </w:t>
      </w:r>
      <w:hyperlink r:id="rId45" w:history="1">
        <w:r w:rsidR="00835BCD" w:rsidRPr="009A2544">
          <w:rPr>
            <w:rStyle w:val="Hyperlink"/>
          </w:rPr>
          <w:t>syphilis.surveillance@cdc.gov.au</w:t>
        </w:r>
      </w:hyperlink>
      <w:r w:rsidR="00835BCD" w:rsidRPr="009A2544">
        <w:t xml:space="preserve">. </w:t>
      </w:r>
    </w:p>
    <w:p w14:paraId="6876B5A7" w14:textId="70712220" w:rsidR="00FF1282" w:rsidRPr="009A2544" w:rsidRDefault="00C073A1" w:rsidP="00C777BF">
      <w:pPr>
        <w:pStyle w:val="Heading1"/>
      </w:pPr>
      <w:bookmarkStart w:id="85" w:name="_Appendix_A_–"/>
      <w:bookmarkStart w:id="86" w:name="_Toc241658068"/>
      <w:bookmarkEnd w:id="85"/>
      <w:r w:rsidRPr="009A2544">
        <w:lastRenderedPageBreak/>
        <w:t>Appendix A –</w:t>
      </w:r>
      <w:r w:rsidR="00C777BF" w:rsidRPr="009A2544">
        <w:t xml:space="preserve"> Goals and indicators r</w:t>
      </w:r>
      <w:r w:rsidRPr="009A2544">
        <w:t>eporting schedule</w:t>
      </w:r>
      <w:bookmarkEnd w:id="86"/>
    </w:p>
    <w:tbl>
      <w:tblPr>
        <w:tblStyle w:val="TableGrid"/>
        <w:tblW w:w="14596" w:type="dxa"/>
        <w:tblLayout w:type="fixed"/>
        <w:tblLook w:val="04A0" w:firstRow="1" w:lastRow="0" w:firstColumn="1" w:lastColumn="0" w:noHBand="0" w:noVBand="1"/>
      </w:tblPr>
      <w:tblGrid>
        <w:gridCol w:w="1843"/>
        <w:gridCol w:w="10626"/>
        <w:gridCol w:w="2127"/>
      </w:tblGrid>
      <w:tr w:rsidR="00FC0E47" w:rsidRPr="00AB451F" w14:paraId="3743DD9B" w14:textId="77777777" w:rsidTr="00AB451F">
        <w:trPr>
          <w:trHeight w:val="20"/>
          <w:tblHeader/>
        </w:trPr>
        <w:tc>
          <w:tcPr>
            <w:tcW w:w="1843" w:type="dxa"/>
            <w:shd w:val="clear" w:color="auto" w:fill="025F5D"/>
          </w:tcPr>
          <w:p w14:paraId="2B94D238" w14:textId="29D4CE6D" w:rsidR="00FC0E47" w:rsidRPr="00AB451F" w:rsidRDefault="00FC0E47" w:rsidP="00C33651">
            <w:pPr>
              <w:pStyle w:val="Tableheaderrowwhite"/>
            </w:pPr>
            <w:r w:rsidRPr="00AB451F">
              <w:t>Indicator</w:t>
            </w:r>
            <w:r w:rsidR="00745726" w:rsidRPr="00AB451F">
              <w:t xml:space="preserve"> number</w:t>
            </w:r>
          </w:p>
        </w:tc>
        <w:tc>
          <w:tcPr>
            <w:tcW w:w="10626" w:type="dxa"/>
            <w:shd w:val="clear" w:color="auto" w:fill="025F5D"/>
          </w:tcPr>
          <w:p w14:paraId="5979B658" w14:textId="7ECAB1BE" w:rsidR="00FC0E47" w:rsidRPr="00AB451F" w:rsidRDefault="00745726" w:rsidP="00C33651">
            <w:pPr>
              <w:pStyle w:val="Tableheaderrowwhite"/>
            </w:pPr>
            <w:r w:rsidRPr="00AB451F">
              <w:t>Indicator</w:t>
            </w:r>
          </w:p>
        </w:tc>
        <w:tc>
          <w:tcPr>
            <w:tcW w:w="2127" w:type="dxa"/>
            <w:shd w:val="clear" w:color="auto" w:fill="025F5D"/>
          </w:tcPr>
          <w:p w14:paraId="2D552A48" w14:textId="75149568" w:rsidR="00FC0E47" w:rsidRPr="00AB451F" w:rsidRDefault="000C0480" w:rsidP="00C33651">
            <w:pPr>
              <w:pStyle w:val="Tableheaderrowwhite"/>
            </w:pPr>
            <w:r w:rsidRPr="00AB451F">
              <w:t>Reporting</w:t>
            </w:r>
          </w:p>
        </w:tc>
      </w:tr>
      <w:tr w:rsidR="008F0612" w:rsidRPr="00AB451F" w14:paraId="4C80D44B" w14:textId="77777777" w:rsidTr="00AB451F">
        <w:trPr>
          <w:trHeight w:val="20"/>
        </w:trPr>
        <w:tc>
          <w:tcPr>
            <w:tcW w:w="14596" w:type="dxa"/>
            <w:gridSpan w:val="3"/>
            <w:shd w:val="clear" w:color="auto" w:fill="00DCA1"/>
          </w:tcPr>
          <w:p w14:paraId="2C5B7AC0" w14:textId="16CCE14D" w:rsidR="008F0612" w:rsidRPr="00733B0F" w:rsidRDefault="00B7156E" w:rsidP="00733B0F">
            <w:pPr>
              <w:pStyle w:val="Tableheadingcentred"/>
            </w:pPr>
            <w:r w:rsidRPr="00733B0F">
              <w:t>Goal 1 – Strengthen prevention and testing strategies for syphilis in priority populations and settings, targeting high-burden areas</w:t>
            </w:r>
          </w:p>
        </w:tc>
      </w:tr>
      <w:tr w:rsidR="00745726" w:rsidRPr="00AB451F" w14:paraId="2CB49CBD" w14:textId="77777777" w:rsidTr="00AB451F">
        <w:trPr>
          <w:trHeight w:val="20"/>
        </w:trPr>
        <w:tc>
          <w:tcPr>
            <w:tcW w:w="1843" w:type="dxa"/>
          </w:tcPr>
          <w:p w14:paraId="055D1219" w14:textId="651D9EB1" w:rsidR="00745726" w:rsidRPr="00AB451F" w:rsidRDefault="00B7156E" w:rsidP="00991310">
            <w:pPr>
              <w:pStyle w:val="Tabletextleft"/>
            </w:pPr>
            <w:r w:rsidRPr="00AB451F">
              <w:t>1.1</w:t>
            </w:r>
          </w:p>
        </w:tc>
        <w:tc>
          <w:tcPr>
            <w:tcW w:w="10626" w:type="dxa"/>
          </w:tcPr>
          <w:p w14:paraId="40A35ABB" w14:textId="318A015E" w:rsidR="00745726" w:rsidRPr="00AB451F" w:rsidRDefault="00535361" w:rsidP="00991310">
            <w:pPr>
              <w:pStyle w:val="Tabletextleft"/>
            </w:pPr>
            <w:r w:rsidRPr="00AB451F">
              <w:t>Reported risk factors for people giving birth to an infant with congenital syphilis</w:t>
            </w:r>
          </w:p>
        </w:tc>
        <w:tc>
          <w:tcPr>
            <w:tcW w:w="2127" w:type="dxa"/>
          </w:tcPr>
          <w:p w14:paraId="08D9F5BA" w14:textId="615F7AD7" w:rsidR="00745726" w:rsidRPr="00AB451F" w:rsidRDefault="00B7156E" w:rsidP="00991310">
            <w:pPr>
              <w:pStyle w:val="Tabletextleft"/>
            </w:pPr>
            <w:r w:rsidRPr="00AB451F">
              <w:t>Annually</w:t>
            </w:r>
          </w:p>
        </w:tc>
      </w:tr>
      <w:tr w:rsidR="00B7156E" w:rsidRPr="00AB451F" w14:paraId="3216F0B9" w14:textId="77777777" w:rsidTr="00AB451F">
        <w:trPr>
          <w:trHeight w:val="20"/>
        </w:trPr>
        <w:tc>
          <w:tcPr>
            <w:tcW w:w="1843" w:type="dxa"/>
          </w:tcPr>
          <w:p w14:paraId="688AA5BB" w14:textId="43208C20" w:rsidR="00B7156E" w:rsidRPr="00AB451F" w:rsidRDefault="00B7156E" w:rsidP="00991310">
            <w:pPr>
              <w:pStyle w:val="Tabletextleft"/>
            </w:pPr>
            <w:r w:rsidRPr="00AB451F">
              <w:t>1.2</w:t>
            </w:r>
          </w:p>
        </w:tc>
        <w:tc>
          <w:tcPr>
            <w:tcW w:w="10626" w:type="dxa"/>
          </w:tcPr>
          <w:p w14:paraId="2A04EA8D" w14:textId="0D1AAF7F" w:rsidR="00B7156E" w:rsidRPr="00AB451F" w:rsidRDefault="00247CBA" w:rsidP="00991310">
            <w:pPr>
              <w:pStyle w:val="Tabletextleft"/>
            </w:pPr>
            <w:r w:rsidRPr="00AB451F">
              <w:t>Cumulative number of syphilis tests delivered through participating ACCHS, by target and total population</w:t>
            </w:r>
          </w:p>
        </w:tc>
        <w:tc>
          <w:tcPr>
            <w:tcW w:w="2127" w:type="dxa"/>
          </w:tcPr>
          <w:p w14:paraId="19A6E11E" w14:textId="6B975E7B" w:rsidR="00B7156E" w:rsidRPr="00AB451F" w:rsidRDefault="00B7156E" w:rsidP="00991310">
            <w:pPr>
              <w:pStyle w:val="Tabletextleft"/>
            </w:pPr>
            <w:r w:rsidRPr="00AB451F">
              <w:t>Quarterly</w:t>
            </w:r>
          </w:p>
        </w:tc>
      </w:tr>
      <w:tr w:rsidR="00B7156E" w:rsidRPr="00AB451F" w14:paraId="56029D6E" w14:textId="77777777" w:rsidTr="00AB451F">
        <w:trPr>
          <w:trHeight w:val="20"/>
        </w:trPr>
        <w:tc>
          <w:tcPr>
            <w:tcW w:w="1843" w:type="dxa"/>
          </w:tcPr>
          <w:p w14:paraId="3CD59F2F" w14:textId="36E3EB67" w:rsidR="00B7156E" w:rsidRPr="00AB451F" w:rsidRDefault="00B7156E" w:rsidP="00991310">
            <w:pPr>
              <w:pStyle w:val="Tabletextleft"/>
            </w:pPr>
            <w:r w:rsidRPr="00AB451F">
              <w:t>1.3</w:t>
            </w:r>
          </w:p>
        </w:tc>
        <w:tc>
          <w:tcPr>
            <w:tcW w:w="10626" w:type="dxa"/>
          </w:tcPr>
          <w:p w14:paraId="6A48AEE1" w14:textId="2291E843" w:rsidR="00B7156E" w:rsidRPr="00AB451F" w:rsidRDefault="004D1DA5" w:rsidP="00991310">
            <w:pPr>
              <w:pStyle w:val="Tabletextleft"/>
            </w:pPr>
            <w:r w:rsidRPr="00AB451F">
              <w:t>Proportion of people attending participating ACCHS receiving a syphilis test within the previous 12 months, by target and total population (syphilis testing coverage)</w:t>
            </w:r>
          </w:p>
        </w:tc>
        <w:tc>
          <w:tcPr>
            <w:tcW w:w="2127" w:type="dxa"/>
          </w:tcPr>
          <w:p w14:paraId="0169E1A8" w14:textId="519C5BD9" w:rsidR="00B7156E" w:rsidRPr="00AB451F" w:rsidRDefault="00B7156E" w:rsidP="00991310">
            <w:pPr>
              <w:pStyle w:val="Tabletextleft"/>
            </w:pPr>
            <w:r w:rsidRPr="00AB451F">
              <w:t>Quarterly</w:t>
            </w:r>
          </w:p>
        </w:tc>
      </w:tr>
      <w:tr w:rsidR="00B7156E" w:rsidRPr="00AB451F" w14:paraId="7D0E7FE2" w14:textId="77777777" w:rsidTr="00AB451F">
        <w:trPr>
          <w:trHeight w:val="20"/>
        </w:trPr>
        <w:tc>
          <w:tcPr>
            <w:tcW w:w="1843" w:type="dxa"/>
          </w:tcPr>
          <w:p w14:paraId="71DC3E78" w14:textId="7806971B" w:rsidR="00B7156E" w:rsidRPr="00AB451F" w:rsidRDefault="00B7156E" w:rsidP="00991310">
            <w:pPr>
              <w:pStyle w:val="Tabletextleft"/>
            </w:pPr>
            <w:r w:rsidRPr="00AB451F">
              <w:t>1.4</w:t>
            </w:r>
          </w:p>
        </w:tc>
        <w:tc>
          <w:tcPr>
            <w:tcW w:w="10626" w:type="dxa"/>
          </w:tcPr>
          <w:p w14:paraId="29558073" w14:textId="4D85F304" w:rsidR="00B7156E" w:rsidRPr="00AB451F" w:rsidRDefault="00BF1812" w:rsidP="00991310">
            <w:pPr>
              <w:pStyle w:val="Tabletextleft"/>
            </w:pPr>
            <w:r w:rsidRPr="00AB451F">
              <w:t>Proportion of people from priority populations tested for syphilis in the previous 12 months attending a site within the ACCESS network</w:t>
            </w:r>
          </w:p>
        </w:tc>
        <w:tc>
          <w:tcPr>
            <w:tcW w:w="2127" w:type="dxa"/>
          </w:tcPr>
          <w:p w14:paraId="502D832F" w14:textId="5FAFD02D" w:rsidR="00B7156E" w:rsidRPr="00AB451F" w:rsidRDefault="00B7156E" w:rsidP="00991310">
            <w:pPr>
              <w:pStyle w:val="Tabletextleft"/>
            </w:pPr>
            <w:r w:rsidRPr="00AB451F">
              <w:t>Annually</w:t>
            </w:r>
          </w:p>
        </w:tc>
      </w:tr>
      <w:tr w:rsidR="00B7156E" w:rsidRPr="00AB451F" w14:paraId="0E889E3A" w14:textId="77777777" w:rsidTr="00AB451F">
        <w:trPr>
          <w:trHeight w:val="20"/>
        </w:trPr>
        <w:tc>
          <w:tcPr>
            <w:tcW w:w="1843" w:type="dxa"/>
          </w:tcPr>
          <w:p w14:paraId="1B9767E6" w14:textId="71857E27" w:rsidR="00B7156E" w:rsidRPr="00AB451F" w:rsidRDefault="00B7156E" w:rsidP="00991310">
            <w:pPr>
              <w:pStyle w:val="Tabletextleft"/>
            </w:pPr>
            <w:r w:rsidRPr="00AB451F">
              <w:t>1.5</w:t>
            </w:r>
          </w:p>
        </w:tc>
        <w:tc>
          <w:tcPr>
            <w:tcW w:w="10626" w:type="dxa"/>
          </w:tcPr>
          <w:p w14:paraId="1A799D87" w14:textId="2499FB3F" w:rsidR="00B7156E" w:rsidRPr="00AB451F" w:rsidRDefault="009F0AB8" w:rsidP="00991310">
            <w:pPr>
              <w:pStyle w:val="Tabletextleft"/>
            </w:pPr>
            <w:r w:rsidRPr="00AB451F">
              <w:t>Proportion of gay and bisexual men who have sex with men who have been tested for syphilis three or more times in the previous 12 months attending a site within the ACCESS network</w:t>
            </w:r>
          </w:p>
        </w:tc>
        <w:tc>
          <w:tcPr>
            <w:tcW w:w="2127" w:type="dxa"/>
          </w:tcPr>
          <w:p w14:paraId="469CF5A5" w14:textId="14AC2679" w:rsidR="00B7156E" w:rsidRPr="00AB451F" w:rsidRDefault="00B7156E" w:rsidP="00991310">
            <w:pPr>
              <w:pStyle w:val="Tabletextleft"/>
            </w:pPr>
            <w:r w:rsidRPr="00AB451F">
              <w:t>Annually</w:t>
            </w:r>
          </w:p>
        </w:tc>
      </w:tr>
      <w:tr w:rsidR="00B7156E" w:rsidRPr="00AB451F" w14:paraId="11AEDF07" w14:textId="77777777" w:rsidTr="00AB451F">
        <w:trPr>
          <w:trHeight w:val="20"/>
        </w:trPr>
        <w:tc>
          <w:tcPr>
            <w:tcW w:w="1843" w:type="dxa"/>
          </w:tcPr>
          <w:p w14:paraId="1CDC05C3" w14:textId="4CA7F89E" w:rsidR="00B7156E" w:rsidRPr="00AB451F" w:rsidRDefault="00B7156E" w:rsidP="00991310">
            <w:pPr>
              <w:pStyle w:val="Tabletextleft"/>
            </w:pPr>
            <w:r w:rsidRPr="00AB451F">
              <w:t>1.6</w:t>
            </w:r>
          </w:p>
        </w:tc>
        <w:tc>
          <w:tcPr>
            <w:tcW w:w="10626" w:type="dxa"/>
          </w:tcPr>
          <w:p w14:paraId="3FD5C688" w14:textId="359556A0" w:rsidR="00B7156E" w:rsidRPr="00AB451F" w:rsidRDefault="009D025B" w:rsidP="00991310">
            <w:pPr>
              <w:pStyle w:val="Tabletextleft"/>
            </w:pPr>
            <w:r w:rsidRPr="00AB451F">
              <w:t>Proportion of women who gave birth, by duration of pregnancy at first antenatal visit</w:t>
            </w:r>
          </w:p>
        </w:tc>
        <w:tc>
          <w:tcPr>
            <w:tcW w:w="2127" w:type="dxa"/>
          </w:tcPr>
          <w:p w14:paraId="072E2E32" w14:textId="2B4CB39E" w:rsidR="00B7156E" w:rsidRPr="00AB451F" w:rsidRDefault="00B7156E" w:rsidP="00991310">
            <w:pPr>
              <w:pStyle w:val="Tabletextleft"/>
            </w:pPr>
            <w:r w:rsidRPr="00AB451F">
              <w:t>Annually</w:t>
            </w:r>
          </w:p>
        </w:tc>
      </w:tr>
      <w:tr w:rsidR="00B7156E" w:rsidRPr="00AB451F" w14:paraId="05AEC7B7" w14:textId="77777777" w:rsidTr="00AB451F">
        <w:trPr>
          <w:trHeight w:val="20"/>
        </w:trPr>
        <w:tc>
          <w:tcPr>
            <w:tcW w:w="1843" w:type="dxa"/>
          </w:tcPr>
          <w:p w14:paraId="0FCB0527" w14:textId="1AE51125" w:rsidR="00B7156E" w:rsidRPr="00AB451F" w:rsidRDefault="00B7156E" w:rsidP="00991310">
            <w:pPr>
              <w:pStyle w:val="Tabletextleft"/>
            </w:pPr>
            <w:r w:rsidRPr="00AB451F">
              <w:t>1.7</w:t>
            </w:r>
          </w:p>
        </w:tc>
        <w:tc>
          <w:tcPr>
            <w:tcW w:w="10626" w:type="dxa"/>
          </w:tcPr>
          <w:p w14:paraId="7A917538" w14:textId="3D05A151" w:rsidR="00B7156E" w:rsidRPr="00AB451F" w:rsidRDefault="008D073A" w:rsidP="00991310">
            <w:pPr>
              <w:pStyle w:val="Tabletextleft"/>
            </w:pPr>
            <w:r w:rsidRPr="00AB451F">
              <w:t>Proportion of women who gave birth, by duration of pregnancy at first antenatal visit</w:t>
            </w:r>
            <w:r w:rsidR="000B0ADE" w:rsidRPr="00AB451F">
              <w:t>, by remoteness area</w:t>
            </w:r>
          </w:p>
        </w:tc>
        <w:tc>
          <w:tcPr>
            <w:tcW w:w="2127" w:type="dxa"/>
          </w:tcPr>
          <w:p w14:paraId="394ACD32" w14:textId="38938F10" w:rsidR="00B7156E" w:rsidRPr="00AB451F" w:rsidRDefault="00B7156E" w:rsidP="00991310">
            <w:pPr>
              <w:pStyle w:val="Tabletextleft"/>
            </w:pPr>
            <w:r w:rsidRPr="00AB451F">
              <w:t>Annually</w:t>
            </w:r>
          </w:p>
        </w:tc>
      </w:tr>
      <w:tr w:rsidR="00B7156E" w:rsidRPr="00AB451F" w14:paraId="695021DC" w14:textId="77777777" w:rsidTr="00AB451F">
        <w:trPr>
          <w:trHeight w:val="20"/>
        </w:trPr>
        <w:tc>
          <w:tcPr>
            <w:tcW w:w="1843" w:type="dxa"/>
          </w:tcPr>
          <w:p w14:paraId="1F303E74" w14:textId="37E0B838" w:rsidR="00B7156E" w:rsidRPr="00AB451F" w:rsidRDefault="00B7156E" w:rsidP="00991310">
            <w:pPr>
              <w:pStyle w:val="Tabletextleft"/>
            </w:pPr>
            <w:r w:rsidRPr="00AB451F">
              <w:t>1.8</w:t>
            </w:r>
          </w:p>
        </w:tc>
        <w:tc>
          <w:tcPr>
            <w:tcW w:w="10626" w:type="dxa"/>
          </w:tcPr>
          <w:p w14:paraId="18D8B039" w14:textId="162ECF84" w:rsidR="00B7156E" w:rsidRPr="00AB451F" w:rsidRDefault="006C3634" w:rsidP="00991310">
            <w:pPr>
              <w:pStyle w:val="Tabletextleft"/>
            </w:pPr>
            <w:r w:rsidRPr="00AB451F">
              <w:t>Proportion of women who gave birth, by number of antenatal visits</w:t>
            </w:r>
          </w:p>
        </w:tc>
        <w:tc>
          <w:tcPr>
            <w:tcW w:w="2127" w:type="dxa"/>
          </w:tcPr>
          <w:p w14:paraId="4BED4A81" w14:textId="0FE42A6A" w:rsidR="00B7156E" w:rsidRPr="00AB451F" w:rsidRDefault="00B7156E" w:rsidP="00991310">
            <w:pPr>
              <w:pStyle w:val="Tabletextleft"/>
            </w:pPr>
            <w:r w:rsidRPr="00AB451F">
              <w:t>Annually</w:t>
            </w:r>
          </w:p>
        </w:tc>
      </w:tr>
      <w:tr w:rsidR="00B7156E" w:rsidRPr="00AB451F" w14:paraId="3EBBAE21" w14:textId="77777777" w:rsidTr="00AB451F">
        <w:trPr>
          <w:trHeight w:val="20"/>
        </w:trPr>
        <w:tc>
          <w:tcPr>
            <w:tcW w:w="1843" w:type="dxa"/>
          </w:tcPr>
          <w:p w14:paraId="2E9D5162" w14:textId="107F3C23" w:rsidR="00B7156E" w:rsidRPr="00AB451F" w:rsidRDefault="00B7156E" w:rsidP="00991310">
            <w:pPr>
              <w:pStyle w:val="Tabletextleft"/>
            </w:pPr>
            <w:r w:rsidRPr="00AB451F">
              <w:t>1.9</w:t>
            </w:r>
          </w:p>
        </w:tc>
        <w:tc>
          <w:tcPr>
            <w:tcW w:w="10626" w:type="dxa"/>
          </w:tcPr>
          <w:p w14:paraId="6447F564" w14:textId="1E6D4223" w:rsidR="00B7156E" w:rsidRPr="00AB451F" w:rsidRDefault="00522170" w:rsidP="00991310">
            <w:pPr>
              <w:pStyle w:val="Tabletextleft"/>
            </w:pPr>
            <w:r w:rsidRPr="00AB451F">
              <w:t>Proportion of women who gave birth, by number of antenatal visits, by remoteness area</w:t>
            </w:r>
          </w:p>
        </w:tc>
        <w:tc>
          <w:tcPr>
            <w:tcW w:w="2127" w:type="dxa"/>
          </w:tcPr>
          <w:p w14:paraId="379DE089" w14:textId="3F3BD091" w:rsidR="00B7156E" w:rsidRPr="00AB451F" w:rsidRDefault="00B7156E" w:rsidP="00991310">
            <w:pPr>
              <w:pStyle w:val="Tabletextleft"/>
            </w:pPr>
            <w:r w:rsidRPr="00AB451F">
              <w:t>Annually</w:t>
            </w:r>
          </w:p>
        </w:tc>
      </w:tr>
      <w:tr w:rsidR="00B7156E" w:rsidRPr="00AB451F" w14:paraId="770C0B84" w14:textId="77777777" w:rsidTr="00AB451F">
        <w:trPr>
          <w:trHeight w:val="20"/>
        </w:trPr>
        <w:tc>
          <w:tcPr>
            <w:tcW w:w="1843" w:type="dxa"/>
          </w:tcPr>
          <w:p w14:paraId="505CB4D2" w14:textId="7059EA97" w:rsidR="00B7156E" w:rsidRPr="00AB451F" w:rsidRDefault="00B7156E" w:rsidP="00991310">
            <w:pPr>
              <w:pStyle w:val="Tabletextleft"/>
            </w:pPr>
            <w:r w:rsidRPr="00AB451F">
              <w:t>1.10</w:t>
            </w:r>
          </w:p>
        </w:tc>
        <w:tc>
          <w:tcPr>
            <w:tcW w:w="10626" w:type="dxa"/>
          </w:tcPr>
          <w:p w14:paraId="0F91B90E" w14:textId="77777777" w:rsidR="00B7156E" w:rsidRPr="00AB451F" w:rsidRDefault="00506CF9" w:rsidP="00991310">
            <w:pPr>
              <w:pStyle w:val="Tabletextleft"/>
            </w:pPr>
            <w:r w:rsidRPr="00AB451F">
              <w:t>Proportion of women who gave birth, by country of birth</w:t>
            </w:r>
          </w:p>
        </w:tc>
        <w:tc>
          <w:tcPr>
            <w:tcW w:w="2127" w:type="dxa"/>
          </w:tcPr>
          <w:p w14:paraId="6474FC9D" w14:textId="74BD1D05" w:rsidR="00B7156E" w:rsidRPr="00AB451F" w:rsidRDefault="00B7156E" w:rsidP="00991310">
            <w:pPr>
              <w:pStyle w:val="Tabletextleft"/>
            </w:pPr>
            <w:r w:rsidRPr="00AB451F">
              <w:t>Annually</w:t>
            </w:r>
          </w:p>
        </w:tc>
      </w:tr>
      <w:tr w:rsidR="00506CF9" w:rsidRPr="00AB451F" w14:paraId="2E39A5D6" w14:textId="77777777" w:rsidTr="00AB451F">
        <w:trPr>
          <w:trHeight w:val="20"/>
        </w:trPr>
        <w:tc>
          <w:tcPr>
            <w:tcW w:w="14596" w:type="dxa"/>
            <w:gridSpan w:val="3"/>
            <w:shd w:val="clear" w:color="auto" w:fill="00DCA1"/>
          </w:tcPr>
          <w:p w14:paraId="0F1831C2" w14:textId="7EEB4943" w:rsidR="00506CF9" w:rsidRPr="00733B0F" w:rsidRDefault="00CD49E5" w:rsidP="00733B0F">
            <w:pPr>
              <w:pStyle w:val="Tableheadingcentred"/>
            </w:pPr>
            <w:r w:rsidRPr="00733B0F">
              <w:t xml:space="preserve">Goal 2 </w:t>
            </w:r>
            <w:r w:rsidR="008862FB" w:rsidRPr="00733B0F">
              <w:t>–</w:t>
            </w:r>
            <w:r w:rsidRPr="00733B0F">
              <w:t xml:space="preserve"> Reduce ongoing transmission and incidence of syphilis across priority populations</w:t>
            </w:r>
          </w:p>
        </w:tc>
      </w:tr>
      <w:tr w:rsidR="00506CF9" w:rsidRPr="00AB451F" w14:paraId="464C54C2" w14:textId="77777777" w:rsidTr="00AB451F">
        <w:trPr>
          <w:trHeight w:val="20"/>
        </w:trPr>
        <w:tc>
          <w:tcPr>
            <w:tcW w:w="1843" w:type="dxa"/>
          </w:tcPr>
          <w:p w14:paraId="749BCBB8" w14:textId="69ABCC11" w:rsidR="00506CF9" w:rsidRPr="00AB451F" w:rsidRDefault="00CD49E5" w:rsidP="00991310">
            <w:pPr>
              <w:pStyle w:val="Tabletextleft"/>
            </w:pPr>
            <w:r w:rsidRPr="00AB451F">
              <w:t>2</w:t>
            </w:r>
            <w:r w:rsidR="00506CF9" w:rsidRPr="00AB451F">
              <w:t>.1</w:t>
            </w:r>
          </w:p>
        </w:tc>
        <w:tc>
          <w:tcPr>
            <w:tcW w:w="10626" w:type="dxa"/>
          </w:tcPr>
          <w:p w14:paraId="17E34EE7" w14:textId="0B50EBEF" w:rsidR="00506CF9" w:rsidRPr="00AB451F" w:rsidRDefault="003E1805" w:rsidP="00991310">
            <w:pPr>
              <w:pStyle w:val="Tabletextleft"/>
            </w:pPr>
            <w:r w:rsidRPr="00AB451F">
              <w:t>Notification rate of infectious syphilis by Indigenous status, sex, age and remoteness area classification</w:t>
            </w:r>
          </w:p>
        </w:tc>
        <w:tc>
          <w:tcPr>
            <w:tcW w:w="2127" w:type="dxa"/>
          </w:tcPr>
          <w:p w14:paraId="0656AD8B" w14:textId="73D7BB65" w:rsidR="00506CF9" w:rsidRPr="00AB451F" w:rsidRDefault="00CD49E5" w:rsidP="00991310">
            <w:pPr>
              <w:pStyle w:val="Tabletextleft"/>
            </w:pPr>
            <w:r w:rsidRPr="00AB451F">
              <w:t>Quarterly</w:t>
            </w:r>
          </w:p>
        </w:tc>
      </w:tr>
      <w:tr w:rsidR="00CD49E5" w:rsidRPr="00AB451F" w14:paraId="7C350D73" w14:textId="77777777" w:rsidTr="00AB451F">
        <w:trPr>
          <w:trHeight w:val="20"/>
        </w:trPr>
        <w:tc>
          <w:tcPr>
            <w:tcW w:w="1843" w:type="dxa"/>
          </w:tcPr>
          <w:p w14:paraId="1E20DF8A" w14:textId="4C013A08" w:rsidR="00CD49E5" w:rsidRPr="00AB451F" w:rsidRDefault="00CD49E5" w:rsidP="00991310">
            <w:pPr>
              <w:pStyle w:val="Tabletextleft"/>
            </w:pPr>
            <w:r w:rsidRPr="00AB451F">
              <w:t>2.2</w:t>
            </w:r>
          </w:p>
        </w:tc>
        <w:tc>
          <w:tcPr>
            <w:tcW w:w="10626" w:type="dxa"/>
          </w:tcPr>
          <w:p w14:paraId="6E2C68A7" w14:textId="7F6EA348" w:rsidR="00CD49E5" w:rsidRPr="00AB451F" w:rsidRDefault="00977A29" w:rsidP="00991310">
            <w:pPr>
              <w:pStyle w:val="Tabletextleft"/>
            </w:pPr>
            <w:r w:rsidRPr="00AB451F">
              <w:t>Notification rate of infectious syphilis in Aboriginal and Torres Strait Islander peoples by Indigenous Areas (IAREs)</w:t>
            </w:r>
          </w:p>
        </w:tc>
        <w:tc>
          <w:tcPr>
            <w:tcW w:w="2127" w:type="dxa"/>
          </w:tcPr>
          <w:p w14:paraId="38B7BF5C" w14:textId="1B9FE602" w:rsidR="00CD49E5" w:rsidRPr="00AB451F" w:rsidRDefault="00CD49E5" w:rsidP="00991310">
            <w:pPr>
              <w:pStyle w:val="Tabletextleft"/>
            </w:pPr>
            <w:r w:rsidRPr="00AB451F">
              <w:t>Quarterly</w:t>
            </w:r>
          </w:p>
        </w:tc>
      </w:tr>
      <w:tr w:rsidR="00CD49E5" w:rsidRPr="00AB451F" w14:paraId="2BBD1CFF" w14:textId="77777777" w:rsidTr="00AB451F">
        <w:trPr>
          <w:trHeight w:val="20"/>
        </w:trPr>
        <w:tc>
          <w:tcPr>
            <w:tcW w:w="1843" w:type="dxa"/>
          </w:tcPr>
          <w:p w14:paraId="0F95EE94" w14:textId="27305A3B" w:rsidR="00CD49E5" w:rsidRPr="00AB451F" w:rsidRDefault="00CD49E5" w:rsidP="00991310">
            <w:pPr>
              <w:pStyle w:val="Tabletextleft"/>
            </w:pPr>
            <w:r w:rsidRPr="00AB451F">
              <w:t>2.3</w:t>
            </w:r>
          </w:p>
        </w:tc>
        <w:tc>
          <w:tcPr>
            <w:tcW w:w="10626" w:type="dxa"/>
          </w:tcPr>
          <w:p w14:paraId="05EE6089" w14:textId="57F09641" w:rsidR="00CD49E5" w:rsidRPr="00AB451F" w:rsidRDefault="001D626B" w:rsidP="00991310">
            <w:pPr>
              <w:pStyle w:val="Tabletextleft"/>
            </w:pPr>
            <w:r w:rsidRPr="00AB451F">
              <w:t>Notification rate of infectious syphilis by Statistical Area 3 (SA3), by Indigenous status</w:t>
            </w:r>
          </w:p>
        </w:tc>
        <w:tc>
          <w:tcPr>
            <w:tcW w:w="2127" w:type="dxa"/>
          </w:tcPr>
          <w:p w14:paraId="24FA2729" w14:textId="60479971" w:rsidR="00CD49E5" w:rsidRPr="00AB451F" w:rsidRDefault="00CD49E5" w:rsidP="00991310">
            <w:pPr>
              <w:pStyle w:val="Tabletextleft"/>
            </w:pPr>
            <w:r w:rsidRPr="00AB451F">
              <w:t>Quarterly</w:t>
            </w:r>
          </w:p>
        </w:tc>
      </w:tr>
      <w:tr w:rsidR="00CD49E5" w:rsidRPr="00AB451F" w14:paraId="45E1FA60" w14:textId="77777777" w:rsidTr="00AB451F">
        <w:trPr>
          <w:trHeight w:val="20"/>
        </w:trPr>
        <w:tc>
          <w:tcPr>
            <w:tcW w:w="1843" w:type="dxa"/>
          </w:tcPr>
          <w:p w14:paraId="4F440755" w14:textId="45F94FBE" w:rsidR="00CD49E5" w:rsidRPr="00AB451F" w:rsidRDefault="00CD49E5" w:rsidP="00991310">
            <w:pPr>
              <w:pStyle w:val="Tabletextleft"/>
            </w:pPr>
            <w:r w:rsidRPr="00AB451F">
              <w:t>2.4</w:t>
            </w:r>
          </w:p>
        </w:tc>
        <w:tc>
          <w:tcPr>
            <w:tcW w:w="10626" w:type="dxa"/>
          </w:tcPr>
          <w:p w14:paraId="7FDA2F80" w14:textId="33D5BEA3" w:rsidR="00CD49E5" w:rsidRPr="00AB451F" w:rsidRDefault="007E0F77" w:rsidP="00991310">
            <w:pPr>
              <w:pStyle w:val="Tabletextleft"/>
            </w:pPr>
            <w:r w:rsidRPr="00AB451F">
              <w:t>Notification rate of infectious syphilis in women of reproductive age (15 to 44 years) by Indigenous status and remoteness area</w:t>
            </w:r>
          </w:p>
        </w:tc>
        <w:tc>
          <w:tcPr>
            <w:tcW w:w="2127" w:type="dxa"/>
          </w:tcPr>
          <w:p w14:paraId="705D49B8" w14:textId="35D65F2A" w:rsidR="00CD49E5" w:rsidRPr="00AB451F" w:rsidRDefault="00CD49E5" w:rsidP="00991310">
            <w:pPr>
              <w:pStyle w:val="Tabletextleft"/>
            </w:pPr>
            <w:r w:rsidRPr="00AB451F">
              <w:t>Quarterly</w:t>
            </w:r>
          </w:p>
        </w:tc>
      </w:tr>
      <w:tr w:rsidR="00CD49E5" w:rsidRPr="00AB451F" w14:paraId="066E7D07" w14:textId="77777777" w:rsidTr="00AB451F">
        <w:trPr>
          <w:trHeight w:val="20"/>
        </w:trPr>
        <w:tc>
          <w:tcPr>
            <w:tcW w:w="1843" w:type="dxa"/>
          </w:tcPr>
          <w:p w14:paraId="27E20556" w14:textId="550BE1DF" w:rsidR="00CD49E5" w:rsidRPr="00AB451F" w:rsidRDefault="00CD49E5" w:rsidP="00991310">
            <w:pPr>
              <w:pStyle w:val="Tabletextleft"/>
            </w:pPr>
            <w:r w:rsidRPr="00AB451F">
              <w:t>2.5</w:t>
            </w:r>
          </w:p>
        </w:tc>
        <w:tc>
          <w:tcPr>
            <w:tcW w:w="10626" w:type="dxa"/>
          </w:tcPr>
          <w:p w14:paraId="24F37655" w14:textId="0A182AA0" w:rsidR="00CD49E5" w:rsidRPr="00AB451F" w:rsidRDefault="00C6288C" w:rsidP="00991310">
            <w:pPr>
              <w:pStyle w:val="Tabletextleft"/>
            </w:pPr>
            <w:r w:rsidRPr="00AB451F">
              <w:t>Proportion of infectious syphilis notifications in men reporting sexual exposure with men only</w:t>
            </w:r>
          </w:p>
        </w:tc>
        <w:tc>
          <w:tcPr>
            <w:tcW w:w="2127" w:type="dxa"/>
          </w:tcPr>
          <w:p w14:paraId="2B0F564C" w14:textId="7C0DA34C" w:rsidR="00CD49E5" w:rsidRPr="00AB451F" w:rsidRDefault="00CD49E5" w:rsidP="00991310">
            <w:pPr>
              <w:pStyle w:val="Tabletextleft"/>
            </w:pPr>
            <w:r w:rsidRPr="00AB451F">
              <w:t>Quarterly</w:t>
            </w:r>
          </w:p>
        </w:tc>
      </w:tr>
      <w:tr w:rsidR="00CD49E5" w:rsidRPr="00AB451F" w14:paraId="7A65BC54" w14:textId="77777777" w:rsidTr="00AB451F">
        <w:trPr>
          <w:trHeight w:val="20"/>
        </w:trPr>
        <w:tc>
          <w:tcPr>
            <w:tcW w:w="1843" w:type="dxa"/>
          </w:tcPr>
          <w:p w14:paraId="67E0F79A" w14:textId="09453D6E" w:rsidR="00CD49E5" w:rsidRPr="00AB451F" w:rsidRDefault="00CD49E5" w:rsidP="00991310">
            <w:pPr>
              <w:pStyle w:val="Tabletextleft"/>
            </w:pPr>
            <w:r w:rsidRPr="00AB451F">
              <w:lastRenderedPageBreak/>
              <w:t>2.6</w:t>
            </w:r>
          </w:p>
        </w:tc>
        <w:tc>
          <w:tcPr>
            <w:tcW w:w="10626" w:type="dxa"/>
          </w:tcPr>
          <w:p w14:paraId="3C87AC75" w14:textId="524ACF12" w:rsidR="00CD49E5" w:rsidRPr="00AB451F" w:rsidRDefault="00F04511" w:rsidP="00991310">
            <w:pPr>
              <w:pStyle w:val="Tabletextleft"/>
            </w:pPr>
            <w:r w:rsidRPr="00AB451F">
              <w:t>Proportion of infectious syphilis notifications in men reporting sexual exposure with men and women</w:t>
            </w:r>
          </w:p>
        </w:tc>
        <w:tc>
          <w:tcPr>
            <w:tcW w:w="2127" w:type="dxa"/>
          </w:tcPr>
          <w:p w14:paraId="3BEFD25B" w14:textId="323EA108" w:rsidR="00CD49E5" w:rsidRPr="00AB451F" w:rsidRDefault="00CD49E5" w:rsidP="00991310">
            <w:pPr>
              <w:pStyle w:val="Tabletextleft"/>
            </w:pPr>
            <w:r w:rsidRPr="00AB451F">
              <w:t>Quarterly</w:t>
            </w:r>
          </w:p>
        </w:tc>
      </w:tr>
      <w:tr w:rsidR="00B7156E" w:rsidRPr="00AB451F" w14:paraId="788FDD84" w14:textId="77777777" w:rsidTr="00AB451F">
        <w:trPr>
          <w:trHeight w:val="20"/>
        </w:trPr>
        <w:tc>
          <w:tcPr>
            <w:tcW w:w="1843" w:type="dxa"/>
          </w:tcPr>
          <w:p w14:paraId="13B2EAE1" w14:textId="4B50ABA4" w:rsidR="00B7156E" w:rsidRPr="00AB451F" w:rsidRDefault="00CD49E5" w:rsidP="00991310">
            <w:pPr>
              <w:pStyle w:val="Tabletextleft"/>
            </w:pPr>
            <w:r w:rsidRPr="00AB451F">
              <w:t>2.7</w:t>
            </w:r>
          </w:p>
        </w:tc>
        <w:tc>
          <w:tcPr>
            <w:tcW w:w="10626" w:type="dxa"/>
          </w:tcPr>
          <w:p w14:paraId="51E980C5" w14:textId="754F4C0C" w:rsidR="00B7156E" w:rsidRPr="00AB451F" w:rsidRDefault="00412E82" w:rsidP="00991310">
            <w:pPr>
              <w:pStyle w:val="Tabletextleft"/>
            </w:pPr>
            <w:r w:rsidRPr="00AB451F">
              <w:t>Proportion of infectious syphilis notifications by primary reason for testing</w:t>
            </w:r>
          </w:p>
        </w:tc>
        <w:tc>
          <w:tcPr>
            <w:tcW w:w="2127" w:type="dxa"/>
          </w:tcPr>
          <w:p w14:paraId="05FDE6E7" w14:textId="170B589C" w:rsidR="00B7156E" w:rsidRPr="00AB451F" w:rsidRDefault="00CD49E5" w:rsidP="00991310">
            <w:pPr>
              <w:pStyle w:val="Tabletextleft"/>
            </w:pPr>
            <w:r w:rsidRPr="00AB451F">
              <w:t>Annually</w:t>
            </w:r>
          </w:p>
        </w:tc>
      </w:tr>
      <w:tr w:rsidR="00CD49E5" w:rsidRPr="00AB451F" w14:paraId="05E47E7E" w14:textId="77777777" w:rsidTr="00AB451F">
        <w:trPr>
          <w:trHeight w:val="20"/>
        </w:trPr>
        <w:tc>
          <w:tcPr>
            <w:tcW w:w="1843" w:type="dxa"/>
          </w:tcPr>
          <w:p w14:paraId="0C6B876C" w14:textId="14E6CBAE" w:rsidR="00CD49E5" w:rsidRPr="00AB451F" w:rsidRDefault="00CD49E5" w:rsidP="00991310">
            <w:pPr>
              <w:pStyle w:val="Tabletextleft"/>
            </w:pPr>
            <w:r w:rsidRPr="00AB451F">
              <w:t>2.8</w:t>
            </w:r>
          </w:p>
        </w:tc>
        <w:tc>
          <w:tcPr>
            <w:tcW w:w="10626" w:type="dxa"/>
          </w:tcPr>
          <w:p w14:paraId="1436EB2A" w14:textId="649ECB8C" w:rsidR="00CD49E5" w:rsidRPr="00AB451F" w:rsidRDefault="00FF0DA4" w:rsidP="00991310">
            <w:pPr>
              <w:pStyle w:val="Tabletextleft"/>
            </w:pPr>
            <w:r w:rsidRPr="00AB451F">
              <w:t>Proportion of infectious syphilis notifications in gay and bisexual men who have sex with men reporting HIV PrEP use at time of syphilis diagnosis</w:t>
            </w:r>
          </w:p>
        </w:tc>
        <w:tc>
          <w:tcPr>
            <w:tcW w:w="2127" w:type="dxa"/>
          </w:tcPr>
          <w:p w14:paraId="19E87530" w14:textId="46778668" w:rsidR="00CD49E5" w:rsidRPr="00AB451F" w:rsidRDefault="00CD49E5" w:rsidP="00991310">
            <w:pPr>
              <w:pStyle w:val="Tabletextleft"/>
            </w:pPr>
            <w:r w:rsidRPr="00AB451F">
              <w:t>Annually</w:t>
            </w:r>
          </w:p>
        </w:tc>
      </w:tr>
      <w:tr w:rsidR="00CD49E5" w:rsidRPr="00AB451F" w14:paraId="7ED80C00" w14:textId="77777777" w:rsidTr="00AB451F">
        <w:trPr>
          <w:trHeight w:val="20"/>
        </w:trPr>
        <w:tc>
          <w:tcPr>
            <w:tcW w:w="1843" w:type="dxa"/>
          </w:tcPr>
          <w:p w14:paraId="2A46454E" w14:textId="6F174EE8" w:rsidR="00CD49E5" w:rsidRPr="00AB451F" w:rsidRDefault="00CD49E5" w:rsidP="00991310">
            <w:pPr>
              <w:pStyle w:val="Tabletextleft"/>
            </w:pPr>
            <w:r w:rsidRPr="00AB451F">
              <w:t>2.9</w:t>
            </w:r>
          </w:p>
        </w:tc>
        <w:tc>
          <w:tcPr>
            <w:tcW w:w="10626" w:type="dxa"/>
          </w:tcPr>
          <w:p w14:paraId="64DD7FE6" w14:textId="4B0BF849" w:rsidR="00CD49E5" w:rsidRPr="00AB451F" w:rsidRDefault="00CF03EF" w:rsidP="00991310">
            <w:pPr>
              <w:pStyle w:val="Tabletextleft"/>
            </w:pPr>
            <w:r w:rsidRPr="00AB451F">
              <w:t>Proportion of infectious syphilis notifications by clinical facility where the syphilis infection was diagnosed</w:t>
            </w:r>
          </w:p>
        </w:tc>
        <w:tc>
          <w:tcPr>
            <w:tcW w:w="2127" w:type="dxa"/>
          </w:tcPr>
          <w:p w14:paraId="20808E19" w14:textId="726C11C7" w:rsidR="00CD49E5" w:rsidRPr="00AB451F" w:rsidRDefault="00CD49E5" w:rsidP="00991310">
            <w:pPr>
              <w:pStyle w:val="Tabletextleft"/>
            </w:pPr>
            <w:r w:rsidRPr="00AB451F">
              <w:t>Annually</w:t>
            </w:r>
          </w:p>
        </w:tc>
      </w:tr>
      <w:tr w:rsidR="00CD49E5" w:rsidRPr="00AB451F" w14:paraId="174D95C9" w14:textId="77777777" w:rsidTr="00AB451F">
        <w:trPr>
          <w:trHeight w:val="20"/>
        </w:trPr>
        <w:tc>
          <w:tcPr>
            <w:tcW w:w="1843" w:type="dxa"/>
          </w:tcPr>
          <w:p w14:paraId="75703C91" w14:textId="159F8888" w:rsidR="00CD49E5" w:rsidRPr="00AB451F" w:rsidRDefault="00CD49E5" w:rsidP="00991310">
            <w:pPr>
              <w:pStyle w:val="Tabletextleft"/>
            </w:pPr>
            <w:r w:rsidRPr="00AB451F">
              <w:t>2.10</w:t>
            </w:r>
          </w:p>
        </w:tc>
        <w:tc>
          <w:tcPr>
            <w:tcW w:w="10626" w:type="dxa"/>
          </w:tcPr>
          <w:p w14:paraId="6DD072CB" w14:textId="7A57F161" w:rsidR="00CD49E5" w:rsidRPr="00AB451F" w:rsidRDefault="00AB2947" w:rsidP="00991310">
            <w:pPr>
              <w:pStyle w:val="Tabletextleft"/>
            </w:pPr>
            <w:r w:rsidRPr="00AB451F">
              <w:t>Proportion of infectious syphilis notifications receiving treatment, by time to treatment</w:t>
            </w:r>
          </w:p>
        </w:tc>
        <w:tc>
          <w:tcPr>
            <w:tcW w:w="2127" w:type="dxa"/>
          </w:tcPr>
          <w:p w14:paraId="70D0DA24" w14:textId="36F302DE" w:rsidR="00CD49E5" w:rsidRPr="00AB451F" w:rsidRDefault="00CD49E5" w:rsidP="00991310">
            <w:pPr>
              <w:pStyle w:val="Tabletextleft"/>
            </w:pPr>
            <w:r w:rsidRPr="00AB451F">
              <w:t>Annually</w:t>
            </w:r>
          </w:p>
        </w:tc>
      </w:tr>
      <w:tr w:rsidR="00AB2947" w:rsidRPr="00AB451F" w14:paraId="19393550" w14:textId="77777777" w:rsidTr="00E476B6">
        <w:trPr>
          <w:trHeight w:val="20"/>
        </w:trPr>
        <w:tc>
          <w:tcPr>
            <w:tcW w:w="14596" w:type="dxa"/>
            <w:gridSpan w:val="3"/>
            <w:shd w:val="clear" w:color="auto" w:fill="00DCA1"/>
          </w:tcPr>
          <w:p w14:paraId="301B0FC8" w14:textId="5E203315" w:rsidR="00AB2947" w:rsidRPr="00733B0F" w:rsidRDefault="00355965" w:rsidP="00733B0F">
            <w:pPr>
              <w:pStyle w:val="Tableheadingcentred"/>
            </w:pPr>
            <w:r w:rsidRPr="00733B0F">
              <w:t xml:space="preserve">Goal 3 </w:t>
            </w:r>
            <w:r w:rsidR="008862FB" w:rsidRPr="00733B0F">
              <w:t>–</w:t>
            </w:r>
            <w:r w:rsidRPr="00733B0F">
              <w:t xml:space="preserve"> Reduce morbidity and mortality associated with syphilis</w:t>
            </w:r>
          </w:p>
        </w:tc>
      </w:tr>
      <w:tr w:rsidR="00AB2947" w:rsidRPr="00AB451F" w14:paraId="02B66CAF" w14:textId="77777777" w:rsidTr="00AB451F">
        <w:trPr>
          <w:trHeight w:val="20"/>
        </w:trPr>
        <w:tc>
          <w:tcPr>
            <w:tcW w:w="1843" w:type="dxa"/>
          </w:tcPr>
          <w:p w14:paraId="42BF06BE" w14:textId="5D19FDAA" w:rsidR="00AB2947" w:rsidRPr="00AB451F" w:rsidRDefault="00355965" w:rsidP="00991310">
            <w:pPr>
              <w:pStyle w:val="Tabletextleft"/>
            </w:pPr>
            <w:r w:rsidRPr="00AB451F">
              <w:t>3.1</w:t>
            </w:r>
          </w:p>
        </w:tc>
        <w:tc>
          <w:tcPr>
            <w:tcW w:w="10626" w:type="dxa"/>
          </w:tcPr>
          <w:p w14:paraId="35728835" w14:textId="099CBB8F" w:rsidR="00AB2947" w:rsidRPr="00AB451F" w:rsidRDefault="00A86DBC" w:rsidP="00991310">
            <w:pPr>
              <w:pStyle w:val="Tabletextleft"/>
            </w:pPr>
            <w:r w:rsidRPr="00AB451F">
              <w:t>Number of syphilis related deaths (ICD-10 coded), by stage of infection</w:t>
            </w:r>
          </w:p>
        </w:tc>
        <w:tc>
          <w:tcPr>
            <w:tcW w:w="2127" w:type="dxa"/>
          </w:tcPr>
          <w:p w14:paraId="05E02349" w14:textId="2B5105E2" w:rsidR="00AB2947" w:rsidRPr="00AB451F" w:rsidRDefault="006220DA" w:rsidP="00991310">
            <w:pPr>
              <w:pStyle w:val="Tabletextleft"/>
            </w:pPr>
            <w:r w:rsidRPr="00AB451F">
              <w:t>Annually</w:t>
            </w:r>
          </w:p>
        </w:tc>
      </w:tr>
      <w:tr w:rsidR="00355965" w:rsidRPr="00AB451F" w14:paraId="615F8FCB" w14:textId="77777777" w:rsidTr="00AB451F">
        <w:trPr>
          <w:trHeight w:val="20"/>
        </w:trPr>
        <w:tc>
          <w:tcPr>
            <w:tcW w:w="1843" w:type="dxa"/>
          </w:tcPr>
          <w:p w14:paraId="679AE02F" w14:textId="6F214CB4" w:rsidR="00355965" w:rsidRPr="00AB451F" w:rsidRDefault="00355965" w:rsidP="00991310">
            <w:pPr>
              <w:pStyle w:val="Tabletextleft"/>
            </w:pPr>
            <w:r w:rsidRPr="00AB451F">
              <w:t>3.2</w:t>
            </w:r>
          </w:p>
        </w:tc>
        <w:tc>
          <w:tcPr>
            <w:tcW w:w="10626" w:type="dxa"/>
          </w:tcPr>
          <w:p w14:paraId="3B9751CD" w14:textId="7D896C55" w:rsidR="00355965" w:rsidRPr="00AB451F" w:rsidRDefault="002C5CD1" w:rsidP="00991310">
            <w:pPr>
              <w:pStyle w:val="Tabletextleft"/>
            </w:pPr>
            <w:r w:rsidRPr="00AB451F">
              <w:t>Number of hospitalisations with a principal diagnosis of syphilis (ICD-10 coded)</w:t>
            </w:r>
          </w:p>
        </w:tc>
        <w:tc>
          <w:tcPr>
            <w:tcW w:w="2127" w:type="dxa"/>
          </w:tcPr>
          <w:p w14:paraId="372A0070" w14:textId="5E5B7A2E" w:rsidR="00355965" w:rsidRPr="00AB451F" w:rsidRDefault="006220DA" w:rsidP="00991310">
            <w:pPr>
              <w:pStyle w:val="Tabletextleft"/>
            </w:pPr>
            <w:r w:rsidRPr="00AB451F">
              <w:t>Annually</w:t>
            </w:r>
          </w:p>
        </w:tc>
      </w:tr>
      <w:tr w:rsidR="00355965" w:rsidRPr="00AB451F" w14:paraId="0BB26331" w14:textId="77777777" w:rsidTr="00AB451F">
        <w:trPr>
          <w:trHeight w:val="20"/>
        </w:trPr>
        <w:tc>
          <w:tcPr>
            <w:tcW w:w="1843" w:type="dxa"/>
          </w:tcPr>
          <w:p w14:paraId="243735E6" w14:textId="4D290D9E" w:rsidR="00355965" w:rsidRPr="00AB451F" w:rsidRDefault="00355965" w:rsidP="00991310">
            <w:pPr>
              <w:pStyle w:val="Tabletextleft"/>
            </w:pPr>
            <w:r w:rsidRPr="00AB451F">
              <w:t>3.3</w:t>
            </w:r>
          </w:p>
        </w:tc>
        <w:tc>
          <w:tcPr>
            <w:tcW w:w="10626" w:type="dxa"/>
          </w:tcPr>
          <w:p w14:paraId="751B79D0" w14:textId="7680BC2C" w:rsidR="00355965" w:rsidRPr="00AB451F" w:rsidRDefault="000701A1" w:rsidP="00991310">
            <w:pPr>
              <w:pStyle w:val="Tabletextleft"/>
            </w:pPr>
            <w:r w:rsidRPr="00AB451F">
              <w:t>Estimated number of disability-adjusted life years (DALY) due to syphilis</w:t>
            </w:r>
          </w:p>
        </w:tc>
        <w:tc>
          <w:tcPr>
            <w:tcW w:w="2127" w:type="dxa"/>
          </w:tcPr>
          <w:p w14:paraId="3A1D28C8" w14:textId="766B10B2" w:rsidR="00355965" w:rsidRPr="00AB451F" w:rsidRDefault="006220DA" w:rsidP="00991310">
            <w:pPr>
              <w:pStyle w:val="Tabletextleft"/>
            </w:pPr>
            <w:r w:rsidRPr="00AB451F">
              <w:t>Annually</w:t>
            </w:r>
          </w:p>
        </w:tc>
      </w:tr>
      <w:tr w:rsidR="000701A1" w:rsidRPr="00AB451F" w14:paraId="4850BF9E" w14:textId="77777777" w:rsidTr="00E476B6">
        <w:trPr>
          <w:trHeight w:val="20"/>
        </w:trPr>
        <w:tc>
          <w:tcPr>
            <w:tcW w:w="14596" w:type="dxa"/>
            <w:gridSpan w:val="3"/>
            <w:shd w:val="clear" w:color="auto" w:fill="00DCA1"/>
          </w:tcPr>
          <w:p w14:paraId="20611AE0" w14:textId="23531C94" w:rsidR="000701A1" w:rsidRPr="00733B0F" w:rsidRDefault="000701A1" w:rsidP="00733B0F">
            <w:pPr>
              <w:pStyle w:val="Tableheadingcentred"/>
            </w:pPr>
            <w:r w:rsidRPr="00733B0F">
              <w:t xml:space="preserve">Goal 4 </w:t>
            </w:r>
            <w:r w:rsidR="008862FB" w:rsidRPr="00733B0F">
              <w:t>–</w:t>
            </w:r>
            <w:r w:rsidRPr="00733B0F">
              <w:t xml:space="preserve"> </w:t>
            </w:r>
            <w:r w:rsidR="008862FB" w:rsidRPr="00733B0F">
              <w:t>Eliminate congenital syphilis (defined as sustained zero congenital syphilis cases)</w:t>
            </w:r>
          </w:p>
        </w:tc>
      </w:tr>
      <w:tr w:rsidR="000701A1" w:rsidRPr="00AB451F" w14:paraId="638DBAD8" w14:textId="77777777" w:rsidTr="00AB451F">
        <w:trPr>
          <w:trHeight w:val="20"/>
        </w:trPr>
        <w:tc>
          <w:tcPr>
            <w:tcW w:w="1843" w:type="dxa"/>
          </w:tcPr>
          <w:p w14:paraId="5CD3EBBC" w14:textId="098534AC" w:rsidR="000701A1" w:rsidRPr="00AB451F" w:rsidRDefault="008862FB" w:rsidP="00991310">
            <w:pPr>
              <w:pStyle w:val="Tabletextleft"/>
            </w:pPr>
            <w:r w:rsidRPr="00AB451F">
              <w:t>4.1</w:t>
            </w:r>
          </w:p>
        </w:tc>
        <w:tc>
          <w:tcPr>
            <w:tcW w:w="10626" w:type="dxa"/>
          </w:tcPr>
          <w:p w14:paraId="4907753F" w14:textId="50EEED99" w:rsidR="000701A1" w:rsidRPr="00AB451F" w:rsidRDefault="00D24D2E" w:rsidP="00991310">
            <w:pPr>
              <w:pStyle w:val="Tabletextleft"/>
            </w:pPr>
            <w:r w:rsidRPr="00AB451F">
              <w:t>Number of congenital syphilis cases by remoteness area and Indigenous status</w:t>
            </w:r>
          </w:p>
        </w:tc>
        <w:tc>
          <w:tcPr>
            <w:tcW w:w="2127" w:type="dxa"/>
          </w:tcPr>
          <w:p w14:paraId="3E29C595" w14:textId="281964BF" w:rsidR="000701A1" w:rsidRPr="00AB451F" w:rsidRDefault="00171578" w:rsidP="00991310">
            <w:pPr>
              <w:pStyle w:val="Tabletextleft"/>
            </w:pPr>
            <w:r w:rsidRPr="00AB451F">
              <w:t>Quarterly</w:t>
            </w:r>
          </w:p>
        </w:tc>
      </w:tr>
      <w:tr w:rsidR="00355965" w:rsidRPr="00AB451F" w14:paraId="3E02691F" w14:textId="77777777" w:rsidTr="00AB451F">
        <w:trPr>
          <w:trHeight w:val="20"/>
        </w:trPr>
        <w:tc>
          <w:tcPr>
            <w:tcW w:w="1843" w:type="dxa"/>
          </w:tcPr>
          <w:p w14:paraId="2F267325" w14:textId="69AEE8D3" w:rsidR="00355965" w:rsidRPr="00AB451F" w:rsidRDefault="008862FB" w:rsidP="00991310">
            <w:pPr>
              <w:pStyle w:val="Tabletextleft"/>
            </w:pPr>
            <w:r w:rsidRPr="00AB451F">
              <w:t>4.2</w:t>
            </w:r>
          </w:p>
        </w:tc>
        <w:tc>
          <w:tcPr>
            <w:tcW w:w="10626" w:type="dxa"/>
          </w:tcPr>
          <w:p w14:paraId="711C29BB" w14:textId="3EAAB373" w:rsidR="00355965" w:rsidRPr="00AB451F" w:rsidRDefault="00085816" w:rsidP="00991310">
            <w:pPr>
              <w:pStyle w:val="Tabletextleft"/>
            </w:pPr>
            <w:r w:rsidRPr="00AB451F">
              <w:t>Number of congenital syphilis related deaths by Indigenous status</w:t>
            </w:r>
          </w:p>
        </w:tc>
        <w:tc>
          <w:tcPr>
            <w:tcW w:w="2127" w:type="dxa"/>
          </w:tcPr>
          <w:p w14:paraId="6079DC39" w14:textId="713AAD9A" w:rsidR="00355965" w:rsidRPr="00AB451F" w:rsidRDefault="00171578" w:rsidP="00991310">
            <w:pPr>
              <w:pStyle w:val="Tabletextleft"/>
            </w:pPr>
            <w:r w:rsidRPr="00AB451F">
              <w:t>Quarterly</w:t>
            </w:r>
          </w:p>
        </w:tc>
      </w:tr>
      <w:tr w:rsidR="008862FB" w:rsidRPr="00AB451F" w14:paraId="37CBFFFF" w14:textId="77777777" w:rsidTr="00AB451F">
        <w:trPr>
          <w:trHeight w:val="20"/>
        </w:trPr>
        <w:tc>
          <w:tcPr>
            <w:tcW w:w="1843" w:type="dxa"/>
          </w:tcPr>
          <w:p w14:paraId="1B7EED6C" w14:textId="6ECC28CD" w:rsidR="008862FB" w:rsidRPr="00AB451F" w:rsidRDefault="008862FB" w:rsidP="00991310">
            <w:pPr>
              <w:pStyle w:val="Tabletextleft"/>
            </w:pPr>
            <w:r w:rsidRPr="00AB451F">
              <w:t>4.3</w:t>
            </w:r>
          </w:p>
        </w:tc>
        <w:tc>
          <w:tcPr>
            <w:tcW w:w="10626" w:type="dxa"/>
          </w:tcPr>
          <w:p w14:paraId="6F670B5E" w14:textId="009E6289" w:rsidR="008862FB" w:rsidRPr="00AB451F" w:rsidRDefault="002759FE" w:rsidP="00991310">
            <w:pPr>
              <w:pStyle w:val="Tabletextleft"/>
            </w:pPr>
            <w:r w:rsidRPr="00AB451F">
              <w:t>Notification rate of congenital syphilis per 100,000 live births by remoteness area and Indigenous status</w:t>
            </w:r>
          </w:p>
        </w:tc>
        <w:tc>
          <w:tcPr>
            <w:tcW w:w="2127" w:type="dxa"/>
          </w:tcPr>
          <w:p w14:paraId="5F2C0BC2" w14:textId="7322F251" w:rsidR="008862FB" w:rsidRPr="00AB451F" w:rsidRDefault="00171578" w:rsidP="00991310">
            <w:pPr>
              <w:pStyle w:val="Tabletextleft"/>
            </w:pPr>
            <w:r w:rsidRPr="00AB451F">
              <w:t>Quarterly</w:t>
            </w:r>
          </w:p>
        </w:tc>
      </w:tr>
      <w:tr w:rsidR="008862FB" w:rsidRPr="00AB451F" w14:paraId="7E2635C3" w14:textId="77777777" w:rsidTr="00AB451F">
        <w:trPr>
          <w:trHeight w:val="20"/>
        </w:trPr>
        <w:tc>
          <w:tcPr>
            <w:tcW w:w="1843" w:type="dxa"/>
          </w:tcPr>
          <w:p w14:paraId="3EE684CD" w14:textId="26A5C55D" w:rsidR="008862FB" w:rsidRPr="00AB451F" w:rsidRDefault="008862FB" w:rsidP="00991310">
            <w:pPr>
              <w:pStyle w:val="Tabletextleft"/>
            </w:pPr>
            <w:r w:rsidRPr="00AB451F">
              <w:t>4.4</w:t>
            </w:r>
          </w:p>
        </w:tc>
        <w:tc>
          <w:tcPr>
            <w:tcW w:w="10626" w:type="dxa"/>
          </w:tcPr>
          <w:p w14:paraId="2C8184E4" w14:textId="453801AE" w:rsidR="008862FB" w:rsidRPr="00AB451F" w:rsidRDefault="00387A73" w:rsidP="00991310">
            <w:pPr>
              <w:pStyle w:val="Tabletextleft"/>
            </w:pPr>
            <w:r w:rsidRPr="00AB451F">
              <w:t>Proportion of syphilis notifications among women of reproductive age (15- 44 years) who were pregnant at time of diagnosis, by remoteness area classification and Indigenous status</w:t>
            </w:r>
          </w:p>
        </w:tc>
        <w:tc>
          <w:tcPr>
            <w:tcW w:w="2127" w:type="dxa"/>
          </w:tcPr>
          <w:p w14:paraId="7FD3DF30" w14:textId="1EB6F38E" w:rsidR="008862FB" w:rsidRPr="00AB451F" w:rsidRDefault="00171578" w:rsidP="00991310">
            <w:pPr>
              <w:pStyle w:val="Tabletextleft"/>
            </w:pPr>
            <w:r w:rsidRPr="00AB451F">
              <w:t>Quarterly</w:t>
            </w:r>
          </w:p>
        </w:tc>
      </w:tr>
      <w:tr w:rsidR="008862FB" w:rsidRPr="00AB451F" w14:paraId="36CE876B" w14:textId="77777777" w:rsidTr="00AB451F">
        <w:trPr>
          <w:trHeight w:val="20"/>
        </w:trPr>
        <w:tc>
          <w:tcPr>
            <w:tcW w:w="1843" w:type="dxa"/>
          </w:tcPr>
          <w:p w14:paraId="381F17A3" w14:textId="14109F14" w:rsidR="008862FB" w:rsidRPr="00AB451F" w:rsidRDefault="008862FB" w:rsidP="00991310">
            <w:pPr>
              <w:pStyle w:val="Tabletextleft"/>
            </w:pPr>
            <w:r w:rsidRPr="00AB451F">
              <w:t>4.5</w:t>
            </w:r>
          </w:p>
        </w:tc>
        <w:tc>
          <w:tcPr>
            <w:tcW w:w="10626" w:type="dxa"/>
          </w:tcPr>
          <w:p w14:paraId="1BDAA67A" w14:textId="74D679E9" w:rsidR="008862FB" w:rsidRPr="00AB451F" w:rsidRDefault="00BC289C" w:rsidP="00991310">
            <w:pPr>
              <w:pStyle w:val="Tabletextleft"/>
            </w:pPr>
            <w:r w:rsidRPr="00AB451F">
              <w:t>Number of women giving birth to an infant with congenital syphilis who were diagnosed with syphilis ‘late’ in pregnancy by Indigenous status</w:t>
            </w:r>
          </w:p>
        </w:tc>
        <w:tc>
          <w:tcPr>
            <w:tcW w:w="2127" w:type="dxa"/>
          </w:tcPr>
          <w:p w14:paraId="2E315D21" w14:textId="6BAA583D" w:rsidR="008862FB" w:rsidRPr="00AB451F" w:rsidRDefault="00171578" w:rsidP="00991310">
            <w:pPr>
              <w:pStyle w:val="Tabletextleft"/>
            </w:pPr>
            <w:r w:rsidRPr="00AB451F">
              <w:t>Quarterly</w:t>
            </w:r>
          </w:p>
        </w:tc>
      </w:tr>
      <w:tr w:rsidR="008862FB" w:rsidRPr="00AB451F" w14:paraId="70D3B8DC" w14:textId="77777777" w:rsidTr="00AB451F">
        <w:trPr>
          <w:trHeight w:val="20"/>
        </w:trPr>
        <w:tc>
          <w:tcPr>
            <w:tcW w:w="1843" w:type="dxa"/>
          </w:tcPr>
          <w:p w14:paraId="69C7351C" w14:textId="210F04FD" w:rsidR="008862FB" w:rsidRPr="00AB451F" w:rsidRDefault="008862FB" w:rsidP="00991310">
            <w:pPr>
              <w:pStyle w:val="Tabletextleft"/>
            </w:pPr>
            <w:r w:rsidRPr="00AB451F">
              <w:t>4.6</w:t>
            </w:r>
          </w:p>
        </w:tc>
        <w:tc>
          <w:tcPr>
            <w:tcW w:w="10626" w:type="dxa"/>
          </w:tcPr>
          <w:p w14:paraId="1A4D599A" w14:textId="57755CDF" w:rsidR="008862FB" w:rsidRPr="00AB451F" w:rsidRDefault="009E09CF" w:rsidP="00991310">
            <w:pPr>
              <w:pStyle w:val="Tabletextleft"/>
            </w:pPr>
            <w:r w:rsidRPr="00AB451F">
              <w:t>Proportion of women giving birth to an infant with congenital syphilis receiving adequate treatment prior to delivery</w:t>
            </w:r>
          </w:p>
        </w:tc>
        <w:tc>
          <w:tcPr>
            <w:tcW w:w="2127" w:type="dxa"/>
          </w:tcPr>
          <w:p w14:paraId="24732809" w14:textId="01080B35" w:rsidR="008862FB" w:rsidRPr="00AB451F" w:rsidRDefault="00171578" w:rsidP="00991310">
            <w:pPr>
              <w:pStyle w:val="Tabletextleft"/>
            </w:pPr>
            <w:r w:rsidRPr="00AB451F">
              <w:t>Quarterly</w:t>
            </w:r>
          </w:p>
        </w:tc>
      </w:tr>
      <w:tr w:rsidR="00355965" w:rsidRPr="00AB451F" w14:paraId="32E38644" w14:textId="77777777" w:rsidTr="00AB451F">
        <w:trPr>
          <w:trHeight w:val="20"/>
        </w:trPr>
        <w:tc>
          <w:tcPr>
            <w:tcW w:w="1843" w:type="dxa"/>
          </w:tcPr>
          <w:p w14:paraId="6C88E1E3" w14:textId="04F55D2E" w:rsidR="00355965" w:rsidRPr="00AB451F" w:rsidRDefault="008862FB" w:rsidP="00991310">
            <w:pPr>
              <w:pStyle w:val="Tabletextleft"/>
            </w:pPr>
            <w:r w:rsidRPr="00AB451F">
              <w:t>4.7</w:t>
            </w:r>
          </w:p>
        </w:tc>
        <w:tc>
          <w:tcPr>
            <w:tcW w:w="10626" w:type="dxa"/>
          </w:tcPr>
          <w:p w14:paraId="5A4EAAF6" w14:textId="287D0931" w:rsidR="00355965" w:rsidRPr="00AB451F" w:rsidRDefault="000D5D43" w:rsidP="00991310">
            <w:pPr>
              <w:pStyle w:val="Tabletextleft"/>
            </w:pPr>
            <w:r w:rsidRPr="00AB451F">
              <w:t>Number of women giving birth to an infant with congenital syphilis by number of syphilis tests received during their pregnancy</w:t>
            </w:r>
          </w:p>
        </w:tc>
        <w:tc>
          <w:tcPr>
            <w:tcW w:w="2127" w:type="dxa"/>
          </w:tcPr>
          <w:p w14:paraId="170195FB" w14:textId="2CA2AB39" w:rsidR="00355965" w:rsidRPr="00AB451F" w:rsidRDefault="00171578" w:rsidP="00991310">
            <w:pPr>
              <w:pStyle w:val="Tabletextleft"/>
            </w:pPr>
            <w:r w:rsidRPr="00AB451F">
              <w:t>Quarterly</w:t>
            </w:r>
          </w:p>
        </w:tc>
      </w:tr>
      <w:tr w:rsidR="00CD49E5" w:rsidRPr="00AB451F" w14:paraId="1B8F0D06" w14:textId="77777777" w:rsidTr="00AB451F">
        <w:trPr>
          <w:trHeight w:val="20"/>
        </w:trPr>
        <w:tc>
          <w:tcPr>
            <w:tcW w:w="1843" w:type="dxa"/>
          </w:tcPr>
          <w:p w14:paraId="7F426FA9" w14:textId="4318FB52" w:rsidR="00CD49E5" w:rsidRPr="00AB451F" w:rsidRDefault="008862FB" w:rsidP="00991310">
            <w:pPr>
              <w:pStyle w:val="Tabletextleft"/>
            </w:pPr>
            <w:r w:rsidRPr="00AB451F">
              <w:t>4.8</w:t>
            </w:r>
          </w:p>
        </w:tc>
        <w:tc>
          <w:tcPr>
            <w:tcW w:w="10626" w:type="dxa"/>
          </w:tcPr>
          <w:p w14:paraId="32C2955D" w14:textId="122DC364" w:rsidR="00CD49E5" w:rsidRPr="00AB451F" w:rsidRDefault="00532A7D" w:rsidP="00991310">
            <w:pPr>
              <w:pStyle w:val="Tabletextleft"/>
            </w:pPr>
            <w:r w:rsidRPr="00AB451F">
              <w:t>Number of women giving birth to an infant with congenital syphilis reinfected during their pregnancy</w:t>
            </w:r>
          </w:p>
        </w:tc>
        <w:tc>
          <w:tcPr>
            <w:tcW w:w="2127" w:type="dxa"/>
          </w:tcPr>
          <w:p w14:paraId="6DE8EB12" w14:textId="778F81AC" w:rsidR="00CD49E5" w:rsidRPr="00AB451F" w:rsidRDefault="00171578" w:rsidP="00991310">
            <w:pPr>
              <w:pStyle w:val="Tabletextleft"/>
            </w:pPr>
            <w:r w:rsidRPr="00AB451F">
              <w:t>Quarterly</w:t>
            </w:r>
          </w:p>
        </w:tc>
      </w:tr>
      <w:tr w:rsidR="00171578" w:rsidRPr="00AB451F" w14:paraId="281F40D6" w14:textId="77777777" w:rsidTr="00AB451F">
        <w:trPr>
          <w:trHeight w:val="20"/>
        </w:trPr>
        <w:tc>
          <w:tcPr>
            <w:tcW w:w="1843" w:type="dxa"/>
          </w:tcPr>
          <w:p w14:paraId="00090E87" w14:textId="7048C91C" w:rsidR="00171578" w:rsidRPr="00AB451F" w:rsidRDefault="00171578" w:rsidP="00991310">
            <w:pPr>
              <w:pStyle w:val="Tabletextleft"/>
            </w:pPr>
            <w:r w:rsidRPr="00AB451F">
              <w:t>4.9</w:t>
            </w:r>
          </w:p>
        </w:tc>
        <w:tc>
          <w:tcPr>
            <w:tcW w:w="10626" w:type="dxa"/>
          </w:tcPr>
          <w:p w14:paraId="767EFE85" w14:textId="339E236D" w:rsidR="00171578" w:rsidRPr="00AB451F" w:rsidRDefault="00E908C7" w:rsidP="00991310">
            <w:pPr>
              <w:pStyle w:val="Tabletextleft"/>
            </w:pPr>
            <w:r w:rsidRPr="00AB451F">
              <w:t>Number of women of reproductive age (15 to 44 years) hospitalised with a principal diagnosis of syphilis (ICD-10 coded)</w:t>
            </w:r>
          </w:p>
        </w:tc>
        <w:tc>
          <w:tcPr>
            <w:tcW w:w="2127" w:type="dxa"/>
          </w:tcPr>
          <w:p w14:paraId="00F73E57" w14:textId="7F697E73" w:rsidR="00171578" w:rsidRPr="00AB451F" w:rsidRDefault="00171578" w:rsidP="00991310">
            <w:pPr>
              <w:pStyle w:val="Tabletextleft"/>
            </w:pPr>
            <w:r w:rsidRPr="00AB451F">
              <w:t>Annually</w:t>
            </w:r>
          </w:p>
        </w:tc>
      </w:tr>
      <w:tr w:rsidR="008862FB" w:rsidRPr="00AB451F" w14:paraId="7108CADA" w14:textId="77777777" w:rsidTr="00AB451F">
        <w:trPr>
          <w:trHeight w:val="20"/>
        </w:trPr>
        <w:tc>
          <w:tcPr>
            <w:tcW w:w="1843" w:type="dxa"/>
          </w:tcPr>
          <w:p w14:paraId="6B0B1FDE" w14:textId="475E798E" w:rsidR="008862FB" w:rsidRPr="00AB451F" w:rsidRDefault="00171578" w:rsidP="00991310">
            <w:pPr>
              <w:pStyle w:val="Tabletextleft"/>
            </w:pPr>
            <w:r w:rsidRPr="00AB451F">
              <w:lastRenderedPageBreak/>
              <w:t>4.10</w:t>
            </w:r>
          </w:p>
        </w:tc>
        <w:tc>
          <w:tcPr>
            <w:tcW w:w="10626" w:type="dxa"/>
          </w:tcPr>
          <w:p w14:paraId="24D2720C" w14:textId="6FDE72EE" w:rsidR="008862FB" w:rsidRPr="00AB451F" w:rsidRDefault="006C7360" w:rsidP="00991310">
            <w:pPr>
              <w:pStyle w:val="Tabletextleft"/>
            </w:pPr>
            <w:r w:rsidRPr="00AB451F">
              <w:t>Number of women hospitalised with a principal diagnosis of syphilis in pregnancy, childbirth and puerperium (ICD-10 coded)</w:t>
            </w:r>
          </w:p>
        </w:tc>
        <w:tc>
          <w:tcPr>
            <w:tcW w:w="2127" w:type="dxa"/>
          </w:tcPr>
          <w:p w14:paraId="386E0D80" w14:textId="48200BB1" w:rsidR="008862FB" w:rsidRPr="00AB451F" w:rsidRDefault="00171578" w:rsidP="00991310">
            <w:pPr>
              <w:pStyle w:val="Tabletextleft"/>
            </w:pPr>
            <w:r w:rsidRPr="00AB451F">
              <w:t>Annually</w:t>
            </w:r>
          </w:p>
        </w:tc>
      </w:tr>
    </w:tbl>
    <w:p w14:paraId="2EE304C4" w14:textId="152FC510" w:rsidR="00B02726" w:rsidRPr="009A2544" w:rsidRDefault="000F0541" w:rsidP="000F0541">
      <w:pPr>
        <w:pStyle w:val="Heading1"/>
      </w:pPr>
      <w:bookmarkStart w:id="87" w:name="_Appendix_B_–"/>
      <w:bookmarkStart w:id="88" w:name="_Toc218512935"/>
      <w:bookmarkStart w:id="89" w:name="_Toc241658069"/>
      <w:bookmarkEnd w:id="87"/>
      <w:r w:rsidRPr="009A2544">
        <w:t>Appendix B – NNDSS syphilis notification and enhanced data completeness by year,</w:t>
      </w:r>
      <w:r w:rsidR="00C93271" w:rsidRPr="009A2544">
        <w:t xml:space="preserve"> 2020 to</w:t>
      </w:r>
      <w:r w:rsidRPr="009A2544">
        <w:t xml:space="preserve"> </w:t>
      </w:r>
      <w:r w:rsidR="00381907" w:rsidRPr="009A2544">
        <w:t>Q</w:t>
      </w:r>
      <w:r w:rsidR="00E145CB" w:rsidRPr="009A2544">
        <w:t>1</w:t>
      </w:r>
      <w:r w:rsidR="00381907" w:rsidRPr="009A2544">
        <w:t xml:space="preserve"> </w:t>
      </w:r>
      <w:r w:rsidRPr="009A2544">
        <w:t>202</w:t>
      </w:r>
      <w:bookmarkEnd w:id="88"/>
      <w:r w:rsidR="00E145CB" w:rsidRPr="009A2544">
        <w:t>6</w:t>
      </w:r>
      <w:bookmarkEnd w:id="89"/>
    </w:p>
    <w:tbl>
      <w:tblPr>
        <w:tblStyle w:val="TableGrid"/>
        <w:tblW w:w="14601" w:type="dxa"/>
        <w:tblLayout w:type="fixed"/>
        <w:tblLook w:val="04A0" w:firstRow="1" w:lastRow="0" w:firstColumn="1" w:lastColumn="0" w:noHBand="0" w:noVBand="1"/>
      </w:tblPr>
      <w:tblGrid>
        <w:gridCol w:w="4106"/>
        <w:gridCol w:w="1564"/>
        <w:gridCol w:w="1418"/>
        <w:gridCol w:w="1417"/>
        <w:gridCol w:w="1276"/>
        <w:gridCol w:w="1559"/>
        <w:gridCol w:w="1701"/>
        <w:gridCol w:w="1560"/>
      </w:tblGrid>
      <w:tr w:rsidR="00577741" w:rsidRPr="00E476B6" w14:paraId="7CD8676E" w14:textId="77777777" w:rsidTr="00E476B6">
        <w:trPr>
          <w:trHeight w:val="294"/>
          <w:tblHeader/>
        </w:trPr>
        <w:tc>
          <w:tcPr>
            <w:tcW w:w="4106" w:type="dxa"/>
            <w:shd w:val="clear" w:color="auto" w:fill="025F5D"/>
          </w:tcPr>
          <w:p w14:paraId="556A6CCB" w14:textId="7F4E1087" w:rsidR="00577741" w:rsidRPr="00334A40" w:rsidRDefault="00577741" w:rsidP="00334A40">
            <w:pPr>
              <w:pStyle w:val="Tableheaderrowwhite"/>
            </w:pPr>
            <w:r w:rsidRPr="00334A40">
              <w:t>Variable1</w:t>
            </w:r>
          </w:p>
        </w:tc>
        <w:tc>
          <w:tcPr>
            <w:tcW w:w="1564" w:type="dxa"/>
            <w:shd w:val="clear" w:color="auto" w:fill="025F5D"/>
          </w:tcPr>
          <w:p w14:paraId="6EDC9B22" w14:textId="77777777" w:rsidR="00577741" w:rsidRPr="00334A40" w:rsidRDefault="00577741" w:rsidP="00334A40">
            <w:pPr>
              <w:pStyle w:val="Tableheaderrowwhite"/>
            </w:pPr>
            <w:r w:rsidRPr="00334A40">
              <w:t>2020</w:t>
            </w:r>
          </w:p>
        </w:tc>
        <w:tc>
          <w:tcPr>
            <w:tcW w:w="1418" w:type="dxa"/>
            <w:shd w:val="clear" w:color="auto" w:fill="025F5D"/>
          </w:tcPr>
          <w:p w14:paraId="20385D11" w14:textId="77777777" w:rsidR="00577741" w:rsidRPr="00334A40" w:rsidRDefault="00577741" w:rsidP="00334A40">
            <w:pPr>
              <w:pStyle w:val="Tableheaderrowwhite"/>
            </w:pPr>
            <w:r w:rsidRPr="00334A40">
              <w:t>2021</w:t>
            </w:r>
          </w:p>
        </w:tc>
        <w:tc>
          <w:tcPr>
            <w:tcW w:w="1417" w:type="dxa"/>
            <w:shd w:val="clear" w:color="auto" w:fill="025F5D"/>
          </w:tcPr>
          <w:p w14:paraId="2D571671" w14:textId="77777777" w:rsidR="00577741" w:rsidRPr="00334A40" w:rsidRDefault="00577741" w:rsidP="00334A40">
            <w:pPr>
              <w:pStyle w:val="Tableheaderrowwhite"/>
            </w:pPr>
            <w:r w:rsidRPr="00334A40">
              <w:t>2022</w:t>
            </w:r>
          </w:p>
        </w:tc>
        <w:tc>
          <w:tcPr>
            <w:tcW w:w="1276" w:type="dxa"/>
            <w:shd w:val="clear" w:color="auto" w:fill="025F5D"/>
          </w:tcPr>
          <w:p w14:paraId="0104A88C" w14:textId="77777777" w:rsidR="00577741" w:rsidRPr="00334A40" w:rsidRDefault="00577741" w:rsidP="00334A40">
            <w:pPr>
              <w:pStyle w:val="Tableheaderrowwhite"/>
            </w:pPr>
            <w:r w:rsidRPr="00334A40">
              <w:t>2023</w:t>
            </w:r>
          </w:p>
        </w:tc>
        <w:tc>
          <w:tcPr>
            <w:tcW w:w="1559" w:type="dxa"/>
            <w:shd w:val="clear" w:color="auto" w:fill="025F5D"/>
          </w:tcPr>
          <w:p w14:paraId="2AC2BEE1" w14:textId="77777777" w:rsidR="00577741" w:rsidRPr="00334A40" w:rsidRDefault="00577741" w:rsidP="00334A40">
            <w:pPr>
              <w:pStyle w:val="Tableheaderrowwhite"/>
            </w:pPr>
            <w:r w:rsidRPr="00334A40">
              <w:t>2024</w:t>
            </w:r>
          </w:p>
        </w:tc>
        <w:tc>
          <w:tcPr>
            <w:tcW w:w="1701" w:type="dxa"/>
            <w:shd w:val="clear" w:color="auto" w:fill="025F5D"/>
          </w:tcPr>
          <w:p w14:paraId="7F397853" w14:textId="77777777" w:rsidR="00577741" w:rsidRPr="00733B0F" w:rsidRDefault="00577741" w:rsidP="00733B0F">
            <w:pPr>
              <w:pStyle w:val="Tableheaderrowwhite"/>
            </w:pPr>
            <w:r w:rsidRPr="00733B0F">
              <w:t>2025</w:t>
            </w:r>
          </w:p>
        </w:tc>
        <w:tc>
          <w:tcPr>
            <w:tcW w:w="1560" w:type="dxa"/>
            <w:shd w:val="clear" w:color="auto" w:fill="025F5D"/>
          </w:tcPr>
          <w:p w14:paraId="53CE01E8" w14:textId="77777777" w:rsidR="00577741" w:rsidRPr="00733B0F" w:rsidRDefault="00577741" w:rsidP="00733B0F">
            <w:pPr>
              <w:pStyle w:val="Tableheaderrowwhite"/>
            </w:pPr>
            <w:r w:rsidRPr="00733B0F">
              <w:t>2026</w:t>
            </w:r>
          </w:p>
          <w:p w14:paraId="5ACA0BE0" w14:textId="06D8E06D" w:rsidR="00E476B6" w:rsidRPr="00E476B6" w:rsidRDefault="00E476B6" w:rsidP="00733B0F">
            <w:pPr>
              <w:pStyle w:val="Tableheaderrowwhite"/>
            </w:pPr>
            <w:r w:rsidRPr="00733B0F">
              <w:t>Q1</w:t>
            </w:r>
          </w:p>
        </w:tc>
      </w:tr>
      <w:tr w:rsidR="00F72AF0" w:rsidRPr="00E476B6" w14:paraId="4131010C" w14:textId="77777777" w:rsidTr="00E476B6">
        <w:trPr>
          <w:trHeight w:val="20"/>
        </w:trPr>
        <w:tc>
          <w:tcPr>
            <w:tcW w:w="14601" w:type="dxa"/>
            <w:gridSpan w:val="8"/>
            <w:shd w:val="clear" w:color="auto" w:fill="00DCA1"/>
          </w:tcPr>
          <w:p w14:paraId="3CF69382" w14:textId="5957C507" w:rsidR="00F72AF0" w:rsidRPr="00733B0F" w:rsidRDefault="00F72AF0" w:rsidP="00733B0F">
            <w:pPr>
              <w:pStyle w:val="Tableheadingcentred"/>
            </w:pPr>
            <w:r w:rsidRPr="00733B0F">
              <w:t>Indigenous status</w:t>
            </w:r>
          </w:p>
        </w:tc>
      </w:tr>
      <w:tr w:rsidR="00577741" w:rsidRPr="00E476B6" w14:paraId="2C847AD2" w14:textId="77777777" w:rsidTr="00E476B6">
        <w:trPr>
          <w:trHeight w:val="20"/>
        </w:trPr>
        <w:tc>
          <w:tcPr>
            <w:tcW w:w="4106" w:type="dxa"/>
          </w:tcPr>
          <w:p w14:paraId="1D6B587C" w14:textId="10BBB44F" w:rsidR="00577741" w:rsidRPr="00E476B6" w:rsidRDefault="00577741" w:rsidP="00991310">
            <w:pPr>
              <w:pStyle w:val="Tabletextleft"/>
            </w:pPr>
            <w:r w:rsidRPr="00E476B6">
              <w:t>Infectious syphilis</w:t>
            </w:r>
          </w:p>
        </w:tc>
        <w:tc>
          <w:tcPr>
            <w:tcW w:w="1564" w:type="dxa"/>
          </w:tcPr>
          <w:p w14:paraId="3A2E4924" w14:textId="0D18EEEF" w:rsidR="00577741" w:rsidRPr="00E476B6" w:rsidRDefault="00577741" w:rsidP="004824CB">
            <w:pPr>
              <w:pStyle w:val="Tabletextcentred"/>
            </w:pPr>
            <w:r w:rsidRPr="00E476B6">
              <w:t>96%</w:t>
            </w:r>
          </w:p>
        </w:tc>
        <w:tc>
          <w:tcPr>
            <w:tcW w:w="1418" w:type="dxa"/>
          </w:tcPr>
          <w:p w14:paraId="1CB8B77B" w14:textId="5526B1C3" w:rsidR="00577741" w:rsidRPr="00E476B6" w:rsidRDefault="00577741" w:rsidP="004824CB">
            <w:pPr>
              <w:pStyle w:val="Tabletextcentred"/>
            </w:pPr>
            <w:r w:rsidRPr="00E476B6">
              <w:t>95%</w:t>
            </w:r>
          </w:p>
        </w:tc>
        <w:tc>
          <w:tcPr>
            <w:tcW w:w="1417" w:type="dxa"/>
          </w:tcPr>
          <w:p w14:paraId="7563B582" w14:textId="65AC5E3C" w:rsidR="00577741" w:rsidRPr="00E476B6" w:rsidRDefault="00577741" w:rsidP="004824CB">
            <w:pPr>
              <w:pStyle w:val="Tabletextcentred"/>
            </w:pPr>
            <w:r w:rsidRPr="00E476B6">
              <w:t>92%</w:t>
            </w:r>
          </w:p>
        </w:tc>
        <w:tc>
          <w:tcPr>
            <w:tcW w:w="1276" w:type="dxa"/>
          </w:tcPr>
          <w:p w14:paraId="0D37358A" w14:textId="728AE8F4" w:rsidR="00577741" w:rsidRPr="00E476B6" w:rsidRDefault="00577741" w:rsidP="004824CB">
            <w:pPr>
              <w:pStyle w:val="Tabletextcentred"/>
            </w:pPr>
            <w:r w:rsidRPr="00E476B6">
              <w:t>94%</w:t>
            </w:r>
          </w:p>
        </w:tc>
        <w:tc>
          <w:tcPr>
            <w:tcW w:w="1559" w:type="dxa"/>
          </w:tcPr>
          <w:p w14:paraId="1A0DA59C" w14:textId="35F989CA" w:rsidR="00577741" w:rsidRPr="00E476B6" w:rsidRDefault="00577741" w:rsidP="004824CB">
            <w:pPr>
              <w:pStyle w:val="Tabletextcentred"/>
            </w:pPr>
            <w:r w:rsidRPr="00E476B6">
              <w:t>95%</w:t>
            </w:r>
          </w:p>
        </w:tc>
        <w:tc>
          <w:tcPr>
            <w:tcW w:w="1701" w:type="dxa"/>
          </w:tcPr>
          <w:p w14:paraId="1897072C" w14:textId="3DD50DC0" w:rsidR="00577741" w:rsidRPr="00E476B6" w:rsidRDefault="00577741" w:rsidP="004824CB">
            <w:pPr>
              <w:pStyle w:val="Tabletextcentred"/>
            </w:pPr>
            <w:r w:rsidRPr="00E476B6">
              <w:t>9</w:t>
            </w:r>
            <w:r w:rsidR="00D673E7" w:rsidRPr="00E476B6">
              <w:t>6</w:t>
            </w:r>
            <w:r w:rsidRPr="00E476B6">
              <w:t>%</w:t>
            </w:r>
          </w:p>
        </w:tc>
        <w:tc>
          <w:tcPr>
            <w:tcW w:w="1560" w:type="dxa"/>
          </w:tcPr>
          <w:p w14:paraId="74FAF0FB" w14:textId="06FBF8FB" w:rsidR="00577741" w:rsidRPr="00E476B6" w:rsidRDefault="00577741" w:rsidP="004824CB">
            <w:pPr>
              <w:pStyle w:val="Tabletextcentred"/>
            </w:pPr>
            <w:r w:rsidRPr="00E476B6">
              <w:t>9</w:t>
            </w:r>
            <w:r w:rsidR="00FE7BC3" w:rsidRPr="00E476B6">
              <w:t>4</w:t>
            </w:r>
            <w:r w:rsidRPr="00E476B6">
              <w:t>%</w:t>
            </w:r>
          </w:p>
        </w:tc>
      </w:tr>
      <w:tr w:rsidR="00577741" w:rsidRPr="00E476B6" w14:paraId="3A92A2A5" w14:textId="77777777" w:rsidTr="00E476B6">
        <w:trPr>
          <w:trHeight w:val="20"/>
        </w:trPr>
        <w:tc>
          <w:tcPr>
            <w:tcW w:w="4106" w:type="dxa"/>
          </w:tcPr>
          <w:p w14:paraId="1001F3C4" w14:textId="7CEA4D46" w:rsidR="00577741" w:rsidRPr="00E476B6" w:rsidRDefault="00577741" w:rsidP="00991310">
            <w:pPr>
              <w:pStyle w:val="Tabletextleft"/>
            </w:pPr>
            <w:r w:rsidRPr="00E476B6">
              <w:t>Congenital syphilis</w:t>
            </w:r>
            <w:r w:rsidR="007B6C27" w:rsidRPr="00E476B6">
              <w:t xml:space="preserve"> (infant)</w:t>
            </w:r>
          </w:p>
        </w:tc>
        <w:tc>
          <w:tcPr>
            <w:tcW w:w="1564" w:type="dxa"/>
          </w:tcPr>
          <w:p w14:paraId="35F167D7" w14:textId="09548D33" w:rsidR="00577741" w:rsidRPr="00E476B6" w:rsidRDefault="00577741" w:rsidP="004824CB">
            <w:pPr>
              <w:pStyle w:val="Tabletextcentred"/>
            </w:pPr>
            <w:r w:rsidRPr="00E476B6">
              <w:t>100%</w:t>
            </w:r>
          </w:p>
        </w:tc>
        <w:tc>
          <w:tcPr>
            <w:tcW w:w="1418" w:type="dxa"/>
          </w:tcPr>
          <w:p w14:paraId="09298172" w14:textId="463493BC" w:rsidR="00577741" w:rsidRPr="00E476B6" w:rsidRDefault="00577741" w:rsidP="004824CB">
            <w:pPr>
              <w:pStyle w:val="Tabletextcentred"/>
            </w:pPr>
            <w:r w:rsidRPr="00E476B6">
              <w:t>100%</w:t>
            </w:r>
          </w:p>
        </w:tc>
        <w:tc>
          <w:tcPr>
            <w:tcW w:w="1417" w:type="dxa"/>
          </w:tcPr>
          <w:p w14:paraId="185799D4" w14:textId="32EEB16F" w:rsidR="00577741" w:rsidRPr="00E476B6" w:rsidRDefault="00577741" w:rsidP="004824CB">
            <w:pPr>
              <w:pStyle w:val="Tabletextcentred"/>
            </w:pPr>
            <w:r w:rsidRPr="00E476B6">
              <w:t>93%</w:t>
            </w:r>
          </w:p>
        </w:tc>
        <w:tc>
          <w:tcPr>
            <w:tcW w:w="1276" w:type="dxa"/>
          </w:tcPr>
          <w:p w14:paraId="73B52252" w14:textId="5A52E79D" w:rsidR="00577741" w:rsidRPr="00E476B6" w:rsidRDefault="00577741" w:rsidP="004824CB">
            <w:pPr>
              <w:pStyle w:val="Tabletextcentred"/>
            </w:pPr>
            <w:r w:rsidRPr="00E476B6">
              <w:t>100%</w:t>
            </w:r>
          </w:p>
        </w:tc>
        <w:tc>
          <w:tcPr>
            <w:tcW w:w="1559" w:type="dxa"/>
          </w:tcPr>
          <w:p w14:paraId="06F2887F" w14:textId="3E485829" w:rsidR="00577741" w:rsidRPr="00E476B6" w:rsidRDefault="00577741" w:rsidP="004824CB">
            <w:pPr>
              <w:pStyle w:val="Tabletextcentred"/>
            </w:pPr>
            <w:r w:rsidRPr="00E476B6">
              <w:t>90%</w:t>
            </w:r>
          </w:p>
        </w:tc>
        <w:tc>
          <w:tcPr>
            <w:tcW w:w="1701" w:type="dxa"/>
          </w:tcPr>
          <w:p w14:paraId="216B2869" w14:textId="2A26E15E" w:rsidR="00577741" w:rsidRPr="00E476B6" w:rsidRDefault="00577741" w:rsidP="004824CB">
            <w:pPr>
              <w:pStyle w:val="Tabletextcentred"/>
            </w:pPr>
            <w:r w:rsidRPr="00E476B6">
              <w:t>100%</w:t>
            </w:r>
          </w:p>
        </w:tc>
        <w:tc>
          <w:tcPr>
            <w:tcW w:w="1560" w:type="dxa"/>
          </w:tcPr>
          <w:p w14:paraId="26FA076F" w14:textId="4030B3BB" w:rsidR="00577741" w:rsidRPr="00E476B6" w:rsidRDefault="00577741" w:rsidP="004824CB">
            <w:pPr>
              <w:pStyle w:val="Tabletextcentred"/>
            </w:pPr>
            <w:r w:rsidRPr="00E476B6">
              <w:t>100%</w:t>
            </w:r>
          </w:p>
        </w:tc>
      </w:tr>
      <w:tr w:rsidR="00F72AF0" w:rsidRPr="00E476B6" w14:paraId="0734F46A" w14:textId="77777777" w:rsidTr="0069619A">
        <w:trPr>
          <w:trHeight w:val="20"/>
        </w:trPr>
        <w:tc>
          <w:tcPr>
            <w:tcW w:w="14601" w:type="dxa"/>
            <w:gridSpan w:val="8"/>
            <w:shd w:val="clear" w:color="auto" w:fill="00DCA1"/>
          </w:tcPr>
          <w:p w14:paraId="202122C1" w14:textId="6D750E2B" w:rsidR="00F72AF0" w:rsidRPr="00733B0F" w:rsidRDefault="00F72AF0" w:rsidP="00733B0F">
            <w:pPr>
              <w:pStyle w:val="Tableheadingcentred"/>
            </w:pPr>
            <w:r w:rsidRPr="00733B0F">
              <w:t>Residential location (to map to reported geographies)</w:t>
            </w:r>
          </w:p>
        </w:tc>
      </w:tr>
      <w:tr w:rsidR="00577741" w:rsidRPr="00E476B6" w14:paraId="1CC820B9" w14:textId="77777777" w:rsidTr="00E476B6">
        <w:trPr>
          <w:trHeight w:val="20"/>
        </w:trPr>
        <w:tc>
          <w:tcPr>
            <w:tcW w:w="4106" w:type="dxa"/>
          </w:tcPr>
          <w:p w14:paraId="15913C76" w14:textId="79F5BE65" w:rsidR="00577741" w:rsidRPr="00E476B6" w:rsidRDefault="00577741" w:rsidP="00991310">
            <w:pPr>
              <w:pStyle w:val="Tabletextleft"/>
            </w:pPr>
            <w:r w:rsidRPr="00E476B6">
              <w:t>Remoteness area</w:t>
            </w:r>
          </w:p>
        </w:tc>
        <w:tc>
          <w:tcPr>
            <w:tcW w:w="1564" w:type="dxa"/>
          </w:tcPr>
          <w:p w14:paraId="7FC925F3" w14:textId="2281F800" w:rsidR="00577741" w:rsidRPr="003C1FD3" w:rsidRDefault="00577741" w:rsidP="003C1FD3">
            <w:pPr>
              <w:pStyle w:val="Tabletextcentred"/>
            </w:pPr>
            <w:r w:rsidRPr="003C1FD3">
              <w:t>98%</w:t>
            </w:r>
          </w:p>
        </w:tc>
        <w:tc>
          <w:tcPr>
            <w:tcW w:w="1418" w:type="dxa"/>
          </w:tcPr>
          <w:p w14:paraId="62C1C620" w14:textId="6A9F1460" w:rsidR="00577741" w:rsidRPr="003C1FD3" w:rsidRDefault="00577741" w:rsidP="003C1FD3">
            <w:pPr>
              <w:pStyle w:val="Tabletextcentred"/>
            </w:pPr>
            <w:r w:rsidRPr="003C1FD3">
              <w:t>97%</w:t>
            </w:r>
          </w:p>
        </w:tc>
        <w:tc>
          <w:tcPr>
            <w:tcW w:w="1417" w:type="dxa"/>
          </w:tcPr>
          <w:p w14:paraId="3EDA945D" w14:textId="14F8AEA3" w:rsidR="00577741" w:rsidRPr="003C1FD3" w:rsidRDefault="00577741" w:rsidP="003C1FD3">
            <w:pPr>
              <w:pStyle w:val="Tabletextcentred"/>
            </w:pPr>
            <w:r w:rsidRPr="003C1FD3">
              <w:t>97%</w:t>
            </w:r>
          </w:p>
        </w:tc>
        <w:tc>
          <w:tcPr>
            <w:tcW w:w="1276" w:type="dxa"/>
          </w:tcPr>
          <w:p w14:paraId="627A8C59" w14:textId="55B88D09" w:rsidR="00577741" w:rsidRPr="003C1FD3" w:rsidRDefault="00577741" w:rsidP="003C1FD3">
            <w:pPr>
              <w:pStyle w:val="Tabletextcentred"/>
            </w:pPr>
            <w:r w:rsidRPr="003C1FD3">
              <w:t>97%</w:t>
            </w:r>
          </w:p>
        </w:tc>
        <w:tc>
          <w:tcPr>
            <w:tcW w:w="1559" w:type="dxa"/>
          </w:tcPr>
          <w:p w14:paraId="12672700" w14:textId="4BEADE6C" w:rsidR="00577741" w:rsidRPr="003C1FD3" w:rsidRDefault="00577741" w:rsidP="003C1FD3">
            <w:pPr>
              <w:pStyle w:val="Tabletextcentred"/>
            </w:pPr>
            <w:r w:rsidRPr="003C1FD3">
              <w:t>98%</w:t>
            </w:r>
          </w:p>
        </w:tc>
        <w:tc>
          <w:tcPr>
            <w:tcW w:w="1701" w:type="dxa"/>
          </w:tcPr>
          <w:p w14:paraId="1A4FD75C" w14:textId="6623AA60" w:rsidR="00577741" w:rsidRPr="00E476B6" w:rsidRDefault="00577741" w:rsidP="004824CB">
            <w:pPr>
              <w:pStyle w:val="Tabletextcentred"/>
            </w:pPr>
            <w:r w:rsidRPr="00E476B6">
              <w:t>97%</w:t>
            </w:r>
          </w:p>
        </w:tc>
        <w:tc>
          <w:tcPr>
            <w:tcW w:w="1560" w:type="dxa"/>
          </w:tcPr>
          <w:p w14:paraId="0405AC48" w14:textId="2D9765B9" w:rsidR="00577741" w:rsidRPr="00E476B6" w:rsidRDefault="00577741" w:rsidP="004824CB">
            <w:pPr>
              <w:pStyle w:val="Tabletextcentred"/>
            </w:pPr>
            <w:r w:rsidRPr="00E476B6">
              <w:t>9</w:t>
            </w:r>
            <w:r w:rsidR="00E3424F" w:rsidRPr="00E476B6">
              <w:t>8</w:t>
            </w:r>
            <w:r w:rsidRPr="00E476B6">
              <w:t>%</w:t>
            </w:r>
          </w:p>
        </w:tc>
      </w:tr>
      <w:tr w:rsidR="00577741" w:rsidRPr="00E476B6" w14:paraId="39515061" w14:textId="77777777" w:rsidTr="00E476B6">
        <w:trPr>
          <w:trHeight w:val="20"/>
        </w:trPr>
        <w:tc>
          <w:tcPr>
            <w:tcW w:w="4106" w:type="dxa"/>
          </w:tcPr>
          <w:p w14:paraId="449C1A3F" w14:textId="2EA2F5DF" w:rsidR="00577741" w:rsidRPr="00E476B6" w:rsidRDefault="00577741" w:rsidP="00991310">
            <w:pPr>
              <w:pStyle w:val="Tabletextleft"/>
            </w:pPr>
            <w:r w:rsidRPr="00E476B6">
              <w:t>Statistical area 3</w:t>
            </w:r>
          </w:p>
        </w:tc>
        <w:tc>
          <w:tcPr>
            <w:tcW w:w="1564" w:type="dxa"/>
          </w:tcPr>
          <w:p w14:paraId="33A7AFD7" w14:textId="10F2189C" w:rsidR="00577741" w:rsidRPr="00E476B6" w:rsidRDefault="00577741" w:rsidP="004824CB">
            <w:pPr>
              <w:pStyle w:val="Tabletextcentred"/>
            </w:pPr>
            <w:r w:rsidRPr="00E476B6">
              <w:t>n/a</w:t>
            </w:r>
          </w:p>
        </w:tc>
        <w:tc>
          <w:tcPr>
            <w:tcW w:w="1418" w:type="dxa"/>
          </w:tcPr>
          <w:p w14:paraId="4311937D" w14:textId="092C058B" w:rsidR="00577741" w:rsidRPr="00E476B6" w:rsidRDefault="00577741" w:rsidP="004824CB">
            <w:pPr>
              <w:pStyle w:val="Tabletextcentred"/>
            </w:pPr>
            <w:r w:rsidRPr="00E476B6">
              <w:t>n/a</w:t>
            </w:r>
          </w:p>
        </w:tc>
        <w:tc>
          <w:tcPr>
            <w:tcW w:w="1417" w:type="dxa"/>
          </w:tcPr>
          <w:p w14:paraId="1453E7B9" w14:textId="5C75AB31" w:rsidR="00577741" w:rsidRPr="00E476B6" w:rsidRDefault="00577741" w:rsidP="004824CB">
            <w:pPr>
              <w:pStyle w:val="Tabletextcentred"/>
            </w:pPr>
            <w:r w:rsidRPr="00E476B6">
              <w:t>n/a</w:t>
            </w:r>
          </w:p>
        </w:tc>
        <w:tc>
          <w:tcPr>
            <w:tcW w:w="1276" w:type="dxa"/>
          </w:tcPr>
          <w:p w14:paraId="71ED585B" w14:textId="29D50A6B" w:rsidR="00577741" w:rsidRPr="00E476B6" w:rsidRDefault="00577741" w:rsidP="004824CB">
            <w:pPr>
              <w:pStyle w:val="Tabletextcentred"/>
            </w:pPr>
            <w:r w:rsidRPr="00E476B6">
              <w:t>n/a</w:t>
            </w:r>
          </w:p>
        </w:tc>
        <w:tc>
          <w:tcPr>
            <w:tcW w:w="1559" w:type="dxa"/>
          </w:tcPr>
          <w:p w14:paraId="39638515" w14:textId="676E1E4B" w:rsidR="00577741" w:rsidRPr="00E476B6" w:rsidRDefault="004327D2" w:rsidP="004824CB">
            <w:pPr>
              <w:pStyle w:val="Tabletextcentred"/>
            </w:pPr>
            <w:r w:rsidRPr="00E476B6">
              <w:t>n/a</w:t>
            </w:r>
          </w:p>
        </w:tc>
        <w:tc>
          <w:tcPr>
            <w:tcW w:w="1701" w:type="dxa"/>
          </w:tcPr>
          <w:p w14:paraId="39F5515E" w14:textId="79966828" w:rsidR="00577741" w:rsidRPr="00E476B6" w:rsidRDefault="00577741" w:rsidP="003C1FD3">
            <w:pPr>
              <w:pStyle w:val="Tabletextcentred"/>
              <w:rPr>
                <w:rFonts w:cs="Segoe UI"/>
                <w:sz w:val="24"/>
                <w:szCs w:val="24"/>
              </w:rPr>
            </w:pPr>
            <w:r w:rsidRPr="004824CB">
              <w:t>97%</w:t>
            </w:r>
            <w:r w:rsidRPr="004824CB">
              <w:rPr>
                <w:rStyle w:val="SuperscriptblackChar"/>
              </w:rPr>
              <w:t>2</w:t>
            </w:r>
          </w:p>
        </w:tc>
        <w:tc>
          <w:tcPr>
            <w:tcW w:w="1560" w:type="dxa"/>
          </w:tcPr>
          <w:p w14:paraId="133F5BB7" w14:textId="2FC75D3E" w:rsidR="00577741" w:rsidRPr="00E476B6" w:rsidRDefault="00577741" w:rsidP="003C1FD3">
            <w:pPr>
              <w:pStyle w:val="Tabletextcentred"/>
              <w:rPr>
                <w:rFonts w:cs="Segoe UI"/>
                <w:sz w:val="24"/>
                <w:szCs w:val="24"/>
              </w:rPr>
            </w:pPr>
            <w:r w:rsidRPr="004824CB">
              <w:t>9</w:t>
            </w:r>
            <w:r w:rsidR="003E3C2D" w:rsidRPr="004824CB">
              <w:t>9</w:t>
            </w:r>
            <w:r w:rsidRPr="004824CB">
              <w:t>%</w:t>
            </w:r>
            <w:r w:rsidRPr="004824CB">
              <w:rPr>
                <w:rStyle w:val="SuperscriptblackChar"/>
              </w:rPr>
              <w:t>2</w:t>
            </w:r>
          </w:p>
        </w:tc>
      </w:tr>
      <w:tr w:rsidR="00577741" w:rsidRPr="00E476B6" w14:paraId="646FCC0D" w14:textId="77777777" w:rsidTr="00E476B6">
        <w:trPr>
          <w:trHeight w:val="20"/>
        </w:trPr>
        <w:tc>
          <w:tcPr>
            <w:tcW w:w="4106" w:type="dxa"/>
          </w:tcPr>
          <w:p w14:paraId="04915793" w14:textId="4F601C9F" w:rsidR="00577741" w:rsidRPr="00E476B6" w:rsidRDefault="00577741" w:rsidP="00991310">
            <w:pPr>
              <w:pStyle w:val="Tabletextleft"/>
              <w:rPr>
                <w:rFonts w:cs="Segoe UI"/>
                <w:sz w:val="24"/>
                <w:szCs w:val="24"/>
              </w:rPr>
            </w:pPr>
            <w:r w:rsidRPr="00AE3913">
              <w:t>Indigenous areas</w:t>
            </w:r>
            <w:r w:rsidRPr="001845A5">
              <w:rPr>
                <w:rStyle w:val="SuperscriptblackChar"/>
              </w:rPr>
              <w:t>3</w:t>
            </w:r>
          </w:p>
        </w:tc>
        <w:tc>
          <w:tcPr>
            <w:tcW w:w="1564" w:type="dxa"/>
          </w:tcPr>
          <w:p w14:paraId="56D96696" w14:textId="155F74EE" w:rsidR="00577741" w:rsidRPr="00E476B6" w:rsidRDefault="00577741" w:rsidP="004824CB">
            <w:pPr>
              <w:pStyle w:val="Tabletextcentred"/>
            </w:pPr>
            <w:r w:rsidRPr="00E476B6">
              <w:t>n/a</w:t>
            </w:r>
          </w:p>
        </w:tc>
        <w:tc>
          <w:tcPr>
            <w:tcW w:w="1418" w:type="dxa"/>
          </w:tcPr>
          <w:p w14:paraId="6D416D91" w14:textId="76600F0A" w:rsidR="00577741" w:rsidRPr="00E476B6" w:rsidRDefault="00577741" w:rsidP="004824CB">
            <w:pPr>
              <w:pStyle w:val="Tabletextcentred"/>
            </w:pPr>
            <w:r w:rsidRPr="00E476B6">
              <w:t>n/a</w:t>
            </w:r>
          </w:p>
        </w:tc>
        <w:tc>
          <w:tcPr>
            <w:tcW w:w="1417" w:type="dxa"/>
          </w:tcPr>
          <w:p w14:paraId="02155528" w14:textId="10598933" w:rsidR="00577741" w:rsidRPr="00E476B6" w:rsidRDefault="00577741" w:rsidP="004824CB">
            <w:pPr>
              <w:pStyle w:val="Tabletextcentred"/>
            </w:pPr>
            <w:r w:rsidRPr="00E476B6">
              <w:t>n/a</w:t>
            </w:r>
          </w:p>
        </w:tc>
        <w:tc>
          <w:tcPr>
            <w:tcW w:w="1276" w:type="dxa"/>
          </w:tcPr>
          <w:p w14:paraId="07708E37" w14:textId="2E73D0D1" w:rsidR="00577741" w:rsidRPr="00E476B6" w:rsidRDefault="00577741" w:rsidP="004824CB">
            <w:pPr>
              <w:pStyle w:val="Tabletextcentred"/>
            </w:pPr>
            <w:r w:rsidRPr="00E476B6">
              <w:t>n/a</w:t>
            </w:r>
          </w:p>
        </w:tc>
        <w:tc>
          <w:tcPr>
            <w:tcW w:w="1559" w:type="dxa"/>
          </w:tcPr>
          <w:p w14:paraId="040C8DAE" w14:textId="4FC309EF" w:rsidR="00577741" w:rsidRPr="00E476B6" w:rsidRDefault="00BD7F57" w:rsidP="004824CB">
            <w:pPr>
              <w:pStyle w:val="Tabletextcentred"/>
            </w:pPr>
            <w:r w:rsidRPr="00E476B6">
              <w:t>n/a</w:t>
            </w:r>
          </w:p>
        </w:tc>
        <w:tc>
          <w:tcPr>
            <w:tcW w:w="1701" w:type="dxa"/>
          </w:tcPr>
          <w:p w14:paraId="70A4116F" w14:textId="0A9D7582" w:rsidR="00577741" w:rsidRPr="00E476B6" w:rsidRDefault="00577741" w:rsidP="003C1FD3">
            <w:pPr>
              <w:pStyle w:val="Tabletextcentred"/>
              <w:rPr>
                <w:rFonts w:cs="Segoe UI"/>
                <w:sz w:val="24"/>
                <w:szCs w:val="24"/>
              </w:rPr>
            </w:pPr>
            <w:r w:rsidRPr="004824CB">
              <w:t>9</w:t>
            </w:r>
            <w:r w:rsidR="00BD7F57" w:rsidRPr="004824CB">
              <w:t>8</w:t>
            </w:r>
            <w:r w:rsidRPr="004824CB">
              <w:t>%</w:t>
            </w:r>
            <w:r w:rsidRPr="004824CB">
              <w:rPr>
                <w:rStyle w:val="SuperscriptblackChar"/>
              </w:rPr>
              <w:t>2</w:t>
            </w:r>
          </w:p>
        </w:tc>
        <w:tc>
          <w:tcPr>
            <w:tcW w:w="1560" w:type="dxa"/>
          </w:tcPr>
          <w:p w14:paraId="613DB9F9" w14:textId="1FFE57EA" w:rsidR="00577741" w:rsidRPr="00E476B6" w:rsidRDefault="00577741" w:rsidP="003C1FD3">
            <w:pPr>
              <w:pStyle w:val="Tabletextcentred"/>
              <w:rPr>
                <w:rFonts w:cs="Segoe UI"/>
                <w:sz w:val="24"/>
                <w:szCs w:val="24"/>
              </w:rPr>
            </w:pPr>
            <w:r w:rsidRPr="004824CB">
              <w:t>9</w:t>
            </w:r>
            <w:r w:rsidR="00BD7F57" w:rsidRPr="004824CB">
              <w:t>8</w:t>
            </w:r>
            <w:r w:rsidRPr="004824CB">
              <w:t>%</w:t>
            </w:r>
            <w:r w:rsidRPr="004824CB">
              <w:rPr>
                <w:rStyle w:val="SuperscriptblackChar"/>
              </w:rPr>
              <w:t>2</w:t>
            </w:r>
          </w:p>
        </w:tc>
      </w:tr>
      <w:tr w:rsidR="00F72AF0" w:rsidRPr="00E476B6" w14:paraId="5EAAA61B" w14:textId="77777777" w:rsidTr="0069619A">
        <w:trPr>
          <w:trHeight w:val="20"/>
        </w:trPr>
        <w:tc>
          <w:tcPr>
            <w:tcW w:w="14601" w:type="dxa"/>
            <w:gridSpan w:val="8"/>
            <w:shd w:val="clear" w:color="auto" w:fill="00DCA1"/>
          </w:tcPr>
          <w:p w14:paraId="652B1F36" w14:textId="5EF33688" w:rsidR="00F72AF0" w:rsidRPr="00733B0F" w:rsidRDefault="00F72AF0" w:rsidP="00733B0F">
            <w:pPr>
              <w:pStyle w:val="Tableheadingcentred"/>
            </w:pPr>
            <w:r w:rsidRPr="00733B0F">
              <w:t>Enhanced infectious syphilis</w:t>
            </w:r>
          </w:p>
        </w:tc>
      </w:tr>
      <w:tr w:rsidR="00577741" w:rsidRPr="00E476B6" w14:paraId="1311FAA7" w14:textId="77777777" w:rsidTr="00E476B6">
        <w:trPr>
          <w:trHeight w:val="20"/>
        </w:trPr>
        <w:tc>
          <w:tcPr>
            <w:tcW w:w="4106" w:type="dxa"/>
          </w:tcPr>
          <w:p w14:paraId="53B33B84" w14:textId="65DA25D9" w:rsidR="00577741" w:rsidRPr="00E476B6" w:rsidRDefault="00577741" w:rsidP="00991310">
            <w:pPr>
              <w:pStyle w:val="Tabletextleft"/>
            </w:pPr>
            <w:r w:rsidRPr="00E476B6">
              <w:t>Pregnancy status</w:t>
            </w:r>
          </w:p>
        </w:tc>
        <w:tc>
          <w:tcPr>
            <w:tcW w:w="1564" w:type="dxa"/>
          </w:tcPr>
          <w:p w14:paraId="1DFF0B66" w14:textId="4EA45D5B" w:rsidR="00577741" w:rsidRPr="004824CB" w:rsidRDefault="00577741" w:rsidP="004824CB">
            <w:pPr>
              <w:pStyle w:val="Tabletextcentred"/>
            </w:pPr>
            <w:r w:rsidRPr="004824CB">
              <w:t>62%4</w:t>
            </w:r>
          </w:p>
        </w:tc>
        <w:tc>
          <w:tcPr>
            <w:tcW w:w="1418" w:type="dxa"/>
          </w:tcPr>
          <w:p w14:paraId="5C6516BA" w14:textId="424BE7B0" w:rsidR="00577741" w:rsidRPr="004824CB" w:rsidRDefault="00577741" w:rsidP="004824CB">
            <w:pPr>
              <w:pStyle w:val="Tabletextcentred"/>
            </w:pPr>
            <w:r w:rsidRPr="004824CB">
              <w:t>73%5</w:t>
            </w:r>
          </w:p>
        </w:tc>
        <w:tc>
          <w:tcPr>
            <w:tcW w:w="1417" w:type="dxa"/>
          </w:tcPr>
          <w:p w14:paraId="2D25D322" w14:textId="3C8206C4" w:rsidR="00577741" w:rsidRPr="004824CB" w:rsidRDefault="00577741" w:rsidP="004824CB">
            <w:pPr>
              <w:pStyle w:val="Tabletextcentred"/>
            </w:pPr>
            <w:r w:rsidRPr="004824CB">
              <w:t>72%5</w:t>
            </w:r>
          </w:p>
        </w:tc>
        <w:tc>
          <w:tcPr>
            <w:tcW w:w="1276" w:type="dxa"/>
          </w:tcPr>
          <w:p w14:paraId="1F2198F8" w14:textId="44AB0CAC" w:rsidR="00577741" w:rsidRPr="004824CB" w:rsidRDefault="00577741" w:rsidP="004824CB">
            <w:pPr>
              <w:pStyle w:val="Tabletextcentred"/>
            </w:pPr>
            <w:r w:rsidRPr="004824CB">
              <w:t>80%5</w:t>
            </w:r>
          </w:p>
        </w:tc>
        <w:tc>
          <w:tcPr>
            <w:tcW w:w="1559" w:type="dxa"/>
          </w:tcPr>
          <w:p w14:paraId="66F61EDC" w14:textId="3651EDE1" w:rsidR="00577741" w:rsidRPr="004824CB" w:rsidRDefault="00577741" w:rsidP="004824CB">
            <w:pPr>
              <w:pStyle w:val="Tabletextcentred"/>
            </w:pPr>
            <w:r w:rsidRPr="004824CB">
              <w:t>58%6</w:t>
            </w:r>
          </w:p>
        </w:tc>
        <w:tc>
          <w:tcPr>
            <w:tcW w:w="1701" w:type="dxa"/>
          </w:tcPr>
          <w:p w14:paraId="0B0AC3AE" w14:textId="1759A1B4" w:rsidR="00577741" w:rsidRPr="004824CB" w:rsidRDefault="00577741" w:rsidP="004824CB">
            <w:pPr>
              <w:pStyle w:val="Tabletextcentred"/>
            </w:pPr>
            <w:r w:rsidRPr="004824CB">
              <w:t>7</w:t>
            </w:r>
            <w:r w:rsidR="007927A4" w:rsidRPr="004824CB">
              <w:t>5</w:t>
            </w:r>
            <w:r w:rsidRPr="004824CB">
              <w:t>%6</w:t>
            </w:r>
          </w:p>
        </w:tc>
        <w:tc>
          <w:tcPr>
            <w:tcW w:w="1560" w:type="dxa"/>
          </w:tcPr>
          <w:p w14:paraId="370190F3" w14:textId="45BB0BD9" w:rsidR="00577741" w:rsidRPr="004824CB" w:rsidRDefault="00577741" w:rsidP="004824CB">
            <w:pPr>
              <w:pStyle w:val="Tabletextcentred"/>
            </w:pPr>
            <w:r w:rsidRPr="004824CB">
              <w:t>7</w:t>
            </w:r>
            <w:r w:rsidR="00377CF2" w:rsidRPr="004824CB">
              <w:t>6</w:t>
            </w:r>
            <w:r w:rsidRPr="004824CB">
              <w:t>%</w:t>
            </w:r>
            <w:r w:rsidR="0099183B" w:rsidRPr="004824CB">
              <w:t>4</w:t>
            </w:r>
          </w:p>
        </w:tc>
      </w:tr>
      <w:tr w:rsidR="00577741" w:rsidRPr="00E476B6" w14:paraId="52629FEA" w14:textId="77777777" w:rsidTr="00E476B6">
        <w:trPr>
          <w:trHeight w:val="20"/>
        </w:trPr>
        <w:tc>
          <w:tcPr>
            <w:tcW w:w="4106" w:type="dxa"/>
          </w:tcPr>
          <w:p w14:paraId="2FF3F227" w14:textId="4A97B755" w:rsidR="00577741" w:rsidRPr="00E476B6" w:rsidRDefault="00577741" w:rsidP="00991310">
            <w:pPr>
              <w:pStyle w:val="Tabletextleft"/>
            </w:pPr>
            <w:r w:rsidRPr="00E476B6">
              <w:t>Sexual exposure (males)</w:t>
            </w:r>
          </w:p>
        </w:tc>
        <w:tc>
          <w:tcPr>
            <w:tcW w:w="1564" w:type="dxa"/>
          </w:tcPr>
          <w:p w14:paraId="3C9D9D6E" w14:textId="5AD95F16" w:rsidR="00577741" w:rsidRPr="004824CB" w:rsidRDefault="00624539" w:rsidP="004824CB">
            <w:pPr>
              <w:pStyle w:val="Tabletextcentred"/>
            </w:pPr>
            <w:r w:rsidRPr="004824CB">
              <w:t>81</w:t>
            </w:r>
            <w:r w:rsidR="00577741" w:rsidRPr="004824CB">
              <w:t>%</w:t>
            </w:r>
          </w:p>
        </w:tc>
        <w:tc>
          <w:tcPr>
            <w:tcW w:w="1418" w:type="dxa"/>
          </w:tcPr>
          <w:p w14:paraId="05AD67F2" w14:textId="0970215C" w:rsidR="00577741" w:rsidRPr="004824CB" w:rsidRDefault="00577741" w:rsidP="004824CB">
            <w:pPr>
              <w:pStyle w:val="Tabletextcentred"/>
            </w:pPr>
            <w:r w:rsidRPr="004824CB">
              <w:t>7</w:t>
            </w:r>
            <w:r w:rsidR="00624539" w:rsidRPr="004824CB">
              <w:t>7</w:t>
            </w:r>
            <w:r w:rsidRPr="004824CB">
              <w:t>%</w:t>
            </w:r>
          </w:p>
        </w:tc>
        <w:tc>
          <w:tcPr>
            <w:tcW w:w="1417" w:type="dxa"/>
          </w:tcPr>
          <w:p w14:paraId="6879605D" w14:textId="7887D05F" w:rsidR="00577741" w:rsidRPr="004824CB" w:rsidRDefault="00624539" w:rsidP="004824CB">
            <w:pPr>
              <w:pStyle w:val="Tabletextcentred"/>
            </w:pPr>
            <w:r w:rsidRPr="004824CB">
              <w:t>74</w:t>
            </w:r>
            <w:r w:rsidR="00577741" w:rsidRPr="004824CB">
              <w:t>%</w:t>
            </w:r>
          </w:p>
        </w:tc>
        <w:tc>
          <w:tcPr>
            <w:tcW w:w="1276" w:type="dxa"/>
          </w:tcPr>
          <w:p w14:paraId="1372CB7F" w14:textId="7FF219C8" w:rsidR="00577741" w:rsidRPr="004824CB" w:rsidRDefault="00624539" w:rsidP="004824CB">
            <w:pPr>
              <w:pStyle w:val="Tabletextcentred"/>
            </w:pPr>
            <w:r w:rsidRPr="004824CB">
              <w:t>77</w:t>
            </w:r>
            <w:r w:rsidR="00577741" w:rsidRPr="004824CB">
              <w:t>%</w:t>
            </w:r>
          </w:p>
        </w:tc>
        <w:tc>
          <w:tcPr>
            <w:tcW w:w="1559" w:type="dxa"/>
          </w:tcPr>
          <w:p w14:paraId="35F57658" w14:textId="5B95C315" w:rsidR="00577741" w:rsidRPr="004824CB" w:rsidRDefault="00EC18FA" w:rsidP="004824CB">
            <w:pPr>
              <w:pStyle w:val="Tabletextcentred"/>
            </w:pPr>
            <w:r w:rsidRPr="004824CB">
              <w:t>77</w:t>
            </w:r>
            <w:r w:rsidR="00577741" w:rsidRPr="004824CB">
              <w:t>%</w:t>
            </w:r>
          </w:p>
        </w:tc>
        <w:tc>
          <w:tcPr>
            <w:tcW w:w="1701" w:type="dxa"/>
          </w:tcPr>
          <w:p w14:paraId="24C9D215" w14:textId="32A6E31F" w:rsidR="00577741" w:rsidRPr="004824CB" w:rsidRDefault="00577741" w:rsidP="004824CB">
            <w:pPr>
              <w:pStyle w:val="Tabletextcentred"/>
            </w:pPr>
            <w:r w:rsidRPr="004824CB">
              <w:t>79%</w:t>
            </w:r>
          </w:p>
        </w:tc>
        <w:tc>
          <w:tcPr>
            <w:tcW w:w="1560" w:type="dxa"/>
          </w:tcPr>
          <w:p w14:paraId="6D8D2760" w14:textId="721D4ACC" w:rsidR="00577741" w:rsidRPr="004824CB" w:rsidRDefault="00EC18FA" w:rsidP="004824CB">
            <w:pPr>
              <w:pStyle w:val="Tabletextcentred"/>
            </w:pPr>
            <w:r w:rsidRPr="004824CB">
              <w:t>67</w:t>
            </w:r>
            <w:r w:rsidR="00577741" w:rsidRPr="004824CB">
              <w:t>%</w:t>
            </w:r>
          </w:p>
        </w:tc>
      </w:tr>
      <w:tr w:rsidR="00F72AF0" w:rsidRPr="00E476B6" w14:paraId="0B7D4779" w14:textId="77777777" w:rsidTr="0069619A">
        <w:trPr>
          <w:trHeight w:val="20"/>
        </w:trPr>
        <w:tc>
          <w:tcPr>
            <w:tcW w:w="14601" w:type="dxa"/>
            <w:gridSpan w:val="8"/>
            <w:shd w:val="clear" w:color="auto" w:fill="00DCA1"/>
          </w:tcPr>
          <w:p w14:paraId="23901845" w14:textId="0CBC5FC3" w:rsidR="00F72AF0" w:rsidRPr="00733B0F" w:rsidRDefault="00F72AF0" w:rsidP="00733B0F">
            <w:pPr>
              <w:pStyle w:val="Tableheadingcentred"/>
            </w:pPr>
            <w:r w:rsidRPr="00733B0F">
              <w:t>Enhanced congenital syphilis</w:t>
            </w:r>
          </w:p>
        </w:tc>
      </w:tr>
      <w:tr w:rsidR="00577741" w:rsidRPr="00E476B6" w14:paraId="7D6A51F4" w14:textId="77777777" w:rsidTr="00E476B6">
        <w:trPr>
          <w:trHeight w:val="20"/>
        </w:trPr>
        <w:tc>
          <w:tcPr>
            <w:tcW w:w="4106" w:type="dxa"/>
          </w:tcPr>
          <w:p w14:paraId="602BAF6B" w14:textId="0927CF19" w:rsidR="00577741" w:rsidRPr="00E476B6" w:rsidRDefault="00577741" w:rsidP="00991310">
            <w:pPr>
              <w:pStyle w:val="Tabletextleft"/>
            </w:pPr>
            <w:r w:rsidRPr="00E476B6">
              <w:t>Stage of pregnancy</w:t>
            </w:r>
          </w:p>
        </w:tc>
        <w:tc>
          <w:tcPr>
            <w:tcW w:w="1564" w:type="dxa"/>
          </w:tcPr>
          <w:p w14:paraId="06F57A22" w14:textId="6CEE76C0" w:rsidR="00577741" w:rsidRPr="00E476B6" w:rsidRDefault="00577741" w:rsidP="004824CB">
            <w:pPr>
              <w:pStyle w:val="Tabletextcentred"/>
            </w:pPr>
            <w:r w:rsidRPr="00E476B6">
              <w:t>100%</w:t>
            </w:r>
          </w:p>
        </w:tc>
        <w:tc>
          <w:tcPr>
            <w:tcW w:w="1418" w:type="dxa"/>
          </w:tcPr>
          <w:p w14:paraId="125B3129" w14:textId="39529FE2" w:rsidR="00577741" w:rsidRPr="00E476B6" w:rsidRDefault="00577741" w:rsidP="004824CB">
            <w:pPr>
              <w:pStyle w:val="Tabletextcentred"/>
            </w:pPr>
            <w:r w:rsidRPr="00E476B6">
              <w:t>100%</w:t>
            </w:r>
          </w:p>
        </w:tc>
        <w:tc>
          <w:tcPr>
            <w:tcW w:w="1417" w:type="dxa"/>
          </w:tcPr>
          <w:p w14:paraId="4F79BE52" w14:textId="72F0BB56" w:rsidR="00577741" w:rsidRPr="00E476B6" w:rsidRDefault="00577741" w:rsidP="004824CB">
            <w:pPr>
              <w:pStyle w:val="Tabletextcentred"/>
            </w:pPr>
            <w:r w:rsidRPr="00E476B6">
              <w:t>80%</w:t>
            </w:r>
          </w:p>
        </w:tc>
        <w:tc>
          <w:tcPr>
            <w:tcW w:w="1276" w:type="dxa"/>
          </w:tcPr>
          <w:p w14:paraId="0C87341F" w14:textId="346FB4B6" w:rsidR="00577741" w:rsidRPr="00E476B6" w:rsidRDefault="00577741" w:rsidP="004824CB">
            <w:pPr>
              <w:pStyle w:val="Tabletextcentred"/>
            </w:pPr>
            <w:r w:rsidRPr="00E476B6">
              <w:t>100%</w:t>
            </w:r>
          </w:p>
        </w:tc>
        <w:tc>
          <w:tcPr>
            <w:tcW w:w="1559" w:type="dxa"/>
          </w:tcPr>
          <w:p w14:paraId="39E7450E" w14:textId="269A05A5" w:rsidR="00577741" w:rsidRPr="00E476B6" w:rsidRDefault="00577741" w:rsidP="004824CB">
            <w:pPr>
              <w:pStyle w:val="Tabletextcentred"/>
            </w:pPr>
            <w:r w:rsidRPr="00E476B6">
              <w:t>100%</w:t>
            </w:r>
          </w:p>
        </w:tc>
        <w:tc>
          <w:tcPr>
            <w:tcW w:w="1701" w:type="dxa"/>
          </w:tcPr>
          <w:p w14:paraId="785101F9" w14:textId="392CDEF9" w:rsidR="00577741" w:rsidRPr="00E476B6" w:rsidRDefault="00577741" w:rsidP="004824CB">
            <w:pPr>
              <w:pStyle w:val="Tabletextcentred"/>
            </w:pPr>
            <w:r w:rsidRPr="00E476B6">
              <w:t>100%</w:t>
            </w:r>
          </w:p>
        </w:tc>
        <w:tc>
          <w:tcPr>
            <w:tcW w:w="1560" w:type="dxa"/>
          </w:tcPr>
          <w:p w14:paraId="56C5B022" w14:textId="401944E1" w:rsidR="00577741" w:rsidRPr="00E476B6" w:rsidRDefault="00577741" w:rsidP="004824CB">
            <w:pPr>
              <w:pStyle w:val="Tabletextcentred"/>
            </w:pPr>
            <w:r w:rsidRPr="00E476B6">
              <w:t>100%</w:t>
            </w:r>
          </w:p>
        </w:tc>
      </w:tr>
      <w:tr w:rsidR="00577741" w:rsidRPr="00E476B6" w14:paraId="7EDF2DA5" w14:textId="77777777" w:rsidTr="00E476B6">
        <w:trPr>
          <w:trHeight w:val="20"/>
        </w:trPr>
        <w:tc>
          <w:tcPr>
            <w:tcW w:w="4106" w:type="dxa"/>
          </w:tcPr>
          <w:p w14:paraId="2C9DBE8F" w14:textId="588E033D" w:rsidR="00577741" w:rsidRPr="00E476B6" w:rsidRDefault="00577741" w:rsidP="00991310">
            <w:pPr>
              <w:pStyle w:val="Tabletextleft"/>
            </w:pPr>
            <w:r w:rsidRPr="00E476B6">
              <w:t>Treatment prior to delivery</w:t>
            </w:r>
          </w:p>
        </w:tc>
        <w:tc>
          <w:tcPr>
            <w:tcW w:w="1564" w:type="dxa"/>
          </w:tcPr>
          <w:p w14:paraId="3AA432AA" w14:textId="59475143" w:rsidR="00577741" w:rsidRPr="00E476B6" w:rsidRDefault="00577741" w:rsidP="004824CB">
            <w:pPr>
              <w:pStyle w:val="Tabletextcentred"/>
            </w:pPr>
            <w:r w:rsidRPr="00E476B6">
              <w:t>94%</w:t>
            </w:r>
          </w:p>
        </w:tc>
        <w:tc>
          <w:tcPr>
            <w:tcW w:w="1418" w:type="dxa"/>
          </w:tcPr>
          <w:p w14:paraId="48387EDF" w14:textId="4834D28D" w:rsidR="00577741" w:rsidRPr="00E476B6" w:rsidRDefault="00577741" w:rsidP="004824CB">
            <w:pPr>
              <w:pStyle w:val="Tabletextcentred"/>
            </w:pPr>
            <w:r w:rsidRPr="00E476B6">
              <w:t>100%</w:t>
            </w:r>
          </w:p>
        </w:tc>
        <w:tc>
          <w:tcPr>
            <w:tcW w:w="1417" w:type="dxa"/>
          </w:tcPr>
          <w:p w14:paraId="3A68060E" w14:textId="5169AEEA" w:rsidR="00577741" w:rsidRPr="00E476B6" w:rsidRDefault="00577741" w:rsidP="004824CB">
            <w:pPr>
              <w:pStyle w:val="Tabletextcentred"/>
            </w:pPr>
            <w:r w:rsidRPr="00E476B6">
              <w:t>87%</w:t>
            </w:r>
          </w:p>
        </w:tc>
        <w:tc>
          <w:tcPr>
            <w:tcW w:w="1276" w:type="dxa"/>
          </w:tcPr>
          <w:p w14:paraId="43BD2725" w14:textId="5AEA09CB" w:rsidR="00577741" w:rsidRPr="00E476B6" w:rsidRDefault="00425FF0" w:rsidP="004824CB">
            <w:pPr>
              <w:pStyle w:val="Tabletextcentred"/>
            </w:pPr>
            <w:r w:rsidRPr="00E476B6">
              <w:t>9</w:t>
            </w:r>
            <w:r w:rsidR="00577741" w:rsidRPr="00E476B6">
              <w:t>5%</w:t>
            </w:r>
          </w:p>
        </w:tc>
        <w:tc>
          <w:tcPr>
            <w:tcW w:w="1559" w:type="dxa"/>
          </w:tcPr>
          <w:p w14:paraId="4A938B09" w14:textId="71F5FFA7" w:rsidR="00577741" w:rsidRPr="00E476B6" w:rsidRDefault="00577741" w:rsidP="004824CB">
            <w:pPr>
              <w:pStyle w:val="Tabletextcentred"/>
            </w:pPr>
            <w:r w:rsidRPr="00E476B6">
              <w:t>80%</w:t>
            </w:r>
          </w:p>
        </w:tc>
        <w:tc>
          <w:tcPr>
            <w:tcW w:w="1701" w:type="dxa"/>
          </w:tcPr>
          <w:p w14:paraId="1949B4E2" w14:textId="426BCBEF" w:rsidR="00577741" w:rsidRPr="00E476B6" w:rsidRDefault="00577741" w:rsidP="004824CB">
            <w:pPr>
              <w:pStyle w:val="Tabletextcentred"/>
            </w:pPr>
            <w:r w:rsidRPr="00E476B6">
              <w:t>100%</w:t>
            </w:r>
          </w:p>
        </w:tc>
        <w:tc>
          <w:tcPr>
            <w:tcW w:w="1560" w:type="dxa"/>
          </w:tcPr>
          <w:p w14:paraId="3BAD090F" w14:textId="47C353E4" w:rsidR="00577741" w:rsidRPr="00E476B6" w:rsidRDefault="00577741" w:rsidP="004824CB">
            <w:pPr>
              <w:pStyle w:val="Tabletextcentred"/>
            </w:pPr>
            <w:r w:rsidRPr="00E476B6">
              <w:t>100%</w:t>
            </w:r>
          </w:p>
        </w:tc>
      </w:tr>
      <w:tr w:rsidR="00577741" w:rsidRPr="00E476B6" w14:paraId="7D7C865D" w14:textId="77777777" w:rsidTr="00E476B6">
        <w:trPr>
          <w:trHeight w:val="20"/>
        </w:trPr>
        <w:tc>
          <w:tcPr>
            <w:tcW w:w="4106" w:type="dxa"/>
          </w:tcPr>
          <w:p w14:paraId="146B83E1" w14:textId="744E7EF2" w:rsidR="00577741" w:rsidRPr="00E476B6" w:rsidRDefault="00577741" w:rsidP="00991310">
            <w:pPr>
              <w:pStyle w:val="Tabletextleft"/>
            </w:pPr>
            <w:r w:rsidRPr="00E476B6">
              <w:lastRenderedPageBreak/>
              <w:t>Testing history</w:t>
            </w:r>
          </w:p>
        </w:tc>
        <w:tc>
          <w:tcPr>
            <w:tcW w:w="1564" w:type="dxa"/>
          </w:tcPr>
          <w:p w14:paraId="7BAF1744" w14:textId="23924844" w:rsidR="00577741" w:rsidRPr="00E476B6" w:rsidRDefault="00577741" w:rsidP="004824CB">
            <w:pPr>
              <w:pStyle w:val="Tabletextcentred"/>
            </w:pPr>
            <w:r w:rsidRPr="00E476B6">
              <w:t>100%</w:t>
            </w:r>
          </w:p>
        </w:tc>
        <w:tc>
          <w:tcPr>
            <w:tcW w:w="1418" w:type="dxa"/>
          </w:tcPr>
          <w:p w14:paraId="071C8551" w14:textId="7FA636B4" w:rsidR="00577741" w:rsidRPr="00E476B6" w:rsidRDefault="00577741" w:rsidP="004824CB">
            <w:pPr>
              <w:pStyle w:val="Tabletextcentred"/>
            </w:pPr>
            <w:r w:rsidRPr="00E476B6">
              <w:t>100%</w:t>
            </w:r>
          </w:p>
        </w:tc>
        <w:tc>
          <w:tcPr>
            <w:tcW w:w="1417" w:type="dxa"/>
          </w:tcPr>
          <w:p w14:paraId="6C332068" w14:textId="268D9798" w:rsidR="00577741" w:rsidRPr="00E476B6" w:rsidRDefault="00577741" w:rsidP="004824CB">
            <w:pPr>
              <w:pStyle w:val="Tabletextcentred"/>
            </w:pPr>
            <w:r w:rsidRPr="00E476B6">
              <w:t>100%</w:t>
            </w:r>
          </w:p>
        </w:tc>
        <w:tc>
          <w:tcPr>
            <w:tcW w:w="1276" w:type="dxa"/>
          </w:tcPr>
          <w:p w14:paraId="006F2787" w14:textId="35EE5B76" w:rsidR="00577741" w:rsidRPr="00E476B6" w:rsidRDefault="00577741" w:rsidP="004824CB">
            <w:pPr>
              <w:pStyle w:val="Tabletextcentred"/>
            </w:pPr>
            <w:r w:rsidRPr="00E476B6">
              <w:t>95%</w:t>
            </w:r>
          </w:p>
        </w:tc>
        <w:tc>
          <w:tcPr>
            <w:tcW w:w="1559" w:type="dxa"/>
          </w:tcPr>
          <w:p w14:paraId="434C0F54" w14:textId="253098FF" w:rsidR="00577741" w:rsidRPr="00E476B6" w:rsidRDefault="00577741" w:rsidP="004824CB">
            <w:pPr>
              <w:pStyle w:val="Tabletextcentred"/>
            </w:pPr>
            <w:r w:rsidRPr="00E476B6">
              <w:t>90%</w:t>
            </w:r>
          </w:p>
        </w:tc>
        <w:tc>
          <w:tcPr>
            <w:tcW w:w="1701" w:type="dxa"/>
          </w:tcPr>
          <w:p w14:paraId="57F4E694" w14:textId="4259B078" w:rsidR="00577741" w:rsidRPr="00E476B6" w:rsidRDefault="00EA7DEB" w:rsidP="004824CB">
            <w:pPr>
              <w:pStyle w:val="Tabletextcentred"/>
            </w:pPr>
            <w:r w:rsidRPr="00E476B6">
              <w:t>93</w:t>
            </w:r>
            <w:r w:rsidR="00577741" w:rsidRPr="00E476B6">
              <w:t>%</w:t>
            </w:r>
          </w:p>
        </w:tc>
        <w:tc>
          <w:tcPr>
            <w:tcW w:w="1560" w:type="dxa"/>
          </w:tcPr>
          <w:p w14:paraId="693E91A2" w14:textId="65F4A9B3" w:rsidR="00577741" w:rsidRPr="00E476B6" w:rsidRDefault="00577741" w:rsidP="004824CB">
            <w:pPr>
              <w:pStyle w:val="Tabletextcentred"/>
            </w:pPr>
            <w:r w:rsidRPr="00E476B6">
              <w:t>100%</w:t>
            </w:r>
          </w:p>
        </w:tc>
      </w:tr>
      <w:tr w:rsidR="00577741" w:rsidRPr="00E476B6" w14:paraId="4D8ADAD8" w14:textId="77777777" w:rsidTr="00E476B6">
        <w:trPr>
          <w:trHeight w:val="20"/>
        </w:trPr>
        <w:tc>
          <w:tcPr>
            <w:tcW w:w="4106" w:type="dxa"/>
          </w:tcPr>
          <w:p w14:paraId="100438A4" w14:textId="7A2559BE" w:rsidR="00577741" w:rsidRPr="00E476B6" w:rsidRDefault="00577741" w:rsidP="00991310">
            <w:pPr>
              <w:pStyle w:val="Tabletextleft"/>
            </w:pPr>
            <w:r w:rsidRPr="00E476B6">
              <w:t>Re-infection (current pregnancy)</w:t>
            </w:r>
          </w:p>
        </w:tc>
        <w:tc>
          <w:tcPr>
            <w:tcW w:w="1564" w:type="dxa"/>
          </w:tcPr>
          <w:p w14:paraId="0CFDB323" w14:textId="4B86A041" w:rsidR="00577741" w:rsidRPr="00E476B6" w:rsidRDefault="00577741" w:rsidP="004824CB">
            <w:pPr>
              <w:pStyle w:val="Tabletextcentred"/>
            </w:pPr>
            <w:r w:rsidRPr="00E476B6">
              <w:t>88%</w:t>
            </w:r>
          </w:p>
        </w:tc>
        <w:tc>
          <w:tcPr>
            <w:tcW w:w="1418" w:type="dxa"/>
          </w:tcPr>
          <w:p w14:paraId="7BCE0B18" w14:textId="123CD499" w:rsidR="00577741" w:rsidRPr="00E476B6" w:rsidRDefault="00577741" w:rsidP="004824CB">
            <w:pPr>
              <w:pStyle w:val="Tabletextcentred"/>
            </w:pPr>
            <w:r w:rsidRPr="00E476B6">
              <w:t>73%</w:t>
            </w:r>
          </w:p>
        </w:tc>
        <w:tc>
          <w:tcPr>
            <w:tcW w:w="1417" w:type="dxa"/>
          </w:tcPr>
          <w:p w14:paraId="2A8C9F91" w14:textId="42B49E64" w:rsidR="00577741" w:rsidRPr="00E476B6" w:rsidRDefault="00577741" w:rsidP="004824CB">
            <w:pPr>
              <w:pStyle w:val="Tabletextcentred"/>
            </w:pPr>
            <w:r w:rsidRPr="00E476B6">
              <w:t>100%</w:t>
            </w:r>
          </w:p>
        </w:tc>
        <w:tc>
          <w:tcPr>
            <w:tcW w:w="1276" w:type="dxa"/>
          </w:tcPr>
          <w:p w14:paraId="6FD23D4A" w14:textId="5E7D4AD8" w:rsidR="00577741" w:rsidRPr="00E476B6" w:rsidRDefault="00577741" w:rsidP="004824CB">
            <w:pPr>
              <w:pStyle w:val="Tabletextcentred"/>
            </w:pPr>
            <w:r w:rsidRPr="00E476B6">
              <w:t>65%</w:t>
            </w:r>
          </w:p>
        </w:tc>
        <w:tc>
          <w:tcPr>
            <w:tcW w:w="1559" w:type="dxa"/>
          </w:tcPr>
          <w:p w14:paraId="6F8621E3" w14:textId="602788F6" w:rsidR="00577741" w:rsidRPr="00E476B6" w:rsidRDefault="00577741" w:rsidP="004824CB">
            <w:pPr>
              <w:pStyle w:val="Tabletextcentred"/>
            </w:pPr>
            <w:r w:rsidRPr="00E476B6">
              <w:t>80%</w:t>
            </w:r>
          </w:p>
        </w:tc>
        <w:tc>
          <w:tcPr>
            <w:tcW w:w="1701" w:type="dxa"/>
          </w:tcPr>
          <w:p w14:paraId="07CEF1C9" w14:textId="2B5AFE7D" w:rsidR="00577741" w:rsidRPr="00E476B6" w:rsidRDefault="00AB7AE5" w:rsidP="004824CB">
            <w:pPr>
              <w:pStyle w:val="Tabletextcentred"/>
            </w:pPr>
            <w:r w:rsidRPr="00E476B6">
              <w:t>86</w:t>
            </w:r>
            <w:r w:rsidR="00577741" w:rsidRPr="00E476B6">
              <w:t>%</w:t>
            </w:r>
          </w:p>
        </w:tc>
        <w:tc>
          <w:tcPr>
            <w:tcW w:w="1560" w:type="dxa"/>
          </w:tcPr>
          <w:p w14:paraId="291E6A49" w14:textId="68B75065" w:rsidR="00577741" w:rsidRPr="00E476B6" w:rsidRDefault="004E13BE" w:rsidP="004824CB">
            <w:pPr>
              <w:pStyle w:val="Tabletextcentred"/>
            </w:pPr>
            <w:r w:rsidRPr="00E476B6">
              <w:t>50</w:t>
            </w:r>
            <w:r w:rsidR="00577741" w:rsidRPr="00E476B6">
              <w:t>%</w:t>
            </w:r>
          </w:p>
        </w:tc>
      </w:tr>
    </w:tbl>
    <w:p w14:paraId="2036D49D" w14:textId="0A27BE0A" w:rsidR="00361FC5" w:rsidRPr="001D443D" w:rsidRDefault="00361FC5" w:rsidP="001D443D">
      <w:pPr>
        <w:pStyle w:val="FootnoteText"/>
      </w:pPr>
      <w:r w:rsidRPr="001D443D">
        <w:t>Notes:</w:t>
      </w:r>
    </w:p>
    <w:p w14:paraId="3CCC72DD" w14:textId="4D35B392" w:rsidR="00514298" w:rsidRPr="001D443D" w:rsidRDefault="00514298" w:rsidP="001D443D">
      <w:pPr>
        <w:pStyle w:val="FootnoteText"/>
      </w:pPr>
      <w:r w:rsidRPr="001D443D">
        <w:t>1</w:t>
      </w:r>
      <w:r w:rsidRPr="001D443D">
        <w:tab/>
        <w:t>Where completeness is less than 50%, data has been excluded.</w:t>
      </w:r>
    </w:p>
    <w:p w14:paraId="70E635B9" w14:textId="52D8F7EB" w:rsidR="00514298" w:rsidRPr="001D443D" w:rsidRDefault="00514298" w:rsidP="001D443D">
      <w:pPr>
        <w:pStyle w:val="FootnoteText"/>
      </w:pPr>
      <w:r w:rsidRPr="001D443D">
        <w:t xml:space="preserve">2 </w:t>
      </w:r>
      <w:r w:rsidRPr="001D443D">
        <w:tab/>
        <w:t>Q</w:t>
      </w:r>
      <w:r w:rsidR="009D1E40" w:rsidRPr="001D443D">
        <w:t>2</w:t>
      </w:r>
      <w:r w:rsidRPr="001D443D">
        <w:t xml:space="preserve"> 202</w:t>
      </w:r>
      <w:r w:rsidR="009D1E40" w:rsidRPr="001D443D">
        <w:t>5</w:t>
      </w:r>
      <w:r w:rsidRPr="001D443D">
        <w:t xml:space="preserve"> to Q</w:t>
      </w:r>
      <w:r w:rsidR="009D1E40" w:rsidRPr="001D443D">
        <w:t>1</w:t>
      </w:r>
      <w:r w:rsidRPr="001D443D">
        <w:t xml:space="preserve"> 202</w:t>
      </w:r>
      <w:r w:rsidR="009D1E40" w:rsidRPr="001D443D">
        <w:t>6</w:t>
      </w:r>
      <w:r w:rsidR="0011260E" w:rsidRPr="001D443D">
        <w:t>.</w:t>
      </w:r>
    </w:p>
    <w:p w14:paraId="4B0A7351" w14:textId="083442D8" w:rsidR="00E430EC" w:rsidRPr="001D443D" w:rsidRDefault="008C4D27" w:rsidP="001D443D">
      <w:pPr>
        <w:pStyle w:val="FootnoteText"/>
      </w:pPr>
      <w:r w:rsidRPr="001D443D">
        <w:t>3</w:t>
      </w:r>
      <w:r w:rsidRPr="001D443D">
        <w:tab/>
        <w:t>Aboriginal and Torres Strait Islander people</w:t>
      </w:r>
      <w:r w:rsidR="0059535E" w:rsidRPr="001D443D">
        <w:t>s</w:t>
      </w:r>
      <w:r w:rsidRPr="001D443D">
        <w:t xml:space="preserve"> only</w:t>
      </w:r>
      <w:r w:rsidR="0011260E" w:rsidRPr="001D443D">
        <w:t>.</w:t>
      </w:r>
    </w:p>
    <w:p w14:paraId="1E055B25" w14:textId="7A1B47C5" w:rsidR="0011260E" w:rsidRPr="001D443D" w:rsidRDefault="00E430EC" w:rsidP="001D443D">
      <w:pPr>
        <w:pStyle w:val="FootnoteText"/>
      </w:pPr>
      <w:r w:rsidRPr="001D443D">
        <w:t>4</w:t>
      </w:r>
      <w:r w:rsidRPr="001D443D">
        <w:tab/>
        <w:t>Includes 6 jurisdictions.</w:t>
      </w:r>
    </w:p>
    <w:p w14:paraId="3D792204" w14:textId="77777777" w:rsidR="0011260E" w:rsidRPr="001D443D" w:rsidRDefault="0011260E" w:rsidP="001D443D">
      <w:pPr>
        <w:pStyle w:val="FootnoteText"/>
      </w:pPr>
      <w:r w:rsidRPr="001D443D">
        <w:t>5</w:t>
      </w:r>
      <w:r w:rsidRPr="001D443D">
        <w:tab/>
        <w:t>Includes 7 jurisdictions.</w:t>
      </w:r>
    </w:p>
    <w:p w14:paraId="6B1AD8AE" w14:textId="17E076BC" w:rsidR="00E274FA" w:rsidRPr="001D443D" w:rsidRDefault="00193C02" w:rsidP="001D443D">
      <w:pPr>
        <w:pStyle w:val="FootnoteText"/>
        <w:sectPr w:rsidR="00E274FA" w:rsidRPr="001D443D" w:rsidSect="005F0659">
          <w:pgSz w:w="16840" w:h="11900" w:orient="landscape" w:code="9"/>
          <w:pgMar w:top="1134" w:right="1134" w:bottom="1134" w:left="1134" w:header="709" w:footer="425" w:gutter="0"/>
          <w:cols w:space="708"/>
          <w:docGrid w:linePitch="360"/>
        </w:sectPr>
      </w:pPr>
      <w:r w:rsidRPr="001D443D">
        <w:t>6</w:t>
      </w:r>
      <w:r w:rsidR="00E274FA" w:rsidRPr="001D443D">
        <w:tab/>
        <w:t xml:space="preserve">Includes </w:t>
      </w:r>
      <w:r w:rsidRPr="001D443D">
        <w:t>all</w:t>
      </w:r>
      <w:r w:rsidR="00E274FA" w:rsidRPr="001D443D">
        <w:t xml:space="preserve"> </w:t>
      </w:r>
      <w:r w:rsidRPr="001D443D">
        <w:t>states and territories.</w:t>
      </w:r>
    </w:p>
    <w:p w14:paraId="051472C4" w14:textId="77777777" w:rsidR="00753321" w:rsidRPr="009A2544" w:rsidRDefault="00753321" w:rsidP="00753321">
      <w:pPr>
        <w:pStyle w:val="Heading1"/>
      </w:pPr>
      <w:bookmarkStart w:id="90" w:name="_Toc218512936"/>
      <w:bookmarkStart w:id="91" w:name="_Toc241658070"/>
      <w:r w:rsidRPr="009A2544">
        <w:lastRenderedPageBreak/>
        <w:t>References</w:t>
      </w:r>
      <w:bookmarkEnd w:id="90"/>
      <w:bookmarkEnd w:id="91"/>
    </w:p>
    <w:p w14:paraId="2606C0AF" w14:textId="77777777" w:rsidR="00DF3CAA" w:rsidRPr="00694CD0" w:rsidRDefault="00753321" w:rsidP="00694CD0">
      <w:pPr>
        <w:pStyle w:val="EndNoteBibliography"/>
      </w:pPr>
      <w:r w:rsidRPr="00694CD0">
        <w:fldChar w:fldCharType="begin"/>
      </w:r>
      <w:r w:rsidRPr="00694CD0">
        <w:instrText xml:space="preserve"> ADDIN EN.REFLIST </w:instrText>
      </w:r>
      <w:r w:rsidRPr="00694CD0">
        <w:fldChar w:fldCharType="separate"/>
      </w:r>
      <w:r w:rsidR="00DF3CAA" w:rsidRPr="00694CD0">
        <w:t>1.</w:t>
      </w:r>
      <w:r w:rsidR="00DF3CAA" w:rsidRPr="00694CD0">
        <w:tab/>
        <w:t>Equity Economics. Blueprint for the Future: Evaluation of NACCHO’s Role under the Enhanced Syphilis Response. A Report prepared for the National Aboriginal Community Controlled Health Organisation (NACCHO). 2021.</w:t>
      </w:r>
    </w:p>
    <w:p w14:paraId="3DA78C1F" w14:textId="77777777" w:rsidR="00DF3CAA" w:rsidRPr="00694CD0" w:rsidRDefault="00DF3CAA" w:rsidP="00694CD0">
      <w:pPr>
        <w:pStyle w:val="EndNoteBibliography"/>
      </w:pPr>
      <w:r w:rsidRPr="00694CD0">
        <w:t>2.</w:t>
      </w:r>
      <w:r w:rsidRPr="00694CD0">
        <w:tab/>
        <w:t>National Syphilis Surveillance Quarterly Report (Quarter 4: 1 October - 31 December 2024). 2025.</w:t>
      </w:r>
    </w:p>
    <w:p w14:paraId="51C49B44" w14:textId="1239FE67" w:rsidR="00DF3CAA" w:rsidRPr="00694CD0" w:rsidRDefault="00DF3CAA" w:rsidP="00694CD0">
      <w:pPr>
        <w:pStyle w:val="EndNoteBibliography"/>
      </w:pPr>
      <w:r w:rsidRPr="00694CD0">
        <w:t>3.</w:t>
      </w:r>
      <w:r w:rsidRPr="00694CD0">
        <w:tab/>
        <w:t xml:space="preserve">NT Health. Public health alert: syphilis - ongoing high transmission: NT Health Centre for Disease Control; 2026 [Available from: </w:t>
      </w:r>
      <w:hyperlink r:id="rId46" w:history="1">
        <w:r w:rsidRPr="00694CD0">
          <w:rPr>
            <w:rStyle w:val="Hyperlink"/>
          </w:rPr>
          <w:t>https://health.nt.gov.au/__data/assets/pdf_file/0009/1592199/health-alert-syphilis-update-11.02.2026.pdf</w:t>
        </w:r>
      </w:hyperlink>
      <w:r w:rsidRPr="00694CD0">
        <w:t>.</w:t>
      </w:r>
    </w:p>
    <w:p w14:paraId="5ED9E35F" w14:textId="77777777" w:rsidR="00DF3CAA" w:rsidRPr="00694CD0" w:rsidRDefault="00DF3CAA" w:rsidP="00694CD0">
      <w:pPr>
        <w:pStyle w:val="EndNoteBibliography"/>
      </w:pPr>
      <w:r w:rsidRPr="00694CD0">
        <w:t>4.</w:t>
      </w:r>
      <w:r w:rsidRPr="00694CD0">
        <w:tab/>
        <w:t>Australian Institute of Health and Welfare. Aboriginal and Torres Strait Islander Health Performance Framework: summary report. AIHW: Australian Government; 2025.</w:t>
      </w:r>
    </w:p>
    <w:p w14:paraId="3140F5DB" w14:textId="2128F7D3" w:rsidR="00DF3CAA" w:rsidRPr="00694CD0" w:rsidRDefault="00DF3CAA" w:rsidP="00694CD0">
      <w:pPr>
        <w:pStyle w:val="EndNoteBibliography"/>
      </w:pPr>
      <w:r w:rsidRPr="00694CD0">
        <w:t>5.</w:t>
      </w:r>
      <w:r w:rsidRPr="00694CD0">
        <w:tab/>
        <w:t xml:space="preserve">Australian Statistical Geography Standard (ASGS) Edition 3: Indigenous Structure: Australian Bureau of Statistics; 2021 [Available from: </w:t>
      </w:r>
      <w:hyperlink r:id="rId47" w:history="1">
        <w:r w:rsidRPr="00694CD0">
          <w:rPr>
            <w:rStyle w:val="Hyperlink"/>
          </w:rPr>
          <w:t>https://www.abs.gov.au/statistics/standards/australian-statistical-geography-standard-asgs-edition-3/jul2021-jun2026/indigenous-structure</w:t>
        </w:r>
      </w:hyperlink>
      <w:r w:rsidRPr="00694CD0">
        <w:t>.</w:t>
      </w:r>
    </w:p>
    <w:p w14:paraId="6E133A78" w14:textId="77777777" w:rsidR="00DF3CAA" w:rsidRPr="00694CD0" w:rsidRDefault="00DF3CAA" w:rsidP="00694CD0">
      <w:pPr>
        <w:pStyle w:val="EndNoteBibliography"/>
      </w:pPr>
      <w:r w:rsidRPr="00694CD0">
        <w:t>6.</w:t>
      </w:r>
      <w:r w:rsidRPr="00694CD0">
        <w:tab/>
        <w:t>Taouk M, Taiaroa G, Pasricha S, Herman S, Chow E, Azzatto F, et al. Characterisation of Treponema pallidum lineages within the contemporary syphilis outbreak in Australia: a genomic epidemiological analysis. The Lancet Microbe. 2022;3(6):e417 - e26.</w:t>
      </w:r>
    </w:p>
    <w:p w14:paraId="3A809A85" w14:textId="77777777" w:rsidR="00DF3CAA" w:rsidRPr="00694CD0" w:rsidRDefault="00DF3CAA" w:rsidP="00694CD0">
      <w:pPr>
        <w:pStyle w:val="EndNoteBibliography"/>
      </w:pPr>
      <w:r w:rsidRPr="00694CD0">
        <w:t>7.</w:t>
      </w:r>
      <w:r w:rsidRPr="00694CD0">
        <w:tab/>
        <w:t>Williamson D, Chow E, Gorrie C, Seemann T, Ingle D, Higgins N, et al. Bridging of Neisseria gonorrhoeae lineages across sexual networks in the HIV pre-exposure prophylaxis era. Nature Communications. 2019;10.</w:t>
      </w:r>
    </w:p>
    <w:p w14:paraId="14A8B9A1" w14:textId="7DED0DA5" w:rsidR="00DF3CAA" w:rsidRPr="00694CD0" w:rsidRDefault="00DF3CAA" w:rsidP="00694CD0">
      <w:pPr>
        <w:pStyle w:val="EndNoteBibliography"/>
      </w:pPr>
      <w:r w:rsidRPr="00694CD0">
        <w:t>8.</w:t>
      </w:r>
      <w:r w:rsidRPr="00694CD0">
        <w:tab/>
        <w:t xml:space="preserve">Syphilis – CDNA National Guidelines for Public Health Units  [Available from: </w:t>
      </w:r>
      <w:hyperlink r:id="rId48" w:history="1">
        <w:r w:rsidRPr="00694CD0">
          <w:rPr>
            <w:rStyle w:val="Hyperlink"/>
          </w:rPr>
          <w:t>https://www.health.gov.au/resources/publications/syphilis-cdna-national-guidelines-for-public-health-units?language=en</w:t>
        </w:r>
      </w:hyperlink>
      <w:r w:rsidRPr="00694CD0">
        <w:t>.</w:t>
      </w:r>
    </w:p>
    <w:p w14:paraId="28F73D7A" w14:textId="54858430" w:rsidR="00DF3CAA" w:rsidRPr="00694CD0" w:rsidRDefault="00DF3CAA" w:rsidP="00694CD0">
      <w:pPr>
        <w:pStyle w:val="EndNoteBibliography"/>
      </w:pPr>
      <w:r w:rsidRPr="00694CD0">
        <w:t>9.</w:t>
      </w:r>
      <w:r w:rsidRPr="00694CD0">
        <w:tab/>
        <w:t xml:space="preserve">Queensland clinical guidelines. Translating evidence into best clinical practice - Syphilis and pregnancy (Qld Health): Queensland Health; 2025 [Available from: </w:t>
      </w:r>
      <w:hyperlink r:id="rId49" w:history="1">
        <w:r w:rsidRPr="00694CD0">
          <w:rPr>
            <w:rStyle w:val="Hyperlink"/>
          </w:rPr>
          <w:t>https://www.health.qld.gov.au/__data/assets/pdf_file/0035/736883/g-sip.pdf</w:t>
        </w:r>
      </w:hyperlink>
      <w:r w:rsidRPr="00694CD0">
        <w:t>.</w:t>
      </w:r>
    </w:p>
    <w:p w14:paraId="30DAFA5E" w14:textId="44F3F12F" w:rsidR="00DF3CAA" w:rsidRPr="00694CD0" w:rsidRDefault="00DF3CAA" w:rsidP="00694CD0">
      <w:pPr>
        <w:pStyle w:val="EndNoteBibliography"/>
      </w:pPr>
      <w:r w:rsidRPr="00694CD0">
        <w:t>10.</w:t>
      </w:r>
      <w:r w:rsidRPr="00694CD0">
        <w:tab/>
        <w:t xml:space="preserve">Statewide Maternity Shared Care Guidelines (WA Health): Government of Western Australia North Metropolitan Health Service Women and Newborn Health Service; 2021 [Available from: </w:t>
      </w:r>
      <w:hyperlink r:id="rId50" w:history="1">
        <w:r w:rsidRPr="00694CD0">
          <w:rPr>
            <w:rStyle w:val="Hyperlink"/>
          </w:rPr>
          <w:t>https://kemh.health.wa.gov.au/~/media/HSPs/NMHS/Hospitals/WNHS/Documents/Clinical-guidelines/Statewide-Maternity-Shared-Care-Guidelines.pdf</w:t>
        </w:r>
      </w:hyperlink>
      <w:r w:rsidRPr="00694CD0">
        <w:t>.</w:t>
      </w:r>
    </w:p>
    <w:p w14:paraId="574D85DB" w14:textId="403FA1A2" w:rsidR="00DF3CAA" w:rsidRPr="00694CD0" w:rsidRDefault="00DF3CAA" w:rsidP="00694CD0">
      <w:pPr>
        <w:pStyle w:val="EndNoteBibliography"/>
      </w:pPr>
      <w:r w:rsidRPr="00694CD0">
        <w:t>11.</w:t>
      </w:r>
      <w:r w:rsidRPr="00694CD0">
        <w:tab/>
        <w:t xml:space="preserve">South Australian Perinatal Practice Guideline. Syphilis in pregnancy and the neonate PPG015 (SA Health) 2025 [Available from: </w:t>
      </w:r>
      <w:hyperlink r:id="rId51" w:history="1">
        <w:r w:rsidRPr="00694CD0">
          <w:rPr>
            <w:rStyle w:val="Hyperlink"/>
          </w:rPr>
          <w:t>https://www.sahealth.sa.gov.au/wps/wcm/connect/4f3188804eedeac1b604b76a7ac0d6e4/Syphilis+in+pregnancy+and+the+neonate+PPG+v_5_0_.pdf?MOD=AJPERES&amp;CACHEID=ROOTWORKSPACE-4f3188804eedeac1b604b76a7ac0d6e4-ph8fmcZ</w:t>
        </w:r>
      </w:hyperlink>
      <w:r w:rsidRPr="00694CD0">
        <w:t>.</w:t>
      </w:r>
    </w:p>
    <w:p w14:paraId="451ADB9B" w14:textId="75100066" w:rsidR="00DF3CAA" w:rsidRPr="00694CD0" w:rsidRDefault="00DF3CAA" w:rsidP="00694CD0">
      <w:pPr>
        <w:pStyle w:val="EndNoteBibliography"/>
      </w:pPr>
      <w:r w:rsidRPr="00694CD0">
        <w:t>12.</w:t>
      </w:r>
      <w:r w:rsidRPr="00694CD0">
        <w:tab/>
        <w:t xml:space="preserve">Syphilis testing during pregnancy (Safer Care Victoria) 2025 [Available from: </w:t>
      </w:r>
      <w:hyperlink r:id="rId52" w:history="1">
        <w:r w:rsidRPr="00694CD0">
          <w:rPr>
            <w:rStyle w:val="Hyperlink"/>
          </w:rPr>
          <w:t>https://www.safercare.vic.gov.au/best-practice-improvement/clinical-guidance/maternity/syphilis-testing-during-pregnancy</w:t>
        </w:r>
      </w:hyperlink>
      <w:r w:rsidRPr="00694CD0">
        <w:t>.</w:t>
      </w:r>
    </w:p>
    <w:p w14:paraId="40CBC1B5" w14:textId="0DC965CF" w:rsidR="00DF3CAA" w:rsidRPr="00694CD0" w:rsidRDefault="00DF3CAA" w:rsidP="00694CD0">
      <w:pPr>
        <w:pStyle w:val="EndNoteBibliography"/>
      </w:pPr>
      <w:r w:rsidRPr="00694CD0">
        <w:t>13.</w:t>
      </w:r>
      <w:r w:rsidRPr="00694CD0">
        <w:tab/>
        <w:t xml:space="preserve">Three syphilis tests are now recommended in every pregnancy to prevent congenital syphilis (Tas.  Health) 2025 [Available from: </w:t>
      </w:r>
      <w:hyperlink r:id="rId53" w:history="1">
        <w:r w:rsidRPr="00694CD0">
          <w:rPr>
            <w:rStyle w:val="Hyperlink"/>
          </w:rPr>
          <w:t>https://www.health.tas.gov.au/news/articles/three-syphilis-tests-are-now-recommended-every-pregnancy-prevent-congenital-syphilis</w:t>
        </w:r>
      </w:hyperlink>
      <w:r w:rsidRPr="00694CD0">
        <w:t>.</w:t>
      </w:r>
    </w:p>
    <w:p w14:paraId="79D07328" w14:textId="6B06FAC7" w:rsidR="00DF3CAA" w:rsidRPr="00694CD0" w:rsidRDefault="00DF3CAA" w:rsidP="00694CD0">
      <w:pPr>
        <w:pStyle w:val="EndNoteBibliography"/>
      </w:pPr>
      <w:r w:rsidRPr="00694CD0">
        <w:t>14.</w:t>
      </w:r>
      <w:r w:rsidRPr="00694CD0">
        <w:tab/>
        <w:t xml:space="preserve">Congenital syphilis guidelines for the Northern Territory (NT Health) 2015 [Available from: </w:t>
      </w:r>
      <w:hyperlink r:id="rId54" w:history="1">
        <w:r w:rsidRPr="00694CD0">
          <w:rPr>
            <w:rStyle w:val="Hyperlink"/>
          </w:rPr>
          <w:t>https://digitallibrary.health.nt.gov.au/nthealthserver/api/core/bitstreams/77f72074-3e47-4697-9b80-63b3f5fd5630/content</w:t>
        </w:r>
      </w:hyperlink>
      <w:r w:rsidRPr="00694CD0">
        <w:t>.</w:t>
      </w:r>
    </w:p>
    <w:p w14:paraId="36A66912" w14:textId="334CB662" w:rsidR="00DF3CAA" w:rsidRPr="00694CD0" w:rsidRDefault="00DF3CAA" w:rsidP="00694CD0">
      <w:pPr>
        <w:pStyle w:val="EndNoteBibliography"/>
      </w:pPr>
      <w:r w:rsidRPr="00694CD0">
        <w:lastRenderedPageBreak/>
        <w:t>15.</w:t>
      </w:r>
      <w:r w:rsidRPr="00694CD0">
        <w:tab/>
        <w:t xml:space="preserve">Public health clinical alert. Syphilis and mpox: Information for ACT clinicians (ACT Health) 2024 [Available from: </w:t>
      </w:r>
      <w:hyperlink r:id="rId55" w:history="1">
        <w:r w:rsidRPr="00694CD0">
          <w:rPr>
            <w:rStyle w:val="Hyperlink"/>
          </w:rPr>
          <w:t>https://www.act.gov.au/__data/assets/pdf_file/0009/2629926/Mpox-and-syphilis-clinician-alert.pdf</w:t>
        </w:r>
      </w:hyperlink>
      <w:r w:rsidRPr="00694CD0">
        <w:t>.</w:t>
      </w:r>
    </w:p>
    <w:p w14:paraId="634FDD61" w14:textId="039F70FC" w:rsidR="0090477D" w:rsidRPr="00694CD0" w:rsidRDefault="00753321" w:rsidP="00694CD0">
      <w:r w:rsidRPr="00694CD0">
        <w:fldChar w:fldCharType="end"/>
      </w:r>
      <w:r w:rsidR="0090477D" w:rsidRPr="00694CD0">
        <w:br w:type="page"/>
      </w:r>
    </w:p>
    <w:p w14:paraId="09ECB91E" w14:textId="7C5195C5" w:rsidR="00392A4D" w:rsidRPr="00BF1A21" w:rsidRDefault="0053101E" w:rsidP="001C3090">
      <w:r>
        <w:rPr>
          <w:noProof/>
        </w:rPr>
        <w:lastRenderedPageBreak/>
        <w:drawing>
          <wp:anchor distT="0" distB="0" distL="114300" distR="114300" simplePos="0" relativeHeight="251658240" behindDoc="1" locked="0" layoutInCell="1" allowOverlap="1" wp14:anchorId="60EB9AC7" wp14:editId="3C5646C6">
            <wp:simplePos x="0" y="0"/>
            <wp:positionH relativeFrom="page">
              <wp:align>left</wp:align>
            </wp:positionH>
            <wp:positionV relativeFrom="paragraph">
              <wp:posOffset>-713740</wp:posOffset>
            </wp:positionV>
            <wp:extent cx="7588250" cy="10738331"/>
            <wp:effectExtent l="0" t="0" r="0" b="6350"/>
            <wp:wrapNone/>
            <wp:docPr id="679562040" name="Graphic 4" descr="P1247#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562040" name="Graphic 4" descr="P1247#y1">
                      <a:extLst>
                        <a:ext uri="{C183D7F6-B498-43B3-948B-1728B52AA6E4}">
                          <adec:decorative xmlns:adec="http://schemas.microsoft.com/office/drawing/2017/decorative" val="1"/>
                        </a:ext>
                      </a:extLst>
                    </pic:cNvPr>
                    <pic:cNvPicPr/>
                  </pic:nvPicPr>
                  <pic:blipFill>
                    <a:blip r:embed="rId56">
                      <a:extLst>
                        <a:ext uri="{96DAC541-7B7A-43D3-8B79-37D633B846F1}">
                          <asvg:svgBlip xmlns:asvg="http://schemas.microsoft.com/office/drawing/2016/SVG/main" r:embed="rId57"/>
                        </a:ext>
                      </a:extLst>
                    </a:blip>
                    <a:stretch>
                      <a:fillRect/>
                    </a:stretch>
                  </pic:blipFill>
                  <pic:spPr>
                    <a:xfrm>
                      <a:off x="0" y="0"/>
                      <a:ext cx="7595273" cy="10748269"/>
                    </a:xfrm>
                    <a:prstGeom prst="rect">
                      <a:avLst/>
                    </a:prstGeom>
                  </pic:spPr>
                </pic:pic>
              </a:graphicData>
            </a:graphic>
            <wp14:sizeRelH relativeFrom="margin">
              <wp14:pctWidth>0</wp14:pctWidth>
            </wp14:sizeRelH>
            <wp14:sizeRelV relativeFrom="margin">
              <wp14:pctHeight>0</wp14:pctHeight>
            </wp14:sizeRelV>
          </wp:anchor>
        </w:drawing>
      </w:r>
    </w:p>
    <w:sectPr w:rsidR="00392A4D" w:rsidRPr="00BF1A21" w:rsidSect="005F0659">
      <w:pgSz w:w="11900" w:h="16840" w:code="9"/>
      <w:pgMar w:top="1134" w:right="1134" w:bottom="1134" w:left="1134"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BA20A" w14:textId="77777777" w:rsidR="002164F8" w:rsidRDefault="002164F8" w:rsidP="00BD640A">
      <w:pPr>
        <w:spacing w:after="0" w:line="240" w:lineRule="auto"/>
      </w:pPr>
      <w:r>
        <w:separator/>
      </w:r>
    </w:p>
  </w:endnote>
  <w:endnote w:type="continuationSeparator" w:id="0">
    <w:p w14:paraId="68148420" w14:textId="77777777" w:rsidR="002164F8" w:rsidRDefault="002164F8" w:rsidP="00BD6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FF4A" w14:textId="77777777" w:rsidR="00A6092B" w:rsidRDefault="00A6092B">
    <w:pPr>
      <w:pStyle w:val="Footer"/>
    </w:pPr>
    <w:r>
      <w:rPr>
        <w:noProof/>
      </w:rPr>
      <mc:AlternateContent>
        <mc:Choice Requires="wps">
          <w:drawing>
            <wp:anchor distT="0" distB="0" distL="0" distR="0" simplePos="0" relativeHeight="251675648" behindDoc="0" locked="0" layoutInCell="1" allowOverlap="1" wp14:anchorId="1B496429" wp14:editId="69944026">
              <wp:simplePos x="635" y="635"/>
              <wp:positionH relativeFrom="page">
                <wp:align>center</wp:align>
              </wp:positionH>
              <wp:positionV relativeFrom="page">
                <wp:align>bottom</wp:align>
              </wp:positionV>
              <wp:extent cx="622300" cy="480695"/>
              <wp:effectExtent l="0" t="0" r="0" b="0"/>
              <wp:wrapNone/>
              <wp:docPr id="130422906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1E504BB" w14:textId="77777777" w:rsidR="00A6092B" w:rsidRPr="00A6092B" w:rsidRDefault="00A6092B" w:rsidP="00A6092B">
                          <w:pPr>
                            <w:spacing w:after="0"/>
                            <w:rPr>
                              <w:rFonts w:ascii="Aptos" w:eastAsia="Aptos" w:hAnsi="Aptos" w:cs="Aptos"/>
                              <w:noProof/>
                              <w:color w:val="FF0000"/>
                            </w:rPr>
                          </w:pPr>
                          <w:r w:rsidRPr="00A6092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496429" id="_x0000_t202" coordsize="21600,21600" o:spt="202" path="m,l,21600r21600,l21600,xe">
              <v:stroke joinstyle="miter"/>
              <v:path gradientshapeok="t" o:connecttype="rect"/>
            </v:shapetype>
            <v:shape id="Text Box 5" o:spid="_x0000_s1027" type="#_x0000_t202" alt="OFFICIAL" style="position:absolute;margin-left:0;margin-top:0;width:49pt;height:37.85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01E504BB" w14:textId="77777777" w:rsidR="00A6092B" w:rsidRPr="00A6092B" w:rsidRDefault="00A6092B" w:rsidP="00A6092B">
                    <w:pPr>
                      <w:spacing w:after="0"/>
                      <w:rPr>
                        <w:rFonts w:ascii="Aptos" w:eastAsia="Aptos" w:hAnsi="Aptos" w:cs="Aptos"/>
                        <w:noProof/>
                        <w:color w:val="FF0000"/>
                      </w:rPr>
                    </w:pPr>
                    <w:r w:rsidRPr="00A6092B">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1C563" w14:textId="4BA89962" w:rsidR="00121E5A" w:rsidRPr="00826233" w:rsidRDefault="0073068B" w:rsidP="00826233">
    <w:pPr>
      <w:pStyle w:val="Footer"/>
    </w:pPr>
    <w:r w:rsidRPr="00826233">
      <w:rPr>
        <w:noProof/>
      </w:rPr>
      <w:drawing>
        <wp:anchor distT="0" distB="0" distL="114300" distR="114300" simplePos="0" relativeHeight="251682816" behindDoc="1" locked="0" layoutInCell="1" allowOverlap="1" wp14:anchorId="1E111035" wp14:editId="6D8F4F28">
          <wp:simplePos x="0" y="0"/>
          <wp:positionH relativeFrom="page">
            <wp:align>right</wp:align>
          </wp:positionH>
          <wp:positionV relativeFrom="paragraph">
            <wp:posOffset>3810</wp:posOffset>
          </wp:positionV>
          <wp:extent cx="11262950" cy="685800"/>
          <wp:effectExtent l="0" t="0" r="0" b="0"/>
          <wp:wrapNone/>
          <wp:docPr id="1286552187"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552187" name="Graphic 6">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1262950" cy="685800"/>
                  </a:xfrm>
                  <a:prstGeom prst="rect">
                    <a:avLst/>
                  </a:prstGeom>
                </pic:spPr>
              </pic:pic>
            </a:graphicData>
          </a:graphic>
          <wp14:sizeRelH relativeFrom="margin">
            <wp14:pctWidth>0</wp14:pctWidth>
          </wp14:sizeRelH>
          <wp14:sizeRelV relativeFrom="margin">
            <wp14:pctHeight>0</wp14:pctHeight>
          </wp14:sizeRelV>
        </wp:anchor>
      </w:drawing>
    </w:r>
    <w:r w:rsidRPr="00826233">
      <w:rPr>
        <w:noProof/>
      </w:rPr>
      <w:drawing>
        <wp:anchor distT="0" distB="0" distL="114300" distR="114300" simplePos="0" relativeHeight="251681792" behindDoc="1" locked="0" layoutInCell="1" allowOverlap="1" wp14:anchorId="1B89FA2F" wp14:editId="052E3B66">
          <wp:simplePos x="0" y="0"/>
          <wp:positionH relativeFrom="column">
            <wp:posOffset>-935990</wp:posOffset>
          </wp:positionH>
          <wp:positionV relativeFrom="paragraph">
            <wp:posOffset>3026410</wp:posOffset>
          </wp:positionV>
          <wp:extent cx="8134350" cy="495300"/>
          <wp:effectExtent l="0" t="0" r="0" b="0"/>
          <wp:wrapNone/>
          <wp:docPr id="450279456"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279456" name="Graphic 5">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8134350" cy="495300"/>
                  </a:xfrm>
                  <a:prstGeom prst="rect">
                    <a:avLst/>
                  </a:prstGeom>
                </pic:spPr>
              </pic:pic>
            </a:graphicData>
          </a:graphic>
        </wp:anchor>
      </w:drawing>
    </w:r>
    <w:r w:rsidR="00121E5A" w:rsidRPr="00826233">
      <w:t>Australian Centre for Disease Control</w:t>
    </w:r>
    <w:r w:rsidR="00121E5A" w:rsidRPr="00826233">
      <w:tab/>
    </w:r>
    <w:r w:rsidR="00121E5A" w:rsidRPr="00826233">
      <w:fldChar w:fldCharType="begin"/>
    </w:r>
    <w:r w:rsidR="00121E5A" w:rsidRPr="00826233">
      <w:instrText xml:space="preserve"> PAGE   \* MERGEFORMAT </w:instrText>
    </w:r>
    <w:r w:rsidR="00121E5A" w:rsidRPr="00826233">
      <w:fldChar w:fldCharType="separate"/>
    </w:r>
    <w:r w:rsidR="00121E5A" w:rsidRPr="00826233">
      <w:t>1</w:t>
    </w:r>
    <w:r w:rsidR="00121E5A" w:rsidRPr="0082623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3E4FA" w14:textId="7B599CAF" w:rsidR="004B339D" w:rsidRPr="000C3EFB" w:rsidRDefault="00121E5A" w:rsidP="00121E5A">
    <w:pPr>
      <w:pStyle w:val="Footer"/>
      <w:tabs>
        <w:tab w:val="right" w:pos="13892"/>
      </w:tabs>
    </w:pPr>
    <w:r w:rsidRPr="000C3EFB">
      <w:t>Australian Centre for Disease Control</w:t>
    </w:r>
    <w:r w:rsidRPr="000C3EFB">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F042" w14:textId="39A453B6" w:rsidR="0073068B" w:rsidRPr="00CD5A36" w:rsidRDefault="0073068B" w:rsidP="00CD5A36">
    <w:pPr>
      <w:pStyle w:val="Footer"/>
    </w:pPr>
    <w:r w:rsidRPr="00CD5A36">
      <w:rPr>
        <w:noProof/>
      </w:rPr>
      <w:drawing>
        <wp:anchor distT="0" distB="0" distL="114300" distR="114300" simplePos="0" relativeHeight="251685888" behindDoc="1" locked="0" layoutInCell="1" allowOverlap="1" wp14:anchorId="2B30DE88" wp14:editId="043F5EF0">
          <wp:simplePos x="0" y="0"/>
          <wp:positionH relativeFrom="page">
            <wp:align>right</wp:align>
          </wp:positionH>
          <wp:positionV relativeFrom="paragraph">
            <wp:posOffset>3810</wp:posOffset>
          </wp:positionV>
          <wp:extent cx="11262950" cy="685800"/>
          <wp:effectExtent l="0" t="0" r="0" b="0"/>
          <wp:wrapNone/>
          <wp:docPr id="2001044978"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60930" name="Graphic 6">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1262950" cy="685800"/>
                  </a:xfrm>
                  <a:prstGeom prst="rect">
                    <a:avLst/>
                  </a:prstGeom>
                </pic:spPr>
              </pic:pic>
            </a:graphicData>
          </a:graphic>
          <wp14:sizeRelH relativeFrom="margin">
            <wp14:pctWidth>0</wp14:pctWidth>
          </wp14:sizeRelH>
          <wp14:sizeRelV relativeFrom="margin">
            <wp14:pctHeight>0</wp14:pctHeight>
          </wp14:sizeRelV>
        </wp:anchor>
      </w:drawing>
    </w:r>
    <w:r w:rsidRPr="00CD5A36">
      <w:rPr>
        <w:noProof/>
      </w:rPr>
      <w:drawing>
        <wp:anchor distT="0" distB="0" distL="114300" distR="114300" simplePos="0" relativeHeight="251684864" behindDoc="1" locked="0" layoutInCell="1" allowOverlap="1" wp14:anchorId="02A53148" wp14:editId="751CFC97">
          <wp:simplePos x="0" y="0"/>
          <wp:positionH relativeFrom="column">
            <wp:posOffset>-935990</wp:posOffset>
          </wp:positionH>
          <wp:positionV relativeFrom="paragraph">
            <wp:posOffset>3026410</wp:posOffset>
          </wp:positionV>
          <wp:extent cx="8134350" cy="495300"/>
          <wp:effectExtent l="0" t="0" r="0" b="0"/>
          <wp:wrapNone/>
          <wp:docPr id="857204947"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720236" name="Graphic 5">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8134350" cy="495300"/>
                  </a:xfrm>
                  <a:prstGeom prst="rect">
                    <a:avLst/>
                  </a:prstGeom>
                </pic:spPr>
              </pic:pic>
            </a:graphicData>
          </a:graphic>
        </wp:anchor>
      </w:drawing>
    </w:r>
    <w:r w:rsidRPr="00CD5A36">
      <w:t>Australian Centre for Disease Control</w:t>
    </w:r>
    <w:r w:rsidR="00C964CA">
      <w:tab/>
    </w:r>
    <w:r w:rsidRPr="00CD5A36">
      <w:fldChar w:fldCharType="begin"/>
    </w:r>
    <w:r w:rsidRPr="00CD5A36">
      <w:instrText xml:space="preserve"> PAGE   \* MERGEFORMAT </w:instrText>
    </w:r>
    <w:r w:rsidRPr="00CD5A36">
      <w:fldChar w:fldCharType="separate"/>
    </w:r>
    <w:r w:rsidRPr="00CD5A36">
      <w:t>1</w:t>
    </w:r>
    <w:r w:rsidRPr="00CD5A3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DE968" w14:textId="77777777" w:rsidR="002164F8" w:rsidRDefault="002164F8" w:rsidP="00BD640A">
      <w:pPr>
        <w:spacing w:after="0" w:line="240" w:lineRule="auto"/>
      </w:pPr>
      <w:r>
        <w:separator/>
      </w:r>
    </w:p>
  </w:footnote>
  <w:footnote w:type="continuationSeparator" w:id="0">
    <w:p w14:paraId="58419058" w14:textId="77777777" w:rsidR="002164F8" w:rsidRDefault="002164F8" w:rsidP="00BD6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B8992" w14:textId="77777777" w:rsidR="00A6092B" w:rsidRDefault="00A6092B">
    <w:pPr>
      <w:pStyle w:val="Header"/>
    </w:pPr>
    <w:r>
      <w:rPr>
        <w:noProof/>
      </w:rPr>
      <mc:AlternateContent>
        <mc:Choice Requires="wps">
          <w:drawing>
            <wp:anchor distT="0" distB="0" distL="0" distR="0" simplePos="0" relativeHeight="251672576" behindDoc="0" locked="0" layoutInCell="1" allowOverlap="1" wp14:anchorId="004690E1" wp14:editId="2E30A57C">
              <wp:simplePos x="635" y="635"/>
              <wp:positionH relativeFrom="page">
                <wp:align>center</wp:align>
              </wp:positionH>
              <wp:positionV relativeFrom="page">
                <wp:align>top</wp:align>
              </wp:positionV>
              <wp:extent cx="622300" cy="480695"/>
              <wp:effectExtent l="0" t="0" r="0" b="1905"/>
              <wp:wrapNone/>
              <wp:docPr id="173580764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2144D45" w14:textId="77777777" w:rsidR="00A6092B" w:rsidRPr="00A6092B" w:rsidRDefault="00A6092B" w:rsidP="00A6092B">
                          <w:pPr>
                            <w:spacing w:after="0"/>
                            <w:rPr>
                              <w:rFonts w:ascii="Aptos" w:eastAsia="Aptos" w:hAnsi="Aptos" w:cs="Aptos"/>
                              <w:noProof/>
                              <w:color w:val="FF0000"/>
                            </w:rPr>
                          </w:pPr>
                          <w:r w:rsidRPr="00A6092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4690E1"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12144D45" w14:textId="77777777" w:rsidR="00A6092B" w:rsidRPr="00A6092B" w:rsidRDefault="00A6092B" w:rsidP="00A6092B">
                    <w:pPr>
                      <w:spacing w:after="0"/>
                      <w:rPr>
                        <w:rFonts w:ascii="Aptos" w:eastAsia="Aptos" w:hAnsi="Aptos" w:cs="Aptos"/>
                        <w:noProof/>
                        <w:color w:val="FF0000"/>
                      </w:rPr>
                    </w:pPr>
                    <w:r w:rsidRPr="00A6092B">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553A" w14:textId="6C690B71" w:rsidR="00B3660E" w:rsidRDefault="0053101E">
    <w:pPr>
      <w:pStyle w:val="Header"/>
    </w:pPr>
    <w:r>
      <w:rPr>
        <w:noProof/>
      </w:rPr>
      <w:drawing>
        <wp:anchor distT="0" distB="0" distL="114300" distR="114300" simplePos="0" relativeHeight="251680768" behindDoc="1" locked="0" layoutInCell="1" allowOverlap="1" wp14:anchorId="14E8ED5B" wp14:editId="516FCA85">
          <wp:simplePos x="0" y="0"/>
          <wp:positionH relativeFrom="page">
            <wp:align>right</wp:align>
          </wp:positionH>
          <wp:positionV relativeFrom="paragraph">
            <wp:posOffset>-447675</wp:posOffset>
          </wp:positionV>
          <wp:extent cx="7552013" cy="10687050"/>
          <wp:effectExtent l="0" t="0" r="0" b="0"/>
          <wp:wrapNone/>
          <wp:docPr id="1251878179"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878179" name="Graphic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52013" cy="106870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96D4C" w14:textId="77777777" w:rsidR="00CB1437" w:rsidRDefault="00CB1437">
    <w:pPr>
      <w:pStyle w:val="Header"/>
    </w:pPr>
    <w:r>
      <w:rPr>
        <w:noProof/>
        <w:lang w:eastAsia="en-AU"/>
      </w:rPr>
      <w:drawing>
        <wp:anchor distT="0" distB="0" distL="114300" distR="114300" simplePos="0" relativeHeight="251679744" behindDoc="1" locked="1" layoutInCell="1" allowOverlap="1" wp14:anchorId="7A12CC7B" wp14:editId="3E3B7CA6">
          <wp:simplePos x="0" y="0"/>
          <wp:positionH relativeFrom="page">
            <wp:align>right</wp:align>
          </wp:positionH>
          <wp:positionV relativeFrom="page">
            <wp:posOffset>11430</wp:posOffset>
          </wp:positionV>
          <wp:extent cx="7559675" cy="10727690"/>
          <wp:effectExtent l="0" t="0" r="3175" b="0"/>
          <wp:wrapNone/>
          <wp:docPr id="1424395501" name="Picture 1424395501" descr="Australian Centre for Disease Contr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424365" name="Picture 807424365" descr="Australian Centre for Disease Control">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07276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6B2B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E8FD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624178"/>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DD94281A"/>
    <w:lvl w:ilvl="0">
      <w:start w:val="1"/>
      <w:numFmt w:val="bullet"/>
      <w:pStyle w:val="ListBullet5"/>
      <w:lvlText w:val=""/>
      <w:lvlJc w:val="left"/>
      <w:pPr>
        <w:ind w:left="1789" w:hanging="360"/>
      </w:pPr>
      <w:rPr>
        <w:rFonts w:ascii="Wingdings" w:hAnsi="Wingdings" w:hint="default"/>
      </w:rPr>
    </w:lvl>
  </w:abstractNum>
  <w:abstractNum w:abstractNumId="4" w15:restartNumberingAfterBreak="0">
    <w:nsid w:val="FFFFFF81"/>
    <w:multiLevelType w:val="singleLevel"/>
    <w:tmpl w:val="B20E3152"/>
    <w:lvl w:ilvl="0">
      <w:start w:val="1"/>
      <w:numFmt w:val="bullet"/>
      <w:pStyle w:val="ListBullet4"/>
      <w:lvlText w:val=""/>
      <w:lvlJc w:val="left"/>
      <w:pPr>
        <w:ind w:left="1789" w:hanging="360"/>
      </w:pPr>
      <w:rPr>
        <w:rFonts w:ascii="Wingdings" w:hAnsi="Wingdings" w:hint="default"/>
      </w:rPr>
    </w:lvl>
  </w:abstractNum>
  <w:abstractNum w:abstractNumId="5" w15:restartNumberingAfterBreak="0">
    <w:nsid w:val="FFFFFF82"/>
    <w:multiLevelType w:val="singleLevel"/>
    <w:tmpl w:val="5AC6C896"/>
    <w:lvl w:ilvl="0">
      <w:start w:val="1"/>
      <w:numFmt w:val="bullet"/>
      <w:pStyle w:val="ListBullet3"/>
      <w:lvlText w:val=""/>
      <w:lvlJc w:val="left"/>
      <w:pPr>
        <w:ind w:left="927" w:hanging="360"/>
      </w:pPr>
      <w:rPr>
        <w:rFonts w:ascii="Wingdings" w:hAnsi="Wingdings" w:hint="default"/>
      </w:rPr>
    </w:lvl>
  </w:abstractNum>
  <w:abstractNum w:abstractNumId="6" w15:restartNumberingAfterBreak="0">
    <w:nsid w:val="FFFFFF88"/>
    <w:multiLevelType w:val="singleLevel"/>
    <w:tmpl w:val="8EDAD38C"/>
    <w:lvl w:ilvl="0">
      <w:start w:val="1"/>
      <w:numFmt w:val="decimal"/>
      <w:pStyle w:val="ListNumber"/>
      <w:lvlText w:val="%1."/>
      <w:lvlJc w:val="left"/>
      <w:pPr>
        <w:ind w:left="717" w:hanging="360"/>
      </w:pPr>
    </w:lvl>
  </w:abstractNum>
  <w:abstractNum w:abstractNumId="7" w15:restartNumberingAfterBreak="0">
    <w:nsid w:val="FFFFFF89"/>
    <w:multiLevelType w:val="singleLevel"/>
    <w:tmpl w:val="0C14CA9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A42F38"/>
    <w:multiLevelType w:val="hybridMultilevel"/>
    <w:tmpl w:val="BB2AC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7932FD4"/>
    <w:multiLevelType w:val="hybridMultilevel"/>
    <w:tmpl w:val="707A6748"/>
    <w:lvl w:ilvl="0" w:tplc="557CF4DA">
      <w:start w:val="1"/>
      <w:numFmt w:val="decimal"/>
      <w:pStyle w:val="ListNumber2"/>
      <w:lvlText w:val="%1."/>
      <w:lvlJc w:val="left"/>
      <w:pPr>
        <w:ind w:left="107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0" w15:restartNumberingAfterBreak="0">
    <w:nsid w:val="0C484E0B"/>
    <w:multiLevelType w:val="hybridMultilevel"/>
    <w:tmpl w:val="97AE5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06983"/>
    <w:multiLevelType w:val="hybridMultilevel"/>
    <w:tmpl w:val="55E4A408"/>
    <w:lvl w:ilvl="0" w:tplc="52F28F4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0E96E13"/>
    <w:multiLevelType w:val="hybridMultilevel"/>
    <w:tmpl w:val="219A67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0D5D0D"/>
    <w:multiLevelType w:val="hybridMultilevel"/>
    <w:tmpl w:val="CB1446BE"/>
    <w:lvl w:ilvl="0" w:tplc="39F840E0">
      <w:numFmt w:val="bullet"/>
      <w:pStyle w:val="Boxtypelistbullet"/>
      <w:lvlText w:val=""/>
      <w:lvlJc w:val="left"/>
      <w:pPr>
        <w:ind w:left="587" w:hanging="360"/>
      </w:pPr>
      <w:rPr>
        <w:rFonts w:ascii="Symbol" w:eastAsia="Times New Roman" w:hAnsi="Symbol" w:cs="Arial" w:hint="default"/>
      </w:rPr>
    </w:lvl>
    <w:lvl w:ilvl="1" w:tplc="0C090003" w:tentative="1">
      <w:start w:val="1"/>
      <w:numFmt w:val="bullet"/>
      <w:lvlText w:val="o"/>
      <w:lvlJc w:val="left"/>
      <w:pPr>
        <w:ind w:left="1307" w:hanging="360"/>
      </w:pPr>
      <w:rPr>
        <w:rFonts w:ascii="Courier New" w:hAnsi="Courier New" w:cs="Courier New" w:hint="default"/>
      </w:rPr>
    </w:lvl>
    <w:lvl w:ilvl="2" w:tplc="0C090005" w:tentative="1">
      <w:start w:val="1"/>
      <w:numFmt w:val="bullet"/>
      <w:lvlText w:val=""/>
      <w:lvlJc w:val="left"/>
      <w:pPr>
        <w:ind w:left="2027" w:hanging="360"/>
      </w:pPr>
      <w:rPr>
        <w:rFonts w:ascii="Wingdings" w:hAnsi="Wingdings" w:hint="default"/>
      </w:rPr>
    </w:lvl>
    <w:lvl w:ilvl="3" w:tplc="0C090001" w:tentative="1">
      <w:start w:val="1"/>
      <w:numFmt w:val="bullet"/>
      <w:lvlText w:val=""/>
      <w:lvlJc w:val="left"/>
      <w:pPr>
        <w:ind w:left="2747" w:hanging="360"/>
      </w:pPr>
      <w:rPr>
        <w:rFonts w:ascii="Symbol" w:hAnsi="Symbol" w:hint="default"/>
      </w:rPr>
    </w:lvl>
    <w:lvl w:ilvl="4" w:tplc="0C090003" w:tentative="1">
      <w:start w:val="1"/>
      <w:numFmt w:val="bullet"/>
      <w:lvlText w:val="o"/>
      <w:lvlJc w:val="left"/>
      <w:pPr>
        <w:ind w:left="3467" w:hanging="360"/>
      </w:pPr>
      <w:rPr>
        <w:rFonts w:ascii="Courier New" w:hAnsi="Courier New" w:cs="Courier New" w:hint="default"/>
      </w:rPr>
    </w:lvl>
    <w:lvl w:ilvl="5" w:tplc="0C090005" w:tentative="1">
      <w:start w:val="1"/>
      <w:numFmt w:val="bullet"/>
      <w:lvlText w:val=""/>
      <w:lvlJc w:val="left"/>
      <w:pPr>
        <w:ind w:left="4187" w:hanging="360"/>
      </w:pPr>
      <w:rPr>
        <w:rFonts w:ascii="Wingdings" w:hAnsi="Wingdings" w:hint="default"/>
      </w:rPr>
    </w:lvl>
    <w:lvl w:ilvl="6" w:tplc="0C090001" w:tentative="1">
      <w:start w:val="1"/>
      <w:numFmt w:val="bullet"/>
      <w:lvlText w:val=""/>
      <w:lvlJc w:val="left"/>
      <w:pPr>
        <w:ind w:left="4907" w:hanging="360"/>
      </w:pPr>
      <w:rPr>
        <w:rFonts w:ascii="Symbol" w:hAnsi="Symbol" w:hint="default"/>
      </w:rPr>
    </w:lvl>
    <w:lvl w:ilvl="7" w:tplc="0C090003" w:tentative="1">
      <w:start w:val="1"/>
      <w:numFmt w:val="bullet"/>
      <w:lvlText w:val="o"/>
      <w:lvlJc w:val="left"/>
      <w:pPr>
        <w:ind w:left="5627" w:hanging="360"/>
      </w:pPr>
      <w:rPr>
        <w:rFonts w:ascii="Courier New" w:hAnsi="Courier New" w:cs="Courier New" w:hint="default"/>
      </w:rPr>
    </w:lvl>
    <w:lvl w:ilvl="8" w:tplc="0C090005" w:tentative="1">
      <w:start w:val="1"/>
      <w:numFmt w:val="bullet"/>
      <w:lvlText w:val=""/>
      <w:lvlJc w:val="left"/>
      <w:pPr>
        <w:ind w:left="6347" w:hanging="360"/>
      </w:pPr>
      <w:rPr>
        <w:rFonts w:ascii="Wingdings" w:hAnsi="Wingdings" w:hint="default"/>
      </w:rPr>
    </w:lvl>
  </w:abstractNum>
  <w:abstractNum w:abstractNumId="14" w15:restartNumberingAfterBreak="0">
    <w:nsid w:val="13363506"/>
    <w:multiLevelType w:val="hybridMultilevel"/>
    <w:tmpl w:val="9FEA7CEA"/>
    <w:lvl w:ilvl="0" w:tplc="E96C518A">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5E23D41"/>
    <w:multiLevelType w:val="hybridMultilevel"/>
    <w:tmpl w:val="5470AA0E"/>
    <w:lvl w:ilvl="0" w:tplc="7564F708">
      <w:start w:val="1"/>
      <w:numFmt w:val="bullet"/>
      <w:pStyle w:val="Boxgreen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63D4CFC"/>
    <w:multiLevelType w:val="hybridMultilevel"/>
    <w:tmpl w:val="3E86F0E2"/>
    <w:lvl w:ilvl="0" w:tplc="62803022">
      <w:start w:val="1"/>
      <w:numFmt w:val="bullet"/>
      <w:pStyle w:val="ListBullet2"/>
      <w:lvlText w:val="o"/>
      <w:lvlJc w:val="left"/>
      <w:pPr>
        <w:ind w:left="598"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18A8184B"/>
    <w:multiLevelType w:val="multilevel"/>
    <w:tmpl w:val="ADE0FE30"/>
    <w:styleLink w:val="CurrentList1"/>
    <w:lvl w:ilvl="0">
      <w:start w:val="1"/>
      <w:numFmt w:val="decimal"/>
      <w:lvlText w:val="Number %1."/>
      <w:lvlJc w:val="left"/>
      <w:pPr>
        <w:tabs>
          <w:tab w:val="num" w:pos="1247"/>
        </w:tabs>
        <w:ind w:left="1247" w:hanging="12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F802566"/>
    <w:multiLevelType w:val="multilevel"/>
    <w:tmpl w:val="DC149FE0"/>
    <w:styleLink w:val="Bulletlist"/>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7081DA2"/>
    <w:multiLevelType w:val="hybridMultilevel"/>
    <w:tmpl w:val="0EFAE5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C0B6CE8"/>
    <w:multiLevelType w:val="hybridMultilevel"/>
    <w:tmpl w:val="8B64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457DF4"/>
    <w:multiLevelType w:val="hybridMultilevel"/>
    <w:tmpl w:val="DC149F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35A4FFE"/>
    <w:multiLevelType w:val="hybridMultilevel"/>
    <w:tmpl w:val="9AB813CC"/>
    <w:lvl w:ilvl="0" w:tplc="73C4C7F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673388"/>
    <w:multiLevelType w:val="hybridMultilevel"/>
    <w:tmpl w:val="178E0966"/>
    <w:lvl w:ilvl="0" w:tplc="390A7D6C">
      <w:numFmt w:val="bullet"/>
      <w:lvlText w:val="-"/>
      <w:lvlJc w:val="left"/>
      <w:pPr>
        <w:ind w:left="643" w:hanging="360"/>
      </w:pPr>
      <w:rPr>
        <w:rFonts w:ascii="Calibri" w:eastAsia="Times New Roman" w:hAnsi="Calibri" w:cs="Calibri"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24" w15:restartNumberingAfterBreak="0">
    <w:nsid w:val="3A7730F8"/>
    <w:multiLevelType w:val="hybridMultilevel"/>
    <w:tmpl w:val="BDE487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AD83BAF"/>
    <w:multiLevelType w:val="hybridMultilevel"/>
    <w:tmpl w:val="51520EF4"/>
    <w:lvl w:ilvl="0" w:tplc="D0FC01C4">
      <w:start w:val="1"/>
      <w:numFmt w:val="decimal"/>
      <w:pStyle w:val="Figuretitle"/>
      <w:lvlText w:val="Figure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DB03EB5"/>
    <w:multiLevelType w:val="hybridMultilevel"/>
    <w:tmpl w:val="C3F2A288"/>
    <w:lvl w:ilvl="0" w:tplc="1CB23032">
      <w:start w:val="1"/>
      <w:numFmt w:val="bullet"/>
      <w:pStyle w:val="Copyrightbulletlis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7" w15:restartNumberingAfterBreak="0">
    <w:nsid w:val="412905E8"/>
    <w:multiLevelType w:val="hybridMultilevel"/>
    <w:tmpl w:val="7CB21A86"/>
    <w:lvl w:ilvl="0" w:tplc="C1A43444">
      <w:start w:val="1"/>
      <w:numFmt w:val="bullet"/>
      <w:pStyle w:val="Boxlightgreen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985353A"/>
    <w:multiLevelType w:val="hybridMultilevel"/>
    <w:tmpl w:val="7520E200"/>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9" w15:restartNumberingAfterBreak="0">
    <w:nsid w:val="4B69489B"/>
    <w:multiLevelType w:val="hybridMultilevel"/>
    <w:tmpl w:val="6422E57E"/>
    <w:lvl w:ilvl="0" w:tplc="AD88C25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D172985"/>
    <w:multiLevelType w:val="hybridMultilevel"/>
    <w:tmpl w:val="65FCD970"/>
    <w:lvl w:ilvl="0" w:tplc="E8FEDF4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EC04C7"/>
    <w:multiLevelType w:val="hybridMultilevel"/>
    <w:tmpl w:val="C52E3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C6422CF"/>
    <w:multiLevelType w:val="hybridMultilevel"/>
    <w:tmpl w:val="31448B12"/>
    <w:lvl w:ilvl="0" w:tplc="CFC8E5C4">
      <w:start w:val="1"/>
      <w:numFmt w:val="bullet"/>
      <w:pStyle w:val="Boxpurp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D820573"/>
    <w:multiLevelType w:val="hybridMultilevel"/>
    <w:tmpl w:val="2A6852B0"/>
    <w:lvl w:ilvl="0" w:tplc="7102E064">
      <w:start w:val="1"/>
      <w:numFmt w:val="decimal"/>
      <w:pStyle w:val="Tabletitle"/>
      <w:lvlText w:val="Table %1."/>
      <w:lvlJc w:val="left"/>
      <w:pPr>
        <w:ind w:left="360" w:hanging="360"/>
      </w:pPr>
      <w:rPr>
        <w:rFonts w:ascii="Segoe UI Semibold" w:hAnsi="Segoe UI Semibold"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1609AF"/>
    <w:multiLevelType w:val="hybridMultilevel"/>
    <w:tmpl w:val="5E5098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855CBE"/>
    <w:multiLevelType w:val="hybridMultilevel"/>
    <w:tmpl w:val="8DEE7778"/>
    <w:lvl w:ilvl="0" w:tplc="058C4B00">
      <w:numFmt w:val="bullet"/>
      <w:lvlText w:val="-"/>
      <w:lvlJc w:val="left"/>
      <w:pPr>
        <w:ind w:left="643" w:hanging="360"/>
      </w:pPr>
      <w:rPr>
        <w:rFonts w:ascii="Calibri" w:eastAsia="Times New Roman" w:hAnsi="Calibri" w:cs="Calibri"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36" w15:restartNumberingAfterBreak="0">
    <w:nsid w:val="645B3D30"/>
    <w:multiLevelType w:val="multilevel"/>
    <w:tmpl w:val="55E4A40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7D10CFB"/>
    <w:multiLevelType w:val="hybridMultilevel"/>
    <w:tmpl w:val="338C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227236"/>
    <w:multiLevelType w:val="hybridMultilevel"/>
    <w:tmpl w:val="A6E63B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CF8287E"/>
    <w:multiLevelType w:val="hybridMultilevel"/>
    <w:tmpl w:val="19AE8E9A"/>
    <w:lvl w:ilvl="0" w:tplc="0D001382">
      <w:start w:val="1"/>
      <w:numFmt w:val="bullet"/>
      <w:pStyle w:val="Table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6E33750E"/>
    <w:multiLevelType w:val="hybridMultilevel"/>
    <w:tmpl w:val="F2F6750C"/>
    <w:lvl w:ilvl="0" w:tplc="EE5CFBB8">
      <w:start w:val="1"/>
      <w:numFmt w:val="bullet"/>
      <w:pStyle w:val="Boxreversedtealbullet"/>
      <w:lvlText w:val=""/>
      <w:lvlJc w:val="left"/>
      <w:pPr>
        <w:ind w:left="720" w:hanging="360"/>
      </w:pPr>
      <w:rPr>
        <w:rFonts w:ascii="Symbol" w:hAnsi="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E9936A3"/>
    <w:multiLevelType w:val="hybridMultilevel"/>
    <w:tmpl w:val="34CA888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4B64403"/>
    <w:multiLevelType w:val="hybridMultilevel"/>
    <w:tmpl w:val="D3E44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2E2EC8"/>
    <w:multiLevelType w:val="hybridMultilevel"/>
    <w:tmpl w:val="C540D3FE"/>
    <w:lvl w:ilvl="0" w:tplc="5276056A">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A596CE0"/>
    <w:multiLevelType w:val="hybridMultilevel"/>
    <w:tmpl w:val="28665394"/>
    <w:lvl w:ilvl="0" w:tplc="CB16BCEC">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391716"/>
    <w:multiLevelType w:val="hybridMultilevel"/>
    <w:tmpl w:val="70DAFC76"/>
    <w:lvl w:ilvl="0" w:tplc="C908B35C">
      <w:start w:val="1"/>
      <w:numFmt w:val="bullet"/>
      <w:lvlText w:val="-"/>
      <w:lvlJc w:val="left"/>
      <w:pPr>
        <w:ind w:left="644" w:hanging="360"/>
      </w:pPr>
      <w:rPr>
        <w:rFonts w:ascii="Courier New" w:hAnsi="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6" w15:restartNumberingAfterBreak="0">
    <w:nsid w:val="7F745949"/>
    <w:multiLevelType w:val="hybridMultilevel"/>
    <w:tmpl w:val="EF089098"/>
    <w:lvl w:ilvl="0" w:tplc="5276056A">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61813044">
    <w:abstractNumId w:val="24"/>
  </w:num>
  <w:num w:numId="2" w16cid:durableId="1871189198">
    <w:abstractNumId w:val="37"/>
  </w:num>
  <w:num w:numId="3" w16cid:durableId="618923822">
    <w:abstractNumId w:val="20"/>
  </w:num>
  <w:num w:numId="4" w16cid:durableId="1677536720">
    <w:abstractNumId w:val="22"/>
  </w:num>
  <w:num w:numId="5" w16cid:durableId="1601134077">
    <w:abstractNumId w:val="21"/>
  </w:num>
  <w:num w:numId="6" w16cid:durableId="1008754037">
    <w:abstractNumId w:val="10"/>
  </w:num>
  <w:num w:numId="7" w16cid:durableId="2107185229">
    <w:abstractNumId w:val="30"/>
  </w:num>
  <w:num w:numId="8" w16cid:durableId="988829585">
    <w:abstractNumId w:val="41"/>
  </w:num>
  <w:num w:numId="9" w16cid:durableId="561913990">
    <w:abstractNumId w:val="42"/>
  </w:num>
  <w:num w:numId="10" w16cid:durableId="1819804961">
    <w:abstractNumId w:val="31"/>
  </w:num>
  <w:num w:numId="11" w16cid:durableId="1660041357">
    <w:abstractNumId w:val="23"/>
  </w:num>
  <w:num w:numId="12" w16cid:durableId="1821144484">
    <w:abstractNumId w:val="33"/>
  </w:num>
  <w:num w:numId="13" w16cid:durableId="1128666264">
    <w:abstractNumId w:val="25"/>
  </w:num>
  <w:num w:numId="14" w16cid:durableId="585654748">
    <w:abstractNumId w:val="17"/>
  </w:num>
  <w:num w:numId="15" w16cid:durableId="1674411436">
    <w:abstractNumId w:val="15"/>
  </w:num>
  <w:num w:numId="16" w16cid:durableId="1587111512">
    <w:abstractNumId w:val="35"/>
  </w:num>
  <w:num w:numId="17" w16cid:durableId="406080009">
    <w:abstractNumId w:val="44"/>
  </w:num>
  <w:num w:numId="18" w16cid:durableId="1672641317">
    <w:abstractNumId w:val="39"/>
  </w:num>
  <w:num w:numId="19" w16cid:durableId="2826113">
    <w:abstractNumId w:val="45"/>
  </w:num>
  <w:num w:numId="20" w16cid:durableId="972638051">
    <w:abstractNumId w:val="11"/>
  </w:num>
  <w:num w:numId="21" w16cid:durableId="197360763">
    <w:abstractNumId w:val="36"/>
  </w:num>
  <w:num w:numId="22" w16cid:durableId="272398987">
    <w:abstractNumId w:val="8"/>
  </w:num>
  <w:num w:numId="23" w16cid:durableId="1082065217">
    <w:abstractNumId w:val="6"/>
  </w:num>
  <w:num w:numId="24" w16cid:durableId="1198160136">
    <w:abstractNumId w:val="13"/>
  </w:num>
  <w:num w:numId="25" w16cid:durableId="366374500">
    <w:abstractNumId w:val="0"/>
  </w:num>
  <w:num w:numId="26" w16cid:durableId="866990176">
    <w:abstractNumId w:val="38"/>
  </w:num>
  <w:num w:numId="27" w16cid:durableId="1384937867">
    <w:abstractNumId w:val="12"/>
  </w:num>
  <w:num w:numId="28" w16cid:durableId="1864324406">
    <w:abstractNumId w:val="29"/>
  </w:num>
  <w:num w:numId="29" w16cid:durableId="1878157112">
    <w:abstractNumId w:val="29"/>
  </w:num>
  <w:num w:numId="30" w16cid:durableId="368266985">
    <w:abstractNumId w:val="29"/>
  </w:num>
  <w:num w:numId="31" w16cid:durableId="875780103">
    <w:abstractNumId w:val="29"/>
  </w:num>
  <w:num w:numId="32" w16cid:durableId="1939170792">
    <w:abstractNumId w:val="14"/>
  </w:num>
  <w:num w:numId="33" w16cid:durableId="416366386">
    <w:abstractNumId w:val="29"/>
  </w:num>
  <w:num w:numId="34" w16cid:durableId="221984867">
    <w:abstractNumId w:val="15"/>
  </w:num>
  <w:num w:numId="35" w16cid:durableId="196161438">
    <w:abstractNumId w:val="15"/>
  </w:num>
  <w:num w:numId="36" w16cid:durableId="71784190">
    <w:abstractNumId w:val="15"/>
  </w:num>
  <w:num w:numId="37" w16cid:durableId="1634366767">
    <w:abstractNumId w:val="15"/>
  </w:num>
  <w:num w:numId="38" w16cid:durableId="1836142873">
    <w:abstractNumId w:val="15"/>
  </w:num>
  <w:num w:numId="39" w16cid:durableId="1535313695">
    <w:abstractNumId w:val="15"/>
  </w:num>
  <w:num w:numId="40" w16cid:durableId="1758096617">
    <w:abstractNumId w:val="15"/>
  </w:num>
  <w:num w:numId="41" w16cid:durableId="97531768">
    <w:abstractNumId w:val="15"/>
  </w:num>
  <w:num w:numId="42" w16cid:durableId="229459886">
    <w:abstractNumId w:val="46"/>
  </w:num>
  <w:num w:numId="43" w16cid:durableId="1927837216">
    <w:abstractNumId w:val="43"/>
  </w:num>
  <w:num w:numId="44" w16cid:durableId="1676106344">
    <w:abstractNumId w:val="15"/>
  </w:num>
  <w:num w:numId="45" w16cid:durableId="1338071840">
    <w:abstractNumId w:val="15"/>
  </w:num>
  <w:num w:numId="46" w16cid:durableId="785009155">
    <w:abstractNumId w:val="40"/>
  </w:num>
  <w:num w:numId="47" w16cid:durableId="628248175">
    <w:abstractNumId w:val="27"/>
  </w:num>
  <w:num w:numId="48" w16cid:durableId="1150370544">
    <w:abstractNumId w:val="32"/>
  </w:num>
  <w:num w:numId="49" w16cid:durableId="819805685">
    <w:abstractNumId w:val="40"/>
  </w:num>
  <w:num w:numId="50" w16cid:durableId="482045024">
    <w:abstractNumId w:val="18"/>
  </w:num>
  <w:num w:numId="51" w16cid:durableId="1789007527">
    <w:abstractNumId w:val="26"/>
  </w:num>
  <w:num w:numId="52" w16cid:durableId="866452894">
    <w:abstractNumId w:val="17"/>
  </w:num>
  <w:num w:numId="53" w16cid:durableId="789278292">
    <w:abstractNumId w:val="36"/>
  </w:num>
  <w:num w:numId="54" w16cid:durableId="1309438601">
    <w:abstractNumId w:val="25"/>
  </w:num>
  <w:num w:numId="55" w16cid:durableId="902639777">
    <w:abstractNumId w:val="7"/>
  </w:num>
  <w:num w:numId="56" w16cid:durableId="1410692280">
    <w:abstractNumId w:val="9"/>
  </w:num>
  <w:num w:numId="57" w16cid:durableId="1998876851">
    <w:abstractNumId w:val="16"/>
  </w:num>
  <w:num w:numId="58" w16cid:durableId="884216462">
    <w:abstractNumId w:val="5"/>
  </w:num>
  <w:num w:numId="59" w16cid:durableId="506866018">
    <w:abstractNumId w:val="5"/>
  </w:num>
  <w:num w:numId="60" w16cid:durableId="415594607">
    <w:abstractNumId w:val="4"/>
  </w:num>
  <w:num w:numId="61" w16cid:durableId="932082527">
    <w:abstractNumId w:val="4"/>
  </w:num>
  <w:num w:numId="62" w16cid:durableId="1657296175">
    <w:abstractNumId w:val="3"/>
  </w:num>
  <w:num w:numId="63" w16cid:durableId="1231816608">
    <w:abstractNumId w:val="3"/>
  </w:num>
  <w:num w:numId="64" w16cid:durableId="1006205545">
    <w:abstractNumId w:val="6"/>
  </w:num>
  <w:num w:numId="65" w16cid:durableId="1038242913">
    <w:abstractNumId w:val="2"/>
  </w:num>
  <w:num w:numId="66" w16cid:durableId="1518231911">
    <w:abstractNumId w:val="2"/>
  </w:num>
  <w:num w:numId="67" w16cid:durableId="2110196735">
    <w:abstractNumId w:val="1"/>
  </w:num>
  <w:num w:numId="68" w16cid:durableId="1887906676">
    <w:abstractNumId w:val="1"/>
  </w:num>
  <w:num w:numId="69" w16cid:durableId="2130659526">
    <w:abstractNumId w:val="0"/>
  </w:num>
  <w:num w:numId="70" w16cid:durableId="9844439">
    <w:abstractNumId w:val="0"/>
  </w:num>
  <w:num w:numId="71" w16cid:durableId="47533123">
    <w:abstractNumId w:val="39"/>
  </w:num>
  <w:num w:numId="72" w16cid:durableId="1738283684">
    <w:abstractNumId w:val="16"/>
  </w:num>
  <w:num w:numId="73" w16cid:durableId="775055630">
    <w:abstractNumId w:val="33"/>
  </w:num>
  <w:num w:numId="74" w16cid:durableId="494536586">
    <w:abstractNumId w:val="34"/>
  </w:num>
  <w:num w:numId="75" w16cid:durableId="1067146147">
    <w:abstractNumId w:val="28"/>
  </w:num>
  <w:num w:numId="76" w16cid:durableId="1105074044">
    <w:abstractNumId w:val="19"/>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err5wt9dra05fetxw4p02tp0vtzztp05ef0&quot;&gt;CDI syphilis My EndNote Library&lt;record-ids&gt;&lt;item&gt;12&lt;/item&gt;&lt;item&gt;17&lt;/item&gt;&lt;item&gt;19&lt;/item&gt;&lt;item&gt;20&lt;/item&gt;&lt;item&gt;21&lt;/item&gt;&lt;item&gt;22&lt;/item&gt;&lt;item&gt;23&lt;/item&gt;&lt;item&gt;24&lt;/item&gt;&lt;item&gt;25&lt;/item&gt;&lt;item&gt;27&lt;/item&gt;&lt;item&gt;28&lt;/item&gt;&lt;item&gt;29&lt;/item&gt;&lt;item&gt;30&lt;/item&gt;&lt;item&gt;42&lt;/item&gt;&lt;item&gt;43&lt;/item&gt;&lt;/record-ids&gt;&lt;/item&gt;&lt;/Libraries&gt;"/>
  </w:docVars>
  <w:rsids>
    <w:rsidRoot w:val="009B7AA1"/>
    <w:rsid w:val="00000F03"/>
    <w:rsid w:val="00001044"/>
    <w:rsid w:val="00001F4E"/>
    <w:rsid w:val="000055FD"/>
    <w:rsid w:val="00006607"/>
    <w:rsid w:val="0000722B"/>
    <w:rsid w:val="0001143F"/>
    <w:rsid w:val="0001417F"/>
    <w:rsid w:val="00014DDC"/>
    <w:rsid w:val="000209DB"/>
    <w:rsid w:val="00020C82"/>
    <w:rsid w:val="00023CD8"/>
    <w:rsid w:val="0003046D"/>
    <w:rsid w:val="000311A5"/>
    <w:rsid w:val="00032C80"/>
    <w:rsid w:val="00033B34"/>
    <w:rsid w:val="000351EB"/>
    <w:rsid w:val="0003648E"/>
    <w:rsid w:val="00041F9C"/>
    <w:rsid w:val="00042AC2"/>
    <w:rsid w:val="000440C0"/>
    <w:rsid w:val="000464BB"/>
    <w:rsid w:val="00047C29"/>
    <w:rsid w:val="000521F8"/>
    <w:rsid w:val="00054786"/>
    <w:rsid w:val="0005484D"/>
    <w:rsid w:val="0005524B"/>
    <w:rsid w:val="0005590E"/>
    <w:rsid w:val="000563AD"/>
    <w:rsid w:val="0005643F"/>
    <w:rsid w:val="000574E5"/>
    <w:rsid w:val="00060705"/>
    <w:rsid w:val="00060775"/>
    <w:rsid w:val="000644AE"/>
    <w:rsid w:val="000654AE"/>
    <w:rsid w:val="00065E38"/>
    <w:rsid w:val="00066534"/>
    <w:rsid w:val="000701A1"/>
    <w:rsid w:val="000701E7"/>
    <w:rsid w:val="000701F4"/>
    <w:rsid w:val="000710CD"/>
    <w:rsid w:val="0007181E"/>
    <w:rsid w:val="00071841"/>
    <w:rsid w:val="00073390"/>
    <w:rsid w:val="000752D5"/>
    <w:rsid w:val="00076EC7"/>
    <w:rsid w:val="00077737"/>
    <w:rsid w:val="00077A33"/>
    <w:rsid w:val="000804EB"/>
    <w:rsid w:val="00080C0C"/>
    <w:rsid w:val="00080CB9"/>
    <w:rsid w:val="00081B26"/>
    <w:rsid w:val="00082803"/>
    <w:rsid w:val="00084D67"/>
    <w:rsid w:val="00085663"/>
    <w:rsid w:val="00085816"/>
    <w:rsid w:val="00086822"/>
    <w:rsid w:val="00094FE2"/>
    <w:rsid w:val="0009635E"/>
    <w:rsid w:val="00097D27"/>
    <w:rsid w:val="000A044B"/>
    <w:rsid w:val="000A1EB7"/>
    <w:rsid w:val="000A2163"/>
    <w:rsid w:val="000A3014"/>
    <w:rsid w:val="000B0ADE"/>
    <w:rsid w:val="000B10A5"/>
    <w:rsid w:val="000B1F91"/>
    <w:rsid w:val="000B21B4"/>
    <w:rsid w:val="000B5661"/>
    <w:rsid w:val="000B5D73"/>
    <w:rsid w:val="000B6EC8"/>
    <w:rsid w:val="000C0480"/>
    <w:rsid w:val="000C0E87"/>
    <w:rsid w:val="000C12E7"/>
    <w:rsid w:val="000C13A2"/>
    <w:rsid w:val="000C3EFB"/>
    <w:rsid w:val="000C5179"/>
    <w:rsid w:val="000C54A6"/>
    <w:rsid w:val="000C7466"/>
    <w:rsid w:val="000C75AA"/>
    <w:rsid w:val="000C77FF"/>
    <w:rsid w:val="000C7806"/>
    <w:rsid w:val="000D1E67"/>
    <w:rsid w:val="000D328C"/>
    <w:rsid w:val="000D33CB"/>
    <w:rsid w:val="000D55D5"/>
    <w:rsid w:val="000D5D43"/>
    <w:rsid w:val="000D78AF"/>
    <w:rsid w:val="000E1997"/>
    <w:rsid w:val="000E1A68"/>
    <w:rsid w:val="000E1DD4"/>
    <w:rsid w:val="000E1E77"/>
    <w:rsid w:val="000E2541"/>
    <w:rsid w:val="000E380F"/>
    <w:rsid w:val="000E4878"/>
    <w:rsid w:val="000E56B1"/>
    <w:rsid w:val="000E5B8F"/>
    <w:rsid w:val="000E7935"/>
    <w:rsid w:val="000E7E22"/>
    <w:rsid w:val="000F0271"/>
    <w:rsid w:val="000F0541"/>
    <w:rsid w:val="000F1B60"/>
    <w:rsid w:val="00100614"/>
    <w:rsid w:val="00100C67"/>
    <w:rsid w:val="00101CEB"/>
    <w:rsid w:val="00102F29"/>
    <w:rsid w:val="00105936"/>
    <w:rsid w:val="0010620C"/>
    <w:rsid w:val="00111000"/>
    <w:rsid w:val="0011260E"/>
    <w:rsid w:val="001130A7"/>
    <w:rsid w:val="001130E4"/>
    <w:rsid w:val="00113AB4"/>
    <w:rsid w:val="001144CF"/>
    <w:rsid w:val="00114DBF"/>
    <w:rsid w:val="0011559F"/>
    <w:rsid w:val="00116619"/>
    <w:rsid w:val="00120627"/>
    <w:rsid w:val="00120E9B"/>
    <w:rsid w:val="00121E5A"/>
    <w:rsid w:val="00124171"/>
    <w:rsid w:val="00125A41"/>
    <w:rsid w:val="001264BF"/>
    <w:rsid w:val="00126D4C"/>
    <w:rsid w:val="0013162C"/>
    <w:rsid w:val="00131BDD"/>
    <w:rsid w:val="0013549E"/>
    <w:rsid w:val="001376B2"/>
    <w:rsid w:val="001402C2"/>
    <w:rsid w:val="00141C27"/>
    <w:rsid w:val="00142B25"/>
    <w:rsid w:val="00142D64"/>
    <w:rsid w:val="001434B3"/>
    <w:rsid w:val="001451B7"/>
    <w:rsid w:val="0014776C"/>
    <w:rsid w:val="001500E6"/>
    <w:rsid w:val="00153C2F"/>
    <w:rsid w:val="00155EA0"/>
    <w:rsid w:val="0015652F"/>
    <w:rsid w:val="00161F63"/>
    <w:rsid w:val="001629AA"/>
    <w:rsid w:val="001644C0"/>
    <w:rsid w:val="00164FCC"/>
    <w:rsid w:val="00165582"/>
    <w:rsid w:val="001663CA"/>
    <w:rsid w:val="00170126"/>
    <w:rsid w:val="00171578"/>
    <w:rsid w:val="00171F79"/>
    <w:rsid w:val="0017241A"/>
    <w:rsid w:val="00173176"/>
    <w:rsid w:val="001736B5"/>
    <w:rsid w:val="0018105D"/>
    <w:rsid w:val="00181353"/>
    <w:rsid w:val="001831B1"/>
    <w:rsid w:val="00183377"/>
    <w:rsid w:val="001845A5"/>
    <w:rsid w:val="00184712"/>
    <w:rsid w:val="00187042"/>
    <w:rsid w:val="00190EAA"/>
    <w:rsid w:val="00193C02"/>
    <w:rsid w:val="0019530E"/>
    <w:rsid w:val="00195705"/>
    <w:rsid w:val="001959E9"/>
    <w:rsid w:val="0019624E"/>
    <w:rsid w:val="001974EF"/>
    <w:rsid w:val="001A1857"/>
    <w:rsid w:val="001A3688"/>
    <w:rsid w:val="001A47EE"/>
    <w:rsid w:val="001A7CD9"/>
    <w:rsid w:val="001B0CA9"/>
    <w:rsid w:val="001B131C"/>
    <w:rsid w:val="001B1B60"/>
    <w:rsid w:val="001B1BA0"/>
    <w:rsid w:val="001B20D4"/>
    <w:rsid w:val="001B3B5C"/>
    <w:rsid w:val="001B3BBE"/>
    <w:rsid w:val="001B4194"/>
    <w:rsid w:val="001B699C"/>
    <w:rsid w:val="001B6EE9"/>
    <w:rsid w:val="001C3090"/>
    <w:rsid w:val="001C408D"/>
    <w:rsid w:val="001C4EAB"/>
    <w:rsid w:val="001C4F6E"/>
    <w:rsid w:val="001D026A"/>
    <w:rsid w:val="001D09EB"/>
    <w:rsid w:val="001D1334"/>
    <w:rsid w:val="001D164A"/>
    <w:rsid w:val="001D24DD"/>
    <w:rsid w:val="001D443D"/>
    <w:rsid w:val="001D4933"/>
    <w:rsid w:val="001D528E"/>
    <w:rsid w:val="001D626B"/>
    <w:rsid w:val="001E24CC"/>
    <w:rsid w:val="001E28A8"/>
    <w:rsid w:val="001E316A"/>
    <w:rsid w:val="001E333E"/>
    <w:rsid w:val="001E4165"/>
    <w:rsid w:val="001E45A0"/>
    <w:rsid w:val="001E6E65"/>
    <w:rsid w:val="001E7087"/>
    <w:rsid w:val="001F0DE6"/>
    <w:rsid w:val="001F1484"/>
    <w:rsid w:val="001F25F8"/>
    <w:rsid w:val="001F2AFF"/>
    <w:rsid w:val="001F34BF"/>
    <w:rsid w:val="001F37ED"/>
    <w:rsid w:val="001F4AD6"/>
    <w:rsid w:val="001F5A1E"/>
    <w:rsid w:val="001F60CB"/>
    <w:rsid w:val="002009C0"/>
    <w:rsid w:val="002017FA"/>
    <w:rsid w:val="002032DD"/>
    <w:rsid w:val="00205D6B"/>
    <w:rsid w:val="00205DEC"/>
    <w:rsid w:val="002065D1"/>
    <w:rsid w:val="002069DB"/>
    <w:rsid w:val="00206C3D"/>
    <w:rsid w:val="002076EB"/>
    <w:rsid w:val="00212ED4"/>
    <w:rsid w:val="002163EE"/>
    <w:rsid w:val="002164F8"/>
    <w:rsid w:val="0022066C"/>
    <w:rsid w:val="00220D25"/>
    <w:rsid w:val="00221BB6"/>
    <w:rsid w:val="00221D5A"/>
    <w:rsid w:val="00221F0B"/>
    <w:rsid w:val="00222B9B"/>
    <w:rsid w:val="002235DE"/>
    <w:rsid w:val="0022375B"/>
    <w:rsid w:val="0022473D"/>
    <w:rsid w:val="00231B53"/>
    <w:rsid w:val="00232343"/>
    <w:rsid w:val="002329B7"/>
    <w:rsid w:val="002329B8"/>
    <w:rsid w:val="00233469"/>
    <w:rsid w:val="00236569"/>
    <w:rsid w:val="0023686C"/>
    <w:rsid w:val="00245ADB"/>
    <w:rsid w:val="00245BA3"/>
    <w:rsid w:val="00246B0F"/>
    <w:rsid w:val="00247108"/>
    <w:rsid w:val="00247CBA"/>
    <w:rsid w:val="00247E3A"/>
    <w:rsid w:val="00247E70"/>
    <w:rsid w:val="00250973"/>
    <w:rsid w:val="002518DE"/>
    <w:rsid w:val="00251BCE"/>
    <w:rsid w:val="00254154"/>
    <w:rsid w:val="00255183"/>
    <w:rsid w:val="0025543A"/>
    <w:rsid w:val="002557BA"/>
    <w:rsid w:val="00255909"/>
    <w:rsid w:val="00260D90"/>
    <w:rsid w:val="002639D7"/>
    <w:rsid w:val="00265634"/>
    <w:rsid w:val="00267654"/>
    <w:rsid w:val="00270821"/>
    <w:rsid w:val="00274AEE"/>
    <w:rsid w:val="00274C3C"/>
    <w:rsid w:val="002756E3"/>
    <w:rsid w:val="00275982"/>
    <w:rsid w:val="002759FE"/>
    <w:rsid w:val="00276A25"/>
    <w:rsid w:val="00282C87"/>
    <w:rsid w:val="00285551"/>
    <w:rsid w:val="0028608F"/>
    <w:rsid w:val="00290CCF"/>
    <w:rsid w:val="00293168"/>
    <w:rsid w:val="00293BCA"/>
    <w:rsid w:val="00293E71"/>
    <w:rsid w:val="00297631"/>
    <w:rsid w:val="00297BA1"/>
    <w:rsid w:val="002A1E4D"/>
    <w:rsid w:val="002A4A4F"/>
    <w:rsid w:val="002A584A"/>
    <w:rsid w:val="002A5C8F"/>
    <w:rsid w:val="002A5E25"/>
    <w:rsid w:val="002B2781"/>
    <w:rsid w:val="002B4222"/>
    <w:rsid w:val="002B4811"/>
    <w:rsid w:val="002B4B64"/>
    <w:rsid w:val="002B6884"/>
    <w:rsid w:val="002C201A"/>
    <w:rsid w:val="002C48DB"/>
    <w:rsid w:val="002C4EB0"/>
    <w:rsid w:val="002C5CD1"/>
    <w:rsid w:val="002C602F"/>
    <w:rsid w:val="002C6212"/>
    <w:rsid w:val="002C634E"/>
    <w:rsid w:val="002C66EB"/>
    <w:rsid w:val="002C7425"/>
    <w:rsid w:val="002D03ED"/>
    <w:rsid w:val="002D34DB"/>
    <w:rsid w:val="002D3908"/>
    <w:rsid w:val="002D461C"/>
    <w:rsid w:val="002E0E33"/>
    <w:rsid w:val="002E0E53"/>
    <w:rsid w:val="002E419F"/>
    <w:rsid w:val="002E5AE7"/>
    <w:rsid w:val="002E5C9D"/>
    <w:rsid w:val="002E6926"/>
    <w:rsid w:val="002E6AB1"/>
    <w:rsid w:val="002F3304"/>
    <w:rsid w:val="002F487A"/>
    <w:rsid w:val="002F4BCB"/>
    <w:rsid w:val="002F6127"/>
    <w:rsid w:val="002F7314"/>
    <w:rsid w:val="002F76FC"/>
    <w:rsid w:val="002F78B6"/>
    <w:rsid w:val="003004C0"/>
    <w:rsid w:val="003009C5"/>
    <w:rsid w:val="003022F7"/>
    <w:rsid w:val="003029A8"/>
    <w:rsid w:val="00305EC2"/>
    <w:rsid w:val="003064DE"/>
    <w:rsid w:val="0030686F"/>
    <w:rsid w:val="0031015B"/>
    <w:rsid w:val="003113C8"/>
    <w:rsid w:val="00312696"/>
    <w:rsid w:val="003135CD"/>
    <w:rsid w:val="00313BF0"/>
    <w:rsid w:val="003140EE"/>
    <w:rsid w:val="0031468F"/>
    <w:rsid w:val="0031664B"/>
    <w:rsid w:val="00317ABA"/>
    <w:rsid w:val="003219C6"/>
    <w:rsid w:val="00321DB1"/>
    <w:rsid w:val="003242EF"/>
    <w:rsid w:val="003246D2"/>
    <w:rsid w:val="003258E1"/>
    <w:rsid w:val="0032600F"/>
    <w:rsid w:val="00327DFF"/>
    <w:rsid w:val="0033385F"/>
    <w:rsid w:val="003338AB"/>
    <w:rsid w:val="0033431E"/>
    <w:rsid w:val="00334A40"/>
    <w:rsid w:val="00334A92"/>
    <w:rsid w:val="003352AC"/>
    <w:rsid w:val="003356A0"/>
    <w:rsid w:val="00335A10"/>
    <w:rsid w:val="00335E3E"/>
    <w:rsid w:val="00341A6F"/>
    <w:rsid w:val="00341DA4"/>
    <w:rsid w:val="00342ABD"/>
    <w:rsid w:val="00343C52"/>
    <w:rsid w:val="003458F6"/>
    <w:rsid w:val="00346C59"/>
    <w:rsid w:val="0034785F"/>
    <w:rsid w:val="00352B94"/>
    <w:rsid w:val="00352F1F"/>
    <w:rsid w:val="0035474C"/>
    <w:rsid w:val="00355196"/>
    <w:rsid w:val="00355758"/>
    <w:rsid w:val="00355965"/>
    <w:rsid w:val="00356381"/>
    <w:rsid w:val="00361FC5"/>
    <w:rsid w:val="00362D5B"/>
    <w:rsid w:val="003630EC"/>
    <w:rsid w:val="00363175"/>
    <w:rsid w:val="0036434E"/>
    <w:rsid w:val="00365937"/>
    <w:rsid w:val="003709D8"/>
    <w:rsid w:val="00370B38"/>
    <w:rsid w:val="00372249"/>
    <w:rsid w:val="003735F5"/>
    <w:rsid w:val="003739ED"/>
    <w:rsid w:val="00375224"/>
    <w:rsid w:val="003763FA"/>
    <w:rsid w:val="00377CF2"/>
    <w:rsid w:val="00380182"/>
    <w:rsid w:val="003804BD"/>
    <w:rsid w:val="003805F2"/>
    <w:rsid w:val="00381907"/>
    <w:rsid w:val="003821E8"/>
    <w:rsid w:val="00383020"/>
    <w:rsid w:val="00383626"/>
    <w:rsid w:val="00387742"/>
    <w:rsid w:val="00387A73"/>
    <w:rsid w:val="0039047F"/>
    <w:rsid w:val="00392A4D"/>
    <w:rsid w:val="00394420"/>
    <w:rsid w:val="00394C57"/>
    <w:rsid w:val="00394C88"/>
    <w:rsid w:val="00395675"/>
    <w:rsid w:val="003A0051"/>
    <w:rsid w:val="003A0C14"/>
    <w:rsid w:val="003A16B3"/>
    <w:rsid w:val="003A2CDB"/>
    <w:rsid w:val="003A345F"/>
    <w:rsid w:val="003A459B"/>
    <w:rsid w:val="003A4728"/>
    <w:rsid w:val="003A74DB"/>
    <w:rsid w:val="003B0230"/>
    <w:rsid w:val="003B2FCA"/>
    <w:rsid w:val="003B4953"/>
    <w:rsid w:val="003C0698"/>
    <w:rsid w:val="003C1FD3"/>
    <w:rsid w:val="003C6204"/>
    <w:rsid w:val="003C6975"/>
    <w:rsid w:val="003D027B"/>
    <w:rsid w:val="003D05D0"/>
    <w:rsid w:val="003D0ABE"/>
    <w:rsid w:val="003D0BD2"/>
    <w:rsid w:val="003D1738"/>
    <w:rsid w:val="003D403A"/>
    <w:rsid w:val="003D46DC"/>
    <w:rsid w:val="003D6BC1"/>
    <w:rsid w:val="003D7E5F"/>
    <w:rsid w:val="003E0E86"/>
    <w:rsid w:val="003E0F5C"/>
    <w:rsid w:val="003E1805"/>
    <w:rsid w:val="003E2698"/>
    <w:rsid w:val="003E3C2D"/>
    <w:rsid w:val="003E49C9"/>
    <w:rsid w:val="003F04D3"/>
    <w:rsid w:val="003F2687"/>
    <w:rsid w:val="003F46FD"/>
    <w:rsid w:val="003F4F25"/>
    <w:rsid w:val="003F5923"/>
    <w:rsid w:val="003F5E8C"/>
    <w:rsid w:val="00402C84"/>
    <w:rsid w:val="00402E4E"/>
    <w:rsid w:val="00403BA6"/>
    <w:rsid w:val="00404904"/>
    <w:rsid w:val="00404D74"/>
    <w:rsid w:val="00406B1C"/>
    <w:rsid w:val="00407ED8"/>
    <w:rsid w:val="00412E82"/>
    <w:rsid w:val="004155CA"/>
    <w:rsid w:val="004165F5"/>
    <w:rsid w:val="00420A2C"/>
    <w:rsid w:val="004211AE"/>
    <w:rsid w:val="0042319D"/>
    <w:rsid w:val="00423BDF"/>
    <w:rsid w:val="00423C74"/>
    <w:rsid w:val="004243CF"/>
    <w:rsid w:val="00424C98"/>
    <w:rsid w:val="00425FF0"/>
    <w:rsid w:val="00430049"/>
    <w:rsid w:val="00431359"/>
    <w:rsid w:val="00431786"/>
    <w:rsid w:val="004327D2"/>
    <w:rsid w:val="0043314D"/>
    <w:rsid w:val="0043317B"/>
    <w:rsid w:val="0043342A"/>
    <w:rsid w:val="00442CCC"/>
    <w:rsid w:val="004437D9"/>
    <w:rsid w:val="00445D19"/>
    <w:rsid w:val="004460FA"/>
    <w:rsid w:val="004505F2"/>
    <w:rsid w:val="004514C2"/>
    <w:rsid w:val="004521BD"/>
    <w:rsid w:val="00453125"/>
    <w:rsid w:val="00454988"/>
    <w:rsid w:val="0045711B"/>
    <w:rsid w:val="004574E7"/>
    <w:rsid w:val="00461393"/>
    <w:rsid w:val="00464018"/>
    <w:rsid w:val="00465349"/>
    <w:rsid w:val="004653CC"/>
    <w:rsid w:val="004707FF"/>
    <w:rsid w:val="004735E7"/>
    <w:rsid w:val="00473CF8"/>
    <w:rsid w:val="00475325"/>
    <w:rsid w:val="0047616C"/>
    <w:rsid w:val="00477026"/>
    <w:rsid w:val="00477379"/>
    <w:rsid w:val="004776EA"/>
    <w:rsid w:val="00477D22"/>
    <w:rsid w:val="004824CB"/>
    <w:rsid w:val="0048633C"/>
    <w:rsid w:val="004863F8"/>
    <w:rsid w:val="0048718C"/>
    <w:rsid w:val="00487535"/>
    <w:rsid w:val="00492515"/>
    <w:rsid w:val="00494D15"/>
    <w:rsid w:val="004955AA"/>
    <w:rsid w:val="00496F1D"/>
    <w:rsid w:val="004A0B1C"/>
    <w:rsid w:val="004A1E9D"/>
    <w:rsid w:val="004A2868"/>
    <w:rsid w:val="004A2FC7"/>
    <w:rsid w:val="004A5174"/>
    <w:rsid w:val="004A5DCE"/>
    <w:rsid w:val="004A6826"/>
    <w:rsid w:val="004A68A9"/>
    <w:rsid w:val="004B1EF1"/>
    <w:rsid w:val="004B2029"/>
    <w:rsid w:val="004B23F5"/>
    <w:rsid w:val="004B339D"/>
    <w:rsid w:val="004B4369"/>
    <w:rsid w:val="004B6146"/>
    <w:rsid w:val="004C0206"/>
    <w:rsid w:val="004C1970"/>
    <w:rsid w:val="004C2C96"/>
    <w:rsid w:val="004C2DDC"/>
    <w:rsid w:val="004C3B17"/>
    <w:rsid w:val="004C3C31"/>
    <w:rsid w:val="004C5314"/>
    <w:rsid w:val="004C786B"/>
    <w:rsid w:val="004C7FAB"/>
    <w:rsid w:val="004D045B"/>
    <w:rsid w:val="004D0A12"/>
    <w:rsid w:val="004D1D01"/>
    <w:rsid w:val="004D1DA5"/>
    <w:rsid w:val="004D4F7D"/>
    <w:rsid w:val="004E1148"/>
    <w:rsid w:val="004E13BE"/>
    <w:rsid w:val="004E197F"/>
    <w:rsid w:val="004E41DF"/>
    <w:rsid w:val="004E5DE4"/>
    <w:rsid w:val="004E7476"/>
    <w:rsid w:val="004E75E6"/>
    <w:rsid w:val="004F0032"/>
    <w:rsid w:val="004F0275"/>
    <w:rsid w:val="004F37D2"/>
    <w:rsid w:val="004F3B29"/>
    <w:rsid w:val="004F3CE6"/>
    <w:rsid w:val="004F50D2"/>
    <w:rsid w:val="004F6405"/>
    <w:rsid w:val="004F7BCD"/>
    <w:rsid w:val="0050003B"/>
    <w:rsid w:val="00502685"/>
    <w:rsid w:val="005035B6"/>
    <w:rsid w:val="005050CB"/>
    <w:rsid w:val="00506619"/>
    <w:rsid w:val="00506CF9"/>
    <w:rsid w:val="00511215"/>
    <w:rsid w:val="00512087"/>
    <w:rsid w:val="00512894"/>
    <w:rsid w:val="00514298"/>
    <w:rsid w:val="005156B6"/>
    <w:rsid w:val="00516BEF"/>
    <w:rsid w:val="00517E24"/>
    <w:rsid w:val="00520B71"/>
    <w:rsid w:val="00522170"/>
    <w:rsid w:val="0052538A"/>
    <w:rsid w:val="0052703F"/>
    <w:rsid w:val="00527D14"/>
    <w:rsid w:val="005308CB"/>
    <w:rsid w:val="0053101E"/>
    <w:rsid w:val="00531E33"/>
    <w:rsid w:val="0053241D"/>
    <w:rsid w:val="00532709"/>
    <w:rsid w:val="00532A7D"/>
    <w:rsid w:val="00532B81"/>
    <w:rsid w:val="00533888"/>
    <w:rsid w:val="00534530"/>
    <w:rsid w:val="00535361"/>
    <w:rsid w:val="00537754"/>
    <w:rsid w:val="00550750"/>
    <w:rsid w:val="0055286C"/>
    <w:rsid w:val="00553830"/>
    <w:rsid w:val="00554215"/>
    <w:rsid w:val="005542E8"/>
    <w:rsid w:val="005548A2"/>
    <w:rsid w:val="00554D88"/>
    <w:rsid w:val="005551C0"/>
    <w:rsid w:val="00555327"/>
    <w:rsid w:val="00555630"/>
    <w:rsid w:val="00555F13"/>
    <w:rsid w:val="0055757F"/>
    <w:rsid w:val="005625C6"/>
    <w:rsid w:val="0056314B"/>
    <w:rsid w:val="005700DC"/>
    <w:rsid w:val="00570AB7"/>
    <w:rsid w:val="00571D62"/>
    <w:rsid w:val="005753AB"/>
    <w:rsid w:val="0057555E"/>
    <w:rsid w:val="00577741"/>
    <w:rsid w:val="005777A9"/>
    <w:rsid w:val="005779C0"/>
    <w:rsid w:val="00580ABD"/>
    <w:rsid w:val="00581E67"/>
    <w:rsid w:val="00582A1B"/>
    <w:rsid w:val="00582AE8"/>
    <w:rsid w:val="00582F95"/>
    <w:rsid w:val="00583305"/>
    <w:rsid w:val="00584683"/>
    <w:rsid w:val="00586609"/>
    <w:rsid w:val="00586AA3"/>
    <w:rsid w:val="00590CC6"/>
    <w:rsid w:val="005920B7"/>
    <w:rsid w:val="00592D06"/>
    <w:rsid w:val="00592F8F"/>
    <w:rsid w:val="00594161"/>
    <w:rsid w:val="0059535E"/>
    <w:rsid w:val="00595C4A"/>
    <w:rsid w:val="005965CA"/>
    <w:rsid w:val="00596D3D"/>
    <w:rsid w:val="005A04AF"/>
    <w:rsid w:val="005A25C7"/>
    <w:rsid w:val="005A2E26"/>
    <w:rsid w:val="005A46E1"/>
    <w:rsid w:val="005A4F5A"/>
    <w:rsid w:val="005A7170"/>
    <w:rsid w:val="005A7267"/>
    <w:rsid w:val="005A72EC"/>
    <w:rsid w:val="005B07B4"/>
    <w:rsid w:val="005B41FF"/>
    <w:rsid w:val="005B4B66"/>
    <w:rsid w:val="005B6B0A"/>
    <w:rsid w:val="005B74C2"/>
    <w:rsid w:val="005C1EE5"/>
    <w:rsid w:val="005C4F8A"/>
    <w:rsid w:val="005C5DBE"/>
    <w:rsid w:val="005C68E6"/>
    <w:rsid w:val="005C7C1A"/>
    <w:rsid w:val="005D03B5"/>
    <w:rsid w:val="005D4673"/>
    <w:rsid w:val="005D4AB6"/>
    <w:rsid w:val="005D595C"/>
    <w:rsid w:val="005E0649"/>
    <w:rsid w:val="005E09A3"/>
    <w:rsid w:val="005E14F2"/>
    <w:rsid w:val="005E1835"/>
    <w:rsid w:val="005E2A95"/>
    <w:rsid w:val="005E3530"/>
    <w:rsid w:val="005E5511"/>
    <w:rsid w:val="005E5ECB"/>
    <w:rsid w:val="005E6BBD"/>
    <w:rsid w:val="005E78C0"/>
    <w:rsid w:val="005F0653"/>
    <w:rsid w:val="005F0659"/>
    <w:rsid w:val="005F174E"/>
    <w:rsid w:val="005F2F12"/>
    <w:rsid w:val="005F34CE"/>
    <w:rsid w:val="005F4634"/>
    <w:rsid w:val="005F5B01"/>
    <w:rsid w:val="005F6222"/>
    <w:rsid w:val="00600933"/>
    <w:rsid w:val="006020BA"/>
    <w:rsid w:val="006024FC"/>
    <w:rsid w:val="0060274F"/>
    <w:rsid w:val="0060282B"/>
    <w:rsid w:val="00603757"/>
    <w:rsid w:val="0060378A"/>
    <w:rsid w:val="006068B0"/>
    <w:rsid w:val="00607735"/>
    <w:rsid w:val="0061019C"/>
    <w:rsid w:val="006104E3"/>
    <w:rsid w:val="00610BE8"/>
    <w:rsid w:val="006115ED"/>
    <w:rsid w:val="00612021"/>
    <w:rsid w:val="006135A5"/>
    <w:rsid w:val="00615B1A"/>
    <w:rsid w:val="00616113"/>
    <w:rsid w:val="006203E1"/>
    <w:rsid w:val="006220DA"/>
    <w:rsid w:val="006237B4"/>
    <w:rsid w:val="00624539"/>
    <w:rsid w:val="00626054"/>
    <w:rsid w:val="006263FB"/>
    <w:rsid w:val="006278CC"/>
    <w:rsid w:val="006329C5"/>
    <w:rsid w:val="006341F6"/>
    <w:rsid w:val="006376D1"/>
    <w:rsid w:val="0064072A"/>
    <w:rsid w:val="00641254"/>
    <w:rsid w:val="00643108"/>
    <w:rsid w:val="00645D71"/>
    <w:rsid w:val="00645FEC"/>
    <w:rsid w:val="006514BD"/>
    <w:rsid w:val="00651B9A"/>
    <w:rsid w:val="00652125"/>
    <w:rsid w:val="006532AD"/>
    <w:rsid w:val="00653325"/>
    <w:rsid w:val="00653F94"/>
    <w:rsid w:val="0065490A"/>
    <w:rsid w:val="006553BB"/>
    <w:rsid w:val="0065711B"/>
    <w:rsid w:val="00657F5C"/>
    <w:rsid w:val="00657FDD"/>
    <w:rsid w:val="0066129E"/>
    <w:rsid w:val="0066141A"/>
    <w:rsid w:val="006625AF"/>
    <w:rsid w:val="0066443C"/>
    <w:rsid w:val="00664758"/>
    <w:rsid w:val="0066701C"/>
    <w:rsid w:val="006672B6"/>
    <w:rsid w:val="00670053"/>
    <w:rsid w:val="0067087C"/>
    <w:rsid w:val="0067106D"/>
    <w:rsid w:val="0067267A"/>
    <w:rsid w:val="006738DC"/>
    <w:rsid w:val="006741D5"/>
    <w:rsid w:val="0067509D"/>
    <w:rsid w:val="00675611"/>
    <w:rsid w:val="00675B8E"/>
    <w:rsid w:val="00675C40"/>
    <w:rsid w:val="00677E3C"/>
    <w:rsid w:val="00677FDE"/>
    <w:rsid w:val="00680A6F"/>
    <w:rsid w:val="0068321C"/>
    <w:rsid w:val="00684C01"/>
    <w:rsid w:val="0068537F"/>
    <w:rsid w:val="0069052A"/>
    <w:rsid w:val="00690E97"/>
    <w:rsid w:val="00692F26"/>
    <w:rsid w:val="006945FC"/>
    <w:rsid w:val="00694CD0"/>
    <w:rsid w:val="0069619A"/>
    <w:rsid w:val="006964E1"/>
    <w:rsid w:val="006A29A9"/>
    <w:rsid w:val="006A4804"/>
    <w:rsid w:val="006A4EB7"/>
    <w:rsid w:val="006A6249"/>
    <w:rsid w:val="006A7D32"/>
    <w:rsid w:val="006B0316"/>
    <w:rsid w:val="006B0AA3"/>
    <w:rsid w:val="006B2061"/>
    <w:rsid w:val="006B2917"/>
    <w:rsid w:val="006B2CDE"/>
    <w:rsid w:val="006B553C"/>
    <w:rsid w:val="006B7720"/>
    <w:rsid w:val="006C3634"/>
    <w:rsid w:val="006C4631"/>
    <w:rsid w:val="006C4C29"/>
    <w:rsid w:val="006C4FDE"/>
    <w:rsid w:val="006C7360"/>
    <w:rsid w:val="006D11C2"/>
    <w:rsid w:val="006D1F7A"/>
    <w:rsid w:val="006D2CCE"/>
    <w:rsid w:val="006D38F4"/>
    <w:rsid w:val="006D4AAA"/>
    <w:rsid w:val="006D4F25"/>
    <w:rsid w:val="006D4F3C"/>
    <w:rsid w:val="006E514F"/>
    <w:rsid w:val="006E687F"/>
    <w:rsid w:val="006F34DF"/>
    <w:rsid w:val="006F63C8"/>
    <w:rsid w:val="006F743C"/>
    <w:rsid w:val="00700CE0"/>
    <w:rsid w:val="00701227"/>
    <w:rsid w:val="007051E4"/>
    <w:rsid w:val="007055E8"/>
    <w:rsid w:val="0070698C"/>
    <w:rsid w:val="007069D2"/>
    <w:rsid w:val="00710275"/>
    <w:rsid w:val="0071059F"/>
    <w:rsid w:val="00711180"/>
    <w:rsid w:val="007117D7"/>
    <w:rsid w:val="00714011"/>
    <w:rsid w:val="0071454F"/>
    <w:rsid w:val="00715040"/>
    <w:rsid w:val="00715401"/>
    <w:rsid w:val="007163F2"/>
    <w:rsid w:val="007172FD"/>
    <w:rsid w:val="00717D4A"/>
    <w:rsid w:val="00720EBF"/>
    <w:rsid w:val="00721EA0"/>
    <w:rsid w:val="00722CDB"/>
    <w:rsid w:val="0072389B"/>
    <w:rsid w:val="00724369"/>
    <w:rsid w:val="00725734"/>
    <w:rsid w:val="00725965"/>
    <w:rsid w:val="007268C4"/>
    <w:rsid w:val="00727CBC"/>
    <w:rsid w:val="007300F7"/>
    <w:rsid w:val="0073068B"/>
    <w:rsid w:val="00733B0F"/>
    <w:rsid w:val="00734F04"/>
    <w:rsid w:val="00737C55"/>
    <w:rsid w:val="00740B24"/>
    <w:rsid w:val="00741F55"/>
    <w:rsid w:val="00742924"/>
    <w:rsid w:val="00745726"/>
    <w:rsid w:val="007477AC"/>
    <w:rsid w:val="007526A5"/>
    <w:rsid w:val="00752A14"/>
    <w:rsid w:val="007530F1"/>
    <w:rsid w:val="00753253"/>
    <w:rsid w:val="0075331C"/>
    <w:rsid w:val="00753321"/>
    <w:rsid w:val="007534B2"/>
    <w:rsid w:val="00753D4E"/>
    <w:rsid w:val="00754243"/>
    <w:rsid w:val="00754645"/>
    <w:rsid w:val="00757EDF"/>
    <w:rsid w:val="007610E6"/>
    <w:rsid w:val="007632D4"/>
    <w:rsid w:val="007636F5"/>
    <w:rsid w:val="00765AF9"/>
    <w:rsid w:val="00767EC5"/>
    <w:rsid w:val="00774750"/>
    <w:rsid w:val="007766A2"/>
    <w:rsid w:val="00780D17"/>
    <w:rsid w:val="00781D02"/>
    <w:rsid w:val="0078323F"/>
    <w:rsid w:val="00791375"/>
    <w:rsid w:val="0079146E"/>
    <w:rsid w:val="00791D82"/>
    <w:rsid w:val="007927A4"/>
    <w:rsid w:val="00793ABB"/>
    <w:rsid w:val="00793FC9"/>
    <w:rsid w:val="00795869"/>
    <w:rsid w:val="0079591C"/>
    <w:rsid w:val="00795FB7"/>
    <w:rsid w:val="00796871"/>
    <w:rsid w:val="007A1A05"/>
    <w:rsid w:val="007A1A1E"/>
    <w:rsid w:val="007A29A5"/>
    <w:rsid w:val="007A3F2A"/>
    <w:rsid w:val="007A412A"/>
    <w:rsid w:val="007A5A53"/>
    <w:rsid w:val="007A77F8"/>
    <w:rsid w:val="007A7C8F"/>
    <w:rsid w:val="007B04D3"/>
    <w:rsid w:val="007B4097"/>
    <w:rsid w:val="007B4BE4"/>
    <w:rsid w:val="007B6485"/>
    <w:rsid w:val="007B6C27"/>
    <w:rsid w:val="007C0F4A"/>
    <w:rsid w:val="007C1FD9"/>
    <w:rsid w:val="007C5250"/>
    <w:rsid w:val="007C7765"/>
    <w:rsid w:val="007D02D4"/>
    <w:rsid w:val="007D0444"/>
    <w:rsid w:val="007D1B9C"/>
    <w:rsid w:val="007D2A66"/>
    <w:rsid w:val="007D5619"/>
    <w:rsid w:val="007D611E"/>
    <w:rsid w:val="007D6403"/>
    <w:rsid w:val="007D6570"/>
    <w:rsid w:val="007E054F"/>
    <w:rsid w:val="007E0F77"/>
    <w:rsid w:val="007E2369"/>
    <w:rsid w:val="007E378C"/>
    <w:rsid w:val="007E56A0"/>
    <w:rsid w:val="007E596F"/>
    <w:rsid w:val="007E5BE3"/>
    <w:rsid w:val="007E69C6"/>
    <w:rsid w:val="007E73A7"/>
    <w:rsid w:val="007F340A"/>
    <w:rsid w:val="007F37CE"/>
    <w:rsid w:val="007F3899"/>
    <w:rsid w:val="007F3972"/>
    <w:rsid w:val="007F49B7"/>
    <w:rsid w:val="007F4AF3"/>
    <w:rsid w:val="007F5B84"/>
    <w:rsid w:val="007F72E7"/>
    <w:rsid w:val="007F73CB"/>
    <w:rsid w:val="007F7B41"/>
    <w:rsid w:val="008004C2"/>
    <w:rsid w:val="00803D48"/>
    <w:rsid w:val="00804C4E"/>
    <w:rsid w:val="008058C2"/>
    <w:rsid w:val="00805A80"/>
    <w:rsid w:val="00805B43"/>
    <w:rsid w:val="00806285"/>
    <w:rsid w:val="008100A5"/>
    <w:rsid w:val="00812228"/>
    <w:rsid w:val="008124BF"/>
    <w:rsid w:val="00813129"/>
    <w:rsid w:val="008213B7"/>
    <w:rsid w:val="00821A4F"/>
    <w:rsid w:val="00823632"/>
    <w:rsid w:val="008249F2"/>
    <w:rsid w:val="00824E30"/>
    <w:rsid w:val="00826233"/>
    <w:rsid w:val="0083251D"/>
    <w:rsid w:val="0083373E"/>
    <w:rsid w:val="00835BCD"/>
    <w:rsid w:val="00836D30"/>
    <w:rsid w:val="00836E11"/>
    <w:rsid w:val="008379A8"/>
    <w:rsid w:val="00837FF6"/>
    <w:rsid w:val="00842DBB"/>
    <w:rsid w:val="008432E6"/>
    <w:rsid w:val="00846AF8"/>
    <w:rsid w:val="008472C2"/>
    <w:rsid w:val="008477C0"/>
    <w:rsid w:val="0085231D"/>
    <w:rsid w:val="00852FED"/>
    <w:rsid w:val="0085426C"/>
    <w:rsid w:val="00854630"/>
    <w:rsid w:val="00863054"/>
    <w:rsid w:val="008644CD"/>
    <w:rsid w:val="00865008"/>
    <w:rsid w:val="00865184"/>
    <w:rsid w:val="008652A0"/>
    <w:rsid w:val="0087448C"/>
    <w:rsid w:val="00874698"/>
    <w:rsid w:val="00875155"/>
    <w:rsid w:val="00877728"/>
    <w:rsid w:val="00877CF5"/>
    <w:rsid w:val="0088065A"/>
    <w:rsid w:val="00882085"/>
    <w:rsid w:val="0088365C"/>
    <w:rsid w:val="00884AEB"/>
    <w:rsid w:val="008862FB"/>
    <w:rsid w:val="008865BD"/>
    <w:rsid w:val="00887AE7"/>
    <w:rsid w:val="00891BD6"/>
    <w:rsid w:val="008920DC"/>
    <w:rsid w:val="00892357"/>
    <w:rsid w:val="008931F5"/>
    <w:rsid w:val="00896090"/>
    <w:rsid w:val="00896694"/>
    <w:rsid w:val="008A1F4E"/>
    <w:rsid w:val="008A25B1"/>
    <w:rsid w:val="008A696C"/>
    <w:rsid w:val="008A7229"/>
    <w:rsid w:val="008A7FD4"/>
    <w:rsid w:val="008B0100"/>
    <w:rsid w:val="008B138B"/>
    <w:rsid w:val="008B196A"/>
    <w:rsid w:val="008B1F86"/>
    <w:rsid w:val="008B2D8C"/>
    <w:rsid w:val="008B482E"/>
    <w:rsid w:val="008B5747"/>
    <w:rsid w:val="008B5EF3"/>
    <w:rsid w:val="008B6C2C"/>
    <w:rsid w:val="008B71F6"/>
    <w:rsid w:val="008C09E4"/>
    <w:rsid w:val="008C1D2D"/>
    <w:rsid w:val="008C25F4"/>
    <w:rsid w:val="008C2F48"/>
    <w:rsid w:val="008C308F"/>
    <w:rsid w:val="008C3DB0"/>
    <w:rsid w:val="008C3F78"/>
    <w:rsid w:val="008C4D27"/>
    <w:rsid w:val="008D073A"/>
    <w:rsid w:val="008D1927"/>
    <w:rsid w:val="008D26CE"/>
    <w:rsid w:val="008D61E0"/>
    <w:rsid w:val="008D711B"/>
    <w:rsid w:val="008D7584"/>
    <w:rsid w:val="008E26B6"/>
    <w:rsid w:val="008E33C0"/>
    <w:rsid w:val="008E35C4"/>
    <w:rsid w:val="008E3DAB"/>
    <w:rsid w:val="008E495B"/>
    <w:rsid w:val="008E5D6D"/>
    <w:rsid w:val="008E64E7"/>
    <w:rsid w:val="008E65E6"/>
    <w:rsid w:val="008E761A"/>
    <w:rsid w:val="008E7C11"/>
    <w:rsid w:val="008F0612"/>
    <w:rsid w:val="008F0E24"/>
    <w:rsid w:val="008F0E2E"/>
    <w:rsid w:val="008F1EDA"/>
    <w:rsid w:val="008F3204"/>
    <w:rsid w:val="008F32B7"/>
    <w:rsid w:val="008F37CD"/>
    <w:rsid w:val="008F4971"/>
    <w:rsid w:val="008F53B6"/>
    <w:rsid w:val="008F5482"/>
    <w:rsid w:val="008F6272"/>
    <w:rsid w:val="008F6563"/>
    <w:rsid w:val="00901239"/>
    <w:rsid w:val="00901401"/>
    <w:rsid w:val="00902E7B"/>
    <w:rsid w:val="00902F72"/>
    <w:rsid w:val="00903717"/>
    <w:rsid w:val="0090477D"/>
    <w:rsid w:val="00906DC2"/>
    <w:rsid w:val="00911911"/>
    <w:rsid w:val="00913E11"/>
    <w:rsid w:val="00914FE8"/>
    <w:rsid w:val="0091589C"/>
    <w:rsid w:val="00917946"/>
    <w:rsid w:val="00920400"/>
    <w:rsid w:val="00921403"/>
    <w:rsid w:val="009221B5"/>
    <w:rsid w:val="00922B5B"/>
    <w:rsid w:val="00922F88"/>
    <w:rsid w:val="009240EE"/>
    <w:rsid w:val="00926558"/>
    <w:rsid w:val="00926BBE"/>
    <w:rsid w:val="00927B8B"/>
    <w:rsid w:val="00935C8A"/>
    <w:rsid w:val="00937E0A"/>
    <w:rsid w:val="0094078C"/>
    <w:rsid w:val="0094155D"/>
    <w:rsid w:val="00941625"/>
    <w:rsid w:val="009424B3"/>
    <w:rsid w:val="0094320F"/>
    <w:rsid w:val="00944944"/>
    <w:rsid w:val="00946F0F"/>
    <w:rsid w:val="00947519"/>
    <w:rsid w:val="009519BB"/>
    <w:rsid w:val="00953382"/>
    <w:rsid w:val="00954B3B"/>
    <w:rsid w:val="00955135"/>
    <w:rsid w:val="009618FB"/>
    <w:rsid w:val="00962C43"/>
    <w:rsid w:val="00964C88"/>
    <w:rsid w:val="00964E74"/>
    <w:rsid w:val="009652F5"/>
    <w:rsid w:val="009677A1"/>
    <w:rsid w:val="00967E92"/>
    <w:rsid w:val="009702F2"/>
    <w:rsid w:val="009752F5"/>
    <w:rsid w:val="009763D4"/>
    <w:rsid w:val="00976D1E"/>
    <w:rsid w:val="00977A29"/>
    <w:rsid w:val="0098033E"/>
    <w:rsid w:val="00980F30"/>
    <w:rsid w:val="00982B53"/>
    <w:rsid w:val="00985697"/>
    <w:rsid w:val="00985857"/>
    <w:rsid w:val="00990D59"/>
    <w:rsid w:val="00991310"/>
    <w:rsid w:val="009915C1"/>
    <w:rsid w:val="0099183B"/>
    <w:rsid w:val="009925CA"/>
    <w:rsid w:val="009927DA"/>
    <w:rsid w:val="00992A60"/>
    <w:rsid w:val="00992F6F"/>
    <w:rsid w:val="00993A74"/>
    <w:rsid w:val="00993F2A"/>
    <w:rsid w:val="009963E0"/>
    <w:rsid w:val="00997E58"/>
    <w:rsid w:val="009A0672"/>
    <w:rsid w:val="009A2544"/>
    <w:rsid w:val="009A26FC"/>
    <w:rsid w:val="009A428A"/>
    <w:rsid w:val="009A6A50"/>
    <w:rsid w:val="009B2227"/>
    <w:rsid w:val="009B3BF1"/>
    <w:rsid w:val="009B50D0"/>
    <w:rsid w:val="009B6975"/>
    <w:rsid w:val="009B7AA1"/>
    <w:rsid w:val="009B7B5A"/>
    <w:rsid w:val="009C033A"/>
    <w:rsid w:val="009C45FF"/>
    <w:rsid w:val="009C5143"/>
    <w:rsid w:val="009C582C"/>
    <w:rsid w:val="009C7811"/>
    <w:rsid w:val="009D025B"/>
    <w:rsid w:val="009D0B7C"/>
    <w:rsid w:val="009D1990"/>
    <w:rsid w:val="009D1E40"/>
    <w:rsid w:val="009D2175"/>
    <w:rsid w:val="009D28B3"/>
    <w:rsid w:val="009E06CD"/>
    <w:rsid w:val="009E09CF"/>
    <w:rsid w:val="009E2A9F"/>
    <w:rsid w:val="009E4591"/>
    <w:rsid w:val="009E57DE"/>
    <w:rsid w:val="009E5803"/>
    <w:rsid w:val="009E7F2F"/>
    <w:rsid w:val="009F0AB8"/>
    <w:rsid w:val="009F24BF"/>
    <w:rsid w:val="009F2739"/>
    <w:rsid w:val="009F3A07"/>
    <w:rsid w:val="009F4F39"/>
    <w:rsid w:val="009F5489"/>
    <w:rsid w:val="009F5CC6"/>
    <w:rsid w:val="009F5F3D"/>
    <w:rsid w:val="00A023FE"/>
    <w:rsid w:val="00A035CF"/>
    <w:rsid w:val="00A03C71"/>
    <w:rsid w:val="00A0537B"/>
    <w:rsid w:val="00A072CC"/>
    <w:rsid w:val="00A10426"/>
    <w:rsid w:val="00A11395"/>
    <w:rsid w:val="00A126D8"/>
    <w:rsid w:val="00A135EB"/>
    <w:rsid w:val="00A14C14"/>
    <w:rsid w:val="00A15369"/>
    <w:rsid w:val="00A16878"/>
    <w:rsid w:val="00A220E6"/>
    <w:rsid w:val="00A2297F"/>
    <w:rsid w:val="00A22983"/>
    <w:rsid w:val="00A25884"/>
    <w:rsid w:val="00A2615E"/>
    <w:rsid w:val="00A26492"/>
    <w:rsid w:val="00A2693B"/>
    <w:rsid w:val="00A31851"/>
    <w:rsid w:val="00A31A81"/>
    <w:rsid w:val="00A31B7D"/>
    <w:rsid w:val="00A32490"/>
    <w:rsid w:val="00A411FB"/>
    <w:rsid w:val="00A44885"/>
    <w:rsid w:val="00A45FC9"/>
    <w:rsid w:val="00A508F3"/>
    <w:rsid w:val="00A51265"/>
    <w:rsid w:val="00A517E1"/>
    <w:rsid w:val="00A51813"/>
    <w:rsid w:val="00A51C81"/>
    <w:rsid w:val="00A52B0A"/>
    <w:rsid w:val="00A53F29"/>
    <w:rsid w:val="00A54705"/>
    <w:rsid w:val="00A558F5"/>
    <w:rsid w:val="00A56834"/>
    <w:rsid w:val="00A6092B"/>
    <w:rsid w:val="00A6159E"/>
    <w:rsid w:val="00A62132"/>
    <w:rsid w:val="00A65E50"/>
    <w:rsid w:val="00A667A4"/>
    <w:rsid w:val="00A70516"/>
    <w:rsid w:val="00A73FB5"/>
    <w:rsid w:val="00A744B0"/>
    <w:rsid w:val="00A75813"/>
    <w:rsid w:val="00A77114"/>
    <w:rsid w:val="00A81A9E"/>
    <w:rsid w:val="00A81BA3"/>
    <w:rsid w:val="00A8294F"/>
    <w:rsid w:val="00A83448"/>
    <w:rsid w:val="00A83BAD"/>
    <w:rsid w:val="00A83BB2"/>
    <w:rsid w:val="00A83F62"/>
    <w:rsid w:val="00A84FCD"/>
    <w:rsid w:val="00A8520F"/>
    <w:rsid w:val="00A85317"/>
    <w:rsid w:val="00A86DBC"/>
    <w:rsid w:val="00A9048C"/>
    <w:rsid w:val="00A90AEE"/>
    <w:rsid w:val="00A916AB"/>
    <w:rsid w:val="00A91C81"/>
    <w:rsid w:val="00A926BE"/>
    <w:rsid w:val="00A92D30"/>
    <w:rsid w:val="00A9326C"/>
    <w:rsid w:val="00A935A2"/>
    <w:rsid w:val="00A965D5"/>
    <w:rsid w:val="00A970C7"/>
    <w:rsid w:val="00AA0D83"/>
    <w:rsid w:val="00AA1EEA"/>
    <w:rsid w:val="00AA78E8"/>
    <w:rsid w:val="00AB0B33"/>
    <w:rsid w:val="00AB0FCA"/>
    <w:rsid w:val="00AB1145"/>
    <w:rsid w:val="00AB1146"/>
    <w:rsid w:val="00AB1D43"/>
    <w:rsid w:val="00AB2690"/>
    <w:rsid w:val="00AB2947"/>
    <w:rsid w:val="00AB451F"/>
    <w:rsid w:val="00AB57A7"/>
    <w:rsid w:val="00AB5ADF"/>
    <w:rsid w:val="00AB5D4B"/>
    <w:rsid w:val="00AB7AE5"/>
    <w:rsid w:val="00AC103E"/>
    <w:rsid w:val="00AC2BCE"/>
    <w:rsid w:val="00AC3433"/>
    <w:rsid w:val="00AD03FC"/>
    <w:rsid w:val="00AD0A18"/>
    <w:rsid w:val="00AD192D"/>
    <w:rsid w:val="00AD56C7"/>
    <w:rsid w:val="00AD6704"/>
    <w:rsid w:val="00AD74C7"/>
    <w:rsid w:val="00AD7FD7"/>
    <w:rsid w:val="00AE0AE0"/>
    <w:rsid w:val="00AE228B"/>
    <w:rsid w:val="00AE326D"/>
    <w:rsid w:val="00AE3913"/>
    <w:rsid w:val="00AE421D"/>
    <w:rsid w:val="00AF0E59"/>
    <w:rsid w:val="00AF10C7"/>
    <w:rsid w:val="00AF2DFC"/>
    <w:rsid w:val="00AF4088"/>
    <w:rsid w:val="00AF446E"/>
    <w:rsid w:val="00AF51D0"/>
    <w:rsid w:val="00AF6472"/>
    <w:rsid w:val="00AF7AA3"/>
    <w:rsid w:val="00B0246D"/>
    <w:rsid w:val="00B02726"/>
    <w:rsid w:val="00B04215"/>
    <w:rsid w:val="00B05E1D"/>
    <w:rsid w:val="00B06D80"/>
    <w:rsid w:val="00B07C1A"/>
    <w:rsid w:val="00B1021B"/>
    <w:rsid w:val="00B11CC0"/>
    <w:rsid w:val="00B14B8C"/>
    <w:rsid w:val="00B1577B"/>
    <w:rsid w:val="00B20254"/>
    <w:rsid w:val="00B21955"/>
    <w:rsid w:val="00B21AD1"/>
    <w:rsid w:val="00B22244"/>
    <w:rsid w:val="00B23DE6"/>
    <w:rsid w:val="00B240C6"/>
    <w:rsid w:val="00B259E0"/>
    <w:rsid w:val="00B27159"/>
    <w:rsid w:val="00B279AF"/>
    <w:rsid w:val="00B34B05"/>
    <w:rsid w:val="00B34D15"/>
    <w:rsid w:val="00B3555D"/>
    <w:rsid w:val="00B358CB"/>
    <w:rsid w:val="00B3660E"/>
    <w:rsid w:val="00B3695E"/>
    <w:rsid w:val="00B376E7"/>
    <w:rsid w:val="00B479D6"/>
    <w:rsid w:val="00B51CBC"/>
    <w:rsid w:val="00B52053"/>
    <w:rsid w:val="00B521F8"/>
    <w:rsid w:val="00B52C78"/>
    <w:rsid w:val="00B54163"/>
    <w:rsid w:val="00B54CCA"/>
    <w:rsid w:val="00B54DC1"/>
    <w:rsid w:val="00B54EFD"/>
    <w:rsid w:val="00B60AC6"/>
    <w:rsid w:val="00B62D9A"/>
    <w:rsid w:val="00B631F2"/>
    <w:rsid w:val="00B634C6"/>
    <w:rsid w:val="00B712FE"/>
    <w:rsid w:val="00B7156E"/>
    <w:rsid w:val="00B726BB"/>
    <w:rsid w:val="00B75EC0"/>
    <w:rsid w:val="00B7608A"/>
    <w:rsid w:val="00B77915"/>
    <w:rsid w:val="00B818BB"/>
    <w:rsid w:val="00B8383F"/>
    <w:rsid w:val="00B83C58"/>
    <w:rsid w:val="00B84934"/>
    <w:rsid w:val="00B84989"/>
    <w:rsid w:val="00B90A7A"/>
    <w:rsid w:val="00B90CF1"/>
    <w:rsid w:val="00B9212F"/>
    <w:rsid w:val="00B93B32"/>
    <w:rsid w:val="00B96289"/>
    <w:rsid w:val="00BA4449"/>
    <w:rsid w:val="00BA5E3C"/>
    <w:rsid w:val="00BB0093"/>
    <w:rsid w:val="00BB0AD1"/>
    <w:rsid w:val="00BB1B3B"/>
    <w:rsid w:val="00BB29E3"/>
    <w:rsid w:val="00BB5854"/>
    <w:rsid w:val="00BC0120"/>
    <w:rsid w:val="00BC019F"/>
    <w:rsid w:val="00BC289C"/>
    <w:rsid w:val="00BC4EF1"/>
    <w:rsid w:val="00BC5195"/>
    <w:rsid w:val="00BC62F4"/>
    <w:rsid w:val="00BC6FC8"/>
    <w:rsid w:val="00BD1946"/>
    <w:rsid w:val="00BD1DA3"/>
    <w:rsid w:val="00BD203C"/>
    <w:rsid w:val="00BD4147"/>
    <w:rsid w:val="00BD5CEA"/>
    <w:rsid w:val="00BD640A"/>
    <w:rsid w:val="00BD6912"/>
    <w:rsid w:val="00BD7DAA"/>
    <w:rsid w:val="00BD7F57"/>
    <w:rsid w:val="00BE06DF"/>
    <w:rsid w:val="00BE0C3F"/>
    <w:rsid w:val="00BE12DA"/>
    <w:rsid w:val="00BE1F59"/>
    <w:rsid w:val="00BE2C52"/>
    <w:rsid w:val="00BE37E5"/>
    <w:rsid w:val="00BE4922"/>
    <w:rsid w:val="00BE79CA"/>
    <w:rsid w:val="00BF16A2"/>
    <w:rsid w:val="00BF1812"/>
    <w:rsid w:val="00BF1A21"/>
    <w:rsid w:val="00BF4D59"/>
    <w:rsid w:val="00BF5E58"/>
    <w:rsid w:val="00BF6E56"/>
    <w:rsid w:val="00BF6FCB"/>
    <w:rsid w:val="00BF70FD"/>
    <w:rsid w:val="00C0211F"/>
    <w:rsid w:val="00C04E76"/>
    <w:rsid w:val="00C060E0"/>
    <w:rsid w:val="00C062B2"/>
    <w:rsid w:val="00C072EC"/>
    <w:rsid w:val="00C073A1"/>
    <w:rsid w:val="00C11745"/>
    <w:rsid w:val="00C12005"/>
    <w:rsid w:val="00C14BF9"/>
    <w:rsid w:val="00C15B4C"/>
    <w:rsid w:val="00C15F9A"/>
    <w:rsid w:val="00C170B0"/>
    <w:rsid w:val="00C20DB4"/>
    <w:rsid w:val="00C23DF6"/>
    <w:rsid w:val="00C26588"/>
    <w:rsid w:val="00C27815"/>
    <w:rsid w:val="00C30AFD"/>
    <w:rsid w:val="00C31009"/>
    <w:rsid w:val="00C31EBD"/>
    <w:rsid w:val="00C330E8"/>
    <w:rsid w:val="00C33651"/>
    <w:rsid w:val="00C34898"/>
    <w:rsid w:val="00C3527C"/>
    <w:rsid w:val="00C3577A"/>
    <w:rsid w:val="00C457EF"/>
    <w:rsid w:val="00C45EE0"/>
    <w:rsid w:val="00C46D71"/>
    <w:rsid w:val="00C51754"/>
    <w:rsid w:val="00C52BF8"/>
    <w:rsid w:val="00C52D0F"/>
    <w:rsid w:val="00C570A6"/>
    <w:rsid w:val="00C5757E"/>
    <w:rsid w:val="00C6092E"/>
    <w:rsid w:val="00C61E0C"/>
    <w:rsid w:val="00C6288C"/>
    <w:rsid w:val="00C63FBC"/>
    <w:rsid w:val="00C659C2"/>
    <w:rsid w:val="00C665D6"/>
    <w:rsid w:val="00C66FE9"/>
    <w:rsid w:val="00C67DEA"/>
    <w:rsid w:val="00C72F09"/>
    <w:rsid w:val="00C735FA"/>
    <w:rsid w:val="00C7641D"/>
    <w:rsid w:val="00C777BF"/>
    <w:rsid w:val="00C77B8E"/>
    <w:rsid w:val="00C81D4A"/>
    <w:rsid w:val="00C84C25"/>
    <w:rsid w:val="00C92173"/>
    <w:rsid w:val="00C926C7"/>
    <w:rsid w:val="00C93271"/>
    <w:rsid w:val="00C94B77"/>
    <w:rsid w:val="00C953BD"/>
    <w:rsid w:val="00C96016"/>
    <w:rsid w:val="00C964CA"/>
    <w:rsid w:val="00C97DB7"/>
    <w:rsid w:val="00CA11E3"/>
    <w:rsid w:val="00CA13B8"/>
    <w:rsid w:val="00CA2191"/>
    <w:rsid w:val="00CA3CC4"/>
    <w:rsid w:val="00CA4304"/>
    <w:rsid w:val="00CA43BC"/>
    <w:rsid w:val="00CA628A"/>
    <w:rsid w:val="00CA764F"/>
    <w:rsid w:val="00CB06B8"/>
    <w:rsid w:val="00CB1437"/>
    <w:rsid w:val="00CB22EC"/>
    <w:rsid w:val="00CB3423"/>
    <w:rsid w:val="00CB39E1"/>
    <w:rsid w:val="00CB3D35"/>
    <w:rsid w:val="00CB5C8C"/>
    <w:rsid w:val="00CB60AE"/>
    <w:rsid w:val="00CB61AF"/>
    <w:rsid w:val="00CB6E02"/>
    <w:rsid w:val="00CB785F"/>
    <w:rsid w:val="00CB7C32"/>
    <w:rsid w:val="00CC0771"/>
    <w:rsid w:val="00CC1D93"/>
    <w:rsid w:val="00CC4731"/>
    <w:rsid w:val="00CC476D"/>
    <w:rsid w:val="00CC533D"/>
    <w:rsid w:val="00CC7C93"/>
    <w:rsid w:val="00CC7CD9"/>
    <w:rsid w:val="00CD0411"/>
    <w:rsid w:val="00CD49E5"/>
    <w:rsid w:val="00CD5A36"/>
    <w:rsid w:val="00CD659F"/>
    <w:rsid w:val="00CD6F5A"/>
    <w:rsid w:val="00CD704F"/>
    <w:rsid w:val="00CD737E"/>
    <w:rsid w:val="00CD7568"/>
    <w:rsid w:val="00CD7F37"/>
    <w:rsid w:val="00CE1B85"/>
    <w:rsid w:val="00CE3FDF"/>
    <w:rsid w:val="00CE68FB"/>
    <w:rsid w:val="00CE742F"/>
    <w:rsid w:val="00CF03EF"/>
    <w:rsid w:val="00CF1812"/>
    <w:rsid w:val="00CF51AB"/>
    <w:rsid w:val="00CF6B41"/>
    <w:rsid w:val="00CF7242"/>
    <w:rsid w:val="00CF75DA"/>
    <w:rsid w:val="00CF7FD7"/>
    <w:rsid w:val="00D00CB5"/>
    <w:rsid w:val="00D021C4"/>
    <w:rsid w:val="00D02250"/>
    <w:rsid w:val="00D05743"/>
    <w:rsid w:val="00D05ACC"/>
    <w:rsid w:val="00D05D58"/>
    <w:rsid w:val="00D06038"/>
    <w:rsid w:val="00D13418"/>
    <w:rsid w:val="00D13E3A"/>
    <w:rsid w:val="00D157FD"/>
    <w:rsid w:val="00D15E74"/>
    <w:rsid w:val="00D17317"/>
    <w:rsid w:val="00D22CE8"/>
    <w:rsid w:val="00D22D8C"/>
    <w:rsid w:val="00D231D1"/>
    <w:rsid w:val="00D24C2C"/>
    <w:rsid w:val="00D24D2E"/>
    <w:rsid w:val="00D2557D"/>
    <w:rsid w:val="00D26BA0"/>
    <w:rsid w:val="00D277F0"/>
    <w:rsid w:val="00D307A8"/>
    <w:rsid w:val="00D313DA"/>
    <w:rsid w:val="00D321BE"/>
    <w:rsid w:val="00D34A93"/>
    <w:rsid w:val="00D356FF"/>
    <w:rsid w:val="00D35E0F"/>
    <w:rsid w:val="00D3674D"/>
    <w:rsid w:val="00D40D2D"/>
    <w:rsid w:val="00D416FB"/>
    <w:rsid w:val="00D41C42"/>
    <w:rsid w:val="00D41E87"/>
    <w:rsid w:val="00D457A3"/>
    <w:rsid w:val="00D45C7F"/>
    <w:rsid w:val="00D46080"/>
    <w:rsid w:val="00D46C20"/>
    <w:rsid w:val="00D47255"/>
    <w:rsid w:val="00D52CE7"/>
    <w:rsid w:val="00D52DF0"/>
    <w:rsid w:val="00D533D3"/>
    <w:rsid w:val="00D53FC6"/>
    <w:rsid w:val="00D54B18"/>
    <w:rsid w:val="00D60C16"/>
    <w:rsid w:val="00D622A0"/>
    <w:rsid w:val="00D666DF"/>
    <w:rsid w:val="00D67372"/>
    <w:rsid w:val="00D673E7"/>
    <w:rsid w:val="00D67CA7"/>
    <w:rsid w:val="00D71CFC"/>
    <w:rsid w:val="00D72662"/>
    <w:rsid w:val="00D72C6C"/>
    <w:rsid w:val="00D73026"/>
    <w:rsid w:val="00D80156"/>
    <w:rsid w:val="00D807EF"/>
    <w:rsid w:val="00D809CA"/>
    <w:rsid w:val="00D819A6"/>
    <w:rsid w:val="00D844FA"/>
    <w:rsid w:val="00D85B15"/>
    <w:rsid w:val="00D86555"/>
    <w:rsid w:val="00D86FF6"/>
    <w:rsid w:val="00D87CA3"/>
    <w:rsid w:val="00D9042C"/>
    <w:rsid w:val="00D920C7"/>
    <w:rsid w:val="00D93D7D"/>
    <w:rsid w:val="00D942B1"/>
    <w:rsid w:val="00D950D7"/>
    <w:rsid w:val="00D97624"/>
    <w:rsid w:val="00D97BF9"/>
    <w:rsid w:val="00DA075C"/>
    <w:rsid w:val="00DA38DB"/>
    <w:rsid w:val="00DA40D8"/>
    <w:rsid w:val="00DA4AB5"/>
    <w:rsid w:val="00DA5A9B"/>
    <w:rsid w:val="00DA6712"/>
    <w:rsid w:val="00DA6845"/>
    <w:rsid w:val="00DA6C76"/>
    <w:rsid w:val="00DA6C7F"/>
    <w:rsid w:val="00DB006C"/>
    <w:rsid w:val="00DB03F6"/>
    <w:rsid w:val="00DB0715"/>
    <w:rsid w:val="00DB0917"/>
    <w:rsid w:val="00DB1A4D"/>
    <w:rsid w:val="00DB2E94"/>
    <w:rsid w:val="00DB5601"/>
    <w:rsid w:val="00DC1531"/>
    <w:rsid w:val="00DC156C"/>
    <w:rsid w:val="00DC23C5"/>
    <w:rsid w:val="00DC3272"/>
    <w:rsid w:val="00DC3F94"/>
    <w:rsid w:val="00DC4173"/>
    <w:rsid w:val="00DC5337"/>
    <w:rsid w:val="00DC6370"/>
    <w:rsid w:val="00DD0609"/>
    <w:rsid w:val="00DD1D44"/>
    <w:rsid w:val="00DD1E63"/>
    <w:rsid w:val="00DD25C4"/>
    <w:rsid w:val="00DD288A"/>
    <w:rsid w:val="00DD2F47"/>
    <w:rsid w:val="00DD588F"/>
    <w:rsid w:val="00DD6849"/>
    <w:rsid w:val="00DD7044"/>
    <w:rsid w:val="00DE19BA"/>
    <w:rsid w:val="00DE2EAE"/>
    <w:rsid w:val="00DE2FEA"/>
    <w:rsid w:val="00DE3F33"/>
    <w:rsid w:val="00DE4052"/>
    <w:rsid w:val="00DE4DAC"/>
    <w:rsid w:val="00DE4E05"/>
    <w:rsid w:val="00DE53A3"/>
    <w:rsid w:val="00DE5663"/>
    <w:rsid w:val="00DE5C3B"/>
    <w:rsid w:val="00DE69D6"/>
    <w:rsid w:val="00DE7606"/>
    <w:rsid w:val="00DE7D10"/>
    <w:rsid w:val="00DF330B"/>
    <w:rsid w:val="00DF390A"/>
    <w:rsid w:val="00DF3CAA"/>
    <w:rsid w:val="00DF3CFE"/>
    <w:rsid w:val="00E007B2"/>
    <w:rsid w:val="00E01237"/>
    <w:rsid w:val="00E0355D"/>
    <w:rsid w:val="00E03A96"/>
    <w:rsid w:val="00E04715"/>
    <w:rsid w:val="00E04C4C"/>
    <w:rsid w:val="00E078B5"/>
    <w:rsid w:val="00E1133E"/>
    <w:rsid w:val="00E12D3F"/>
    <w:rsid w:val="00E12F1E"/>
    <w:rsid w:val="00E145CB"/>
    <w:rsid w:val="00E16034"/>
    <w:rsid w:val="00E16088"/>
    <w:rsid w:val="00E20861"/>
    <w:rsid w:val="00E20A3A"/>
    <w:rsid w:val="00E20C91"/>
    <w:rsid w:val="00E218A7"/>
    <w:rsid w:val="00E221FB"/>
    <w:rsid w:val="00E22813"/>
    <w:rsid w:val="00E23B7A"/>
    <w:rsid w:val="00E2445D"/>
    <w:rsid w:val="00E24A72"/>
    <w:rsid w:val="00E265C2"/>
    <w:rsid w:val="00E2744B"/>
    <w:rsid w:val="00E274FA"/>
    <w:rsid w:val="00E31DD6"/>
    <w:rsid w:val="00E33B5C"/>
    <w:rsid w:val="00E3424F"/>
    <w:rsid w:val="00E3448A"/>
    <w:rsid w:val="00E3603A"/>
    <w:rsid w:val="00E3678B"/>
    <w:rsid w:val="00E430EC"/>
    <w:rsid w:val="00E43241"/>
    <w:rsid w:val="00E44152"/>
    <w:rsid w:val="00E44541"/>
    <w:rsid w:val="00E44C05"/>
    <w:rsid w:val="00E4571C"/>
    <w:rsid w:val="00E4667E"/>
    <w:rsid w:val="00E476B6"/>
    <w:rsid w:val="00E5118F"/>
    <w:rsid w:val="00E52898"/>
    <w:rsid w:val="00E52ED0"/>
    <w:rsid w:val="00E53550"/>
    <w:rsid w:val="00E54072"/>
    <w:rsid w:val="00E548C1"/>
    <w:rsid w:val="00E563E7"/>
    <w:rsid w:val="00E57389"/>
    <w:rsid w:val="00E57CE1"/>
    <w:rsid w:val="00E6004F"/>
    <w:rsid w:val="00E60302"/>
    <w:rsid w:val="00E605D6"/>
    <w:rsid w:val="00E60D66"/>
    <w:rsid w:val="00E61E52"/>
    <w:rsid w:val="00E62893"/>
    <w:rsid w:val="00E646D2"/>
    <w:rsid w:val="00E66781"/>
    <w:rsid w:val="00E66B40"/>
    <w:rsid w:val="00E67B22"/>
    <w:rsid w:val="00E70A1B"/>
    <w:rsid w:val="00E71022"/>
    <w:rsid w:val="00E72E4F"/>
    <w:rsid w:val="00E74EF4"/>
    <w:rsid w:val="00E76024"/>
    <w:rsid w:val="00E76FDC"/>
    <w:rsid w:val="00E77291"/>
    <w:rsid w:val="00E80BC8"/>
    <w:rsid w:val="00E81D03"/>
    <w:rsid w:val="00E82503"/>
    <w:rsid w:val="00E82587"/>
    <w:rsid w:val="00E83BA7"/>
    <w:rsid w:val="00E84283"/>
    <w:rsid w:val="00E848B6"/>
    <w:rsid w:val="00E851F8"/>
    <w:rsid w:val="00E906E7"/>
    <w:rsid w:val="00E908C7"/>
    <w:rsid w:val="00E90B41"/>
    <w:rsid w:val="00E93DFF"/>
    <w:rsid w:val="00EA009E"/>
    <w:rsid w:val="00EA11C5"/>
    <w:rsid w:val="00EA2140"/>
    <w:rsid w:val="00EA28CB"/>
    <w:rsid w:val="00EA34CF"/>
    <w:rsid w:val="00EA3E60"/>
    <w:rsid w:val="00EA3FD5"/>
    <w:rsid w:val="00EA5AB6"/>
    <w:rsid w:val="00EA5EEB"/>
    <w:rsid w:val="00EA60BA"/>
    <w:rsid w:val="00EA75BB"/>
    <w:rsid w:val="00EA7C71"/>
    <w:rsid w:val="00EA7DEB"/>
    <w:rsid w:val="00EB053E"/>
    <w:rsid w:val="00EB1B31"/>
    <w:rsid w:val="00EB2C23"/>
    <w:rsid w:val="00EB5B35"/>
    <w:rsid w:val="00EB5F65"/>
    <w:rsid w:val="00EB6936"/>
    <w:rsid w:val="00EB6CE7"/>
    <w:rsid w:val="00EB74A8"/>
    <w:rsid w:val="00EB7DA9"/>
    <w:rsid w:val="00EC0CF6"/>
    <w:rsid w:val="00EC1228"/>
    <w:rsid w:val="00EC18FA"/>
    <w:rsid w:val="00EC207F"/>
    <w:rsid w:val="00EC4A8F"/>
    <w:rsid w:val="00EC5D02"/>
    <w:rsid w:val="00EC60C0"/>
    <w:rsid w:val="00ED053F"/>
    <w:rsid w:val="00ED09B5"/>
    <w:rsid w:val="00ED126C"/>
    <w:rsid w:val="00ED1614"/>
    <w:rsid w:val="00ED1B4A"/>
    <w:rsid w:val="00ED35B6"/>
    <w:rsid w:val="00ED5D9E"/>
    <w:rsid w:val="00ED7E9A"/>
    <w:rsid w:val="00EE037E"/>
    <w:rsid w:val="00EE1115"/>
    <w:rsid w:val="00EE3FD4"/>
    <w:rsid w:val="00EE404D"/>
    <w:rsid w:val="00EF16C8"/>
    <w:rsid w:val="00EF5105"/>
    <w:rsid w:val="00EF6716"/>
    <w:rsid w:val="00EF6E61"/>
    <w:rsid w:val="00F00652"/>
    <w:rsid w:val="00F00CBD"/>
    <w:rsid w:val="00F00F42"/>
    <w:rsid w:val="00F04511"/>
    <w:rsid w:val="00F048DD"/>
    <w:rsid w:val="00F05A5C"/>
    <w:rsid w:val="00F135CC"/>
    <w:rsid w:val="00F233AC"/>
    <w:rsid w:val="00F23AA5"/>
    <w:rsid w:val="00F27C28"/>
    <w:rsid w:val="00F310DC"/>
    <w:rsid w:val="00F31A5B"/>
    <w:rsid w:val="00F32533"/>
    <w:rsid w:val="00F337B6"/>
    <w:rsid w:val="00F34B39"/>
    <w:rsid w:val="00F34CCB"/>
    <w:rsid w:val="00F352BB"/>
    <w:rsid w:val="00F36E2C"/>
    <w:rsid w:val="00F40769"/>
    <w:rsid w:val="00F41F01"/>
    <w:rsid w:val="00F427C8"/>
    <w:rsid w:val="00F50EEA"/>
    <w:rsid w:val="00F51C90"/>
    <w:rsid w:val="00F5337C"/>
    <w:rsid w:val="00F5471B"/>
    <w:rsid w:val="00F56DB3"/>
    <w:rsid w:val="00F57193"/>
    <w:rsid w:val="00F610F9"/>
    <w:rsid w:val="00F6115A"/>
    <w:rsid w:val="00F61525"/>
    <w:rsid w:val="00F616A1"/>
    <w:rsid w:val="00F632BF"/>
    <w:rsid w:val="00F63C52"/>
    <w:rsid w:val="00F6426F"/>
    <w:rsid w:val="00F649F7"/>
    <w:rsid w:val="00F651FE"/>
    <w:rsid w:val="00F652E9"/>
    <w:rsid w:val="00F65F5E"/>
    <w:rsid w:val="00F67230"/>
    <w:rsid w:val="00F70AE3"/>
    <w:rsid w:val="00F71357"/>
    <w:rsid w:val="00F71436"/>
    <w:rsid w:val="00F72AF0"/>
    <w:rsid w:val="00F733C7"/>
    <w:rsid w:val="00F73DEA"/>
    <w:rsid w:val="00F76C9A"/>
    <w:rsid w:val="00F77CA3"/>
    <w:rsid w:val="00F82B90"/>
    <w:rsid w:val="00F840D7"/>
    <w:rsid w:val="00F866A2"/>
    <w:rsid w:val="00F86A29"/>
    <w:rsid w:val="00F94A65"/>
    <w:rsid w:val="00F950FD"/>
    <w:rsid w:val="00F963F5"/>
    <w:rsid w:val="00F97CE1"/>
    <w:rsid w:val="00FA0ED1"/>
    <w:rsid w:val="00FA2AE6"/>
    <w:rsid w:val="00FA4688"/>
    <w:rsid w:val="00FA54D5"/>
    <w:rsid w:val="00FA5C8F"/>
    <w:rsid w:val="00FA732D"/>
    <w:rsid w:val="00FA7EFB"/>
    <w:rsid w:val="00FB2F5A"/>
    <w:rsid w:val="00FB46A1"/>
    <w:rsid w:val="00FB4C15"/>
    <w:rsid w:val="00FB4D2D"/>
    <w:rsid w:val="00FB71C9"/>
    <w:rsid w:val="00FC02AE"/>
    <w:rsid w:val="00FC05BB"/>
    <w:rsid w:val="00FC0E47"/>
    <w:rsid w:val="00FC1213"/>
    <w:rsid w:val="00FC1411"/>
    <w:rsid w:val="00FC1A76"/>
    <w:rsid w:val="00FC24E7"/>
    <w:rsid w:val="00FC25C0"/>
    <w:rsid w:val="00FC6068"/>
    <w:rsid w:val="00FC7248"/>
    <w:rsid w:val="00FD02E4"/>
    <w:rsid w:val="00FD29FA"/>
    <w:rsid w:val="00FD35B3"/>
    <w:rsid w:val="00FD36B6"/>
    <w:rsid w:val="00FD46F4"/>
    <w:rsid w:val="00FE24D0"/>
    <w:rsid w:val="00FE28EB"/>
    <w:rsid w:val="00FE42CD"/>
    <w:rsid w:val="00FE4629"/>
    <w:rsid w:val="00FE5BA8"/>
    <w:rsid w:val="00FE7BC3"/>
    <w:rsid w:val="00FF0DA4"/>
    <w:rsid w:val="00FF1282"/>
    <w:rsid w:val="00FF296C"/>
    <w:rsid w:val="00FF2AA1"/>
    <w:rsid w:val="00FF5A37"/>
    <w:rsid w:val="00FF60EE"/>
    <w:rsid w:val="00FF6B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662E4E"/>
  <w15:chartTrackingRefBased/>
  <w15:docId w15:val="{5C226F00-45B4-4ED3-8B26-8674D8674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BE8"/>
    <w:pPr>
      <w:spacing w:after="120" w:line="276" w:lineRule="auto"/>
    </w:pPr>
    <w:rPr>
      <w:rFonts w:ascii="Segoe UI" w:hAnsi="Segoe UI"/>
    </w:rPr>
  </w:style>
  <w:style w:type="paragraph" w:styleId="Heading1">
    <w:name w:val="heading 1"/>
    <w:basedOn w:val="Normal"/>
    <w:next w:val="BodyText"/>
    <w:link w:val="Heading1Char"/>
    <w:uiPriority w:val="9"/>
    <w:qFormat/>
    <w:rsid w:val="000B6EC8"/>
    <w:pPr>
      <w:keepNext/>
      <w:keepLines/>
      <w:pBdr>
        <w:bottom w:val="single" w:sz="12" w:space="6" w:color="00DCA1"/>
      </w:pBdr>
      <w:spacing w:before="240" w:after="240" w:line="240" w:lineRule="auto"/>
      <w:outlineLvl w:val="0"/>
    </w:pPr>
    <w:rPr>
      <w:rFonts w:eastAsiaTheme="majorEastAsia" w:cs="Segoe UI"/>
      <w:b/>
      <w:color w:val="025F5D"/>
      <w:sz w:val="40"/>
      <w:szCs w:val="72"/>
    </w:rPr>
  </w:style>
  <w:style w:type="paragraph" w:styleId="Heading2">
    <w:name w:val="heading 2"/>
    <w:basedOn w:val="Normal"/>
    <w:next w:val="BodyText"/>
    <w:link w:val="Heading2Char"/>
    <w:uiPriority w:val="9"/>
    <w:unhideWhenUsed/>
    <w:qFormat/>
    <w:rsid w:val="000B6EC8"/>
    <w:pPr>
      <w:keepNext/>
      <w:keepLines/>
      <w:spacing w:before="360" w:after="160" w:line="240" w:lineRule="auto"/>
      <w:outlineLvl w:val="1"/>
    </w:pPr>
    <w:rPr>
      <w:rFonts w:eastAsiaTheme="majorEastAsia" w:cstheme="majorBidi"/>
      <w:b/>
      <w:color w:val="025F5D"/>
      <w:sz w:val="36"/>
      <w:szCs w:val="36"/>
    </w:rPr>
  </w:style>
  <w:style w:type="paragraph" w:styleId="Heading3">
    <w:name w:val="heading 3"/>
    <w:basedOn w:val="Normal"/>
    <w:next w:val="BodyText"/>
    <w:link w:val="Heading3Char"/>
    <w:uiPriority w:val="9"/>
    <w:unhideWhenUsed/>
    <w:qFormat/>
    <w:rsid w:val="003B0230"/>
    <w:pPr>
      <w:keepNext/>
      <w:keepLines/>
      <w:spacing w:before="360"/>
      <w:outlineLvl w:val="2"/>
    </w:pPr>
    <w:rPr>
      <w:rFonts w:eastAsiaTheme="majorEastAsia" w:cstheme="majorBidi"/>
      <w:b/>
      <w:bCs/>
      <w:color w:val="025F5D"/>
      <w:sz w:val="28"/>
      <w:szCs w:val="40"/>
    </w:rPr>
  </w:style>
  <w:style w:type="paragraph" w:styleId="Heading4">
    <w:name w:val="heading 4"/>
    <w:basedOn w:val="Normal"/>
    <w:next w:val="BodyText"/>
    <w:link w:val="Heading4Char"/>
    <w:uiPriority w:val="9"/>
    <w:unhideWhenUsed/>
    <w:qFormat/>
    <w:rsid w:val="000B6EC8"/>
    <w:pPr>
      <w:keepNext/>
      <w:keepLines/>
      <w:spacing w:before="240"/>
      <w:outlineLvl w:val="3"/>
    </w:pPr>
    <w:rPr>
      <w:rFonts w:eastAsiaTheme="majorEastAsia" w:cstheme="majorBidi"/>
      <w:b/>
      <w:bCs/>
      <w:iCs/>
      <w:color w:val="025F5D"/>
      <w:sz w:val="28"/>
      <w:szCs w:val="36"/>
    </w:rPr>
  </w:style>
  <w:style w:type="paragraph" w:styleId="Heading5">
    <w:name w:val="heading 5"/>
    <w:basedOn w:val="Normal"/>
    <w:next w:val="BodyText"/>
    <w:link w:val="Heading5Char"/>
    <w:uiPriority w:val="9"/>
    <w:unhideWhenUsed/>
    <w:qFormat/>
    <w:rsid w:val="000B6EC8"/>
    <w:pPr>
      <w:keepNext/>
      <w:keepLines/>
      <w:spacing w:before="240"/>
      <w:outlineLvl w:val="4"/>
    </w:pPr>
    <w:rPr>
      <w:rFonts w:ascii="Segoe UI Semibold" w:eastAsiaTheme="majorEastAsia" w:hAnsi="Segoe UI Semibold" w:cstheme="majorBidi"/>
      <w:sz w:val="28"/>
      <w:szCs w:val="28"/>
    </w:rPr>
  </w:style>
  <w:style w:type="paragraph" w:styleId="Heading6">
    <w:name w:val="heading 6"/>
    <w:basedOn w:val="Normal"/>
    <w:next w:val="BodyText"/>
    <w:link w:val="Heading6Char"/>
    <w:uiPriority w:val="9"/>
    <w:unhideWhenUsed/>
    <w:qFormat/>
    <w:rsid w:val="000B6EC8"/>
    <w:pPr>
      <w:keepNext/>
      <w:keepLines/>
      <w:outlineLvl w:val="5"/>
    </w:pPr>
    <w:rPr>
      <w:rFonts w:ascii="Segoe UI Semibold" w:eastAsiaTheme="majorEastAsia" w:hAnsi="Segoe UI Semibold" w:cs="Segoe UI Semibold"/>
      <w:iCs/>
      <w:color w:val="000000" w:themeColor="text1"/>
      <w:szCs w:val="28"/>
    </w:rPr>
  </w:style>
  <w:style w:type="paragraph" w:styleId="Heading7">
    <w:name w:val="heading 7"/>
    <w:basedOn w:val="Normal"/>
    <w:next w:val="BodyText"/>
    <w:link w:val="Heading7Char"/>
    <w:uiPriority w:val="9"/>
    <w:unhideWhenUsed/>
    <w:qFormat/>
    <w:rsid w:val="000B6EC8"/>
    <w:pPr>
      <w:keepNext/>
      <w:keepLines/>
      <w:spacing w:before="40"/>
      <w:outlineLvl w:val="6"/>
    </w:pPr>
    <w:rPr>
      <w:rFonts w:ascii="Segoe UI Semibold" w:eastAsiaTheme="majorEastAsia" w:hAnsi="Segoe UI Semibold" w:cs="Segoe UI Semibold"/>
      <w:iCs/>
      <w:color w:val="025F5D"/>
    </w:rPr>
  </w:style>
  <w:style w:type="paragraph" w:styleId="Heading8">
    <w:name w:val="heading 8"/>
    <w:basedOn w:val="Normal"/>
    <w:next w:val="BodyText"/>
    <w:link w:val="Heading8Char"/>
    <w:uiPriority w:val="9"/>
    <w:unhideWhenUsed/>
    <w:qFormat/>
    <w:rsid w:val="000B6EC8"/>
    <w:pPr>
      <w:keepNext/>
      <w:keepLines/>
      <w:spacing w:before="40"/>
      <w:outlineLvl w:val="7"/>
    </w:pPr>
    <w:rPr>
      <w:rFonts w:eastAsiaTheme="majorEastAsia" w:cstheme="majorBidi"/>
      <w:color w:val="033636" w:themeColor="text2"/>
      <w:szCs w:val="21"/>
    </w:rPr>
  </w:style>
  <w:style w:type="paragraph" w:styleId="Heading9">
    <w:name w:val="heading 9"/>
    <w:basedOn w:val="Normal"/>
    <w:next w:val="BodyText"/>
    <w:link w:val="Heading9Char"/>
    <w:uiPriority w:val="9"/>
    <w:unhideWhenUsed/>
    <w:rsid w:val="000B6EC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EC8"/>
    <w:rPr>
      <w:rFonts w:ascii="Segoe UI" w:eastAsiaTheme="majorEastAsia" w:hAnsi="Segoe UI" w:cs="Segoe UI"/>
      <w:b/>
      <w:color w:val="025F5D"/>
      <w:sz w:val="40"/>
      <w:szCs w:val="72"/>
    </w:rPr>
  </w:style>
  <w:style w:type="paragraph" w:styleId="NoSpacing">
    <w:name w:val="No Spacing"/>
    <w:uiPriority w:val="1"/>
    <w:qFormat/>
    <w:rsid w:val="000B6EC8"/>
    <w:pPr>
      <w:spacing w:line="276" w:lineRule="auto"/>
    </w:pPr>
    <w:rPr>
      <w:rFonts w:ascii="Segoe UI" w:hAnsi="Segoe UI"/>
    </w:rPr>
  </w:style>
  <w:style w:type="character" w:customStyle="1" w:styleId="Heading2Char">
    <w:name w:val="Heading 2 Char"/>
    <w:basedOn w:val="DefaultParagraphFont"/>
    <w:link w:val="Heading2"/>
    <w:uiPriority w:val="9"/>
    <w:rsid w:val="000B6EC8"/>
    <w:rPr>
      <w:rFonts w:ascii="Segoe UI" w:eastAsiaTheme="majorEastAsia" w:hAnsi="Segoe UI" w:cstheme="majorBidi"/>
      <w:b/>
      <w:color w:val="025F5D"/>
      <w:sz w:val="36"/>
      <w:szCs w:val="36"/>
    </w:rPr>
  </w:style>
  <w:style w:type="paragraph" w:styleId="Title">
    <w:name w:val="Title"/>
    <w:basedOn w:val="Normal"/>
    <w:next w:val="Normal"/>
    <w:link w:val="TitleChar"/>
    <w:uiPriority w:val="10"/>
    <w:qFormat/>
    <w:rsid w:val="00733B0F"/>
    <w:pPr>
      <w:spacing w:before="2640" w:afterAutospacing="1" w:line="240" w:lineRule="auto"/>
      <w:contextualSpacing/>
    </w:pPr>
    <w:rPr>
      <w:rFonts w:ascii="Segoe UI Semibold" w:eastAsiaTheme="minorEastAsia" w:hAnsi="Segoe UI Semibold" w:cs="Times New Roman (Body CS)"/>
      <w:b/>
      <w:color w:val="033636"/>
      <w:sz w:val="48"/>
      <w:szCs w:val="52"/>
      <w14:ligatures w14:val="none"/>
    </w:rPr>
  </w:style>
  <w:style w:type="character" w:customStyle="1" w:styleId="TitleChar">
    <w:name w:val="Title Char"/>
    <w:basedOn w:val="DefaultParagraphFont"/>
    <w:link w:val="Title"/>
    <w:uiPriority w:val="10"/>
    <w:rsid w:val="00733B0F"/>
    <w:rPr>
      <w:rFonts w:ascii="Segoe UI Semibold" w:eastAsiaTheme="minorEastAsia" w:hAnsi="Segoe UI Semibold" w:cs="Times New Roman (Body CS)"/>
      <w:b/>
      <w:color w:val="033636"/>
      <w:sz w:val="48"/>
      <w:szCs w:val="52"/>
      <w14:ligatures w14:val="none"/>
    </w:rPr>
  </w:style>
  <w:style w:type="paragraph" w:styleId="Subtitle">
    <w:name w:val="Subtitle"/>
    <w:basedOn w:val="Normal"/>
    <w:next w:val="Normal"/>
    <w:link w:val="SubtitleChar"/>
    <w:uiPriority w:val="11"/>
    <w:qFormat/>
    <w:rsid w:val="000B6EC8"/>
    <w:pPr>
      <w:numPr>
        <w:ilvl w:val="1"/>
      </w:numPr>
      <w:spacing w:before="100" w:beforeAutospacing="1" w:after="100" w:afterAutospacing="1" w:line="240" w:lineRule="auto"/>
    </w:pPr>
    <w:rPr>
      <w:rFonts w:ascii="Segoe UI Semibold" w:eastAsiaTheme="minorEastAsia" w:hAnsi="Segoe UI Semibold" w:cs="Times New Roman (Body CS)"/>
      <w:sz w:val="40"/>
      <w:szCs w:val="22"/>
    </w:rPr>
  </w:style>
  <w:style w:type="character" w:customStyle="1" w:styleId="SubtitleChar">
    <w:name w:val="Subtitle Char"/>
    <w:basedOn w:val="DefaultParagraphFont"/>
    <w:link w:val="Subtitle"/>
    <w:uiPriority w:val="11"/>
    <w:rsid w:val="000B6EC8"/>
    <w:rPr>
      <w:rFonts w:ascii="Segoe UI Semibold" w:eastAsiaTheme="minorEastAsia" w:hAnsi="Segoe UI Semibold" w:cs="Times New Roman (Body CS)"/>
      <w:sz w:val="40"/>
      <w:szCs w:val="22"/>
    </w:rPr>
  </w:style>
  <w:style w:type="character" w:styleId="SubtleEmphasis">
    <w:name w:val="Subtle Emphasis"/>
    <w:basedOn w:val="DefaultParagraphFont"/>
    <w:uiPriority w:val="19"/>
    <w:qFormat/>
    <w:rsid w:val="000B6EC8"/>
    <w:rPr>
      <w:rFonts w:ascii="Segoe UI" w:hAnsi="Segoe UI"/>
      <w:i/>
      <w:iCs/>
      <w:color w:val="404040" w:themeColor="text1" w:themeTint="BF"/>
    </w:rPr>
  </w:style>
  <w:style w:type="character" w:styleId="Emphasis">
    <w:name w:val="Emphasis"/>
    <w:basedOn w:val="DefaultParagraphFont"/>
    <w:qFormat/>
    <w:rsid w:val="000B6EC8"/>
    <w:rPr>
      <w:rFonts w:ascii="Segoe UI" w:hAnsi="Segoe UI"/>
      <w:i/>
      <w:iCs/>
    </w:rPr>
  </w:style>
  <w:style w:type="character" w:styleId="IntenseEmphasis">
    <w:name w:val="Intense Emphasis"/>
    <w:basedOn w:val="DefaultParagraphFont"/>
    <w:uiPriority w:val="21"/>
    <w:rsid w:val="000B6EC8"/>
    <w:rPr>
      <w:rFonts w:ascii="Segoe UI" w:hAnsi="Segoe UI"/>
      <w:i/>
      <w:iCs/>
      <w:color w:val="025F5D"/>
      <w:bdr w:val="none" w:sz="0" w:space="0" w:color="auto"/>
    </w:rPr>
  </w:style>
  <w:style w:type="character" w:styleId="Strong">
    <w:name w:val="Strong"/>
    <w:basedOn w:val="DefaultParagraphFont"/>
    <w:uiPriority w:val="22"/>
    <w:qFormat/>
    <w:rsid w:val="000B6EC8"/>
    <w:rPr>
      <w:b/>
      <w:bCs/>
    </w:rPr>
  </w:style>
  <w:style w:type="paragraph" w:styleId="Quote">
    <w:name w:val="Quote"/>
    <w:basedOn w:val="Normal"/>
    <w:next w:val="Normal"/>
    <w:link w:val="QuoteChar"/>
    <w:uiPriority w:val="29"/>
    <w:qFormat/>
    <w:rsid w:val="000B6EC8"/>
    <w:pPr>
      <w:spacing w:before="200" w:after="160"/>
      <w:ind w:left="864" w:right="864"/>
      <w:jc w:val="center"/>
    </w:pPr>
    <w:rPr>
      <w:iCs/>
      <w:color w:val="025F5D"/>
      <w:sz w:val="28"/>
    </w:rPr>
  </w:style>
  <w:style w:type="character" w:customStyle="1" w:styleId="QuoteChar">
    <w:name w:val="Quote Char"/>
    <w:basedOn w:val="DefaultParagraphFont"/>
    <w:link w:val="Quote"/>
    <w:uiPriority w:val="29"/>
    <w:rsid w:val="000B6EC8"/>
    <w:rPr>
      <w:rFonts w:ascii="Segoe UI" w:hAnsi="Segoe UI"/>
      <w:iCs/>
      <w:color w:val="025F5D"/>
      <w:sz w:val="28"/>
    </w:rPr>
  </w:style>
  <w:style w:type="paragraph" w:styleId="IntenseQuote">
    <w:name w:val="Intense Quote"/>
    <w:basedOn w:val="Normal"/>
    <w:next w:val="Normal"/>
    <w:link w:val="IntenseQuoteChar"/>
    <w:uiPriority w:val="30"/>
    <w:qFormat/>
    <w:rsid w:val="000B6EC8"/>
    <w:pPr>
      <w:pBdr>
        <w:top w:val="single" w:sz="4" w:space="10" w:color="083E9C" w:themeColor="accent1"/>
        <w:bottom w:val="single" w:sz="4" w:space="10" w:color="083E9C" w:themeColor="accent1"/>
      </w:pBdr>
      <w:spacing w:before="360" w:after="360"/>
      <w:ind w:left="1418" w:right="1418"/>
    </w:pPr>
    <w:rPr>
      <w:rFonts w:ascii="Segoe UI Semibold" w:hAnsi="Segoe UI Semibold"/>
      <w:iCs/>
      <w:color w:val="025F5D"/>
      <w:sz w:val="28"/>
    </w:rPr>
  </w:style>
  <w:style w:type="character" w:customStyle="1" w:styleId="IntenseQuoteChar">
    <w:name w:val="Intense Quote Char"/>
    <w:basedOn w:val="DefaultParagraphFont"/>
    <w:link w:val="IntenseQuote"/>
    <w:uiPriority w:val="30"/>
    <w:rsid w:val="000B6EC8"/>
    <w:rPr>
      <w:rFonts w:ascii="Segoe UI Semibold" w:hAnsi="Segoe UI Semibold"/>
      <w:iCs/>
      <w:color w:val="025F5D"/>
      <w:sz w:val="28"/>
    </w:rPr>
  </w:style>
  <w:style w:type="character" w:customStyle="1" w:styleId="Heading3Char">
    <w:name w:val="Heading 3 Char"/>
    <w:basedOn w:val="DefaultParagraphFont"/>
    <w:link w:val="Heading3"/>
    <w:uiPriority w:val="9"/>
    <w:rsid w:val="003B0230"/>
    <w:rPr>
      <w:rFonts w:ascii="Segoe UI" w:eastAsiaTheme="majorEastAsia" w:hAnsi="Segoe UI" w:cstheme="majorBidi"/>
      <w:b/>
      <w:bCs/>
      <w:color w:val="025F5D"/>
      <w:sz w:val="28"/>
      <w:szCs w:val="40"/>
    </w:rPr>
  </w:style>
  <w:style w:type="character" w:customStyle="1" w:styleId="Heading4Char">
    <w:name w:val="Heading 4 Char"/>
    <w:basedOn w:val="DefaultParagraphFont"/>
    <w:link w:val="Heading4"/>
    <w:uiPriority w:val="9"/>
    <w:rsid w:val="000B6EC8"/>
    <w:rPr>
      <w:rFonts w:ascii="Segoe UI" w:eastAsiaTheme="majorEastAsia" w:hAnsi="Segoe UI" w:cstheme="majorBidi"/>
      <w:b/>
      <w:bCs/>
      <w:iCs/>
      <w:color w:val="025F5D"/>
      <w:sz w:val="28"/>
      <w:szCs w:val="36"/>
    </w:rPr>
  </w:style>
  <w:style w:type="character" w:customStyle="1" w:styleId="Heading5Char">
    <w:name w:val="Heading 5 Char"/>
    <w:basedOn w:val="DefaultParagraphFont"/>
    <w:link w:val="Heading5"/>
    <w:uiPriority w:val="9"/>
    <w:rsid w:val="000B6EC8"/>
    <w:rPr>
      <w:rFonts w:ascii="Segoe UI Semibold" w:eastAsiaTheme="majorEastAsia" w:hAnsi="Segoe UI Semibold" w:cstheme="majorBidi"/>
      <w:sz w:val="28"/>
      <w:szCs w:val="28"/>
    </w:rPr>
  </w:style>
  <w:style w:type="character" w:customStyle="1" w:styleId="Heading6Char">
    <w:name w:val="Heading 6 Char"/>
    <w:basedOn w:val="DefaultParagraphFont"/>
    <w:link w:val="Heading6"/>
    <w:uiPriority w:val="9"/>
    <w:rsid w:val="000B6EC8"/>
    <w:rPr>
      <w:rFonts w:ascii="Segoe UI Semibold" w:eastAsiaTheme="majorEastAsia" w:hAnsi="Segoe UI Semibold" w:cs="Segoe UI Semibold"/>
      <w:iCs/>
      <w:color w:val="000000" w:themeColor="text1"/>
      <w:szCs w:val="28"/>
    </w:rPr>
  </w:style>
  <w:style w:type="character" w:customStyle="1" w:styleId="Heading7Char">
    <w:name w:val="Heading 7 Char"/>
    <w:basedOn w:val="DefaultParagraphFont"/>
    <w:link w:val="Heading7"/>
    <w:uiPriority w:val="9"/>
    <w:rsid w:val="000B6EC8"/>
    <w:rPr>
      <w:rFonts w:ascii="Segoe UI Semibold" w:eastAsiaTheme="majorEastAsia" w:hAnsi="Segoe UI Semibold" w:cs="Segoe UI Semibold"/>
      <w:iCs/>
      <w:color w:val="025F5D"/>
    </w:rPr>
  </w:style>
  <w:style w:type="character" w:customStyle="1" w:styleId="Heading8Char">
    <w:name w:val="Heading 8 Char"/>
    <w:basedOn w:val="DefaultParagraphFont"/>
    <w:link w:val="Heading8"/>
    <w:uiPriority w:val="9"/>
    <w:rsid w:val="000B6EC8"/>
    <w:rPr>
      <w:rFonts w:ascii="Segoe UI" w:eastAsiaTheme="majorEastAsia" w:hAnsi="Segoe UI" w:cstheme="majorBidi"/>
      <w:color w:val="033636" w:themeColor="text2"/>
      <w:szCs w:val="21"/>
    </w:rPr>
  </w:style>
  <w:style w:type="character" w:customStyle="1" w:styleId="Heading9Char">
    <w:name w:val="Heading 9 Char"/>
    <w:basedOn w:val="DefaultParagraphFont"/>
    <w:link w:val="Heading9"/>
    <w:uiPriority w:val="9"/>
    <w:rsid w:val="000B6EC8"/>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0B6EC8"/>
    <w:pPr>
      <w:spacing w:line="240" w:lineRule="auto"/>
    </w:pPr>
  </w:style>
  <w:style w:type="character" w:customStyle="1" w:styleId="HeaderChar">
    <w:name w:val="Header Char"/>
    <w:basedOn w:val="DefaultParagraphFont"/>
    <w:link w:val="Header"/>
    <w:uiPriority w:val="99"/>
    <w:rsid w:val="000B6EC8"/>
    <w:rPr>
      <w:rFonts w:ascii="Segoe UI" w:hAnsi="Segoe UI"/>
    </w:rPr>
  </w:style>
  <w:style w:type="paragraph" w:styleId="Footer">
    <w:name w:val="footer"/>
    <w:basedOn w:val="Normal"/>
    <w:link w:val="FooterChar"/>
    <w:uiPriority w:val="99"/>
    <w:unhideWhenUsed/>
    <w:qFormat/>
    <w:rsid w:val="00826233"/>
    <w:pPr>
      <w:tabs>
        <w:tab w:val="right" w:pos="9639"/>
      </w:tabs>
      <w:spacing w:before="240" w:after="0" w:line="240" w:lineRule="auto"/>
    </w:pPr>
  </w:style>
  <w:style w:type="character" w:customStyle="1" w:styleId="FooterChar">
    <w:name w:val="Footer Char"/>
    <w:basedOn w:val="DefaultParagraphFont"/>
    <w:link w:val="Footer"/>
    <w:uiPriority w:val="99"/>
    <w:rsid w:val="00826233"/>
    <w:rPr>
      <w:rFonts w:ascii="Segoe UI" w:hAnsi="Segoe UI"/>
    </w:rPr>
  </w:style>
  <w:style w:type="paragraph" w:styleId="ListParagraph">
    <w:name w:val="List Paragraph"/>
    <w:basedOn w:val="Normal"/>
    <w:link w:val="ListParagraphChar"/>
    <w:uiPriority w:val="34"/>
    <w:qFormat/>
    <w:rsid w:val="000B6EC8"/>
    <w:pPr>
      <w:spacing w:before="60" w:after="60"/>
      <w:ind w:left="714" w:hanging="357"/>
      <w:contextualSpacing/>
    </w:pPr>
  </w:style>
  <w:style w:type="character" w:styleId="PageNumber">
    <w:name w:val="page number"/>
    <w:basedOn w:val="DefaultParagraphFont"/>
    <w:uiPriority w:val="99"/>
    <w:unhideWhenUsed/>
    <w:rsid w:val="000B6EC8"/>
  </w:style>
  <w:style w:type="paragraph" w:styleId="NormalWeb">
    <w:name w:val="Normal (Web)"/>
    <w:basedOn w:val="Normal"/>
    <w:uiPriority w:val="99"/>
    <w:unhideWhenUsed/>
    <w:rsid w:val="000B6EC8"/>
    <w:rPr>
      <w:rFonts w:cs="Times New Roman"/>
    </w:rPr>
  </w:style>
  <w:style w:type="character" w:styleId="Hyperlink">
    <w:name w:val="Hyperlink"/>
    <w:basedOn w:val="DefaultParagraphFont"/>
    <w:uiPriority w:val="99"/>
    <w:unhideWhenUsed/>
    <w:qFormat/>
    <w:rsid w:val="000B6EC8"/>
    <w:rPr>
      <w:color w:val="0000EE"/>
      <w:u w:val="single"/>
    </w:rPr>
  </w:style>
  <w:style w:type="character" w:styleId="UnresolvedMention">
    <w:name w:val="Unresolved Mention"/>
    <w:basedOn w:val="DefaultParagraphFont"/>
    <w:uiPriority w:val="99"/>
    <w:semiHidden/>
    <w:unhideWhenUsed/>
    <w:rsid w:val="000B6EC8"/>
    <w:rPr>
      <w:color w:val="605E5C"/>
      <w:shd w:val="clear" w:color="auto" w:fill="E1DFDD"/>
    </w:rPr>
  </w:style>
  <w:style w:type="paragraph" w:customStyle="1" w:styleId="Copyrightversotext">
    <w:name w:val="Copyright_verso text"/>
    <w:qFormat/>
    <w:rsid w:val="00C14BF9"/>
    <w:pPr>
      <w:spacing w:before="120" w:after="120" w:line="276" w:lineRule="auto"/>
    </w:pPr>
    <w:rPr>
      <w:rFonts w:ascii="Arial" w:eastAsia="Times New Roman" w:hAnsi="Arial" w:cs="Arial"/>
      <w:color w:val="000000"/>
      <w:kern w:val="0"/>
      <w:sz w:val="18"/>
      <w:szCs w:val="18"/>
      <w:lang w:eastAsia="en-GB"/>
      <w14:ligatures w14:val="none"/>
    </w:rPr>
  </w:style>
  <w:style w:type="table" w:styleId="TableGrid">
    <w:name w:val="Table Grid"/>
    <w:basedOn w:val="TableNormal"/>
    <w:uiPriority w:val="39"/>
    <w:rsid w:val="008A6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lastRow">
      <w:rPr>
        <w:b/>
      </w:rPr>
    </w:tblStylePr>
  </w:style>
  <w:style w:type="character" w:customStyle="1" w:styleId="ListParagraphChar">
    <w:name w:val="List Paragraph Char"/>
    <w:basedOn w:val="DefaultParagraphFont"/>
    <w:link w:val="ListParagraph"/>
    <w:uiPriority w:val="34"/>
    <w:qFormat/>
    <w:locked/>
    <w:rsid w:val="00BE12DA"/>
    <w:rPr>
      <w:rFonts w:ascii="Segoe UI" w:hAnsi="Segoe UI"/>
    </w:rPr>
  </w:style>
  <w:style w:type="paragraph" w:customStyle="1" w:styleId="HeadingTABLE">
    <w:name w:val="Heading TABLE"/>
    <w:basedOn w:val="Normal"/>
    <w:qFormat/>
    <w:rsid w:val="00BF1A21"/>
    <w:pPr>
      <w:spacing w:before="240"/>
    </w:pPr>
    <w:rPr>
      <w:b/>
      <w:bCs/>
      <w:color w:val="033636" w:themeColor="text2"/>
    </w:rPr>
  </w:style>
  <w:style w:type="paragraph" w:customStyle="1" w:styleId="HeadingFigure">
    <w:name w:val="Heading Figure"/>
    <w:basedOn w:val="Normal"/>
    <w:qFormat/>
    <w:rsid w:val="006135A5"/>
    <w:pPr>
      <w:spacing w:before="240"/>
    </w:pPr>
    <w:rPr>
      <w:b/>
      <w:noProof/>
      <w:color w:val="033636" w:themeColor="text2"/>
    </w:rPr>
  </w:style>
  <w:style w:type="numbering" w:customStyle="1" w:styleId="CurrentList1">
    <w:name w:val="Current List1"/>
    <w:uiPriority w:val="99"/>
    <w:rsid w:val="000B6EC8"/>
    <w:pPr>
      <w:numPr>
        <w:numId w:val="14"/>
      </w:numPr>
    </w:pPr>
  </w:style>
  <w:style w:type="paragraph" w:customStyle="1" w:styleId="BoxBulletEmerald">
    <w:name w:val="Box Bullet Emerald"/>
    <w:basedOn w:val="ListParagraph"/>
    <w:qFormat/>
    <w:rsid w:val="006135A5"/>
    <w:pPr>
      <w:pBdr>
        <w:top w:val="single" w:sz="8" w:space="1" w:color="033636" w:themeColor="text2"/>
        <w:left w:val="single" w:sz="8" w:space="4" w:color="033636" w:themeColor="text2"/>
        <w:bottom w:val="single" w:sz="8" w:space="1" w:color="033636" w:themeColor="text2"/>
        <w:right w:val="single" w:sz="8" w:space="4" w:color="033636" w:themeColor="text2"/>
      </w:pBdr>
      <w:ind w:left="0" w:firstLine="0"/>
    </w:pPr>
  </w:style>
  <w:style w:type="paragraph" w:customStyle="1" w:styleId="BoxtextEmerald">
    <w:name w:val="Box text Emerald"/>
    <w:basedOn w:val="Normal"/>
    <w:link w:val="BoxtextEmeraldChar"/>
    <w:qFormat/>
    <w:rsid w:val="00DB006C"/>
    <w:pPr>
      <w:pBdr>
        <w:top w:val="single" w:sz="8" w:space="1" w:color="033636" w:themeColor="text2"/>
        <w:left w:val="single" w:sz="8" w:space="4" w:color="033636" w:themeColor="text2"/>
        <w:bottom w:val="single" w:sz="8" w:space="1" w:color="033636" w:themeColor="text2"/>
        <w:right w:val="single" w:sz="8" w:space="4" w:color="033636" w:themeColor="text2"/>
      </w:pBdr>
    </w:pPr>
  </w:style>
  <w:style w:type="paragraph" w:customStyle="1" w:styleId="BoxHeadingEmerald">
    <w:name w:val="Box Heading Emerald"/>
    <w:basedOn w:val="Heading3"/>
    <w:qFormat/>
    <w:rsid w:val="00DB006C"/>
    <w:pPr>
      <w:pBdr>
        <w:top w:val="single" w:sz="8" w:space="1" w:color="033636" w:themeColor="text2"/>
        <w:left w:val="single" w:sz="8" w:space="4" w:color="033636" w:themeColor="text2"/>
        <w:bottom w:val="single" w:sz="8" w:space="1" w:color="033636" w:themeColor="text2"/>
        <w:right w:val="single" w:sz="8" w:space="4" w:color="033636" w:themeColor="text2"/>
      </w:pBdr>
    </w:pPr>
  </w:style>
  <w:style w:type="paragraph" w:customStyle="1" w:styleId="BoxHeadingGreen">
    <w:name w:val="Box Heading Green"/>
    <w:basedOn w:val="BoxHeadingEmerald"/>
    <w:qFormat/>
    <w:rsid w:val="00DB006C"/>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pPr>
  </w:style>
  <w:style w:type="paragraph" w:customStyle="1" w:styleId="BoxTextGreen">
    <w:name w:val="Box Text Green"/>
    <w:basedOn w:val="BoxtextEmerald"/>
    <w:link w:val="BoxTextGreenChar"/>
    <w:qFormat/>
    <w:rsid w:val="00DB006C"/>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pPr>
  </w:style>
  <w:style w:type="paragraph" w:customStyle="1" w:styleId="BoxBulletGreen">
    <w:name w:val="Box Bullet Green"/>
    <w:basedOn w:val="BoxBulletEmerald"/>
    <w:qFormat/>
    <w:rsid w:val="00DB006C"/>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pPr>
  </w:style>
  <w:style w:type="paragraph" w:customStyle="1" w:styleId="BoxheadingNavy">
    <w:name w:val="Box heading Navy"/>
    <w:basedOn w:val="BoxHeadingEmerald"/>
    <w:qFormat/>
    <w:rsid w:val="00DB006C"/>
    <w:pPr>
      <w:pBdr>
        <w:top w:val="single" w:sz="8" w:space="1" w:color="083E9C" w:themeColor="accent1"/>
        <w:left w:val="single" w:sz="8" w:space="4" w:color="083E9C" w:themeColor="accent1"/>
        <w:bottom w:val="single" w:sz="8" w:space="1" w:color="083E9C" w:themeColor="accent1"/>
        <w:right w:val="single" w:sz="8" w:space="4" w:color="083E9C" w:themeColor="accent1"/>
      </w:pBdr>
    </w:pPr>
    <w:rPr>
      <w:color w:val="000000" w:themeColor="text1"/>
    </w:rPr>
  </w:style>
  <w:style w:type="paragraph" w:customStyle="1" w:styleId="BoxtextNavy">
    <w:name w:val="Box text Navy"/>
    <w:basedOn w:val="BoxtextEmerald"/>
    <w:qFormat/>
    <w:rsid w:val="00DB006C"/>
    <w:pPr>
      <w:pBdr>
        <w:top w:val="single" w:sz="8" w:space="1" w:color="083E9C" w:themeColor="accent1"/>
        <w:left w:val="single" w:sz="8" w:space="4" w:color="083E9C" w:themeColor="accent1"/>
        <w:bottom w:val="single" w:sz="8" w:space="1" w:color="083E9C" w:themeColor="accent1"/>
        <w:right w:val="single" w:sz="8" w:space="4" w:color="083E9C" w:themeColor="accent1"/>
      </w:pBdr>
    </w:pPr>
  </w:style>
  <w:style w:type="paragraph" w:customStyle="1" w:styleId="BoxBulletNavy">
    <w:name w:val="Box Bullet Navy"/>
    <w:basedOn w:val="BoxBulletEmerald"/>
    <w:qFormat/>
    <w:rsid w:val="00DB006C"/>
    <w:pPr>
      <w:pBdr>
        <w:top w:val="single" w:sz="8" w:space="1" w:color="083E9C" w:themeColor="accent1"/>
        <w:left w:val="single" w:sz="8" w:space="4" w:color="083E9C" w:themeColor="accent1"/>
        <w:bottom w:val="single" w:sz="8" w:space="1" w:color="083E9C" w:themeColor="accent1"/>
        <w:right w:val="single" w:sz="8" w:space="4" w:color="083E9C" w:themeColor="accent1"/>
      </w:pBdr>
    </w:pPr>
  </w:style>
  <w:style w:type="paragraph" w:customStyle="1" w:styleId="Boxheadingpink">
    <w:name w:val="Box heading pink"/>
    <w:basedOn w:val="BoxHeadingGreen"/>
    <w:qFormat/>
    <w:rsid w:val="00DB006C"/>
    <w:pPr>
      <w:pBdr>
        <w:top w:val="single" w:sz="8" w:space="1" w:color="FF6E73" w:themeColor="accent5"/>
        <w:left w:val="single" w:sz="8" w:space="4" w:color="FF6E73" w:themeColor="accent5"/>
        <w:bottom w:val="single" w:sz="8" w:space="1" w:color="FF6E73" w:themeColor="accent5"/>
        <w:right w:val="single" w:sz="8" w:space="4" w:color="FF6E73" w:themeColor="accent5"/>
      </w:pBdr>
    </w:pPr>
  </w:style>
  <w:style w:type="paragraph" w:customStyle="1" w:styleId="Boxtextpink">
    <w:name w:val="Box text pink"/>
    <w:basedOn w:val="BoxtextEmerald"/>
    <w:qFormat/>
    <w:rsid w:val="00DB006C"/>
    <w:pPr>
      <w:pBdr>
        <w:top w:val="single" w:sz="8" w:space="1" w:color="FF6E73" w:themeColor="accent5"/>
        <w:left w:val="single" w:sz="8" w:space="4" w:color="FF6E73" w:themeColor="accent5"/>
        <w:bottom w:val="single" w:sz="8" w:space="1" w:color="FF6E73" w:themeColor="accent5"/>
        <w:right w:val="single" w:sz="8" w:space="4" w:color="FF6E73" w:themeColor="accent5"/>
      </w:pBdr>
    </w:pPr>
  </w:style>
  <w:style w:type="paragraph" w:customStyle="1" w:styleId="BoxBulletpink">
    <w:name w:val="Box Bullet pink"/>
    <w:basedOn w:val="BoxBulletNavy"/>
    <w:qFormat/>
    <w:rsid w:val="00DB006C"/>
    <w:pPr>
      <w:pBdr>
        <w:top w:val="single" w:sz="8" w:space="1" w:color="FF6E73" w:themeColor="accent5"/>
        <w:left w:val="single" w:sz="8" w:space="4" w:color="FF6E73" w:themeColor="accent5"/>
        <w:bottom w:val="single" w:sz="8" w:space="1" w:color="FF6E73" w:themeColor="accent5"/>
        <w:right w:val="single" w:sz="8" w:space="4" w:color="FF6E73" w:themeColor="accent5"/>
      </w:pBdr>
    </w:pPr>
  </w:style>
  <w:style w:type="paragraph" w:customStyle="1" w:styleId="BoxHeadingReversed">
    <w:name w:val="Box Heading Reversed"/>
    <w:basedOn w:val="BoxHeadingEmerald"/>
    <w:qFormat/>
    <w:rsid w:val="00BF1A21"/>
    <w:pPr>
      <w:shd w:val="clear" w:color="auto" w:fill="033636" w:themeFill="text2"/>
    </w:pPr>
    <w:rPr>
      <w:color w:val="FFFFFF" w:themeColor="background1"/>
    </w:rPr>
  </w:style>
  <w:style w:type="paragraph" w:customStyle="1" w:styleId="Boxreversedbullet">
    <w:name w:val="Box reversed bullet"/>
    <w:basedOn w:val="BoxBulletpink"/>
    <w:qFormat/>
    <w:rsid w:val="00BF1A21"/>
    <w:pPr>
      <w:pBdr>
        <w:top w:val="single" w:sz="8" w:space="1" w:color="033636" w:themeColor="text2"/>
        <w:left w:val="single" w:sz="8" w:space="4" w:color="033636" w:themeColor="text2"/>
        <w:bottom w:val="single" w:sz="8" w:space="1" w:color="033636" w:themeColor="text2"/>
        <w:right w:val="single" w:sz="8" w:space="4" w:color="033636" w:themeColor="text2"/>
      </w:pBdr>
      <w:shd w:val="clear" w:color="auto" w:fill="033636" w:themeFill="text2"/>
    </w:pPr>
    <w:rPr>
      <w:color w:val="FFFFFF" w:themeColor="background1"/>
    </w:rPr>
  </w:style>
  <w:style w:type="paragraph" w:customStyle="1" w:styleId="Boxtextreversed">
    <w:name w:val="Box text reversed"/>
    <w:basedOn w:val="BoxtextEmerald"/>
    <w:qFormat/>
    <w:rsid w:val="00BF1A21"/>
    <w:pPr>
      <w:shd w:val="clear" w:color="auto" w:fill="033636" w:themeFill="text2"/>
    </w:pPr>
    <w:rPr>
      <w:color w:val="FFFFFF" w:themeColor="background1"/>
    </w:rPr>
  </w:style>
  <w:style w:type="paragraph" w:styleId="TOCHeading">
    <w:name w:val="TOC Heading"/>
    <w:basedOn w:val="Heading1"/>
    <w:next w:val="Normal"/>
    <w:uiPriority w:val="39"/>
    <w:unhideWhenUsed/>
    <w:qFormat/>
    <w:rsid w:val="009A428A"/>
    <w:pPr>
      <w:pBdr>
        <w:bottom w:val="single" w:sz="12" w:space="2" w:color="083E9C" w:themeColor="accent1"/>
      </w:pBdr>
      <w:spacing w:before="480"/>
      <w:outlineLvl w:val="9"/>
    </w:pPr>
    <w:rPr>
      <w:rFonts w:ascii="Arial" w:eastAsiaTheme="minorHAnsi" w:hAnsi="Arial" w:cstheme="minorBidi"/>
      <w:bCs/>
      <w:iCs/>
      <w:color w:val="006E50" w:themeColor="background2" w:themeShade="80"/>
      <w:sz w:val="32"/>
      <w:szCs w:val="24"/>
    </w:rPr>
  </w:style>
  <w:style w:type="paragraph" w:styleId="TOC1">
    <w:name w:val="toc 1"/>
    <w:basedOn w:val="Normal"/>
    <w:next w:val="Normal"/>
    <w:autoRedefine/>
    <w:uiPriority w:val="39"/>
    <w:unhideWhenUsed/>
    <w:rsid w:val="009A428A"/>
    <w:pPr>
      <w:tabs>
        <w:tab w:val="right" w:leader="dot" w:pos="9622"/>
      </w:tabs>
      <w:ind w:left="794" w:right="1701" w:hanging="794"/>
    </w:pPr>
    <w:rPr>
      <w:rFonts w:asciiTheme="minorHAnsi" w:eastAsiaTheme="minorEastAsia" w:hAnsiTheme="minorHAnsi"/>
      <w:b/>
      <w:noProof/>
      <w:lang w:eastAsia="en-AU"/>
    </w:rPr>
  </w:style>
  <w:style w:type="paragraph" w:styleId="TOC2">
    <w:name w:val="toc 2"/>
    <w:basedOn w:val="Normal"/>
    <w:next w:val="Normal"/>
    <w:autoRedefine/>
    <w:uiPriority w:val="39"/>
    <w:unhideWhenUsed/>
    <w:rsid w:val="009A428A"/>
    <w:pPr>
      <w:tabs>
        <w:tab w:val="right" w:leader="dot" w:pos="9622"/>
      </w:tabs>
      <w:ind w:left="240"/>
    </w:pPr>
    <w:rPr>
      <w:rFonts w:asciiTheme="minorHAnsi" w:eastAsiaTheme="minorEastAsia" w:hAnsiTheme="minorHAnsi"/>
      <w:noProof/>
      <w:lang w:eastAsia="en-AU"/>
    </w:rPr>
  </w:style>
  <w:style w:type="paragraph" w:styleId="TOC3">
    <w:name w:val="toc 3"/>
    <w:basedOn w:val="Normal"/>
    <w:next w:val="Normal"/>
    <w:autoRedefine/>
    <w:uiPriority w:val="39"/>
    <w:unhideWhenUsed/>
    <w:rsid w:val="009A428A"/>
    <w:pPr>
      <w:tabs>
        <w:tab w:val="right" w:leader="dot" w:pos="9622"/>
      </w:tabs>
      <w:ind w:left="480"/>
    </w:pPr>
    <w:rPr>
      <w:rFonts w:asciiTheme="minorHAnsi" w:eastAsiaTheme="minorEastAsia" w:hAnsiTheme="minorHAnsi"/>
      <w:noProof/>
      <w:lang w:eastAsia="en-AU"/>
    </w:rPr>
  </w:style>
  <w:style w:type="paragraph" w:styleId="TOC4">
    <w:name w:val="toc 4"/>
    <w:basedOn w:val="Normal"/>
    <w:next w:val="Normal"/>
    <w:autoRedefine/>
    <w:uiPriority w:val="39"/>
    <w:semiHidden/>
    <w:unhideWhenUsed/>
    <w:rsid w:val="000B6EC8"/>
    <w:pPr>
      <w:ind w:left="720"/>
    </w:pPr>
    <w:rPr>
      <w:rFonts w:cstheme="minorHAnsi"/>
      <w:sz w:val="20"/>
      <w:szCs w:val="20"/>
    </w:rPr>
  </w:style>
  <w:style w:type="paragraph" w:styleId="TOC5">
    <w:name w:val="toc 5"/>
    <w:basedOn w:val="Normal"/>
    <w:next w:val="Normal"/>
    <w:autoRedefine/>
    <w:uiPriority w:val="39"/>
    <w:semiHidden/>
    <w:unhideWhenUsed/>
    <w:rsid w:val="000B6EC8"/>
    <w:pPr>
      <w:ind w:left="960"/>
    </w:pPr>
    <w:rPr>
      <w:rFonts w:cstheme="minorHAnsi"/>
      <w:sz w:val="20"/>
      <w:szCs w:val="20"/>
    </w:rPr>
  </w:style>
  <w:style w:type="paragraph" w:styleId="TOC6">
    <w:name w:val="toc 6"/>
    <w:basedOn w:val="Normal"/>
    <w:next w:val="Normal"/>
    <w:autoRedefine/>
    <w:uiPriority w:val="39"/>
    <w:semiHidden/>
    <w:unhideWhenUsed/>
    <w:rsid w:val="000B6EC8"/>
    <w:pPr>
      <w:ind w:left="1200"/>
    </w:pPr>
    <w:rPr>
      <w:rFonts w:cstheme="minorHAnsi"/>
      <w:sz w:val="20"/>
      <w:szCs w:val="20"/>
    </w:rPr>
  </w:style>
  <w:style w:type="paragraph" w:styleId="TOC7">
    <w:name w:val="toc 7"/>
    <w:basedOn w:val="Normal"/>
    <w:next w:val="Normal"/>
    <w:autoRedefine/>
    <w:uiPriority w:val="39"/>
    <w:semiHidden/>
    <w:unhideWhenUsed/>
    <w:rsid w:val="000B6EC8"/>
    <w:pPr>
      <w:ind w:left="1440"/>
    </w:pPr>
    <w:rPr>
      <w:rFonts w:cstheme="minorHAnsi"/>
      <w:sz w:val="20"/>
      <w:szCs w:val="20"/>
    </w:rPr>
  </w:style>
  <w:style w:type="paragraph" w:styleId="TOC8">
    <w:name w:val="toc 8"/>
    <w:basedOn w:val="Normal"/>
    <w:next w:val="Normal"/>
    <w:autoRedefine/>
    <w:uiPriority w:val="39"/>
    <w:semiHidden/>
    <w:unhideWhenUsed/>
    <w:rsid w:val="000B6EC8"/>
    <w:pPr>
      <w:ind w:left="1680"/>
    </w:pPr>
    <w:rPr>
      <w:rFonts w:cstheme="minorHAnsi"/>
      <w:sz w:val="20"/>
      <w:szCs w:val="20"/>
    </w:rPr>
  </w:style>
  <w:style w:type="paragraph" w:styleId="TOC9">
    <w:name w:val="toc 9"/>
    <w:basedOn w:val="Normal"/>
    <w:next w:val="Normal"/>
    <w:autoRedefine/>
    <w:uiPriority w:val="39"/>
    <w:semiHidden/>
    <w:unhideWhenUsed/>
    <w:rsid w:val="000B6EC8"/>
    <w:pPr>
      <w:ind w:left="1920"/>
    </w:pPr>
    <w:rPr>
      <w:rFonts w:cstheme="minorHAnsi"/>
      <w:sz w:val="20"/>
      <w:szCs w:val="20"/>
    </w:rPr>
  </w:style>
  <w:style w:type="paragraph" w:styleId="TableofFigures">
    <w:name w:val="table of figures"/>
    <w:basedOn w:val="Normal"/>
    <w:next w:val="Normal"/>
    <w:uiPriority w:val="99"/>
    <w:unhideWhenUsed/>
    <w:rsid w:val="00B52053"/>
    <w:pPr>
      <w:tabs>
        <w:tab w:val="left" w:pos="1134"/>
        <w:tab w:val="left" w:leader="dot" w:pos="9356"/>
      </w:tabs>
      <w:ind w:left="1134" w:right="567" w:hanging="1134"/>
    </w:pPr>
  </w:style>
  <w:style w:type="paragraph" w:styleId="TOAHeading">
    <w:name w:val="toa heading"/>
    <w:basedOn w:val="Normal"/>
    <w:next w:val="Normal"/>
    <w:uiPriority w:val="99"/>
    <w:unhideWhenUsed/>
    <w:rsid w:val="000B6EC8"/>
    <w:pPr>
      <w:spacing w:after="240"/>
    </w:pPr>
    <w:rPr>
      <w:rFonts w:eastAsiaTheme="majorEastAsia" w:cstheme="majorBidi"/>
      <w:b/>
      <w:bCs/>
    </w:rPr>
  </w:style>
  <w:style w:type="paragraph" w:customStyle="1" w:styleId="Tabletextcentred">
    <w:name w:val="Table text (centred)"/>
    <w:basedOn w:val="Tabletextindented"/>
    <w:link w:val="TabletextcentredChar"/>
    <w:qFormat/>
    <w:rsid w:val="00991310"/>
    <w:pPr>
      <w:ind w:left="0"/>
      <w:jc w:val="center"/>
    </w:pPr>
    <w:rPr>
      <w:color w:val="000000" w:themeColor="text1"/>
      <w:lang w:eastAsia="en-AU"/>
      <w14:ligatures w14:val="none"/>
    </w:rPr>
  </w:style>
  <w:style w:type="paragraph" w:customStyle="1" w:styleId="Bullet">
    <w:name w:val="Bullet"/>
    <w:basedOn w:val="Normal"/>
    <w:qFormat/>
    <w:rsid w:val="00AD7FD7"/>
    <w:pPr>
      <w:numPr>
        <w:numId w:val="17"/>
      </w:numPr>
      <w:contextualSpacing/>
    </w:pPr>
    <w:rPr>
      <w:rFonts w:eastAsia="Times New Roman" w:cs="Times New Roman"/>
      <w:kern w:val="0"/>
      <w:sz w:val="20"/>
      <w:szCs w:val="20"/>
      <w:lang w:eastAsia="en-AU"/>
      <w14:ligatures w14:val="none"/>
    </w:rPr>
  </w:style>
  <w:style w:type="paragraph" w:customStyle="1" w:styleId="CDCBullet">
    <w:name w:val="CDC_Bullet"/>
    <w:basedOn w:val="Normal"/>
    <w:rsid w:val="00AD7FD7"/>
    <w:pPr>
      <w:contextualSpacing/>
    </w:pPr>
    <w:rPr>
      <w:rFonts w:eastAsia="Times New Roman" w:cs="Times New Roman"/>
      <w:kern w:val="0"/>
      <w:sz w:val="20"/>
      <w:szCs w:val="20"/>
      <w:lang w:eastAsia="en-AU"/>
      <w14:ligatures w14:val="none"/>
    </w:rPr>
  </w:style>
  <w:style w:type="paragraph" w:customStyle="1" w:styleId="Tabletext-Indented">
    <w:name w:val="Table text-Indented"/>
    <w:basedOn w:val="Normal"/>
    <w:qFormat/>
    <w:rsid w:val="002E0E53"/>
    <w:pPr>
      <w:spacing w:after="0"/>
      <w:ind w:left="113"/>
    </w:pPr>
    <w:rPr>
      <w:rFonts w:eastAsia="Times New Roman" w:cs="Times New Roman"/>
      <w:kern w:val="0"/>
      <w:sz w:val="20"/>
      <w:szCs w:val="20"/>
      <w:lang w:eastAsia="en-AU"/>
      <w14:ligatures w14:val="none"/>
    </w:rPr>
  </w:style>
  <w:style w:type="paragraph" w:styleId="ListBullet2">
    <w:name w:val="List Bullet 2"/>
    <w:basedOn w:val="ListNumber2"/>
    <w:rsid w:val="000B6EC8"/>
    <w:pPr>
      <w:numPr>
        <w:numId w:val="72"/>
      </w:numPr>
    </w:pPr>
    <w:rPr>
      <w:rFonts w:eastAsia="Times New Roman" w:cs="Times New Roman"/>
      <w:kern w:val="0"/>
      <w14:ligatures w14:val="none"/>
    </w:rPr>
  </w:style>
  <w:style w:type="paragraph" w:customStyle="1" w:styleId="Tabletextleft">
    <w:name w:val="Table text left"/>
    <w:autoRedefine/>
    <w:qFormat/>
    <w:locked/>
    <w:rsid w:val="00352F1F"/>
    <w:pPr>
      <w:spacing w:before="60"/>
    </w:pPr>
    <w:rPr>
      <w:rFonts w:ascii="Segoe UI" w:eastAsia="Times New Roman" w:hAnsi="Segoe UI" w:cs="Times New Roman"/>
      <w:color w:val="000000" w:themeColor="text1"/>
      <w:kern w:val="0"/>
      <w:sz w:val="22"/>
      <w:szCs w:val="20"/>
      <w:lang w:eastAsia="en-AU"/>
      <w14:ligatures w14:val="none"/>
    </w:rPr>
  </w:style>
  <w:style w:type="paragraph" w:customStyle="1" w:styleId="Tablelistbullet">
    <w:name w:val="Table list bullet"/>
    <w:basedOn w:val="Tabletext"/>
    <w:qFormat/>
    <w:rsid w:val="000B6EC8"/>
    <w:pPr>
      <w:numPr>
        <w:numId w:val="71"/>
      </w:numPr>
      <w:spacing w:after="0"/>
      <w:contextualSpacing/>
    </w:pPr>
  </w:style>
  <w:style w:type="table" w:customStyle="1" w:styleId="DepartmentofHealthtable">
    <w:name w:val="Department of Health table"/>
    <w:basedOn w:val="TableNormal"/>
    <w:uiPriority w:val="99"/>
    <w:rsid w:val="001C3090"/>
    <w:rPr>
      <w:rFonts w:eastAsia="Times New Roman" w:cs="Times New Roman"/>
      <w:color w:val="000000" w:themeColor="text1"/>
      <w:kern w:val="0"/>
      <w:sz w:val="20"/>
      <w:szCs w:val="20"/>
      <w:lang w:eastAsia="en-AU"/>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listbullet2">
    <w:name w:val="Table list bullet 2"/>
    <w:basedOn w:val="ListBullet2"/>
    <w:link w:val="Tablelistbullet2Char"/>
    <w:qFormat/>
    <w:rsid w:val="000B6EC8"/>
    <w:pPr>
      <w:spacing w:before="0"/>
      <w:ind w:left="624" w:hanging="227"/>
    </w:pPr>
    <w:rPr>
      <w:sz w:val="20"/>
    </w:rPr>
  </w:style>
  <w:style w:type="character" w:customStyle="1" w:styleId="Tablelistbullet2Char">
    <w:name w:val="Table list bullet 2 Char"/>
    <w:basedOn w:val="DefaultParagraphFont"/>
    <w:link w:val="Tablelistbullet2"/>
    <w:rsid w:val="000B6EC8"/>
    <w:rPr>
      <w:rFonts w:ascii="Segoe UI" w:eastAsia="Times New Roman" w:hAnsi="Segoe UI" w:cs="Times New Roman"/>
      <w:kern w:val="0"/>
      <w:sz w:val="20"/>
      <w14:ligatures w14:val="none"/>
    </w:rPr>
  </w:style>
  <w:style w:type="paragraph" w:styleId="ListNumber2">
    <w:name w:val="List Number 2"/>
    <w:basedOn w:val="Normal"/>
    <w:uiPriority w:val="99"/>
    <w:unhideWhenUsed/>
    <w:rsid w:val="000B6EC8"/>
    <w:pPr>
      <w:numPr>
        <w:numId w:val="56"/>
      </w:numPr>
      <w:spacing w:before="60" w:after="60"/>
      <w:contextualSpacing/>
    </w:pPr>
  </w:style>
  <w:style w:type="numbering" w:customStyle="1" w:styleId="CurrentList2">
    <w:name w:val="Current List2"/>
    <w:uiPriority w:val="99"/>
    <w:rsid w:val="000B6EC8"/>
    <w:pPr>
      <w:numPr>
        <w:numId w:val="21"/>
      </w:numPr>
    </w:pPr>
  </w:style>
  <w:style w:type="paragraph" w:styleId="CommentText">
    <w:name w:val="annotation text"/>
    <w:basedOn w:val="Normal"/>
    <w:link w:val="CommentTextChar"/>
    <w:uiPriority w:val="99"/>
    <w:unhideWhenUsed/>
    <w:rsid w:val="000B6EC8"/>
    <w:pPr>
      <w:spacing w:after="160" w:line="240" w:lineRule="auto"/>
    </w:pPr>
    <w:rPr>
      <w:rFonts w:cs="Times New Roman"/>
      <w:kern w:val="0"/>
      <w:sz w:val="20"/>
      <w:szCs w:val="20"/>
      <w14:ligatures w14:val="none"/>
    </w:rPr>
  </w:style>
  <w:style w:type="character" w:customStyle="1" w:styleId="CommentTextChar">
    <w:name w:val="Comment Text Char"/>
    <w:basedOn w:val="DefaultParagraphFont"/>
    <w:link w:val="CommentText"/>
    <w:uiPriority w:val="99"/>
    <w:qFormat/>
    <w:rsid w:val="000B6EC8"/>
    <w:rPr>
      <w:rFonts w:ascii="Segoe UI" w:hAnsi="Segoe UI" w:cs="Times New Roman"/>
      <w:kern w:val="0"/>
      <w:sz w:val="20"/>
      <w:szCs w:val="20"/>
      <w14:ligatures w14:val="none"/>
    </w:rPr>
  </w:style>
  <w:style w:type="character" w:styleId="CommentReference">
    <w:name w:val="annotation reference"/>
    <w:basedOn w:val="DefaultParagraphFont"/>
    <w:unhideWhenUsed/>
    <w:rsid w:val="000B6EC8"/>
    <w:rPr>
      <w:rFonts w:ascii="Segoe UI" w:hAnsi="Segoe UI"/>
      <w:sz w:val="16"/>
      <w:szCs w:val="16"/>
    </w:rPr>
  </w:style>
  <w:style w:type="character" w:styleId="Mention">
    <w:name w:val="Mention"/>
    <w:basedOn w:val="DefaultParagraphFont"/>
    <w:uiPriority w:val="99"/>
    <w:unhideWhenUsed/>
    <w:rsid w:val="000B6EC8"/>
    <w:rPr>
      <w:color w:val="025F5D"/>
      <w:shd w:val="clear" w:color="auto" w:fill="E1DFDD"/>
    </w:rPr>
  </w:style>
  <w:style w:type="table" w:styleId="GridTable4-Accent1">
    <w:name w:val="Grid Table 4 Accent 1"/>
    <w:basedOn w:val="TableNormal"/>
    <w:uiPriority w:val="49"/>
    <w:rsid w:val="000B6EC8"/>
    <w:pPr>
      <w:spacing w:line="276" w:lineRule="auto"/>
    </w:pPr>
    <w:rPr>
      <w:rFonts w:eastAsia="Times New Roman" w:cs="Times New Roman"/>
      <w:kern w:val="0"/>
      <w:sz w:val="20"/>
      <w:szCs w:val="20"/>
      <w:lang w:eastAsia="en-AU"/>
      <w14:ligatures w14:val="none"/>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paragraph" w:styleId="ListNumber">
    <w:name w:val="List Number"/>
    <w:basedOn w:val="Normal"/>
    <w:uiPriority w:val="99"/>
    <w:unhideWhenUsed/>
    <w:rsid w:val="000B6EC8"/>
    <w:pPr>
      <w:numPr>
        <w:numId w:val="64"/>
      </w:numPr>
      <w:spacing w:before="60" w:after="60"/>
      <w:contextualSpacing/>
    </w:pPr>
  </w:style>
  <w:style w:type="paragraph" w:customStyle="1" w:styleId="downarrowgreen">
    <w:name w:val="downarrow (green)"/>
    <w:basedOn w:val="Normal"/>
    <w:link w:val="downarrowgreenChar"/>
    <w:qFormat/>
    <w:rsid w:val="00993F2A"/>
    <w:pPr>
      <w:keepNext/>
      <w:spacing w:before="40" w:after="40" w:line="240" w:lineRule="auto"/>
      <w:jc w:val="center"/>
    </w:pPr>
    <w:rPr>
      <w:rFonts w:eastAsiaTheme="majorEastAsia" w:cs="Arial"/>
      <w:color w:val="388600"/>
      <w:kern w:val="28"/>
      <w:sz w:val="22"/>
      <w:szCs w:val="22"/>
      <w:lang w:val="en-US"/>
      <w14:ligatures w14:val="none"/>
    </w:rPr>
  </w:style>
  <w:style w:type="character" w:customStyle="1" w:styleId="downarrowgreenChar">
    <w:name w:val="downarrow (green) Char"/>
    <w:basedOn w:val="DefaultParagraphFont"/>
    <w:link w:val="downarrowgreen"/>
    <w:rsid w:val="00993F2A"/>
    <w:rPr>
      <w:rFonts w:ascii="Segoe UI" w:eastAsiaTheme="majorEastAsia" w:hAnsi="Segoe UI" w:cs="Arial"/>
      <w:color w:val="388600"/>
      <w:kern w:val="28"/>
      <w:sz w:val="22"/>
      <w:szCs w:val="22"/>
      <w:lang w:val="en-US"/>
      <w14:ligatures w14:val="none"/>
    </w:rPr>
  </w:style>
  <w:style w:type="paragraph" w:customStyle="1" w:styleId="rightarroworange">
    <w:name w:val="rightarrow (orange)"/>
    <w:basedOn w:val="Normal"/>
    <w:link w:val="rightarroworangeChar"/>
    <w:qFormat/>
    <w:rsid w:val="00993F2A"/>
    <w:pPr>
      <w:keepNext/>
      <w:spacing w:before="40" w:after="40" w:line="240" w:lineRule="auto"/>
      <w:jc w:val="center"/>
    </w:pPr>
    <w:rPr>
      <w:rFonts w:eastAsiaTheme="majorEastAsia" w:cs="Arial"/>
      <w:color w:val="A66500"/>
      <w:kern w:val="28"/>
      <w:sz w:val="22"/>
      <w:szCs w:val="22"/>
      <w:lang w:val="en-US"/>
      <w14:ligatures w14:val="none"/>
    </w:rPr>
  </w:style>
  <w:style w:type="character" w:customStyle="1" w:styleId="rightarroworangeChar">
    <w:name w:val="rightarrow (orange) Char"/>
    <w:basedOn w:val="DefaultParagraphFont"/>
    <w:link w:val="rightarroworange"/>
    <w:rsid w:val="00993F2A"/>
    <w:rPr>
      <w:rFonts w:ascii="Segoe UI" w:eastAsiaTheme="majorEastAsia" w:hAnsi="Segoe UI" w:cs="Arial"/>
      <w:color w:val="A66500"/>
      <w:kern w:val="28"/>
      <w:sz w:val="22"/>
      <w:szCs w:val="22"/>
      <w:lang w:val="en-US"/>
      <w14:ligatures w14:val="none"/>
    </w:rPr>
  </w:style>
  <w:style w:type="paragraph" w:customStyle="1" w:styleId="uparrowred">
    <w:name w:val="uparrow (red)"/>
    <w:basedOn w:val="Normal"/>
    <w:link w:val="uparrowredChar"/>
    <w:qFormat/>
    <w:rsid w:val="001D443D"/>
    <w:pPr>
      <w:keepNext/>
      <w:spacing w:before="40" w:after="40" w:line="240" w:lineRule="auto"/>
      <w:jc w:val="center"/>
    </w:pPr>
    <w:rPr>
      <w:rFonts w:eastAsiaTheme="majorEastAsia" w:cs="Arial"/>
      <w:color w:val="ED0000"/>
      <w:kern w:val="28"/>
      <w:szCs w:val="22"/>
      <w:lang w:val="en-US"/>
      <w14:ligatures w14:val="none"/>
    </w:rPr>
  </w:style>
  <w:style w:type="character" w:customStyle="1" w:styleId="uparrowredChar">
    <w:name w:val="uparrow (red) Char"/>
    <w:basedOn w:val="DefaultParagraphFont"/>
    <w:link w:val="uparrowred"/>
    <w:rsid w:val="001D443D"/>
    <w:rPr>
      <w:rFonts w:ascii="Segoe UI" w:eastAsiaTheme="majorEastAsia" w:hAnsi="Segoe UI" w:cs="Arial"/>
      <w:color w:val="ED0000"/>
      <w:kern w:val="28"/>
      <w:szCs w:val="22"/>
      <w:lang w:val="en-US"/>
      <w14:ligatures w14:val="none"/>
    </w:rPr>
  </w:style>
  <w:style w:type="character" w:styleId="FootnoteReference">
    <w:name w:val="footnote reference"/>
    <w:basedOn w:val="DefaultParagraphFont"/>
    <w:uiPriority w:val="99"/>
    <w:unhideWhenUsed/>
    <w:rsid w:val="000B6EC8"/>
    <w:rPr>
      <w:vertAlign w:val="superscript"/>
    </w:rPr>
  </w:style>
  <w:style w:type="paragraph" w:styleId="CommentSubject">
    <w:name w:val="annotation subject"/>
    <w:basedOn w:val="CommentText"/>
    <w:next w:val="CommentText"/>
    <w:link w:val="CommentSubjectChar"/>
    <w:uiPriority w:val="99"/>
    <w:unhideWhenUsed/>
    <w:rsid w:val="000B6EC8"/>
    <w:pPr>
      <w:spacing w:after="120"/>
    </w:pPr>
    <w:rPr>
      <w:b/>
      <w:bCs/>
    </w:rPr>
  </w:style>
  <w:style w:type="character" w:customStyle="1" w:styleId="CommentSubjectChar">
    <w:name w:val="Comment Subject Char"/>
    <w:basedOn w:val="CommentTextChar"/>
    <w:link w:val="CommentSubject"/>
    <w:uiPriority w:val="99"/>
    <w:rsid w:val="000B6EC8"/>
    <w:rPr>
      <w:rFonts w:ascii="Segoe UI" w:hAnsi="Segoe UI" w:cs="Times New Roman"/>
      <w:b/>
      <w:bCs/>
      <w:kern w:val="0"/>
      <w:sz w:val="20"/>
      <w:szCs w:val="20"/>
      <w14:ligatures w14:val="none"/>
    </w:rPr>
  </w:style>
  <w:style w:type="paragraph" w:customStyle="1" w:styleId="Boxheading">
    <w:name w:val="Box heading"/>
    <w:basedOn w:val="Normal"/>
    <w:qFormat/>
    <w:rsid w:val="004F7BCD"/>
    <w:pPr>
      <w:pBdr>
        <w:top w:val="single" w:sz="6" w:space="20" w:color="auto"/>
        <w:left w:val="single" w:sz="6" w:space="10" w:color="auto"/>
        <w:bottom w:val="single" w:sz="6" w:space="10" w:color="auto"/>
        <w:right w:val="single" w:sz="6" w:space="10" w:color="auto"/>
      </w:pBdr>
      <w:shd w:val="clear" w:color="auto" w:fill="D9FFF4"/>
      <w:spacing w:before="240" w:after="60"/>
      <w:ind w:left="227" w:right="227"/>
    </w:pPr>
    <w:rPr>
      <w:rFonts w:eastAsia="Times New Roman" w:cs="Times New Roman"/>
      <w:b/>
      <w:bCs/>
      <w:color w:val="808080" w:themeColor="background1" w:themeShade="80"/>
      <w:kern w:val="0"/>
      <w:sz w:val="22"/>
      <w:szCs w:val="20"/>
      <w:lang w:val="en"/>
      <w14:ligatures w14:val="none"/>
    </w:rPr>
  </w:style>
  <w:style w:type="paragraph" w:customStyle="1" w:styleId="Boxtypelistbullet">
    <w:name w:val="Box type (list bullet)"/>
    <w:basedOn w:val="Normal"/>
    <w:link w:val="BoxtypelistbulletChar"/>
    <w:qFormat/>
    <w:rsid w:val="004F7BCD"/>
    <w:pPr>
      <w:numPr>
        <w:numId w:val="24"/>
      </w:numPr>
      <w:pBdr>
        <w:top w:val="single" w:sz="6" w:space="20" w:color="auto"/>
        <w:left w:val="single" w:sz="6" w:space="10" w:color="auto"/>
        <w:bottom w:val="single" w:sz="6" w:space="10" w:color="auto"/>
        <w:right w:val="single" w:sz="6" w:space="10" w:color="auto"/>
      </w:pBdr>
      <w:shd w:val="clear" w:color="auto" w:fill="D9FFF4"/>
      <w:spacing w:after="60"/>
      <w:ind w:right="227"/>
    </w:pPr>
    <w:rPr>
      <w:rFonts w:eastAsia="Times New Roman" w:cs="Arial"/>
      <w:color w:val="000000" w:themeColor="text1"/>
      <w:kern w:val="0"/>
      <w:sz w:val="22"/>
      <w:lang w:val="en"/>
      <w14:ligatures w14:val="none"/>
    </w:rPr>
  </w:style>
  <w:style w:type="character" w:customStyle="1" w:styleId="BoxtypelistbulletChar">
    <w:name w:val="Box type (list bullet) Char"/>
    <w:basedOn w:val="DefaultParagraphFont"/>
    <w:link w:val="Boxtypelistbullet"/>
    <w:rsid w:val="004F7BCD"/>
    <w:rPr>
      <w:rFonts w:ascii="Arial" w:eastAsia="Times New Roman" w:hAnsi="Arial" w:cs="Arial"/>
      <w:color w:val="000000" w:themeColor="text1"/>
      <w:kern w:val="0"/>
      <w:sz w:val="22"/>
      <w:shd w:val="clear" w:color="auto" w:fill="D9FFF4"/>
      <w:lang w:val="en"/>
      <w14:ligatures w14:val="none"/>
    </w:rPr>
  </w:style>
  <w:style w:type="paragraph" w:customStyle="1" w:styleId="EndNoteBibliography">
    <w:name w:val="EndNote Bibliography"/>
    <w:basedOn w:val="Normal"/>
    <w:link w:val="EndNoteBibliographyChar"/>
    <w:rsid w:val="00753321"/>
    <w:pPr>
      <w:spacing w:line="240" w:lineRule="auto"/>
    </w:pPr>
    <w:rPr>
      <w:rFonts w:ascii="Arial" w:eastAsia="Times New Roman" w:hAnsi="Arial" w:cs="Arial"/>
      <w:noProof/>
      <w:color w:val="000000" w:themeColor="text1"/>
      <w:kern w:val="0"/>
      <w:sz w:val="22"/>
      <w:lang w:val="en-US"/>
      <w14:ligatures w14:val="none"/>
    </w:rPr>
  </w:style>
  <w:style w:type="character" w:customStyle="1" w:styleId="EndNoteBibliographyChar">
    <w:name w:val="EndNote Bibliography Char"/>
    <w:basedOn w:val="DefaultParagraphFont"/>
    <w:link w:val="EndNoteBibliography"/>
    <w:rsid w:val="00753321"/>
    <w:rPr>
      <w:rFonts w:ascii="Arial" w:eastAsia="Times New Roman" w:hAnsi="Arial" w:cs="Arial"/>
      <w:noProof/>
      <w:color w:val="000000" w:themeColor="text1"/>
      <w:kern w:val="0"/>
      <w:sz w:val="22"/>
      <w:lang w:val="en-US"/>
      <w14:ligatures w14:val="none"/>
    </w:rPr>
  </w:style>
  <w:style w:type="paragraph" w:styleId="FootnoteText">
    <w:name w:val="footnote text"/>
    <w:basedOn w:val="Normal"/>
    <w:link w:val="FootnoteTextChar"/>
    <w:uiPriority w:val="99"/>
    <w:unhideWhenUsed/>
    <w:rsid w:val="00694CD0"/>
    <w:pPr>
      <w:spacing w:after="0" w:line="240" w:lineRule="auto"/>
    </w:pPr>
    <w:rPr>
      <w:sz w:val="18"/>
      <w:szCs w:val="20"/>
    </w:rPr>
  </w:style>
  <w:style w:type="character" w:customStyle="1" w:styleId="FootnoteTextChar">
    <w:name w:val="Footnote Text Char"/>
    <w:basedOn w:val="DefaultParagraphFont"/>
    <w:link w:val="FootnoteText"/>
    <w:uiPriority w:val="99"/>
    <w:rsid w:val="00694CD0"/>
    <w:rPr>
      <w:rFonts w:ascii="Segoe UI" w:hAnsi="Segoe UI"/>
      <w:sz w:val="18"/>
      <w:szCs w:val="20"/>
    </w:rPr>
  </w:style>
  <w:style w:type="paragraph" w:styleId="Caption">
    <w:name w:val="caption"/>
    <w:basedOn w:val="Normal"/>
    <w:next w:val="Normal"/>
    <w:uiPriority w:val="35"/>
    <w:unhideWhenUsed/>
    <w:qFormat/>
    <w:rsid w:val="00694CD0"/>
    <w:pPr>
      <w:spacing w:after="0"/>
    </w:pPr>
    <w:rPr>
      <w:rFonts w:ascii="Segoe UI Semibold" w:hAnsi="Segoe UI Semibold" w:cs="Segoe UI Semibold"/>
      <w:color w:val="033636"/>
    </w:rPr>
  </w:style>
  <w:style w:type="table" w:styleId="PlainTable1">
    <w:name w:val="Plain Table 1"/>
    <w:basedOn w:val="TableNormal"/>
    <w:uiPriority w:val="41"/>
    <w:rsid w:val="000B6E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tyle1">
    <w:name w:val="Style1"/>
    <w:basedOn w:val="Heading4"/>
    <w:qFormat/>
    <w:rsid w:val="00737C55"/>
    <w:pPr>
      <w:keepLines w:val="0"/>
      <w:spacing w:after="60" w:line="240" w:lineRule="auto"/>
    </w:pPr>
    <w:rPr>
      <w:rFonts w:cs="Times New Roman"/>
      <w:b w:val="0"/>
      <w:bCs w:val="0"/>
      <w:i/>
      <w:iCs w:val="0"/>
      <w:color w:val="000000" w:themeColor="text1"/>
      <w:kern w:val="0"/>
      <w:szCs w:val="28"/>
      <w14:ligatures w14:val="none"/>
    </w:rPr>
  </w:style>
  <w:style w:type="paragraph" w:customStyle="1" w:styleId="Figurenote">
    <w:name w:val="Figure note"/>
    <w:basedOn w:val="Normal"/>
    <w:qFormat/>
    <w:rsid w:val="00AA1EEA"/>
    <w:rPr>
      <w:sz w:val="18"/>
      <w:szCs w:val="18"/>
    </w:rPr>
  </w:style>
  <w:style w:type="paragraph" w:customStyle="1" w:styleId="Tabletextleftaligned">
    <w:name w:val="Table text left aligned"/>
    <w:basedOn w:val="Normal"/>
    <w:qFormat/>
    <w:rsid w:val="003C1FD3"/>
    <w:pPr>
      <w:spacing w:before="60" w:after="60" w:line="240" w:lineRule="auto"/>
    </w:pPr>
    <w:rPr>
      <w:rFonts w:eastAsia="Times New Roman" w:cs="Times New Roman"/>
      <w:kern w:val="0"/>
      <w:sz w:val="22"/>
      <w:szCs w:val="20"/>
    </w:rPr>
  </w:style>
  <w:style w:type="paragraph" w:customStyle="1" w:styleId="Tableheadingcentred">
    <w:name w:val="Table heading centred"/>
    <w:basedOn w:val="Normal"/>
    <w:link w:val="TableheadingcentredChar"/>
    <w:qFormat/>
    <w:rsid w:val="00991310"/>
    <w:pPr>
      <w:spacing w:before="60" w:after="60" w:line="240" w:lineRule="auto"/>
      <w:jc w:val="center"/>
    </w:pPr>
    <w:rPr>
      <w:rFonts w:eastAsia="Times New Roman" w:cs="Times New Roman"/>
      <w:b/>
      <w:bCs/>
      <w:kern w:val="0"/>
      <w:sz w:val="22"/>
      <w:szCs w:val="20"/>
    </w:rPr>
  </w:style>
  <w:style w:type="paragraph" w:customStyle="1" w:styleId="Tabletextboldrightaligned">
    <w:name w:val="Table text bold right aligned"/>
    <w:basedOn w:val="Normal"/>
    <w:qFormat/>
    <w:rsid w:val="00B521F8"/>
    <w:pPr>
      <w:spacing w:before="60" w:after="60" w:line="240" w:lineRule="auto"/>
      <w:jc w:val="right"/>
    </w:pPr>
    <w:rPr>
      <w:rFonts w:eastAsia="Times New Roman" w:cs="Times New Roman"/>
      <w:b/>
      <w:bCs/>
      <w:kern w:val="0"/>
      <w:sz w:val="20"/>
      <w:szCs w:val="20"/>
    </w:rPr>
  </w:style>
  <w:style w:type="paragraph" w:customStyle="1" w:styleId="BoxBulletGreenindent">
    <w:name w:val="Box Bullet Green (indent)"/>
    <w:basedOn w:val="BoxBulletGreen"/>
    <w:rsid w:val="007E5BE3"/>
    <w:pPr>
      <w:ind w:firstLine="360"/>
    </w:pPr>
    <w:rPr>
      <w:rFonts w:eastAsia="Times New Roman" w:cs="Times New Roman"/>
      <w:szCs w:val="20"/>
    </w:rPr>
  </w:style>
  <w:style w:type="paragraph" w:customStyle="1" w:styleId="Tabletextindented">
    <w:name w:val="Table text indented"/>
    <w:basedOn w:val="Normal"/>
    <w:link w:val="TabletextindentedChar"/>
    <w:qFormat/>
    <w:rsid w:val="00991310"/>
    <w:pPr>
      <w:spacing w:before="60" w:after="60" w:line="240" w:lineRule="auto"/>
      <w:ind w:left="224"/>
    </w:pPr>
    <w:rPr>
      <w:rFonts w:eastAsia="Times New Roman" w:cs="Times New Roman"/>
      <w:kern w:val="0"/>
      <w:sz w:val="22"/>
      <w:szCs w:val="20"/>
    </w:rPr>
  </w:style>
  <w:style w:type="paragraph" w:customStyle="1" w:styleId="Tabletextrightaligned">
    <w:name w:val="Table text right aligned"/>
    <w:basedOn w:val="Normal"/>
    <w:qFormat/>
    <w:rsid w:val="004A2FC7"/>
    <w:pPr>
      <w:spacing w:before="60" w:after="60" w:line="240" w:lineRule="auto"/>
      <w:jc w:val="right"/>
    </w:pPr>
    <w:rPr>
      <w:rFonts w:eastAsia="Times New Roman" w:cs="Times New Roman"/>
      <w:kern w:val="0"/>
      <w:sz w:val="20"/>
      <w:szCs w:val="20"/>
    </w:rPr>
  </w:style>
  <w:style w:type="character" w:customStyle="1" w:styleId="Notetext">
    <w:name w:val="Note text"/>
    <w:basedOn w:val="DefaultParagraphFont"/>
    <w:qFormat/>
    <w:rsid w:val="0011260E"/>
    <w:rPr>
      <w:sz w:val="18"/>
    </w:rPr>
  </w:style>
  <w:style w:type="paragraph" w:customStyle="1" w:styleId="Boxtypelistbullet2">
    <w:name w:val="Box type (list bullet 2)"/>
    <w:basedOn w:val="Normal"/>
    <w:link w:val="Boxtypelistbullet2Char"/>
    <w:qFormat/>
    <w:rsid w:val="00AF4088"/>
    <w:pPr>
      <w:pBdr>
        <w:top w:val="single" w:sz="6" w:space="20" w:color="auto"/>
        <w:left w:val="single" w:sz="6" w:space="10" w:color="auto"/>
        <w:bottom w:val="single" w:sz="6" w:space="10" w:color="auto"/>
        <w:right w:val="single" w:sz="6" w:space="10" w:color="auto"/>
      </w:pBdr>
      <w:shd w:val="clear" w:color="auto" w:fill="D9FFF4"/>
      <w:spacing w:after="60"/>
      <w:ind w:left="227" w:right="227" w:firstLine="360"/>
    </w:pPr>
    <w:rPr>
      <w:rFonts w:eastAsiaTheme="majorEastAsia" w:cs="Arial"/>
      <w:color w:val="000000" w:themeColor="text1"/>
      <w:kern w:val="0"/>
      <w:sz w:val="22"/>
      <w:lang w:val="en"/>
      <w14:ligatures w14:val="none"/>
    </w:rPr>
  </w:style>
  <w:style w:type="character" w:customStyle="1" w:styleId="Boxtypelistbullet2Char">
    <w:name w:val="Box type (list bullet 2) Char"/>
    <w:basedOn w:val="DefaultParagraphFont"/>
    <w:link w:val="Boxtypelistbullet2"/>
    <w:rsid w:val="00AF4088"/>
    <w:rPr>
      <w:rFonts w:ascii="Arial" w:eastAsiaTheme="majorEastAsia" w:hAnsi="Arial" w:cs="Arial"/>
      <w:color w:val="000000" w:themeColor="text1"/>
      <w:kern w:val="0"/>
      <w:sz w:val="22"/>
      <w:shd w:val="clear" w:color="auto" w:fill="D9FFF4"/>
      <w:lang w:val="en"/>
      <w14:ligatures w14:val="none"/>
    </w:rPr>
  </w:style>
  <w:style w:type="paragraph" w:customStyle="1" w:styleId="Boxemerald">
    <w:name w:val="Box emerald"/>
    <w:basedOn w:val="Normal"/>
    <w:qFormat/>
    <w:rsid w:val="00B21AD1"/>
    <w:pPr>
      <w:keepNext/>
      <w:pBdr>
        <w:top w:val="single" w:sz="8" w:space="1" w:color="033636" w:themeColor="text2"/>
        <w:left w:val="single" w:sz="8" w:space="4" w:color="033636" w:themeColor="text2"/>
        <w:bottom w:val="single" w:sz="8" w:space="1" w:color="033636" w:themeColor="text2"/>
        <w:right w:val="single" w:sz="8" w:space="4" w:color="033636" w:themeColor="text2"/>
      </w:pBdr>
    </w:pPr>
    <w:rPr>
      <w:rFonts w:eastAsia="Times New Roman" w:cs="Times New Roman"/>
      <w:szCs w:val="20"/>
    </w:rPr>
  </w:style>
  <w:style w:type="paragraph" w:styleId="ListBullet">
    <w:name w:val="List Bullet"/>
    <w:basedOn w:val="Normal"/>
    <w:uiPriority w:val="99"/>
    <w:unhideWhenUsed/>
    <w:rsid w:val="000B6EC8"/>
    <w:pPr>
      <w:numPr>
        <w:numId w:val="55"/>
      </w:numPr>
      <w:tabs>
        <w:tab w:val="clear" w:pos="360"/>
      </w:tabs>
      <w:spacing w:before="60" w:after="60"/>
      <w:contextualSpacing/>
    </w:pPr>
  </w:style>
  <w:style w:type="character" w:customStyle="1" w:styleId="cf01">
    <w:name w:val="cf01"/>
    <w:basedOn w:val="DefaultParagraphFont"/>
    <w:rsid w:val="000574E5"/>
    <w:rPr>
      <w:rFonts w:ascii="Segoe UI" w:hAnsi="Segoe UI" w:cs="Segoe UI" w:hint="default"/>
      <w:sz w:val="18"/>
      <w:szCs w:val="18"/>
    </w:rPr>
  </w:style>
  <w:style w:type="character" w:customStyle="1" w:styleId="cf11">
    <w:name w:val="cf11"/>
    <w:basedOn w:val="DefaultParagraphFont"/>
    <w:rsid w:val="000574E5"/>
    <w:rPr>
      <w:rFonts w:ascii="Segoe UI" w:hAnsi="Segoe UI" w:cs="Segoe UI" w:hint="default"/>
      <w:sz w:val="18"/>
      <w:szCs w:val="18"/>
      <w:shd w:val="clear" w:color="auto" w:fill="FFFF00"/>
    </w:rPr>
  </w:style>
  <w:style w:type="paragraph" w:customStyle="1" w:styleId="EndNoteBibliographyTitle">
    <w:name w:val="EndNote Bibliography Title"/>
    <w:basedOn w:val="Normal"/>
    <w:link w:val="EndNoteBibliographyTitleChar"/>
    <w:rsid w:val="00CE3FDF"/>
    <w:pPr>
      <w:spacing w:after="0"/>
      <w:jc w:val="center"/>
    </w:pPr>
    <w:rPr>
      <w:rFonts w:ascii="Arial" w:hAnsi="Arial" w:cs="Arial"/>
      <w:noProof/>
      <w:sz w:val="22"/>
      <w:lang w:val="en-US"/>
    </w:rPr>
  </w:style>
  <w:style w:type="character" w:customStyle="1" w:styleId="EndNoteBibliographyTitleChar">
    <w:name w:val="EndNote Bibliography Title Char"/>
    <w:basedOn w:val="DefaultParagraphFont"/>
    <w:link w:val="EndNoteBibliographyTitle"/>
    <w:rsid w:val="00CE3FDF"/>
    <w:rPr>
      <w:rFonts w:ascii="Arial" w:hAnsi="Arial" w:cs="Arial"/>
      <w:noProof/>
      <w:sz w:val="22"/>
      <w:lang w:val="en-US"/>
    </w:rPr>
  </w:style>
  <w:style w:type="character" w:styleId="FollowedHyperlink">
    <w:name w:val="FollowedHyperlink"/>
    <w:basedOn w:val="Hyperlink"/>
    <w:uiPriority w:val="99"/>
    <w:unhideWhenUsed/>
    <w:rsid w:val="000B6EC8"/>
    <w:rPr>
      <w:color w:val="511D81"/>
      <w:u w:val="single"/>
    </w:rPr>
  </w:style>
  <w:style w:type="paragraph" w:customStyle="1" w:styleId="Style2">
    <w:name w:val="Style2"/>
    <w:basedOn w:val="Normal"/>
    <w:link w:val="Style2Char"/>
    <w:qFormat/>
    <w:rsid w:val="00D53FC6"/>
    <w:rPr>
      <w:b/>
      <w:color w:val="006E50" w:themeColor="background2" w:themeShade="80"/>
    </w:rPr>
  </w:style>
  <w:style w:type="character" w:customStyle="1" w:styleId="Style2Char">
    <w:name w:val="Style2 Char"/>
    <w:basedOn w:val="DefaultParagraphFont"/>
    <w:link w:val="Style2"/>
    <w:rsid w:val="00D53FC6"/>
    <w:rPr>
      <w:rFonts w:ascii="Arial" w:hAnsi="Arial"/>
      <w:b/>
      <w:color w:val="006E50" w:themeColor="background2" w:themeShade="80"/>
    </w:rPr>
  </w:style>
  <w:style w:type="paragraph" w:customStyle="1" w:styleId="Style3">
    <w:name w:val="Style3"/>
    <w:basedOn w:val="BoxTextGreen"/>
    <w:link w:val="Style3Char"/>
    <w:qFormat/>
    <w:rsid w:val="006B2917"/>
    <w:rPr>
      <w:i/>
      <w:color w:val="006E50" w:themeColor="background2" w:themeShade="80"/>
    </w:rPr>
  </w:style>
  <w:style w:type="character" w:customStyle="1" w:styleId="BoxtextEmeraldChar">
    <w:name w:val="Box text Emerald Char"/>
    <w:basedOn w:val="DefaultParagraphFont"/>
    <w:link w:val="BoxtextEmerald"/>
    <w:rsid w:val="006B2917"/>
    <w:rPr>
      <w:rFonts w:ascii="Arial" w:hAnsi="Arial"/>
    </w:rPr>
  </w:style>
  <w:style w:type="character" w:customStyle="1" w:styleId="BoxTextGreenChar">
    <w:name w:val="Box Text Green Char"/>
    <w:basedOn w:val="BoxtextEmeraldChar"/>
    <w:link w:val="BoxTextGreen"/>
    <w:rsid w:val="006B2917"/>
    <w:rPr>
      <w:rFonts w:ascii="Arial" w:hAnsi="Arial"/>
    </w:rPr>
  </w:style>
  <w:style w:type="character" w:customStyle="1" w:styleId="Style3Char">
    <w:name w:val="Style3 Char"/>
    <w:basedOn w:val="BoxTextGreenChar"/>
    <w:link w:val="Style3"/>
    <w:rsid w:val="006B2917"/>
    <w:rPr>
      <w:rFonts w:ascii="Arial" w:hAnsi="Arial"/>
      <w:i/>
      <w:color w:val="006E50" w:themeColor="background2" w:themeShade="80"/>
    </w:rPr>
  </w:style>
  <w:style w:type="paragraph" w:styleId="Revision">
    <w:name w:val="Revision"/>
    <w:hidden/>
    <w:uiPriority w:val="99"/>
    <w:semiHidden/>
    <w:rsid w:val="007C1FD9"/>
    <w:rPr>
      <w:rFonts w:ascii="Arial" w:hAnsi="Arial"/>
    </w:rPr>
  </w:style>
  <w:style w:type="paragraph" w:styleId="Bibliography">
    <w:name w:val="Bibliography"/>
    <w:basedOn w:val="Normal"/>
    <w:next w:val="Normal"/>
    <w:uiPriority w:val="37"/>
    <w:unhideWhenUsed/>
    <w:rsid w:val="000B6EC8"/>
  </w:style>
  <w:style w:type="paragraph" w:styleId="BodyText">
    <w:name w:val="Body Text"/>
    <w:basedOn w:val="Normal"/>
    <w:link w:val="BodyTextChar"/>
    <w:uiPriority w:val="99"/>
    <w:unhideWhenUsed/>
    <w:rsid w:val="000B6EC8"/>
    <w:pPr>
      <w:spacing w:after="160"/>
    </w:pPr>
  </w:style>
  <w:style w:type="character" w:customStyle="1" w:styleId="BodyTextChar">
    <w:name w:val="Body Text Char"/>
    <w:basedOn w:val="DefaultParagraphFont"/>
    <w:link w:val="BodyText"/>
    <w:uiPriority w:val="99"/>
    <w:rsid w:val="000B6EC8"/>
    <w:rPr>
      <w:rFonts w:ascii="Segoe UI" w:hAnsi="Segoe UI"/>
    </w:rPr>
  </w:style>
  <w:style w:type="paragraph" w:styleId="BodyText2">
    <w:name w:val="Body Text 2"/>
    <w:basedOn w:val="Normal"/>
    <w:link w:val="BodyText2Char"/>
    <w:uiPriority w:val="99"/>
    <w:unhideWhenUsed/>
    <w:rsid w:val="000B6EC8"/>
    <w:pPr>
      <w:spacing w:line="480" w:lineRule="auto"/>
    </w:pPr>
  </w:style>
  <w:style w:type="character" w:customStyle="1" w:styleId="BodyText2Char">
    <w:name w:val="Body Text 2 Char"/>
    <w:basedOn w:val="DefaultParagraphFont"/>
    <w:link w:val="BodyText2"/>
    <w:uiPriority w:val="99"/>
    <w:rsid w:val="000B6EC8"/>
    <w:rPr>
      <w:rFonts w:ascii="Segoe UI" w:hAnsi="Segoe UI"/>
    </w:rPr>
  </w:style>
  <w:style w:type="paragraph" w:customStyle="1" w:styleId="BodyTextbeforetable">
    <w:name w:val="Body Text before table"/>
    <w:basedOn w:val="BodyText"/>
    <w:qFormat/>
    <w:rsid w:val="000B6EC8"/>
    <w:pPr>
      <w:spacing w:after="240"/>
    </w:pPr>
  </w:style>
  <w:style w:type="paragraph" w:customStyle="1" w:styleId="BodyTextaftertable">
    <w:name w:val="Body Text after table"/>
    <w:basedOn w:val="BodyTextbeforetable"/>
    <w:next w:val="BodyText"/>
    <w:qFormat/>
    <w:rsid w:val="000B6EC8"/>
    <w:pPr>
      <w:spacing w:before="240" w:after="160"/>
    </w:pPr>
  </w:style>
  <w:style w:type="character" w:styleId="BookTitle">
    <w:name w:val="Book Title"/>
    <w:basedOn w:val="DefaultParagraphFont"/>
    <w:uiPriority w:val="33"/>
    <w:rsid w:val="000B6EC8"/>
    <w:rPr>
      <w:b w:val="0"/>
      <w:bCs/>
      <w:i/>
      <w:iCs/>
      <w:spacing w:val="5"/>
    </w:rPr>
  </w:style>
  <w:style w:type="paragraph" w:customStyle="1" w:styleId="Boxgreenbullet">
    <w:name w:val="Box green bullet"/>
    <w:basedOn w:val="Normal"/>
    <w:qFormat/>
    <w:rsid w:val="000B6EC8"/>
    <w:pPr>
      <w:numPr>
        <w:numId w:val="45"/>
      </w:numPr>
      <w:pBdr>
        <w:top w:val="single" w:sz="12" w:space="4" w:color="083E9C" w:themeColor="accent1"/>
        <w:left w:val="single" w:sz="12" w:space="4" w:color="083E9C" w:themeColor="accent1"/>
        <w:bottom w:val="single" w:sz="12" w:space="5" w:color="083E9C" w:themeColor="accent1"/>
        <w:right w:val="single" w:sz="12" w:space="4" w:color="083E9C" w:themeColor="accent1"/>
      </w:pBdr>
      <w:spacing w:after="240"/>
      <w:contextualSpacing/>
    </w:pPr>
  </w:style>
  <w:style w:type="paragraph" w:customStyle="1" w:styleId="Boxgreenheading">
    <w:name w:val="Box green heading"/>
    <w:basedOn w:val="Normal"/>
    <w:qFormat/>
    <w:rsid w:val="000B6EC8"/>
    <w:pPr>
      <w:keepNext/>
      <w:keepLines/>
      <w:pBdr>
        <w:top w:val="single" w:sz="12" w:space="4" w:color="083E9C" w:themeColor="accent1"/>
        <w:left w:val="single" w:sz="12" w:space="4" w:color="083E9C" w:themeColor="accent1"/>
        <w:bottom w:val="single" w:sz="12" w:space="5" w:color="083E9C" w:themeColor="accent1"/>
        <w:right w:val="single" w:sz="12" w:space="4" w:color="083E9C" w:themeColor="accent1"/>
      </w:pBdr>
      <w:spacing w:before="360"/>
      <w:outlineLvl w:val="2"/>
    </w:pPr>
    <w:rPr>
      <w:rFonts w:ascii="Segoe UI Semibold" w:eastAsiaTheme="majorEastAsia" w:hAnsi="Segoe UI Semibold" w:cstheme="majorBidi"/>
      <w:bCs/>
      <w:color w:val="025F5D"/>
      <w:sz w:val="32"/>
      <w:szCs w:val="40"/>
    </w:rPr>
  </w:style>
  <w:style w:type="paragraph" w:customStyle="1" w:styleId="Boxgreentext">
    <w:name w:val="Box green text"/>
    <w:basedOn w:val="Normal"/>
    <w:qFormat/>
    <w:rsid w:val="000B6EC8"/>
    <w:pPr>
      <w:pBdr>
        <w:top w:val="single" w:sz="12" w:space="4" w:color="083E9C" w:themeColor="accent1"/>
        <w:left w:val="single" w:sz="12" w:space="4" w:color="083E9C" w:themeColor="accent1"/>
        <w:bottom w:val="single" w:sz="12" w:space="5" w:color="083E9C" w:themeColor="accent1"/>
        <w:right w:val="single" w:sz="12" w:space="4" w:color="083E9C" w:themeColor="accent1"/>
      </w:pBdr>
      <w:spacing w:after="240"/>
    </w:pPr>
  </w:style>
  <w:style w:type="paragraph" w:customStyle="1" w:styleId="Boxreversedtealbullet">
    <w:name w:val="Box reversed teal bullet"/>
    <w:basedOn w:val="Normal"/>
    <w:qFormat/>
    <w:rsid w:val="000B6EC8"/>
    <w:pPr>
      <w:numPr>
        <w:numId w:val="49"/>
      </w:numPr>
      <w:pBdr>
        <w:top w:val="single" w:sz="12" w:space="4" w:color="025F5D"/>
        <w:left w:val="single" w:sz="12" w:space="4" w:color="025F5D"/>
        <w:bottom w:val="single" w:sz="12" w:space="5" w:color="025F5D"/>
        <w:right w:val="single" w:sz="12" w:space="4" w:color="025F5D"/>
      </w:pBdr>
      <w:shd w:val="clear" w:color="auto" w:fill="025F5D"/>
      <w:spacing w:after="240"/>
      <w:contextualSpacing/>
    </w:pPr>
    <w:rPr>
      <w:color w:val="FFFFFF" w:themeColor="background1"/>
    </w:rPr>
  </w:style>
  <w:style w:type="paragraph" w:customStyle="1" w:styleId="Boxlightgreenbullet">
    <w:name w:val="Box light green bullet"/>
    <w:basedOn w:val="Boxreversedtealbullet"/>
    <w:qFormat/>
    <w:rsid w:val="000B6EC8"/>
    <w:pPr>
      <w:numPr>
        <w:numId w:val="47"/>
      </w:numPr>
      <w:pBdr>
        <w:top w:val="single" w:sz="12" w:space="4" w:color="BEFEE9"/>
        <w:left w:val="single" w:sz="12" w:space="4" w:color="BEFEE9"/>
        <w:bottom w:val="single" w:sz="12" w:space="5" w:color="BEFEE9"/>
        <w:right w:val="single" w:sz="12" w:space="4" w:color="BEFEE9"/>
      </w:pBdr>
      <w:shd w:val="clear" w:color="auto" w:fill="BEFEE9"/>
    </w:pPr>
    <w:rPr>
      <w:color w:val="000000"/>
    </w:rPr>
  </w:style>
  <w:style w:type="paragraph" w:customStyle="1" w:styleId="Boxreversedtealheading">
    <w:name w:val="Box reversed teal heading"/>
    <w:basedOn w:val="Normal"/>
    <w:qFormat/>
    <w:rsid w:val="000B6EC8"/>
    <w:pPr>
      <w:keepNext/>
      <w:keepLines/>
      <w:pBdr>
        <w:top w:val="single" w:sz="12" w:space="4" w:color="025F5D"/>
        <w:left w:val="single" w:sz="12" w:space="4" w:color="025F5D"/>
        <w:bottom w:val="single" w:sz="12" w:space="5" w:color="025F5D"/>
        <w:right w:val="single" w:sz="12" w:space="4" w:color="025F5D"/>
      </w:pBdr>
      <w:shd w:val="clear" w:color="auto" w:fill="025F5D"/>
      <w:spacing w:before="360"/>
      <w:outlineLvl w:val="2"/>
    </w:pPr>
    <w:rPr>
      <w:rFonts w:ascii="Segoe UI Semibold" w:eastAsiaTheme="majorEastAsia" w:hAnsi="Segoe UI Semibold" w:cstheme="majorBidi"/>
      <w:bCs/>
      <w:color w:val="FFFFFF" w:themeColor="background1"/>
      <w:sz w:val="32"/>
      <w:szCs w:val="40"/>
    </w:rPr>
  </w:style>
  <w:style w:type="paragraph" w:customStyle="1" w:styleId="Boxlightgreenheading">
    <w:name w:val="Box light green heading"/>
    <w:basedOn w:val="Boxreversedtealheading"/>
    <w:qFormat/>
    <w:rsid w:val="000B6EC8"/>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reversedtealtext">
    <w:name w:val="Box reversed teal text"/>
    <w:basedOn w:val="Normal"/>
    <w:qFormat/>
    <w:rsid w:val="000B6EC8"/>
    <w:pPr>
      <w:pBdr>
        <w:top w:val="single" w:sz="12" w:space="4" w:color="025F5D"/>
        <w:left w:val="single" w:sz="12" w:space="4" w:color="025F5D"/>
        <w:bottom w:val="single" w:sz="12" w:space="5" w:color="025F5D"/>
        <w:right w:val="single" w:sz="12" w:space="4" w:color="025F5D"/>
      </w:pBdr>
      <w:shd w:val="clear" w:color="auto" w:fill="025F5D"/>
      <w:spacing w:after="240"/>
    </w:pPr>
    <w:rPr>
      <w:color w:val="FFFFFF" w:themeColor="background1"/>
    </w:rPr>
  </w:style>
  <w:style w:type="paragraph" w:customStyle="1" w:styleId="Boxlightgreentext">
    <w:name w:val="Box light green text"/>
    <w:basedOn w:val="Boxreversedtealtext"/>
    <w:qFormat/>
    <w:rsid w:val="000B6EC8"/>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purplebullet">
    <w:name w:val="Box purple bullet"/>
    <w:basedOn w:val="Normal"/>
    <w:qFormat/>
    <w:rsid w:val="000B6EC8"/>
    <w:pPr>
      <w:numPr>
        <w:numId w:val="48"/>
      </w:numPr>
      <w:pBdr>
        <w:top w:val="single" w:sz="12" w:space="4" w:color="511D81"/>
        <w:left w:val="single" w:sz="12" w:space="4" w:color="511D81"/>
        <w:bottom w:val="single" w:sz="12" w:space="5" w:color="511D81"/>
        <w:right w:val="single" w:sz="12" w:space="4" w:color="511D81"/>
      </w:pBdr>
      <w:spacing w:after="240"/>
      <w:contextualSpacing/>
    </w:pPr>
  </w:style>
  <w:style w:type="paragraph" w:customStyle="1" w:styleId="Boxpurpleheading">
    <w:name w:val="Box purple heading"/>
    <w:basedOn w:val="Normal"/>
    <w:qFormat/>
    <w:rsid w:val="000B6EC8"/>
    <w:pPr>
      <w:keepNext/>
      <w:keepLines/>
      <w:pBdr>
        <w:top w:val="single" w:sz="12" w:space="4" w:color="511D81"/>
        <w:left w:val="single" w:sz="12" w:space="4" w:color="511D81"/>
        <w:bottom w:val="single" w:sz="12" w:space="5" w:color="511D81"/>
        <w:right w:val="single" w:sz="12" w:space="4" w:color="511D81"/>
      </w:pBdr>
      <w:spacing w:before="360"/>
      <w:outlineLvl w:val="2"/>
    </w:pPr>
    <w:rPr>
      <w:rFonts w:ascii="Segoe UI Semibold" w:eastAsiaTheme="majorEastAsia" w:hAnsi="Segoe UI Semibold" w:cstheme="majorBidi"/>
      <w:bCs/>
      <w:color w:val="511D81"/>
      <w:sz w:val="32"/>
      <w:szCs w:val="40"/>
    </w:rPr>
  </w:style>
  <w:style w:type="paragraph" w:customStyle="1" w:styleId="Boxpurpletext">
    <w:name w:val="Box purple text"/>
    <w:basedOn w:val="Normal"/>
    <w:qFormat/>
    <w:rsid w:val="000B6EC8"/>
    <w:pPr>
      <w:pBdr>
        <w:top w:val="single" w:sz="12" w:space="4" w:color="511D81"/>
        <w:left w:val="single" w:sz="12" w:space="4" w:color="511D81"/>
        <w:bottom w:val="single" w:sz="12" w:space="5" w:color="511D81"/>
        <w:right w:val="single" w:sz="12" w:space="4" w:color="511D81"/>
      </w:pBdr>
      <w:spacing w:after="240"/>
    </w:pPr>
  </w:style>
  <w:style w:type="paragraph" w:customStyle="1" w:styleId="Boxreversedpurplebullet">
    <w:name w:val="Box reversed purple bullet"/>
    <w:basedOn w:val="Boxreversedtealbullet"/>
    <w:qFormat/>
    <w:rsid w:val="000B6EC8"/>
    <w:pPr>
      <w:pBdr>
        <w:top w:val="single" w:sz="12" w:space="4" w:color="511D81"/>
        <w:left w:val="single" w:sz="12" w:space="4" w:color="511D81"/>
        <w:bottom w:val="single" w:sz="12" w:space="5" w:color="511D81"/>
        <w:right w:val="single" w:sz="12" w:space="4" w:color="511D81"/>
      </w:pBdr>
      <w:shd w:val="clear" w:color="auto" w:fill="511D81"/>
      <w:ind w:left="357" w:hanging="357"/>
    </w:pPr>
  </w:style>
  <w:style w:type="paragraph" w:customStyle="1" w:styleId="Boxreversedpurpleheading">
    <w:name w:val="Box reversed purple heading"/>
    <w:basedOn w:val="Boxreversedtealheading"/>
    <w:qFormat/>
    <w:rsid w:val="000B6EC8"/>
    <w:pPr>
      <w:pBdr>
        <w:top w:val="single" w:sz="12" w:space="4" w:color="511D81"/>
        <w:left w:val="single" w:sz="12" w:space="4" w:color="511D81"/>
        <w:bottom w:val="single" w:sz="12" w:space="5" w:color="511D81"/>
        <w:right w:val="single" w:sz="12" w:space="4" w:color="511D81"/>
      </w:pBdr>
      <w:shd w:val="clear" w:color="auto" w:fill="511D81"/>
    </w:pPr>
  </w:style>
  <w:style w:type="paragraph" w:customStyle="1" w:styleId="Boxreversedpurpletext">
    <w:name w:val="Box reversed purple text"/>
    <w:basedOn w:val="Boxreversedtealtext"/>
    <w:qFormat/>
    <w:rsid w:val="000B6EC8"/>
    <w:pPr>
      <w:pBdr>
        <w:top w:val="single" w:sz="12" w:space="4" w:color="511D81"/>
        <w:left w:val="single" w:sz="12" w:space="4" w:color="511D81"/>
        <w:bottom w:val="single" w:sz="12" w:space="5" w:color="511D81"/>
        <w:right w:val="single" w:sz="12" w:space="4" w:color="511D81"/>
      </w:pBdr>
      <w:shd w:val="clear" w:color="auto" w:fill="511D81"/>
    </w:pPr>
  </w:style>
  <w:style w:type="numbering" w:customStyle="1" w:styleId="Bulletlist">
    <w:name w:val="Bullet list"/>
    <w:basedOn w:val="NoList"/>
    <w:rsid w:val="000B6EC8"/>
    <w:pPr>
      <w:numPr>
        <w:numId w:val="50"/>
      </w:numPr>
    </w:pPr>
  </w:style>
  <w:style w:type="table" w:styleId="TableGrid1">
    <w:name w:val="Table Grid 1"/>
    <w:basedOn w:val="TableNormal"/>
    <w:uiPriority w:val="99"/>
    <w:semiHidden/>
    <w:unhideWhenUsed/>
    <w:rsid w:val="000B6EC8"/>
    <w:pPr>
      <w:spacing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CDCTable1new">
    <w:name w:val="CDC Table 1 new"/>
    <w:basedOn w:val="TableGrid1"/>
    <w:uiPriority w:val="99"/>
    <w:rsid w:val="000B6EC8"/>
    <w:pPr>
      <w:spacing w:line="240" w:lineRule="auto"/>
    </w:pPr>
    <w:tblPr>
      <w:tblBorders>
        <w:top w:val="none" w:sz="0" w:space="0" w:color="auto"/>
        <w:left w:val="none" w:sz="0" w:space="0" w:color="auto"/>
        <w:bottom w:val="single" w:sz="4" w:space="0" w:color="083E9C" w:themeColor="accent1"/>
        <w:right w:val="none" w:sz="0" w:space="0" w:color="auto"/>
        <w:insideH w:val="single" w:sz="4" w:space="0" w:color="083E9C" w:themeColor="accent1"/>
        <w:insideV w:val="none" w:sz="0" w:space="0" w:color="auto"/>
      </w:tblBorders>
    </w:tblPr>
    <w:tblStylePr w:type="firstRow">
      <w:rPr>
        <w:rFonts w:ascii="Segoe UI" w:hAnsi="Segoe UI"/>
        <w:b/>
        <w:color w:val="FFFFFF" w:themeColor="background1"/>
        <w:sz w:val="20"/>
      </w:rPr>
      <w:tblPr/>
      <w:tcPr>
        <w:tcBorders>
          <w:top w:val="nil"/>
          <w:left w:val="nil"/>
          <w:bottom w:val="nil"/>
          <w:right w:val="nil"/>
          <w:insideH w:val="nil"/>
          <w:insideV w:val="nil"/>
          <w:tl2br w:val="nil"/>
          <w:tr2bl w:val="nil"/>
        </w:tcBorders>
        <w:shd w:val="clear" w:color="auto" w:fill="033636" w:themeFill="text2"/>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CDCTable2">
    <w:name w:val="CDC Table 2"/>
    <w:basedOn w:val="TableGrid1"/>
    <w:uiPriority w:val="99"/>
    <w:rsid w:val="00352F1F"/>
    <w:pPr>
      <w:spacing w:line="240" w:lineRule="auto"/>
    </w:pPr>
    <w:rPr>
      <w:rFonts w:ascii="Segoe UI" w:hAnsi="Segoe UI"/>
      <w:sz w:val="20"/>
    </w:rPr>
    <w:tblPr>
      <w:tblBorders>
        <w:top w:val="none" w:sz="0" w:space="0" w:color="auto"/>
        <w:left w:val="none" w:sz="0" w:space="0" w:color="auto"/>
        <w:bottom w:val="none" w:sz="0" w:space="0" w:color="auto"/>
        <w:right w:val="none" w:sz="0" w:space="0" w:color="auto"/>
        <w:insideH w:val="single" w:sz="4" w:space="0" w:color="00DCA1" w:themeColor="background2"/>
        <w:insideV w:val="none" w:sz="0" w:space="0" w:color="auto"/>
      </w:tblBorders>
    </w:tblPr>
    <w:trPr>
      <w:cantSplit/>
    </w:trPr>
    <w:tcPr>
      <w:vAlign w:val="center"/>
    </w:tcPr>
    <w:tblStylePr w:type="firstRow">
      <w:rPr>
        <w:rFonts w:asciiTheme="minorHAnsi" w:hAnsiTheme="minorHAnsi"/>
        <w:sz w:val="20"/>
      </w:rPr>
      <w:tblPr/>
      <w:tcPr>
        <w:shd w:val="clear" w:color="auto" w:fill="00DCA1" w:themeFill="background2"/>
      </w:tcPr>
    </w:tblStylePr>
    <w:tblStylePr w:type="lastRow">
      <w:rPr>
        <w:b/>
        <w:i w:val="0"/>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CDCTable3">
    <w:name w:val="CDC Table 3"/>
    <w:basedOn w:val="TableGrid"/>
    <w:uiPriority w:val="99"/>
    <w:rsid w:val="000B6EC8"/>
    <w:pPr>
      <w:spacing w:before="20" w:after="60"/>
    </w:pPr>
    <w:rPr>
      <w:kern w:val="0"/>
      <w:sz w:val="20"/>
      <w:szCs w:val="20"/>
      <w:lang w:eastAsia="en-AU"/>
      <w14:ligatures w14:val="none"/>
    </w:rPr>
    <w:tblPr>
      <w:tblBorders>
        <w:top w:val="single" w:sz="8" w:space="0" w:color="083E9C" w:themeColor="accent1"/>
        <w:left w:val="none" w:sz="0" w:space="0" w:color="auto"/>
        <w:bottom w:val="single" w:sz="8" w:space="0" w:color="083E9C" w:themeColor="accent1"/>
        <w:right w:val="none" w:sz="0" w:space="0" w:color="auto"/>
        <w:insideH w:val="single" w:sz="8" w:space="0" w:color="083E9C" w:themeColor="accent1"/>
        <w:insideV w:val="none" w:sz="0" w:space="0" w:color="auto"/>
      </w:tblBorders>
    </w:tblPr>
    <w:tcPr>
      <w:shd w:val="clear" w:color="auto" w:fill="auto"/>
      <w:vAlign w:val="center"/>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033636" w:themeFill="text2"/>
      </w:tcPr>
    </w:tblStylePr>
    <w:tblStylePr w:type="lastRow">
      <w:rPr>
        <w:b/>
        <w:bCs/>
      </w:rPr>
      <w:tblPr/>
      <w:tcPr>
        <w:tcBorders>
          <w:top w:val="double" w:sz="4" w:space="0" w:color="FF2D2D" w:themeColor="accent3" w:themeTint="99"/>
        </w:tcBorders>
      </w:tcPr>
    </w:tblStylePr>
    <w:tblStylePr w:type="firstCol">
      <w:rPr>
        <w:b/>
        <w:bCs/>
      </w:rPr>
    </w:tblStylePr>
    <w:tblStylePr w:type="lastCol">
      <w:rPr>
        <w:b/>
        <w:bCs/>
      </w:rPr>
    </w:tblStylePr>
  </w:style>
  <w:style w:type="table" w:customStyle="1" w:styleId="CDCTable4">
    <w:name w:val="CDC Table 4"/>
    <w:basedOn w:val="PlainTable1"/>
    <w:uiPriority w:val="99"/>
    <w:rsid w:val="000B6EC8"/>
    <w:rPr>
      <w:kern w:val="0"/>
      <w:sz w:val="20"/>
      <w:szCs w:val="20"/>
      <w:lang w:eastAsia="en-AU"/>
      <w14:ligatures w14:val="none"/>
    </w:rPr>
    <w:tblPr>
      <w:tblStyleRowBandSize w:val="0"/>
      <w:tblStyleColBandSize w:val="0"/>
      <w:tblBorders>
        <w:top w:val="single" w:sz="8" w:space="0" w:color="083E9C" w:themeColor="accent1"/>
        <w:left w:val="none" w:sz="0" w:space="0" w:color="auto"/>
        <w:bottom w:val="single" w:sz="8" w:space="0" w:color="083E9C" w:themeColor="accent1"/>
        <w:right w:val="none" w:sz="0" w:space="0" w:color="auto"/>
        <w:insideH w:val="single" w:sz="8" w:space="0" w:color="083E9C" w:themeColor="accent1"/>
        <w:insideV w:val="none" w:sz="0" w:space="0" w:color="auto"/>
      </w:tblBorders>
    </w:tblPr>
    <w:tblStylePr w:type="firstRow">
      <w:pPr>
        <w:jc w:val="left"/>
      </w:pPr>
      <w:rPr>
        <w:b/>
        <w:bCs/>
        <w:color w:val="auto"/>
      </w:rPr>
      <w:tblPr/>
      <w:tcPr>
        <w:tcBorders>
          <w:top w:val="single" w:sz="4" w:space="0" w:color="FFD030" w:themeColor="accent6"/>
          <w:left w:val="single" w:sz="4" w:space="0" w:color="FFD030" w:themeColor="accent6"/>
          <w:bottom w:val="single" w:sz="4" w:space="0" w:color="FFD030" w:themeColor="accent6"/>
          <w:right w:val="single" w:sz="4" w:space="0" w:color="FFD030" w:themeColor="accent6"/>
          <w:insideH w:val="nil"/>
          <w:insideV w:val="nil"/>
        </w:tcBorders>
        <w:shd w:val="clear" w:color="auto" w:fill="083E9C" w:themeFill="accent1"/>
        <w:vAlign w:val="center"/>
      </w:tcPr>
    </w:tblStylePr>
    <w:tblStylePr w:type="lastRow">
      <w:rPr>
        <w:b/>
        <w:bCs/>
      </w:rPr>
      <w:tblPr/>
      <w:tcPr>
        <w:tcBorders>
          <w:top w:val="nil"/>
          <w:left w:val="nil"/>
          <w:bottom w:val="single" w:sz="12" w:space="0" w:color="083E9C" w:themeColor="accent1"/>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CDCTable5">
    <w:name w:val="CDC Table 5"/>
    <w:basedOn w:val="PlainTable1"/>
    <w:uiPriority w:val="99"/>
    <w:rsid w:val="000B6EC8"/>
    <w:rPr>
      <w:kern w:val="0"/>
      <w:sz w:val="20"/>
      <w:szCs w:val="20"/>
      <w:lang w:eastAsia="en-AU"/>
      <w14:ligatures w14:val="none"/>
    </w:rPr>
    <w:tblPr>
      <w:tblStyleColBandSize w:val="0"/>
      <w:tblBorders>
        <w:top w:val="none" w:sz="0" w:space="0" w:color="auto"/>
        <w:left w:val="none" w:sz="0" w:space="0" w:color="auto"/>
        <w:bottom w:val="single" w:sz="4" w:space="0" w:color="083E9C" w:themeColor="accent1"/>
        <w:right w:val="none" w:sz="0" w:space="0" w:color="auto"/>
        <w:insideH w:val="none" w:sz="0" w:space="0" w:color="auto"/>
        <w:insideV w:val="none" w:sz="0" w:space="0" w:color="auto"/>
      </w:tblBorders>
    </w:tblPr>
    <w:tcPr>
      <w:shd w:val="clear" w:color="auto" w:fill="auto"/>
      <w:vAlign w:val="center"/>
    </w:tcPr>
    <w:tblStylePr w:type="firstRow">
      <w:pPr>
        <w:jc w:val="left"/>
      </w:pPr>
      <w:rPr>
        <w:b/>
        <w:bCs/>
        <w:color w:val="FFFFFF" w:themeColor="background1"/>
      </w:rPr>
      <w:tblPr/>
      <w:tcPr>
        <w:tcBorders>
          <w:top w:val="nil"/>
          <w:left w:val="nil"/>
          <w:bottom w:val="nil"/>
          <w:right w:val="nil"/>
          <w:insideH w:val="nil"/>
          <w:insideV w:val="nil"/>
          <w:tl2br w:val="nil"/>
          <w:tr2bl w:val="nil"/>
        </w:tcBorders>
        <w:shd w:val="clear" w:color="auto" w:fill="033636" w:themeFill="text2"/>
      </w:tcPr>
    </w:tblStylePr>
    <w:tblStylePr w:type="lastRow">
      <w:rPr>
        <w:b/>
        <w:bCs/>
      </w:rPr>
      <w:tblPr/>
      <w:tcPr>
        <w:tcBorders>
          <w:top w:val="nil"/>
          <w:left w:val="nil"/>
          <w:bottom w:val="single" w:sz="12" w:space="0" w:color="083E9C" w:themeColor="accent1"/>
          <w:right w:val="nil"/>
          <w:insideH w:val="single" w:sz="4" w:space="0" w:color="083E9C" w:themeColor="accent1"/>
          <w:insideV w:val="nil"/>
          <w:tl2br w:val="nil"/>
          <w:tr2bl w:val="nil"/>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00DCA1" w:themeFill="background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10000" w:themeColor="accent3"/>
          <w:left w:val="nil"/>
        </w:tcBorders>
      </w:tcPr>
    </w:tblStylePr>
    <w:tblStylePr w:type="swCell">
      <w:tblPr/>
      <w:tcPr>
        <w:tcBorders>
          <w:top w:val="double" w:sz="4" w:space="0" w:color="A10000" w:themeColor="accent3"/>
          <w:right w:val="nil"/>
        </w:tcBorders>
      </w:tcPr>
    </w:tblStylePr>
  </w:style>
  <w:style w:type="table" w:customStyle="1" w:styleId="CDCTable6">
    <w:name w:val="CDC Table 6"/>
    <w:basedOn w:val="TableGrid"/>
    <w:uiPriority w:val="99"/>
    <w:rsid w:val="000B6EC8"/>
    <w:rPr>
      <w:kern w:val="0"/>
      <w:sz w:val="20"/>
      <w:szCs w:val="20"/>
      <w:lang w:eastAsia="en-AU"/>
      <w14:ligatures w14:val="none"/>
    </w:rPr>
    <w:tblPr>
      <w:tblBorders>
        <w:top w:val="none" w:sz="0" w:space="0" w:color="auto"/>
        <w:left w:val="none" w:sz="0" w:space="0" w:color="auto"/>
        <w:bottom w:val="single" w:sz="8" w:space="0" w:color="083E9C" w:themeColor="accent1"/>
        <w:right w:val="none" w:sz="0" w:space="0" w:color="auto"/>
        <w:insideH w:val="single" w:sz="8" w:space="0" w:color="083E9C" w:themeColor="accent1"/>
        <w:insideV w:val="none" w:sz="0" w:space="0" w:color="auto"/>
      </w:tblBorders>
    </w:tblPr>
    <w:tcPr>
      <w:shd w:val="clear" w:color="auto" w:fill="auto"/>
      <w:vAlign w:val="center"/>
    </w:tcPr>
    <w:tblStylePr w:type="firstRow">
      <w:pPr>
        <w:jc w:val="left"/>
      </w:pPr>
      <w:rPr>
        <w:b/>
        <w:bCs/>
        <w:color w:val="FFFFFF" w:themeColor="background1"/>
      </w:rPr>
      <w:tblPr/>
      <w:tcPr>
        <w:tcBorders>
          <w:bottom w:val="single" w:sz="4" w:space="0" w:color="083E9C" w:themeColor="accent1"/>
          <w:insideH w:val="nil"/>
        </w:tcBorders>
        <w:shd w:val="clear" w:color="auto" w:fill="033636" w:themeFill="text2"/>
      </w:tcPr>
    </w:tblStylePr>
    <w:tblStylePr w:type="lastRow">
      <w:rPr>
        <w:b/>
        <w:bCs/>
      </w:rPr>
      <w:tblPr/>
      <w:tcPr>
        <w:tcBorders>
          <w:top w:val="single" w:sz="4" w:space="0" w:color="FFFFFF" w:themeColor="background1"/>
        </w:tcBorders>
      </w:tcPr>
    </w:tblStylePr>
    <w:tblStylePr w:type="firstCol">
      <w:rPr>
        <w:b/>
        <w:bCs/>
        <w:color w:val="FFFFFF" w:themeColor="background1"/>
      </w:rPr>
      <w:tblPr/>
      <w:tcPr>
        <w:tcBorders>
          <w:right w:val="single" w:sz="4" w:space="0" w:color="FFFFFF" w:themeColor="background1"/>
        </w:tcBorders>
        <w:shd w:val="clear" w:color="auto" w:fill="033636" w:themeFill="text2"/>
      </w:tcPr>
    </w:tblStylePr>
    <w:tblStylePr w:type="lastCol">
      <w:rPr>
        <w:b/>
        <w:bCs/>
      </w:rPr>
      <w:tblPr/>
      <w:tcPr>
        <w:tcBorders>
          <w:lef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B6EC8"/>
    <w:rPr>
      <w:color w:val="FFFFFF" w:themeColor="background1"/>
    </w:rPr>
    <w:tblPr>
      <w:tblStyleRowBandSize w:val="1"/>
      <w:tblStyleColBandSize w:val="1"/>
      <w:tblBorders>
        <w:top w:val="single" w:sz="24" w:space="0" w:color="FFD030" w:themeColor="accent6"/>
        <w:left w:val="single" w:sz="24" w:space="0" w:color="FFD030" w:themeColor="accent6"/>
        <w:bottom w:val="single" w:sz="24" w:space="0" w:color="FFD030" w:themeColor="accent6"/>
        <w:right w:val="single" w:sz="24" w:space="0" w:color="FFD030" w:themeColor="accent6"/>
      </w:tblBorders>
    </w:tblPr>
    <w:tcPr>
      <w:shd w:val="clear" w:color="auto" w:fill="FFD03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CDCTable7">
    <w:name w:val="CDC Table 7"/>
    <w:basedOn w:val="ListTable5Dark-Accent6"/>
    <w:uiPriority w:val="99"/>
    <w:rsid w:val="000B6EC8"/>
    <w:rPr>
      <w:color w:val="000000" w:themeColor="text1"/>
      <w:kern w:val="0"/>
      <w:sz w:val="20"/>
      <w:szCs w:val="20"/>
      <w:lang w:eastAsia="en-AU"/>
      <w14:ligatures w14:val="none"/>
    </w:rPr>
    <w:tblPr>
      <w:tblBorders>
        <w:top w:val="none" w:sz="0" w:space="0" w:color="auto"/>
        <w:left w:val="none" w:sz="0" w:space="0" w:color="auto"/>
        <w:bottom w:val="single" w:sz="8" w:space="0" w:color="033636" w:themeColor="text2"/>
        <w:right w:val="none" w:sz="0" w:space="0" w:color="auto"/>
        <w:insideH w:val="single" w:sz="8" w:space="0" w:color="033636" w:themeColor="text2"/>
      </w:tblBorders>
    </w:tblPr>
    <w:tcPr>
      <w:shd w:val="clear" w:color="auto" w:fill="auto"/>
    </w:tcPr>
    <w:tblStylePr w:type="firstRow">
      <w:pPr>
        <w:jc w:val="left"/>
      </w:pPr>
      <w:rPr>
        <w:b/>
        <w:bCs/>
      </w:rPr>
      <w:tblPr/>
      <w:tcPr>
        <w:tcBorders>
          <w:top w:val="nil"/>
          <w:left w:val="nil"/>
          <w:bottom w:val="single" w:sz="12" w:space="0" w:color="033636" w:themeColor="text2"/>
          <w:right w:val="nil"/>
          <w:insideH w:val="nil"/>
          <w:insideV w:val="nil"/>
          <w:tl2br w:val="nil"/>
          <w:tr2bl w:val="nil"/>
        </w:tcBorders>
        <w:shd w:val="clear" w:color="auto" w:fill="083E9C" w:themeFill="accent1"/>
        <w:vAlign w:val="center"/>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shd w:val="clear" w:color="auto" w:fill="083E9C" w:themeFill="accent1"/>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3-Accent3">
    <w:name w:val="List Table 3 Accent 3"/>
    <w:basedOn w:val="TableNormal"/>
    <w:uiPriority w:val="48"/>
    <w:rsid w:val="000B6EC8"/>
    <w:tblPr>
      <w:tblStyleRowBandSize w:val="1"/>
      <w:tblStyleColBandSize w:val="1"/>
      <w:tblBorders>
        <w:top w:val="single" w:sz="4" w:space="0" w:color="A10000" w:themeColor="accent3"/>
        <w:left w:val="single" w:sz="4" w:space="0" w:color="A10000" w:themeColor="accent3"/>
        <w:bottom w:val="single" w:sz="4" w:space="0" w:color="A10000" w:themeColor="accent3"/>
        <w:right w:val="single" w:sz="4" w:space="0" w:color="A10000" w:themeColor="accent3"/>
      </w:tblBorders>
    </w:tblPr>
    <w:tblStylePr w:type="firstRow">
      <w:rPr>
        <w:b/>
        <w:bCs/>
        <w:color w:val="FFFFFF" w:themeColor="background1"/>
      </w:rPr>
      <w:tblPr/>
      <w:tcPr>
        <w:shd w:val="clear" w:color="auto" w:fill="A10000" w:themeFill="accent3"/>
      </w:tcPr>
    </w:tblStylePr>
    <w:tblStylePr w:type="lastRow">
      <w:rPr>
        <w:b/>
        <w:bCs/>
      </w:rPr>
      <w:tblPr/>
      <w:tcPr>
        <w:tcBorders>
          <w:top w:val="double" w:sz="4" w:space="0" w:color="A100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10000" w:themeColor="accent3"/>
          <w:right w:val="single" w:sz="4" w:space="0" w:color="A10000" w:themeColor="accent3"/>
        </w:tcBorders>
      </w:tcPr>
    </w:tblStylePr>
    <w:tblStylePr w:type="band1Horz">
      <w:tblPr/>
      <w:tcPr>
        <w:tcBorders>
          <w:top w:val="single" w:sz="4" w:space="0" w:color="A10000" w:themeColor="accent3"/>
          <w:bottom w:val="single" w:sz="4" w:space="0" w:color="A100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10000" w:themeColor="accent3"/>
          <w:left w:val="nil"/>
        </w:tcBorders>
      </w:tcPr>
    </w:tblStylePr>
    <w:tblStylePr w:type="swCell">
      <w:tblPr/>
      <w:tcPr>
        <w:tcBorders>
          <w:top w:val="double" w:sz="4" w:space="0" w:color="A10000" w:themeColor="accent3"/>
          <w:right w:val="nil"/>
        </w:tcBorders>
      </w:tcPr>
    </w:tblStylePr>
  </w:style>
  <w:style w:type="table" w:customStyle="1" w:styleId="CDCTable8">
    <w:name w:val="CDC Table 8"/>
    <w:basedOn w:val="ListTable3-Accent3"/>
    <w:uiPriority w:val="99"/>
    <w:rsid w:val="000B6EC8"/>
    <w:rPr>
      <w:sz w:val="20"/>
    </w:rPr>
    <w:tblPr>
      <w:tblStyleRowBandSize w:val="0"/>
      <w:tblStyleColBandSize w:val="0"/>
      <w:tblBorders>
        <w:top w:val="single" w:sz="8" w:space="0" w:color="083E9C" w:themeColor="accent1"/>
        <w:left w:val="none" w:sz="0" w:space="0" w:color="auto"/>
        <w:bottom w:val="single" w:sz="8" w:space="0" w:color="083E9C" w:themeColor="accent1"/>
        <w:right w:val="none" w:sz="0" w:space="0" w:color="auto"/>
        <w:insideH w:val="single" w:sz="8" w:space="0" w:color="083E9C" w:themeColor="accent1"/>
        <w:insideV w:val="single" w:sz="8" w:space="0" w:color="083E9C" w:themeColor="accent1"/>
      </w:tblBorders>
    </w:tblPr>
    <w:tblStylePr w:type="firstRow">
      <w:pPr>
        <w:jc w:val="left"/>
      </w:pPr>
      <w:rPr>
        <w:b/>
        <w:bCs/>
        <w:color w:val="FFFFFF" w:themeColor="background1"/>
      </w:rPr>
      <w:tblPr/>
      <w:tcPr>
        <w:tcBorders>
          <w:top w:val="nil"/>
          <w:left w:val="nil"/>
          <w:bottom w:val="nil"/>
          <w:right w:val="nil"/>
          <w:insideH w:val="nil"/>
          <w:insideV w:val="nil"/>
          <w:tl2br w:val="nil"/>
          <w:tr2bl w:val="nil"/>
        </w:tcBorders>
        <w:shd w:val="clear" w:color="auto" w:fill="033636" w:themeFill="text2"/>
        <w:vAlign w:val="center"/>
      </w:tcPr>
    </w:tblStylePr>
    <w:tblStylePr w:type="lastRow">
      <w:rPr>
        <w:b/>
        <w:bCs/>
      </w:rPr>
      <w:tblPr/>
      <w:tcPr>
        <w:tcBorders>
          <w:top w:val="double" w:sz="4" w:space="0" w:color="A100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10000" w:themeColor="accent3"/>
          <w:right w:val="single" w:sz="4" w:space="0" w:color="A10000" w:themeColor="accent3"/>
        </w:tcBorders>
      </w:tcPr>
    </w:tblStylePr>
    <w:tblStylePr w:type="band1Horz">
      <w:tblPr/>
      <w:tcPr>
        <w:tcBorders>
          <w:top w:val="single" w:sz="4" w:space="0" w:color="A10000" w:themeColor="accent3"/>
          <w:bottom w:val="single" w:sz="4" w:space="0" w:color="A100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10000" w:themeColor="accent3"/>
          <w:left w:val="nil"/>
        </w:tcBorders>
      </w:tcPr>
    </w:tblStylePr>
    <w:tblStylePr w:type="swCell">
      <w:tblPr/>
      <w:tcPr>
        <w:tcBorders>
          <w:top w:val="double" w:sz="4" w:space="0" w:color="A10000" w:themeColor="accent3"/>
          <w:right w:val="nil"/>
        </w:tcBorders>
      </w:tcPr>
    </w:tblStylePr>
  </w:style>
  <w:style w:type="table" w:customStyle="1" w:styleId="CDCTable9">
    <w:name w:val="CDC Table 9"/>
    <w:basedOn w:val="PlainTable1"/>
    <w:uiPriority w:val="99"/>
    <w:rsid w:val="000B6EC8"/>
    <w:rPr>
      <w:kern w:val="0"/>
      <w:sz w:val="20"/>
      <w:szCs w:val="20"/>
      <w:lang w:eastAsia="en-AU"/>
      <w14:ligatures w14:val="none"/>
    </w:rPr>
    <w:tblPr>
      <w:tblStyleRowBandSize w:val="0"/>
      <w:tblStyleColBandSize w:val="0"/>
      <w:tblBorders>
        <w:top w:val="single" w:sz="8" w:space="0" w:color="083E9C" w:themeColor="accent1"/>
        <w:left w:val="none" w:sz="0" w:space="0" w:color="auto"/>
        <w:bottom w:val="single" w:sz="8" w:space="0" w:color="083E9C" w:themeColor="accent1"/>
        <w:right w:val="none" w:sz="0" w:space="0" w:color="auto"/>
        <w:insideH w:val="single" w:sz="8" w:space="0" w:color="083E9C" w:themeColor="accent1"/>
        <w:insideV w:val="single" w:sz="8" w:space="0" w:color="083E9C" w:themeColor="accent1"/>
      </w:tblBorders>
    </w:tblPr>
    <w:tcPr>
      <w:shd w:val="clear" w:color="auto" w:fill="auto"/>
      <w:vAlign w:val="center"/>
    </w:tcPr>
    <w:tblStylePr w:type="firstRow">
      <w:pPr>
        <w:jc w:val="left"/>
      </w:pPr>
      <w:rPr>
        <w:b/>
        <w:bCs/>
        <w:color w:val="000000" w:themeColor="text1"/>
      </w:rPr>
      <w:tblPr/>
      <w:tcPr>
        <w:tcBorders>
          <w:top w:val="nil"/>
          <w:left w:val="nil"/>
          <w:bottom w:val="nil"/>
          <w:right w:val="nil"/>
          <w:insideH w:val="nil"/>
          <w:insideV w:val="nil"/>
          <w:tl2br w:val="nil"/>
          <w:tr2bl w:val="nil"/>
        </w:tcBorders>
        <w:shd w:val="clear" w:color="auto" w:fill="083E9C" w:themeFill="accent1"/>
        <w:vAlign w:val="center"/>
      </w:tcPr>
    </w:tblStylePr>
    <w:tblStylePr w:type="lastRow">
      <w:rPr>
        <w:b/>
        <w:bCs/>
      </w:rPr>
      <w:tblPr/>
      <w:tcPr>
        <w:tcBorders>
          <w:top w:val="double" w:sz="4" w:space="0" w:color="FFD030" w:themeColor="accent6"/>
        </w:tcBorders>
        <w:shd w:val="clear" w:color="auto" w:fill="FFFFFF" w:themeFill="background1"/>
      </w:tcPr>
    </w:tblStylePr>
    <w:tblStylePr w:type="firstCol">
      <w:pPr>
        <w:wordWrap/>
        <w:jc w:val="left"/>
      </w:pPr>
      <w:rPr>
        <w:rFonts w:ascii="Segoe UI" w:hAnsi="Segoe UI"/>
        <w:b/>
        <w:bCs/>
        <w:i w:val="0"/>
        <w:iCs/>
        <w:color w:val="auto"/>
        <w:sz w:val="20"/>
      </w:rPr>
      <w:tblPr/>
      <w:tcPr>
        <w:tcBorders>
          <w:top w:val="nil"/>
          <w:left w:val="nil"/>
          <w:bottom w:val="single" w:sz="8" w:space="0" w:color="083E9C" w:themeColor="accent1"/>
          <w:right w:val="nil"/>
          <w:insideH w:val="single" w:sz="8" w:space="0" w:color="083E9C" w:themeColor="accent1"/>
          <w:insideV w:val="single" w:sz="8" w:space="0" w:color="083E9C" w:themeColor="accent1"/>
          <w:tl2br w:val="nil"/>
          <w:tr2bl w:val="nil"/>
        </w:tcBorders>
        <w:shd w:val="clear" w:color="auto" w:fill="FFFFFF" w:themeFill="background1"/>
      </w:tcPr>
    </w:tblStylePr>
    <w:tblStylePr w:type="lastCol">
      <w:rPr>
        <w:b/>
        <w:bCs/>
        <w:i w:val="0"/>
        <w:iCs/>
      </w:rPr>
      <w:tblPr/>
      <w:tcPr>
        <w:tcBorders>
          <w:top w:val="nil"/>
          <w:left w:val="nil"/>
          <w:bottom w:val="nil"/>
          <w:right w:val="nil"/>
          <w:insideH w:val="nil"/>
          <w:insideV w:val="nil"/>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bottom w:val="single" w:sz="4" w:space="0" w:color="FFE282" w:themeColor="accent6" w:themeTint="99"/>
        </w:tcBorders>
      </w:tcPr>
    </w:tblStylePr>
    <w:tblStylePr w:type="nwCell">
      <w:tblPr/>
      <w:tcPr>
        <w:tcBorders>
          <w:bottom w:val="single" w:sz="4" w:space="0" w:color="FFE282" w:themeColor="accent6" w:themeTint="99"/>
          <w:right w:val="nil"/>
        </w:tcBorders>
      </w:tcPr>
    </w:tblStylePr>
    <w:tblStylePr w:type="seCell">
      <w:tblPr/>
      <w:tcPr>
        <w:tcBorders>
          <w:top w:val="single" w:sz="4" w:space="0" w:color="FFE282" w:themeColor="accent6" w:themeTint="99"/>
          <w:left w:val="nil"/>
        </w:tcBorders>
      </w:tcPr>
    </w:tblStylePr>
    <w:tblStylePr w:type="swCell">
      <w:tblPr/>
      <w:tcPr>
        <w:tcBorders>
          <w:top w:val="single" w:sz="4" w:space="0" w:color="FFE282" w:themeColor="accent6" w:themeTint="99"/>
          <w:right w:val="nil"/>
        </w:tcBorders>
      </w:tcPr>
    </w:tblStylePr>
  </w:style>
  <w:style w:type="paragraph" w:customStyle="1" w:styleId="Copyrightbulletlist">
    <w:name w:val="Copyright bullet list"/>
    <w:qFormat/>
    <w:rsid w:val="00694CD0"/>
    <w:pPr>
      <w:numPr>
        <w:numId w:val="51"/>
      </w:numPr>
      <w:ind w:left="1281" w:hanging="357"/>
      <w:contextualSpacing/>
    </w:pPr>
    <w:rPr>
      <w:rFonts w:ascii="Segoe UI" w:hAnsi="Segoe UI"/>
      <w:sz w:val="18"/>
    </w:rPr>
  </w:style>
  <w:style w:type="paragraph" w:customStyle="1" w:styleId="Copyrighttext">
    <w:name w:val="Copyright text"/>
    <w:qFormat/>
    <w:rsid w:val="000B6EC8"/>
    <w:pPr>
      <w:spacing w:before="120" w:after="120" w:line="276" w:lineRule="auto"/>
    </w:pPr>
    <w:rPr>
      <w:rFonts w:ascii="Segoe UI" w:eastAsia="Times New Roman" w:hAnsi="Segoe UI" w:cs="Arial"/>
      <w:color w:val="000000"/>
      <w:kern w:val="0"/>
      <w:sz w:val="18"/>
      <w:szCs w:val="18"/>
      <w:lang w:eastAsia="en-GB"/>
      <w14:ligatures w14:val="none"/>
    </w:rPr>
  </w:style>
  <w:style w:type="paragraph" w:styleId="Date">
    <w:name w:val="Date"/>
    <w:basedOn w:val="Normal"/>
    <w:next w:val="Normal"/>
    <w:link w:val="DateChar"/>
    <w:uiPriority w:val="99"/>
    <w:unhideWhenUsed/>
    <w:rsid w:val="000B6EC8"/>
  </w:style>
  <w:style w:type="character" w:customStyle="1" w:styleId="DateChar">
    <w:name w:val="Date Char"/>
    <w:basedOn w:val="DefaultParagraphFont"/>
    <w:link w:val="Date"/>
    <w:uiPriority w:val="99"/>
    <w:rsid w:val="000B6EC8"/>
    <w:rPr>
      <w:rFonts w:ascii="Segoe UI" w:hAnsi="Segoe UI"/>
    </w:rPr>
  </w:style>
  <w:style w:type="character" w:styleId="EndnoteReference">
    <w:name w:val="endnote reference"/>
    <w:basedOn w:val="DefaultParagraphFont"/>
    <w:uiPriority w:val="99"/>
    <w:unhideWhenUsed/>
    <w:rsid w:val="000B6EC8"/>
    <w:rPr>
      <w:rFonts w:ascii="Segoe UI" w:hAnsi="Segoe UI"/>
      <w:vertAlign w:val="superscript"/>
    </w:rPr>
  </w:style>
  <w:style w:type="paragraph" w:styleId="EndnoteText">
    <w:name w:val="endnote text"/>
    <w:basedOn w:val="Normal"/>
    <w:link w:val="EndnoteTextChar"/>
    <w:uiPriority w:val="99"/>
    <w:semiHidden/>
    <w:unhideWhenUsed/>
    <w:rsid w:val="000B6EC8"/>
    <w:pPr>
      <w:spacing w:line="240" w:lineRule="auto"/>
    </w:pPr>
    <w:rPr>
      <w:szCs w:val="20"/>
    </w:rPr>
  </w:style>
  <w:style w:type="character" w:customStyle="1" w:styleId="EndnoteTextChar">
    <w:name w:val="Endnote Text Char"/>
    <w:basedOn w:val="DefaultParagraphFont"/>
    <w:link w:val="EndnoteText"/>
    <w:uiPriority w:val="99"/>
    <w:semiHidden/>
    <w:rsid w:val="000B6EC8"/>
    <w:rPr>
      <w:rFonts w:ascii="Segoe UI" w:hAnsi="Segoe UI"/>
      <w:szCs w:val="20"/>
    </w:rPr>
  </w:style>
  <w:style w:type="paragraph" w:styleId="EnvelopeAddress">
    <w:name w:val="envelope address"/>
    <w:basedOn w:val="Normal"/>
    <w:uiPriority w:val="99"/>
    <w:unhideWhenUsed/>
    <w:rsid w:val="000B6EC8"/>
    <w:pPr>
      <w:framePr w:w="7920" w:h="1980" w:hRule="exact" w:hSpace="180" w:wrap="auto" w:hAnchor="page" w:xAlign="center" w:yAlign="bottom"/>
      <w:spacing w:line="240" w:lineRule="auto"/>
      <w:ind w:left="2880"/>
    </w:pPr>
    <w:rPr>
      <w:rFonts w:ascii="Segoe UI Semibold" w:eastAsiaTheme="majorEastAsia" w:hAnsi="Segoe UI Semibold" w:cstheme="majorBidi"/>
    </w:rPr>
  </w:style>
  <w:style w:type="paragraph" w:styleId="EnvelopeReturn">
    <w:name w:val="envelope return"/>
    <w:basedOn w:val="Normal"/>
    <w:uiPriority w:val="99"/>
    <w:semiHidden/>
    <w:unhideWhenUsed/>
    <w:rsid w:val="000B6EC8"/>
    <w:pPr>
      <w:spacing w:line="240" w:lineRule="auto"/>
    </w:pPr>
    <w:rPr>
      <w:rFonts w:ascii="Segoe UI Semibold" w:eastAsiaTheme="majorEastAsia" w:hAnsi="Segoe UI Semibold" w:cstheme="majorBidi"/>
      <w:sz w:val="20"/>
      <w:szCs w:val="20"/>
    </w:rPr>
  </w:style>
  <w:style w:type="paragraph" w:customStyle="1" w:styleId="Figuretitle">
    <w:name w:val="Figure title"/>
    <w:basedOn w:val="Normal"/>
    <w:qFormat/>
    <w:rsid w:val="00610BE8"/>
    <w:pPr>
      <w:numPr>
        <w:numId w:val="54"/>
      </w:numPr>
      <w:spacing w:before="240"/>
      <w:ind w:left="1418" w:hanging="1418"/>
    </w:pPr>
    <w:rPr>
      <w:rFonts w:ascii="Segoe UI Semibold" w:hAnsi="Segoe UI Semibold"/>
      <w:noProof/>
      <w:color w:val="025F5D"/>
    </w:rPr>
  </w:style>
  <w:style w:type="table" w:styleId="GridTable1Light">
    <w:name w:val="Grid Table 1 Light"/>
    <w:basedOn w:val="TableNormal"/>
    <w:uiPriority w:val="46"/>
    <w:rsid w:val="000B6EC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B6EC8"/>
    <w:tblPr>
      <w:tblStyleRowBandSize w:val="1"/>
      <w:tblStyleColBandSize w:val="1"/>
      <w:tblBorders>
        <w:top w:val="single" w:sz="4" w:space="0" w:color="BA8BE5" w:themeColor="accent2" w:themeTint="66"/>
        <w:left w:val="single" w:sz="4" w:space="0" w:color="BA8BE5" w:themeColor="accent2" w:themeTint="66"/>
        <w:bottom w:val="single" w:sz="4" w:space="0" w:color="BA8BE5" w:themeColor="accent2" w:themeTint="66"/>
        <w:right w:val="single" w:sz="4" w:space="0" w:color="BA8BE5" w:themeColor="accent2" w:themeTint="66"/>
        <w:insideH w:val="single" w:sz="4" w:space="0" w:color="BA8BE5" w:themeColor="accent2" w:themeTint="66"/>
        <w:insideV w:val="single" w:sz="4" w:space="0" w:color="BA8BE5" w:themeColor="accent2" w:themeTint="66"/>
      </w:tblBorders>
    </w:tblPr>
    <w:tblStylePr w:type="firstRow">
      <w:rPr>
        <w:b/>
        <w:bCs/>
      </w:rPr>
      <w:tblPr/>
      <w:tcPr>
        <w:tcBorders>
          <w:bottom w:val="single" w:sz="12" w:space="0" w:color="9752D8" w:themeColor="accent2" w:themeTint="99"/>
        </w:tcBorders>
      </w:tcPr>
    </w:tblStylePr>
    <w:tblStylePr w:type="lastRow">
      <w:rPr>
        <w:b/>
        <w:bCs/>
      </w:rPr>
      <w:tblPr/>
      <w:tcPr>
        <w:tcBorders>
          <w:top w:val="double" w:sz="2" w:space="0" w:color="9752D8" w:themeColor="accent2" w:themeTint="99"/>
        </w:tcBorders>
      </w:tcPr>
    </w:tblStylePr>
    <w:tblStylePr w:type="firstCol">
      <w:rPr>
        <w:b/>
        <w:bCs/>
      </w:rPr>
    </w:tblStylePr>
    <w:tblStylePr w:type="lastCol">
      <w:rPr>
        <w:b/>
        <w:bCs/>
      </w:rPr>
    </w:tblStylePr>
  </w:style>
  <w:style w:type="table" w:styleId="GridTable3-Accent6">
    <w:name w:val="Grid Table 3 Accent 6"/>
    <w:basedOn w:val="TableNormal"/>
    <w:uiPriority w:val="48"/>
    <w:rsid w:val="000B6EC8"/>
    <w:tblPr>
      <w:tblStyleRowBandSize w:val="1"/>
      <w:tblStyleColBandSize w:val="1"/>
      <w:tblBorders>
        <w:top w:val="single" w:sz="4" w:space="0" w:color="FFE282" w:themeColor="accent6" w:themeTint="99"/>
        <w:left w:val="single" w:sz="4" w:space="0" w:color="FFE282" w:themeColor="accent6" w:themeTint="99"/>
        <w:bottom w:val="single" w:sz="4" w:space="0" w:color="FFE282" w:themeColor="accent6" w:themeTint="99"/>
        <w:right w:val="single" w:sz="4" w:space="0" w:color="FFE282" w:themeColor="accent6" w:themeTint="99"/>
        <w:insideH w:val="single" w:sz="4" w:space="0" w:color="FFE282" w:themeColor="accent6" w:themeTint="99"/>
        <w:insideV w:val="single" w:sz="4" w:space="0" w:color="FFE28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5" w:themeFill="accent6" w:themeFillTint="33"/>
      </w:tcPr>
    </w:tblStylePr>
    <w:tblStylePr w:type="band1Horz">
      <w:tblPr/>
      <w:tcPr>
        <w:shd w:val="clear" w:color="auto" w:fill="FFF5D5" w:themeFill="accent6" w:themeFillTint="33"/>
      </w:tcPr>
    </w:tblStylePr>
    <w:tblStylePr w:type="neCell">
      <w:tblPr/>
      <w:tcPr>
        <w:tcBorders>
          <w:bottom w:val="single" w:sz="4" w:space="0" w:color="FFE282" w:themeColor="accent6" w:themeTint="99"/>
        </w:tcBorders>
      </w:tcPr>
    </w:tblStylePr>
    <w:tblStylePr w:type="nwCell">
      <w:tblPr/>
      <w:tcPr>
        <w:tcBorders>
          <w:bottom w:val="single" w:sz="4" w:space="0" w:color="FFE282" w:themeColor="accent6" w:themeTint="99"/>
        </w:tcBorders>
      </w:tcPr>
    </w:tblStylePr>
    <w:tblStylePr w:type="seCell">
      <w:tblPr/>
      <w:tcPr>
        <w:tcBorders>
          <w:top w:val="single" w:sz="4" w:space="0" w:color="FFE282" w:themeColor="accent6" w:themeTint="99"/>
        </w:tcBorders>
      </w:tcPr>
    </w:tblStylePr>
    <w:tblStylePr w:type="swCell">
      <w:tblPr/>
      <w:tcPr>
        <w:tcBorders>
          <w:top w:val="single" w:sz="4" w:space="0" w:color="FFE282" w:themeColor="accent6" w:themeTint="99"/>
        </w:tcBorders>
      </w:tcPr>
    </w:tblStylePr>
  </w:style>
  <w:style w:type="table" w:styleId="ListTable4-Accent2">
    <w:name w:val="List Table 4 Accent 2"/>
    <w:basedOn w:val="TableNormal"/>
    <w:uiPriority w:val="49"/>
    <w:rsid w:val="000B6EC8"/>
    <w:tblPr>
      <w:tblStyleRowBandSize w:val="1"/>
      <w:tblStyleColBandSize w:val="1"/>
      <w:tblBorders>
        <w:top w:val="single" w:sz="4" w:space="0" w:color="9752D8" w:themeColor="accent2" w:themeTint="99"/>
        <w:left w:val="single" w:sz="4" w:space="0" w:color="9752D8" w:themeColor="accent2" w:themeTint="99"/>
        <w:bottom w:val="single" w:sz="4" w:space="0" w:color="9752D8" w:themeColor="accent2" w:themeTint="99"/>
        <w:right w:val="single" w:sz="4" w:space="0" w:color="9752D8" w:themeColor="accent2" w:themeTint="99"/>
        <w:insideH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tcBorders>
        <w:shd w:val="clear" w:color="auto" w:fill="511D81" w:themeFill="accent2"/>
      </w:tcPr>
    </w:tblStylePr>
    <w:tblStylePr w:type="lastRow">
      <w:rPr>
        <w:b/>
        <w:bCs/>
      </w:rPr>
      <w:tblPr/>
      <w:tcPr>
        <w:tcBorders>
          <w:top w:val="double" w:sz="4" w:space="0" w:color="9752D8" w:themeColor="accent2" w:themeTint="99"/>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styleId="GridTable4-Accent2">
    <w:name w:val="Grid Table 4 Accent 2"/>
    <w:aliases w:val="List Table 4 - Accent 20"/>
    <w:basedOn w:val="ListTable4-Accent2"/>
    <w:uiPriority w:val="49"/>
    <w:rsid w:val="000B6EC8"/>
    <w:rPr>
      <w:kern w:val="0"/>
      <w:sz w:val="20"/>
      <w:szCs w:val="20"/>
      <w:lang w:eastAsia="en-AU"/>
      <w14:ligatures w14:val="none"/>
    </w:rPr>
    <w:tblPr>
      <w:tblBorders>
        <w:top w:val="none" w:sz="0" w:space="0" w:color="auto"/>
        <w:left w:val="none" w:sz="0" w:space="0" w:color="auto"/>
        <w:bottom w:val="none" w:sz="0" w:space="0" w:color="auto"/>
        <w:right w:val="none" w:sz="0" w:space="0" w:color="auto"/>
        <w:insideH w:val="none" w:sz="0" w:space="0" w:color="auto"/>
        <w:insideV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insideV w:val="nil"/>
        </w:tcBorders>
        <w:shd w:val="clear" w:color="auto" w:fill="511D81" w:themeFill="accent2"/>
      </w:tcPr>
    </w:tblStylePr>
    <w:tblStylePr w:type="lastRow">
      <w:rPr>
        <w:b/>
        <w:bCs/>
      </w:rPr>
      <w:tblPr/>
      <w:tcPr>
        <w:tcBorders>
          <w:top w:val="double" w:sz="4" w:space="0" w:color="511D81" w:themeColor="accent2"/>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styleId="GridTable4-Accent3">
    <w:name w:val="Grid Table 4 Accent 3"/>
    <w:basedOn w:val="TableNormal"/>
    <w:uiPriority w:val="49"/>
    <w:rsid w:val="000B6EC8"/>
    <w:tblPr>
      <w:tblStyleRowBandSize w:val="1"/>
      <w:tblStyleColBandSize w:val="1"/>
      <w:tblBorders>
        <w:top w:val="single" w:sz="4" w:space="0" w:color="FF2D2D" w:themeColor="accent3" w:themeTint="99"/>
        <w:left w:val="single" w:sz="4" w:space="0" w:color="FF2D2D" w:themeColor="accent3" w:themeTint="99"/>
        <w:bottom w:val="single" w:sz="4" w:space="0" w:color="FF2D2D" w:themeColor="accent3" w:themeTint="99"/>
        <w:right w:val="single" w:sz="4" w:space="0" w:color="FF2D2D" w:themeColor="accent3" w:themeTint="99"/>
        <w:insideH w:val="single" w:sz="4" w:space="0" w:color="FF2D2D" w:themeColor="accent3" w:themeTint="99"/>
        <w:insideV w:val="single" w:sz="4" w:space="0" w:color="FF2D2D" w:themeColor="accent3" w:themeTint="99"/>
      </w:tblBorders>
    </w:tblPr>
    <w:tblStylePr w:type="firstRow">
      <w:rPr>
        <w:b/>
        <w:bCs/>
        <w:color w:val="FFFFFF" w:themeColor="background1"/>
      </w:rPr>
      <w:tblPr/>
      <w:tcPr>
        <w:tcBorders>
          <w:top w:val="single" w:sz="4" w:space="0" w:color="A10000" w:themeColor="accent3"/>
          <w:left w:val="single" w:sz="4" w:space="0" w:color="A10000" w:themeColor="accent3"/>
          <w:bottom w:val="single" w:sz="4" w:space="0" w:color="A10000" w:themeColor="accent3"/>
          <w:right w:val="single" w:sz="4" w:space="0" w:color="A10000" w:themeColor="accent3"/>
          <w:insideH w:val="nil"/>
          <w:insideV w:val="nil"/>
        </w:tcBorders>
        <w:shd w:val="clear" w:color="auto" w:fill="A10000" w:themeFill="accent3"/>
      </w:tcPr>
    </w:tblStylePr>
    <w:tblStylePr w:type="lastRow">
      <w:rPr>
        <w:b/>
        <w:bCs/>
      </w:rPr>
      <w:tblPr/>
      <w:tcPr>
        <w:tcBorders>
          <w:top w:val="double" w:sz="4" w:space="0" w:color="A10000" w:themeColor="accent3"/>
        </w:tcBorders>
      </w:tcPr>
    </w:tblStylePr>
    <w:tblStylePr w:type="firstCol">
      <w:rPr>
        <w:b/>
        <w:bCs/>
      </w:rPr>
    </w:tblStylePr>
    <w:tblStylePr w:type="lastCol">
      <w:rPr>
        <w:b/>
        <w:bCs/>
      </w:rPr>
    </w:tblStylePr>
    <w:tblStylePr w:type="band1Vert">
      <w:tblPr/>
      <w:tcPr>
        <w:shd w:val="clear" w:color="auto" w:fill="FFB9B9" w:themeFill="accent3" w:themeFillTint="33"/>
      </w:tcPr>
    </w:tblStylePr>
    <w:tblStylePr w:type="band1Horz">
      <w:tblPr/>
      <w:tcPr>
        <w:shd w:val="clear" w:color="auto" w:fill="FFB9B9" w:themeFill="accent3" w:themeFillTint="33"/>
      </w:tcPr>
    </w:tblStylePr>
  </w:style>
  <w:style w:type="table" w:styleId="GridTable4-Accent6">
    <w:name w:val="Grid Table 4 Accent 6"/>
    <w:basedOn w:val="TableNormal"/>
    <w:uiPriority w:val="49"/>
    <w:rsid w:val="000B6EC8"/>
    <w:tblPr>
      <w:tblStyleRowBandSize w:val="1"/>
      <w:tblStyleColBandSize w:val="1"/>
      <w:tblBorders>
        <w:top w:val="single" w:sz="4" w:space="0" w:color="FFE282" w:themeColor="accent6" w:themeTint="99"/>
        <w:left w:val="single" w:sz="4" w:space="0" w:color="FFE282" w:themeColor="accent6" w:themeTint="99"/>
        <w:bottom w:val="single" w:sz="4" w:space="0" w:color="FFE282" w:themeColor="accent6" w:themeTint="99"/>
        <w:right w:val="single" w:sz="4" w:space="0" w:color="FFE282" w:themeColor="accent6" w:themeTint="99"/>
        <w:insideH w:val="single" w:sz="4" w:space="0" w:color="FFE282" w:themeColor="accent6" w:themeTint="99"/>
        <w:insideV w:val="single" w:sz="4" w:space="0" w:color="FFE282" w:themeColor="accent6" w:themeTint="99"/>
      </w:tblBorders>
    </w:tblPr>
    <w:tblStylePr w:type="firstRow">
      <w:rPr>
        <w:b/>
        <w:bCs/>
        <w:color w:val="FFFFFF" w:themeColor="background1"/>
      </w:rPr>
      <w:tblPr/>
      <w:tcPr>
        <w:tcBorders>
          <w:top w:val="single" w:sz="4" w:space="0" w:color="FFD030" w:themeColor="accent6"/>
          <w:left w:val="single" w:sz="4" w:space="0" w:color="FFD030" w:themeColor="accent6"/>
          <w:bottom w:val="single" w:sz="4" w:space="0" w:color="FFD030" w:themeColor="accent6"/>
          <w:right w:val="single" w:sz="4" w:space="0" w:color="FFD030" w:themeColor="accent6"/>
          <w:insideH w:val="nil"/>
          <w:insideV w:val="nil"/>
        </w:tcBorders>
        <w:shd w:val="clear" w:color="auto" w:fill="FFD030" w:themeFill="accent6"/>
      </w:tcPr>
    </w:tblStylePr>
    <w:tblStylePr w:type="lastRow">
      <w:rPr>
        <w:b/>
        <w:bCs/>
      </w:rPr>
      <w:tblPr/>
      <w:tcPr>
        <w:tcBorders>
          <w:top w:val="double" w:sz="4" w:space="0" w:color="FFD030" w:themeColor="accent6"/>
        </w:tcBorders>
      </w:tcPr>
    </w:tblStylePr>
    <w:tblStylePr w:type="firstCol">
      <w:rPr>
        <w:b/>
        <w:bCs/>
      </w:rPr>
    </w:tblStylePr>
    <w:tblStylePr w:type="lastCol">
      <w:rPr>
        <w:b/>
        <w:bCs/>
      </w:rPr>
    </w:tblStylePr>
    <w:tblStylePr w:type="band1Vert">
      <w:tblPr/>
      <w:tcPr>
        <w:shd w:val="clear" w:color="auto" w:fill="FFF5D5" w:themeFill="accent6" w:themeFillTint="33"/>
      </w:tcPr>
    </w:tblStylePr>
    <w:tblStylePr w:type="band1Horz">
      <w:tblPr/>
      <w:tcPr>
        <w:shd w:val="clear" w:color="auto" w:fill="FFF5D5" w:themeFill="accent6" w:themeFillTint="33"/>
      </w:tcPr>
    </w:tblStylePr>
  </w:style>
  <w:style w:type="table" w:styleId="GridTable5Dark-Accent2">
    <w:name w:val="Grid Table 5 Dark Accent 2"/>
    <w:basedOn w:val="TableNormal"/>
    <w:uiPriority w:val="50"/>
    <w:rsid w:val="000B6E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C5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1D8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1D8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1D8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1D81" w:themeFill="accent2"/>
      </w:tcPr>
    </w:tblStylePr>
    <w:tblStylePr w:type="band1Vert">
      <w:tblPr/>
      <w:tcPr>
        <w:shd w:val="clear" w:color="auto" w:fill="BA8BE5" w:themeFill="accent2" w:themeFillTint="66"/>
      </w:tcPr>
    </w:tblStylePr>
    <w:tblStylePr w:type="band1Horz">
      <w:tblPr/>
      <w:tcPr>
        <w:shd w:val="clear" w:color="auto" w:fill="BA8BE5" w:themeFill="accent2" w:themeFillTint="66"/>
      </w:tcPr>
    </w:tblStylePr>
  </w:style>
  <w:style w:type="character" w:styleId="Hashtag">
    <w:name w:val="Hashtag"/>
    <w:basedOn w:val="DefaultParagraphFont"/>
    <w:uiPriority w:val="99"/>
    <w:semiHidden/>
    <w:unhideWhenUsed/>
    <w:rsid w:val="000B6EC8"/>
    <w:rPr>
      <w:color w:val="025F5D"/>
      <w:shd w:val="clear" w:color="auto" w:fill="E1DFDD"/>
    </w:rPr>
  </w:style>
  <w:style w:type="paragraph" w:styleId="Index1">
    <w:name w:val="index 1"/>
    <w:basedOn w:val="Normal"/>
    <w:next w:val="Normal"/>
    <w:autoRedefine/>
    <w:uiPriority w:val="99"/>
    <w:unhideWhenUsed/>
    <w:rsid w:val="000B6EC8"/>
    <w:pPr>
      <w:spacing w:line="240" w:lineRule="auto"/>
      <w:ind w:left="240" w:hanging="240"/>
    </w:pPr>
  </w:style>
  <w:style w:type="paragraph" w:styleId="Index2">
    <w:name w:val="index 2"/>
    <w:basedOn w:val="Normal"/>
    <w:next w:val="Normal"/>
    <w:autoRedefine/>
    <w:uiPriority w:val="99"/>
    <w:unhideWhenUsed/>
    <w:rsid w:val="000B6EC8"/>
    <w:pPr>
      <w:spacing w:line="240" w:lineRule="auto"/>
      <w:ind w:left="238"/>
    </w:pPr>
  </w:style>
  <w:style w:type="paragraph" w:styleId="Index3">
    <w:name w:val="index 3"/>
    <w:basedOn w:val="Normal"/>
    <w:next w:val="Normal"/>
    <w:autoRedefine/>
    <w:uiPriority w:val="99"/>
    <w:unhideWhenUsed/>
    <w:rsid w:val="000B6EC8"/>
    <w:pPr>
      <w:spacing w:line="240" w:lineRule="auto"/>
      <w:ind w:left="482"/>
    </w:pPr>
  </w:style>
  <w:style w:type="paragraph" w:styleId="Index4">
    <w:name w:val="index 4"/>
    <w:basedOn w:val="Normal"/>
    <w:next w:val="Normal"/>
    <w:autoRedefine/>
    <w:uiPriority w:val="99"/>
    <w:unhideWhenUsed/>
    <w:rsid w:val="000B6EC8"/>
    <w:pPr>
      <w:spacing w:line="240" w:lineRule="auto"/>
      <w:ind w:left="720"/>
    </w:pPr>
  </w:style>
  <w:style w:type="paragraph" w:styleId="Index5">
    <w:name w:val="index 5"/>
    <w:basedOn w:val="Normal"/>
    <w:next w:val="Normal"/>
    <w:autoRedefine/>
    <w:uiPriority w:val="99"/>
    <w:unhideWhenUsed/>
    <w:rsid w:val="000B6EC8"/>
    <w:pPr>
      <w:spacing w:line="240" w:lineRule="auto"/>
      <w:ind w:left="958"/>
    </w:pPr>
  </w:style>
  <w:style w:type="paragraph" w:styleId="Index6">
    <w:name w:val="index 6"/>
    <w:basedOn w:val="Normal"/>
    <w:next w:val="Normal"/>
    <w:autoRedefine/>
    <w:uiPriority w:val="99"/>
    <w:unhideWhenUsed/>
    <w:rsid w:val="000B6EC8"/>
    <w:pPr>
      <w:spacing w:line="240" w:lineRule="auto"/>
      <w:ind w:left="1202"/>
    </w:pPr>
  </w:style>
  <w:style w:type="paragraph" w:styleId="Index7">
    <w:name w:val="index 7"/>
    <w:basedOn w:val="Normal"/>
    <w:next w:val="Normal"/>
    <w:autoRedefine/>
    <w:uiPriority w:val="99"/>
    <w:unhideWhenUsed/>
    <w:rsid w:val="000B6EC8"/>
    <w:pPr>
      <w:spacing w:line="240" w:lineRule="auto"/>
      <w:ind w:left="1440"/>
    </w:pPr>
  </w:style>
  <w:style w:type="paragraph" w:styleId="Index8">
    <w:name w:val="index 8"/>
    <w:basedOn w:val="Normal"/>
    <w:next w:val="Normal"/>
    <w:autoRedefine/>
    <w:uiPriority w:val="99"/>
    <w:unhideWhenUsed/>
    <w:rsid w:val="000B6EC8"/>
    <w:pPr>
      <w:spacing w:line="240" w:lineRule="auto"/>
      <w:ind w:left="1678"/>
    </w:pPr>
  </w:style>
  <w:style w:type="paragraph" w:styleId="Index9">
    <w:name w:val="index 9"/>
    <w:basedOn w:val="Normal"/>
    <w:next w:val="Normal"/>
    <w:autoRedefine/>
    <w:uiPriority w:val="99"/>
    <w:unhideWhenUsed/>
    <w:rsid w:val="000B6EC8"/>
    <w:pPr>
      <w:spacing w:line="240" w:lineRule="auto"/>
      <w:ind w:left="1922"/>
    </w:pPr>
  </w:style>
  <w:style w:type="paragraph" w:styleId="IndexHeading">
    <w:name w:val="index heading"/>
    <w:basedOn w:val="Normal"/>
    <w:next w:val="Index1"/>
    <w:uiPriority w:val="99"/>
    <w:unhideWhenUsed/>
    <w:rsid w:val="000B6EC8"/>
    <w:rPr>
      <w:rFonts w:eastAsiaTheme="majorEastAsia" w:cstheme="majorBidi"/>
      <w:b/>
      <w:bCs/>
      <w:color w:val="025F5D"/>
    </w:rPr>
  </w:style>
  <w:style w:type="character" w:styleId="IntenseReference">
    <w:name w:val="Intense Reference"/>
    <w:basedOn w:val="DefaultParagraphFont"/>
    <w:uiPriority w:val="32"/>
    <w:rsid w:val="000B6EC8"/>
    <w:rPr>
      <w:b/>
      <w:bCs/>
      <w:smallCaps/>
      <w:color w:val="025F5D"/>
      <w:spacing w:val="5"/>
    </w:rPr>
  </w:style>
  <w:style w:type="character" w:styleId="LineNumber">
    <w:name w:val="line number"/>
    <w:basedOn w:val="DefaultParagraphFont"/>
    <w:uiPriority w:val="99"/>
    <w:unhideWhenUsed/>
    <w:rsid w:val="000B6EC8"/>
  </w:style>
  <w:style w:type="paragraph" w:styleId="List">
    <w:name w:val="List"/>
    <w:basedOn w:val="Normal"/>
    <w:uiPriority w:val="99"/>
    <w:unhideWhenUsed/>
    <w:rsid w:val="000B6EC8"/>
    <w:pPr>
      <w:spacing w:before="60" w:after="60"/>
      <w:ind w:left="714" w:hanging="357"/>
      <w:contextualSpacing/>
    </w:pPr>
  </w:style>
  <w:style w:type="paragraph" w:styleId="List2">
    <w:name w:val="List 2"/>
    <w:basedOn w:val="Normal"/>
    <w:uiPriority w:val="99"/>
    <w:unhideWhenUsed/>
    <w:rsid w:val="000B6EC8"/>
    <w:pPr>
      <w:spacing w:before="60" w:after="60"/>
      <w:ind w:left="1071" w:hanging="357"/>
      <w:contextualSpacing/>
    </w:pPr>
  </w:style>
  <w:style w:type="paragraph" w:styleId="List3">
    <w:name w:val="List 3"/>
    <w:basedOn w:val="Normal"/>
    <w:uiPriority w:val="99"/>
    <w:unhideWhenUsed/>
    <w:rsid w:val="000B6EC8"/>
    <w:pPr>
      <w:spacing w:before="60" w:after="60"/>
      <w:ind w:left="1429" w:hanging="357"/>
      <w:contextualSpacing/>
    </w:pPr>
  </w:style>
  <w:style w:type="paragraph" w:styleId="List4">
    <w:name w:val="List 4"/>
    <w:basedOn w:val="Normal"/>
    <w:uiPriority w:val="99"/>
    <w:unhideWhenUsed/>
    <w:rsid w:val="000B6EC8"/>
    <w:pPr>
      <w:spacing w:before="60" w:after="60"/>
      <w:ind w:left="1786" w:hanging="357"/>
      <w:contextualSpacing/>
    </w:pPr>
  </w:style>
  <w:style w:type="paragraph" w:styleId="List5">
    <w:name w:val="List 5"/>
    <w:basedOn w:val="Normal"/>
    <w:uiPriority w:val="99"/>
    <w:unhideWhenUsed/>
    <w:rsid w:val="000B6EC8"/>
    <w:pPr>
      <w:spacing w:before="60" w:after="60"/>
      <w:ind w:left="2143" w:hanging="357"/>
      <w:contextualSpacing/>
    </w:pPr>
  </w:style>
  <w:style w:type="paragraph" w:styleId="ListBullet3">
    <w:name w:val="List Bullet 3"/>
    <w:basedOn w:val="Normal"/>
    <w:uiPriority w:val="99"/>
    <w:unhideWhenUsed/>
    <w:rsid w:val="000B6EC8"/>
    <w:pPr>
      <w:numPr>
        <w:numId w:val="59"/>
      </w:numPr>
      <w:spacing w:before="60" w:after="60"/>
      <w:contextualSpacing/>
    </w:pPr>
  </w:style>
  <w:style w:type="paragraph" w:styleId="ListBullet4">
    <w:name w:val="List Bullet 4"/>
    <w:basedOn w:val="Normal"/>
    <w:uiPriority w:val="99"/>
    <w:unhideWhenUsed/>
    <w:rsid w:val="000B6EC8"/>
    <w:pPr>
      <w:numPr>
        <w:numId w:val="61"/>
      </w:numPr>
      <w:spacing w:before="60" w:after="60"/>
      <w:contextualSpacing/>
    </w:pPr>
  </w:style>
  <w:style w:type="paragraph" w:styleId="ListBullet5">
    <w:name w:val="List Bullet 5"/>
    <w:basedOn w:val="Normal"/>
    <w:uiPriority w:val="99"/>
    <w:unhideWhenUsed/>
    <w:rsid w:val="000B6EC8"/>
    <w:pPr>
      <w:numPr>
        <w:numId w:val="63"/>
      </w:numPr>
      <w:spacing w:before="60" w:after="60"/>
      <w:contextualSpacing/>
    </w:pPr>
  </w:style>
  <w:style w:type="paragraph" w:styleId="ListContinue">
    <w:name w:val="List Continue"/>
    <w:basedOn w:val="Normal"/>
    <w:uiPriority w:val="99"/>
    <w:semiHidden/>
    <w:unhideWhenUsed/>
    <w:rsid w:val="000B6EC8"/>
    <w:pPr>
      <w:spacing w:before="60" w:after="60"/>
      <w:ind w:left="714" w:hanging="357"/>
      <w:contextualSpacing/>
    </w:pPr>
  </w:style>
  <w:style w:type="paragraph" w:styleId="ListContinue2">
    <w:name w:val="List Continue 2"/>
    <w:basedOn w:val="Normal"/>
    <w:uiPriority w:val="99"/>
    <w:semiHidden/>
    <w:unhideWhenUsed/>
    <w:rsid w:val="000B6EC8"/>
    <w:pPr>
      <w:spacing w:before="60" w:after="60"/>
      <w:ind w:left="1071" w:hanging="357"/>
      <w:contextualSpacing/>
    </w:pPr>
  </w:style>
  <w:style w:type="paragraph" w:styleId="ListContinue3">
    <w:name w:val="List Continue 3"/>
    <w:basedOn w:val="Normal"/>
    <w:uiPriority w:val="99"/>
    <w:semiHidden/>
    <w:unhideWhenUsed/>
    <w:rsid w:val="000B6EC8"/>
    <w:pPr>
      <w:spacing w:before="60" w:after="60"/>
      <w:ind w:left="1429" w:hanging="357"/>
      <w:contextualSpacing/>
    </w:pPr>
  </w:style>
  <w:style w:type="paragraph" w:styleId="ListContinue4">
    <w:name w:val="List Continue 4"/>
    <w:basedOn w:val="Normal"/>
    <w:uiPriority w:val="99"/>
    <w:semiHidden/>
    <w:unhideWhenUsed/>
    <w:rsid w:val="000B6EC8"/>
    <w:pPr>
      <w:spacing w:before="60" w:after="60"/>
      <w:ind w:left="1786" w:hanging="357"/>
      <w:contextualSpacing/>
    </w:pPr>
  </w:style>
  <w:style w:type="paragraph" w:styleId="ListContinue5">
    <w:name w:val="List Continue 5"/>
    <w:basedOn w:val="Normal"/>
    <w:uiPriority w:val="99"/>
    <w:semiHidden/>
    <w:unhideWhenUsed/>
    <w:rsid w:val="000B6EC8"/>
    <w:pPr>
      <w:spacing w:before="60" w:after="60"/>
      <w:ind w:left="2143" w:hanging="357"/>
      <w:contextualSpacing/>
    </w:pPr>
  </w:style>
  <w:style w:type="paragraph" w:styleId="ListNumber3">
    <w:name w:val="List Number 3"/>
    <w:basedOn w:val="Normal"/>
    <w:uiPriority w:val="99"/>
    <w:unhideWhenUsed/>
    <w:rsid w:val="000B6EC8"/>
    <w:pPr>
      <w:numPr>
        <w:numId w:val="66"/>
      </w:numPr>
      <w:tabs>
        <w:tab w:val="clear" w:pos="926"/>
      </w:tabs>
      <w:spacing w:before="60" w:after="60"/>
      <w:contextualSpacing/>
    </w:pPr>
  </w:style>
  <w:style w:type="paragraph" w:styleId="ListNumber4">
    <w:name w:val="List Number 4"/>
    <w:basedOn w:val="Normal"/>
    <w:uiPriority w:val="99"/>
    <w:unhideWhenUsed/>
    <w:rsid w:val="000B6EC8"/>
    <w:pPr>
      <w:numPr>
        <w:numId w:val="68"/>
      </w:numPr>
      <w:tabs>
        <w:tab w:val="clear" w:pos="1209"/>
      </w:tabs>
      <w:spacing w:before="60" w:after="60"/>
      <w:contextualSpacing/>
    </w:pPr>
  </w:style>
  <w:style w:type="paragraph" w:styleId="ListNumber5">
    <w:name w:val="List Number 5"/>
    <w:basedOn w:val="Normal"/>
    <w:uiPriority w:val="99"/>
    <w:unhideWhenUsed/>
    <w:rsid w:val="000B6EC8"/>
    <w:pPr>
      <w:numPr>
        <w:numId w:val="70"/>
      </w:numPr>
      <w:tabs>
        <w:tab w:val="clear" w:pos="1492"/>
      </w:tabs>
      <w:spacing w:before="60" w:after="60"/>
      <w:contextualSpacing/>
    </w:pPr>
  </w:style>
  <w:style w:type="table" w:styleId="ListTable1Light-Accent3">
    <w:name w:val="List Table 1 Light Accent 3"/>
    <w:basedOn w:val="TableNormal"/>
    <w:uiPriority w:val="46"/>
    <w:rsid w:val="000B6EC8"/>
    <w:tblPr>
      <w:tblStyleRowBandSize w:val="1"/>
      <w:tblStyleColBandSize w:val="1"/>
    </w:tblPr>
    <w:tblStylePr w:type="firstRow">
      <w:rPr>
        <w:b/>
        <w:bCs/>
      </w:rPr>
      <w:tblPr/>
      <w:tcPr>
        <w:tcBorders>
          <w:bottom w:val="single" w:sz="4" w:space="0" w:color="FF2D2D" w:themeColor="accent3" w:themeTint="99"/>
        </w:tcBorders>
      </w:tcPr>
    </w:tblStylePr>
    <w:tblStylePr w:type="lastRow">
      <w:rPr>
        <w:b/>
        <w:bCs/>
      </w:rPr>
      <w:tblPr/>
      <w:tcPr>
        <w:tcBorders>
          <w:top w:val="single" w:sz="4" w:space="0" w:color="FF2D2D" w:themeColor="accent3" w:themeTint="99"/>
        </w:tcBorders>
      </w:tcPr>
    </w:tblStylePr>
    <w:tblStylePr w:type="firstCol">
      <w:rPr>
        <w:b/>
        <w:bCs/>
      </w:rPr>
    </w:tblStylePr>
    <w:tblStylePr w:type="lastCol">
      <w:rPr>
        <w:b/>
        <w:bCs/>
      </w:rPr>
    </w:tblStylePr>
    <w:tblStylePr w:type="band1Vert">
      <w:tblPr/>
      <w:tcPr>
        <w:shd w:val="clear" w:color="auto" w:fill="FFB9B9" w:themeFill="accent3" w:themeFillTint="33"/>
      </w:tcPr>
    </w:tblStylePr>
    <w:tblStylePr w:type="band1Horz">
      <w:tblPr/>
      <w:tcPr>
        <w:shd w:val="clear" w:color="auto" w:fill="FFB9B9" w:themeFill="accent3" w:themeFillTint="33"/>
      </w:tcPr>
    </w:tblStylePr>
  </w:style>
  <w:style w:type="table" w:styleId="ListTable3-Accent6">
    <w:name w:val="List Table 3 Accent 6"/>
    <w:basedOn w:val="TableNormal"/>
    <w:uiPriority w:val="48"/>
    <w:rsid w:val="000B6EC8"/>
    <w:tblPr>
      <w:tblStyleRowBandSize w:val="1"/>
      <w:tblStyleColBandSize w:val="1"/>
      <w:tblBorders>
        <w:top w:val="single" w:sz="4" w:space="0" w:color="FFD030" w:themeColor="accent6"/>
        <w:left w:val="single" w:sz="4" w:space="0" w:color="FFD030" w:themeColor="accent6"/>
        <w:bottom w:val="single" w:sz="4" w:space="0" w:color="FFD030" w:themeColor="accent6"/>
        <w:right w:val="single" w:sz="4" w:space="0" w:color="FFD030" w:themeColor="accent6"/>
      </w:tblBorders>
    </w:tblPr>
    <w:tblStylePr w:type="firstRow">
      <w:rPr>
        <w:b/>
        <w:bCs/>
        <w:color w:val="FFFFFF" w:themeColor="background1"/>
      </w:rPr>
      <w:tblPr/>
      <w:tcPr>
        <w:shd w:val="clear" w:color="auto" w:fill="FFD030" w:themeFill="accent6"/>
      </w:tcPr>
    </w:tblStylePr>
    <w:tblStylePr w:type="lastRow">
      <w:rPr>
        <w:b/>
        <w:bCs/>
      </w:rPr>
      <w:tblPr/>
      <w:tcPr>
        <w:tcBorders>
          <w:top w:val="double" w:sz="4" w:space="0" w:color="FFD03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030" w:themeColor="accent6"/>
          <w:right w:val="single" w:sz="4" w:space="0" w:color="FFD030" w:themeColor="accent6"/>
        </w:tcBorders>
      </w:tcPr>
    </w:tblStylePr>
    <w:tblStylePr w:type="band1Horz">
      <w:tblPr/>
      <w:tcPr>
        <w:tcBorders>
          <w:top w:val="single" w:sz="4" w:space="0" w:color="FFD030" w:themeColor="accent6"/>
          <w:bottom w:val="single" w:sz="4" w:space="0" w:color="FFD03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030" w:themeColor="accent6"/>
          <w:left w:val="nil"/>
        </w:tcBorders>
      </w:tcPr>
    </w:tblStylePr>
    <w:tblStylePr w:type="swCell">
      <w:tblPr/>
      <w:tcPr>
        <w:tcBorders>
          <w:top w:val="double" w:sz="4" w:space="0" w:color="FFD030" w:themeColor="accent6"/>
          <w:right w:val="nil"/>
        </w:tcBorders>
      </w:tcPr>
    </w:tblStylePr>
  </w:style>
  <w:style w:type="table" w:styleId="ListTable4-Accent3">
    <w:name w:val="List Table 4 Accent 3"/>
    <w:basedOn w:val="TableNormal"/>
    <w:uiPriority w:val="49"/>
    <w:rsid w:val="000B6EC8"/>
    <w:tblPr>
      <w:tblStyleRowBandSize w:val="1"/>
      <w:tblStyleColBandSize w:val="1"/>
      <w:tblBorders>
        <w:top w:val="single" w:sz="4" w:space="0" w:color="FF2D2D" w:themeColor="accent3" w:themeTint="99"/>
        <w:left w:val="single" w:sz="4" w:space="0" w:color="FF2D2D" w:themeColor="accent3" w:themeTint="99"/>
        <w:bottom w:val="single" w:sz="4" w:space="0" w:color="FF2D2D" w:themeColor="accent3" w:themeTint="99"/>
        <w:right w:val="single" w:sz="4" w:space="0" w:color="FF2D2D" w:themeColor="accent3" w:themeTint="99"/>
        <w:insideH w:val="single" w:sz="4" w:space="0" w:color="FF2D2D" w:themeColor="accent3" w:themeTint="99"/>
      </w:tblBorders>
    </w:tblPr>
    <w:tblStylePr w:type="firstRow">
      <w:rPr>
        <w:b/>
        <w:bCs/>
        <w:color w:val="FFFFFF" w:themeColor="background1"/>
      </w:rPr>
      <w:tblPr/>
      <w:tcPr>
        <w:tcBorders>
          <w:top w:val="single" w:sz="4" w:space="0" w:color="A10000" w:themeColor="accent3"/>
          <w:left w:val="single" w:sz="4" w:space="0" w:color="A10000" w:themeColor="accent3"/>
          <w:bottom w:val="single" w:sz="4" w:space="0" w:color="A10000" w:themeColor="accent3"/>
          <w:right w:val="single" w:sz="4" w:space="0" w:color="A10000" w:themeColor="accent3"/>
          <w:insideH w:val="nil"/>
        </w:tcBorders>
        <w:shd w:val="clear" w:color="auto" w:fill="A10000" w:themeFill="accent3"/>
      </w:tcPr>
    </w:tblStylePr>
    <w:tblStylePr w:type="lastRow">
      <w:rPr>
        <w:b/>
        <w:bCs/>
      </w:rPr>
      <w:tblPr/>
      <w:tcPr>
        <w:tcBorders>
          <w:top w:val="double" w:sz="4" w:space="0" w:color="FF2D2D" w:themeColor="accent3" w:themeTint="99"/>
        </w:tcBorders>
      </w:tcPr>
    </w:tblStylePr>
    <w:tblStylePr w:type="firstCol">
      <w:rPr>
        <w:b/>
        <w:bCs/>
      </w:rPr>
    </w:tblStylePr>
    <w:tblStylePr w:type="lastCol">
      <w:rPr>
        <w:b/>
        <w:bCs/>
      </w:rPr>
    </w:tblStylePr>
    <w:tblStylePr w:type="band1Vert">
      <w:tblPr/>
      <w:tcPr>
        <w:shd w:val="clear" w:color="auto" w:fill="FFB9B9" w:themeFill="accent3" w:themeFillTint="33"/>
      </w:tcPr>
    </w:tblStylePr>
    <w:tblStylePr w:type="band1Horz">
      <w:tblPr/>
      <w:tcPr>
        <w:shd w:val="clear" w:color="auto" w:fill="FFB9B9" w:themeFill="accent3" w:themeFillTint="33"/>
      </w:tcPr>
    </w:tblStylePr>
  </w:style>
  <w:style w:type="table" w:styleId="ListTable5Dark-Accent3">
    <w:name w:val="List Table 5 Dark Accent 3"/>
    <w:basedOn w:val="TableNormal"/>
    <w:uiPriority w:val="50"/>
    <w:rsid w:val="000B6EC8"/>
    <w:rPr>
      <w:color w:val="FFFFFF" w:themeColor="background1"/>
    </w:rPr>
    <w:tblPr>
      <w:tblStyleRowBandSize w:val="1"/>
      <w:tblStyleColBandSize w:val="1"/>
      <w:tblBorders>
        <w:top w:val="single" w:sz="24" w:space="0" w:color="A10000" w:themeColor="accent3"/>
        <w:left w:val="single" w:sz="24" w:space="0" w:color="A10000" w:themeColor="accent3"/>
        <w:bottom w:val="single" w:sz="24" w:space="0" w:color="A10000" w:themeColor="accent3"/>
        <w:right w:val="single" w:sz="24" w:space="0" w:color="A10000" w:themeColor="accent3"/>
      </w:tblBorders>
    </w:tblPr>
    <w:tcPr>
      <w:shd w:val="clear" w:color="auto" w:fill="A100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MessageHeader">
    <w:name w:val="Message Header"/>
    <w:basedOn w:val="Normal"/>
    <w:link w:val="MessageHeaderChar"/>
    <w:uiPriority w:val="99"/>
    <w:unhideWhenUsed/>
    <w:rsid w:val="000B6EC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0B6EC8"/>
    <w:rPr>
      <w:rFonts w:asciiTheme="majorHAnsi" w:eastAsiaTheme="majorEastAsia" w:hAnsiTheme="majorHAnsi" w:cstheme="majorBidi"/>
      <w:shd w:val="pct20" w:color="auto" w:fill="auto"/>
    </w:rPr>
  </w:style>
  <w:style w:type="character" w:styleId="PlaceholderText">
    <w:name w:val="Placeholder Text"/>
    <w:basedOn w:val="DefaultParagraphFont"/>
    <w:uiPriority w:val="99"/>
    <w:semiHidden/>
    <w:rsid w:val="000B6EC8"/>
    <w:rPr>
      <w:color w:val="666666"/>
    </w:rPr>
  </w:style>
  <w:style w:type="table" w:styleId="PlainTable2">
    <w:name w:val="Plain Table 2"/>
    <w:basedOn w:val="TableNormal"/>
    <w:uiPriority w:val="42"/>
    <w:rsid w:val="000B6EC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B6EC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0B6EC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0B6EC8"/>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0B6EC8"/>
    <w:rPr>
      <w:rFonts w:ascii="Consolas" w:hAnsi="Consolas"/>
      <w:sz w:val="21"/>
      <w:szCs w:val="21"/>
    </w:rPr>
  </w:style>
  <w:style w:type="paragraph" w:styleId="Salutation">
    <w:name w:val="Salutation"/>
    <w:basedOn w:val="Normal"/>
    <w:next w:val="Normal"/>
    <w:link w:val="SalutationChar"/>
    <w:uiPriority w:val="99"/>
    <w:unhideWhenUsed/>
    <w:rsid w:val="000B6EC8"/>
  </w:style>
  <w:style w:type="character" w:customStyle="1" w:styleId="SalutationChar">
    <w:name w:val="Salutation Char"/>
    <w:basedOn w:val="DefaultParagraphFont"/>
    <w:link w:val="Salutation"/>
    <w:uiPriority w:val="99"/>
    <w:rsid w:val="000B6EC8"/>
    <w:rPr>
      <w:rFonts w:ascii="Segoe UI" w:hAnsi="Segoe UI"/>
    </w:rPr>
  </w:style>
  <w:style w:type="paragraph" w:styleId="BalloonText">
    <w:name w:val="Balloon Text"/>
    <w:basedOn w:val="Normal"/>
    <w:link w:val="BalloonTextChar"/>
    <w:uiPriority w:val="99"/>
    <w:semiHidden/>
    <w:unhideWhenUsed/>
    <w:rsid w:val="004C786B"/>
    <w:pPr>
      <w:spacing w:after="0" w:line="240" w:lineRule="auto"/>
    </w:pPr>
    <w:rPr>
      <w:rFonts w:cs="Segoe UI"/>
      <w:sz w:val="18"/>
      <w:szCs w:val="18"/>
    </w:rPr>
  </w:style>
  <w:style w:type="paragraph" w:styleId="Signature">
    <w:name w:val="Signature"/>
    <w:basedOn w:val="Normal"/>
    <w:link w:val="SignatureChar"/>
    <w:uiPriority w:val="99"/>
    <w:unhideWhenUsed/>
    <w:rsid w:val="000B6EC8"/>
    <w:pPr>
      <w:spacing w:line="240" w:lineRule="auto"/>
      <w:ind w:left="4252"/>
    </w:pPr>
  </w:style>
  <w:style w:type="character" w:customStyle="1" w:styleId="SignatureChar">
    <w:name w:val="Signature Char"/>
    <w:basedOn w:val="DefaultParagraphFont"/>
    <w:link w:val="Signature"/>
    <w:uiPriority w:val="99"/>
    <w:rsid w:val="000B6EC8"/>
    <w:rPr>
      <w:rFonts w:ascii="Segoe UI" w:hAnsi="Segoe UI"/>
    </w:rPr>
  </w:style>
  <w:style w:type="character" w:styleId="SmartHyperlink">
    <w:name w:val="Smart Hyperlink"/>
    <w:basedOn w:val="DefaultParagraphFont"/>
    <w:uiPriority w:val="99"/>
    <w:unhideWhenUsed/>
    <w:rsid w:val="000B6EC8"/>
    <w:rPr>
      <w:u w:val="dotted"/>
    </w:rPr>
  </w:style>
  <w:style w:type="character" w:styleId="SmartLink">
    <w:name w:val="Smart Link"/>
    <w:basedOn w:val="DefaultParagraphFont"/>
    <w:uiPriority w:val="99"/>
    <w:unhideWhenUsed/>
    <w:rsid w:val="000B6EC8"/>
    <w:rPr>
      <w:color w:val="0000EE"/>
      <w:u w:val="single"/>
      <w:shd w:val="clear" w:color="auto" w:fill="F3F2F1"/>
    </w:rPr>
  </w:style>
  <w:style w:type="character" w:styleId="SubtleReference">
    <w:name w:val="Subtle Reference"/>
    <w:basedOn w:val="DefaultParagraphFont"/>
    <w:uiPriority w:val="31"/>
    <w:rsid w:val="000B6EC8"/>
    <w:rPr>
      <w:rFonts w:ascii="Segoe UI" w:hAnsi="Segoe UI"/>
      <w:smallCaps/>
      <w:color w:val="5A5A5A" w:themeColor="text1" w:themeTint="A5"/>
    </w:rPr>
  </w:style>
  <w:style w:type="paragraph" w:customStyle="1" w:styleId="Tablefootnote">
    <w:name w:val="Table footnote"/>
    <w:basedOn w:val="Caption"/>
    <w:next w:val="BodyText"/>
    <w:qFormat/>
    <w:rsid w:val="000B6EC8"/>
    <w:pPr>
      <w:spacing w:before="60"/>
    </w:pPr>
    <w:rPr>
      <w:rFonts w:ascii="Segoe UI" w:hAnsi="Segoe UI"/>
    </w:rPr>
  </w:style>
  <w:style w:type="table" w:styleId="TableGridLight">
    <w:name w:val="Grid Table Light"/>
    <w:basedOn w:val="TableNormal"/>
    <w:uiPriority w:val="40"/>
    <w:rsid w:val="000B6EC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errowblack">
    <w:name w:val="Table header row black"/>
    <w:basedOn w:val="Normal"/>
    <w:qFormat/>
    <w:rsid w:val="000B6EC8"/>
    <w:rPr>
      <w:rFonts w:ascii="Segoe UI Semibold" w:eastAsia="Times New Roman" w:hAnsi="Segoe UI Semibold" w:cs="Times New Roman"/>
      <w:kern w:val="0"/>
      <w:sz w:val="20"/>
      <w:szCs w:val="20"/>
      <w:lang w:eastAsia="en-AU"/>
      <w14:ligatures w14:val="none"/>
    </w:rPr>
  </w:style>
  <w:style w:type="paragraph" w:customStyle="1" w:styleId="Tableheaderrowwhite">
    <w:name w:val="Table header row white"/>
    <w:basedOn w:val="Tableheaderrowblack"/>
    <w:qFormat/>
    <w:rsid w:val="003C1FD3"/>
    <w:rPr>
      <w:rFonts w:ascii="Segoe UI" w:hAnsi="Segoe UI"/>
      <w:b/>
      <w:color w:val="FFFFFF" w:themeColor="background1"/>
      <w:sz w:val="22"/>
    </w:rPr>
  </w:style>
  <w:style w:type="paragraph" w:customStyle="1" w:styleId="Tableheadinglightgreen">
    <w:name w:val="Table heading light green"/>
    <w:basedOn w:val="Tableheaderrowwhite"/>
    <w:qFormat/>
    <w:rsid w:val="000B6EC8"/>
    <w:pPr>
      <w:shd w:val="clear" w:color="auto" w:fill="BEFEE9"/>
      <w:spacing w:before="40" w:after="40"/>
    </w:pPr>
    <w:rPr>
      <w:color w:val="auto"/>
    </w:rPr>
  </w:style>
  <w:style w:type="paragraph" w:customStyle="1" w:styleId="Tabletext">
    <w:name w:val="Table text"/>
    <w:basedOn w:val="Normal"/>
    <w:autoRedefine/>
    <w:qFormat/>
    <w:locked/>
    <w:rsid w:val="000B6EC8"/>
    <w:pPr>
      <w:spacing w:before="20" w:after="60" w:line="240" w:lineRule="auto"/>
    </w:pPr>
    <w:rPr>
      <w:rFonts w:eastAsia="Times New Roman" w:cs="Times New Roman"/>
      <w:iCs/>
      <w:kern w:val="0"/>
      <w:sz w:val="20"/>
      <w:szCs w:val="20"/>
      <w:lang w:eastAsia="en-AU"/>
      <w14:ligatures w14:val="none"/>
    </w:rPr>
  </w:style>
  <w:style w:type="paragraph" w:styleId="TableofAuthorities">
    <w:name w:val="table of authorities"/>
    <w:basedOn w:val="Normal"/>
    <w:next w:val="Normal"/>
    <w:uiPriority w:val="99"/>
    <w:unhideWhenUsed/>
    <w:rsid w:val="000B6EC8"/>
    <w:pPr>
      <w:ind w:left="240" w:hanging="240"/>
    </w:pPr>
  </w:style>
  <w:style w:type="paragraph" w:customStyle="1" w:styleId="Tablesubheadinglightgreen">
    <w:name w:val="Table subheading light green"/>
    <w:basedOn w:val="Normal"/>
    <w:next w:val="Tabletext"/>
    <w:qFormat/>
    <w:rsid w:val="000B6EC8"/>
    <w:pPr>
      <w:shd w:val="clear" w:color="auto" w:fill="00DCA1" w:themeFill="background2"/>
      <w:spacing w:before="120" w:line="240" w:lineRule="auto"/>
    </w:pPr>
    <w:rPr>
      <w:rFonts w:ascii="Segoe UI Semibold" w:hAnsi="Segoe UI Semibold"/>
      <w:bCs/>
      <w:kern w:val="0"/>
      <w:sz w:val="20"/>
      <w:szCs w:val="20"/>
      <w:lang w:eastAsia="en-AU"/>
      <w14:ligatures w14:val="none"/>
    </w:rPr>
  </w:style>
  <w:style w:type="paragraph" w:customStyle="1" w:styleId="Tablesubheadingmidgreen">
    <w:name w:val="Table subheading mid green"/>
    <w:basedOn w:val="Tablesubheadinglightgreen"/>
    <w:next w:val="Tabletext"/>
    <w:qFormat/>
    <w:rsid w:val="000B6EC8"/>
    <w:pPr>
      <w:shd w:val="clear" w:color="auto" w:fill="083E9C" w:themeFill="accent1"/>
    </w:pPr>
    <w:rPr>
      <w:b/>
      <w:bCs w:val="0"/>
    </w:rPr>
  </w:style>
  <w:style w:type="paragraph" w:customStyle="1" w:styleId="Tabletitle">
    <w:name w:val="Table title"/>
    <w:basedOn w:val="Normal"/>
    <w:qFormat/>
    <w:rsid w:val="00610BE8"/>
    <w:pPr>
      <w:numPr>
        <w:numId w:val="73"/>
      </w:numPr>
      <w:spacing w:before="240"/>
      <w:ind w:left="1418" w:hanging="1418"/>
    </w:pPr>
    <w:rPr>
      <w:rFonts w:ascii="Segoe UI Semibold" w:hAnsi="Segoe UI Semibold"/>
      <w:bCs/>
      <w:color w:val="025F5D"/>
    </w:rPr>
  </w:style>
  <w:style w:type="paragraph" w:customStyle="1" w:styleId="Superscriptblack">
    <w:name w:val="Superscript (black)"/>
    <w:basedOn w:val="Tableheadingcentred"/>
    <w:link w:val="SuperscriptblackChar"/>
    <w:qFormat/>
    <w:rsid w:val="00334A40"/>
    <w:rPr>
      <w:vertAlign w:val="superscript"/>
    </w:rPr>
  </w:style>
  <w:style w:type="character" w:customStyle="1" w:styleId="TableheadingcentredChar">
    <w:name w:val="Table heading centred Char"/>
    <w:basedOn w:val="DefaultParagraphFont"/>
    <w:link w:val="Tableheadingcentred"/>
    <w:rsid w:val="00991310"/>
    <w:rPr>
      <w:rFonts w:ascii="Segoe UI" w:eastAsia="Times New Roman" w:hAnsi="Segoe UI" w:cs="Times New Roman"/>
      <w:b/>
      <w:bCs/>
      <w:kern w:val="0"/>
      <w:sz w:val="22"/>
      <w:szCs w:val="20"/>
    </w:rPr>
  </w:style>
  <w:style w:type="character" w:customStyle="1" w:styleId="SuperscriptblackChar">
    <w:name w:val="Superscript (black) Char"/>
    <w:basedOn w:val="TableheadingcentredChar"/>
    <w:link w:val="Superscriptblack"/>
    <w:rsid w:val="00334A40"/>
    <w:rPr>
      <w:rFonts w:ascii="Segoe UI" w:eastAsia="Times New Roman" w:hAnsi="Segoe UI" w:cs="Times New Roman"/>
      <w:b/>
      <w:bCs/>
      <w:kern w:val="0"/>
      <w:sz w:val="22"/>
      <w:szCs w:val="20"/>
      <w:vertAlign w:val="superscript"/>
    </w:rPr>
  </w:style>
  <w:style w:type="character" w:customStyle="1" w:styleId="TabletextindentedChar">
    <w:name w:val="Table text indented Char"/>
    <w:basedOn w:val="DefaultParagraphFont"/>
    <w:link w:val="Tabletextindented"/>
    <w:rsid w:val="00991310"/>
    <w:rPr>
      <w:rFonts w:ascii="Segoe UI" w:eastAsia="Times New Roman" w:hAnsi="Segoe UI" w:cs="Times New Roman"/>
      <w:kern w:val="0"/>
      <w:sz w:val="22"/>
      <w:szCs w:val="20"/>
    </w:rPr>
  </w:style>
  <w:style w:type="character" w:customStyle="1" w:styleId="TabletextcentredChar">
    <w:name w:val="Table text (centred) Char"/>
    <w:basedOn w:val="TabletextindentedChar"/>
    <w:link w:val="Tabletextcentred"/>
    <w:rsid w:val="00991310"/>
    <w:rPr>
      <w:rFonts w:ascii="Segoe UI" w:eastAsia="Times New Roman" w:hAnsi="Segoe UI" w:cs="Times New Roman"/>
      <w:color w:val="000000" w:themeColor="text1"/>
      <w:kern w:val="0"/>
      <w:sz w:val="22"/>
      <w:szCs w:val="20"/>
      <w:lang w:eastAsia="en-AU"/>
      <w14:ligatures w14:val="none"/>
    </w:rPr>
  </w:style>
  <w:style w:type="character" w:customStyle="1" w:styleId="BalloonTextChar">
    <w:name w:val="Balloon Text Char"/>
    <w:basedOn w:val="DefaultParagraphFont"/>
    <w:link w:val="BalloonText"/>
    <w:uiPriority w:val="99"/>
    <w:semiHidden/>
    <w:rsid w:val="004C786B"/>
    <w:rPr>
      <w:rFonts w:ascii="Segoe UI" w:hAnsi="Segoe UI" w:cs="Segoe UI"/>
      <w:sz w:val="18"/>
      <w:szCs w:val="18"/>
    </w:rPr>
  </w:style>
  <w:style w:type="paragraph" w:styleId="BlockText">
    <w:name w:val="Block Text"/>
    <w:basedOn w:val="Normal"/>
    <w:uiPriority w:val="99"/>
    <w:semiHidden/>
    <w:unhideWhenUsed/>
    <w:rsid w:val="004C786B"/>
    <w:pPr>
      <w:pBdr>
        <w:top w:val="single" w:sz="2" w:space="10" w:color="083E9C" w:themeColor="accent1"/>
        <w:left w:val="single" w:sz="2" w:space="10" w:color="083E9C" w:themeColor="accent1"/>
        <w:bottom w:val="single" w:sz="2" w:space="10" w:color="083E9C" w:themeColor="accent1"/>
        <w:right w:val="single" w:sz="2" w:space="10" w:color="083E9C" w:themeColor="accent1"/>
      </w:pBdr>
      <w:ind w:left="1152" w:right="1152"/>
    </w:pPr>
    <w:rPr>
      <w:rFonts w:asciiTheme="minorHAnsi" w:eastAsiaTheme="minorEastAsia" w:hAnsiTheme="minorHAnsi"/>
      <w:i/>
      <w:iCs/>
      <w:color w:val="083E9C" w:themeColor="accent1"/>
    </w:rPr>
  </w:style>
  <w:style w:type="paragraph" w:styleId="BodyText3">
    <w:name w:val="Body Text 3"/>
    <w:basedOn w:val="Normal"/>
    <w:link w:val="BodyText3Char"/>
    <w:uiPriority w:val="99"/>
    <w:semiHidden/>
    <w:unhideWhenUsed/>
    <w:rsid w:val="004C786B"/>
    <w:rPr>
      <w:sz w:val="16"/>
      <w:szCs w:val="16"/>
    </w:rPr>
  </w:style>
  <w:style w:type="character" w:customStyle="1" w:styleId="BodyText3Char">
    <w:name w:val="Body Text 3 Char"/>
    <w:basedOn w:val="DefaultParagraphFont"/>
    <w:link w:val="BodyText3"/>
    <w:uiPriority w:val="99"/>
    <w:semiHidden/>
    <w:rsid w:val="004C786B"/>
    <w:rPr>
      <w:rFonts w:ascii="Segoe UI" w:hAnsi="Segoe UI"/>
      <w:sz w:val="16"/>
      <w:szCs w:val="16"/>
    </w:rPr>
  </w:style>
  <w:style w:type="paragraph" w:styleId="BodyTextFirstIndent">
    <w:name w:val="Body Text First Indent"/>
    <w:basedOn w:val="BodyText"/>
    <w:link w:val="BodyTextFirstIndentChar"/>
    <w:uiPriority w:val="99"/>
    <w:semiHidden/>
    <w:unhideWhenUsed/>
    <w:rsid w:val="004C786B"/>
    <w:pPr>
      <w:spacing w:after="120"/>
      <w:ind w:firstLine="360"/>
    </w:pPr>
  </w:style>
  <w:style w:type="character" w:customStyle="1" w:styleId="BodyTextFirstIndentChar">
    <w:name w:val="Body Text First Indent Char"/>
    <w:basedOn w:val="BodyTextChar"/>
    <w:link w:val="BodyTextFirstIndent"/>
    <w:uiPriority w:val="99"/>
    <w:semiHidden/>
    <w:rsid w:val="004C786B"/>
    <w:rPr>
      <w:rFonts w:ascii="Segoe UI" w:hAnsi="Segoe UI"/>
    </w:rPr>
  </w:style>
  <w:style w:type="paragraph" w:styleId="BodyTextIndent">
    <w:name w:val="Body Text Indent"/>
    <w:basedOn w:val="Normal"/>
    <w:link w:val="BodyTextIndentChar"/>
    <w:uiPriority w:val="99"/>
    <w:semiHidden/>
    <w:unhideWhenUsed/>
    <w:rsid w:val="004C786B"/>
    <w:pPr>
      <w:ind w:left="283"/>
    </w:pPr>
  </w:style>
  <w:style w:type="character" w:customStyle="1" w:styleId="BodyTextIndentChar">
    <w:name w:val="Body Text Indent Char"/>
    <w:basedOn w:val="DefaultParagraphFont"/>
    <w:link w:val="BodyTextIndent"/>
    <w:uiPriority w:val="99"/>
    <w:semiHidden/>
    <w:rsid w:val="004C786B"/>
    <w:rPr>
      <w:rFonts w:ascii="Segoe UI" w:hAnsi="Segoe UI"/>
    </w:rPr>
  </w:style>
  <w:style w:type="paragraph" w:styleId="BodyTextFirstIndent2">
    <w:name w:val="Body Text First Indent 2"/>
    <w:basedOn w:val="BodyTextIndent"/>
    <w:link w:val="BodyTextFirstIndent2Char"/>
    <w:uiPriority w:val="99"/>
    <w:semiHidden/>
    <w:unhideWhenUsed/>
    <w:rsid w:val="004C786B"/>
    <w:pPr>
      <w:ind w:left="360" w:firstLine="360"/>
    </w:pPr>
  </w:style>
  <w:style w:type="character" w:customStyle="1" w:styleId="BodyTextFirstIndent2Char">
    <w:name w:val="Body Text First Indent 2 Char"/>
    <w:basedOn w:val="BodyTextIndentChar"/>
    <w:link w:val="BodyTextFirstIndent2"/>
    <w:uiPriority w:val="99"/>
    <w:semiHidden/>
    <w:rsid w:val="004C786B"/>
    <w:rPr>
      <w:rFonts w:ascii="Segoe UI" w:hAnsi="Segoe UI"/>
    </w:rPr>
  </w:style>
  <w:style w:type="paragraph" w:styleId="BodyTextIndent2">
    <w:name w:val="Body Text Indent 2"/>
    <w:basedOn w:val="Normal"/>
    <w:link w:val="BodyTextIndent2Char"/>
    <w:uiPriority w:val="99"/>
    <w:semiHidden/>
    <w:unhideWhenUsed/>
    <w:rsid w:val="004C786B"/>
    <w:pPr>
      <w:spacing w:line="480" w:lineRule="auto"/>
      <w:ind w:left="283"/>
    </w:pPr>
  </w:style>
  <w:style w:type="character" w:customStyle="1" w:styleId="BodyTextIndent2Char">
    <w:name w:val="Body Text Indent 2 Char"/>
    <w:basedOn w:val="DefaultParagraphFont"/>
    <w:link w:val="BodyTextIndent2"/>
    <w:uiPriority w:val="99"/>
    <w:semiHidden/>
    <w:rsid w:val="004C786B"/>
    <w:rPr>
      <w:rFonts w:ascii="Segoe UI" w:hAnsi="Segoe UI"/>
    </w:rPr>
  </w:style>
  <w:style w:type="paragraph" w:styleId="BodyTextIndent3">
    <w:name w:val="Body Text Indent 3"/>
    <w:basedOn w:val="Normal"/>
    <w:link w:val="BodyTextIndent3Char"/>
    <w:uiPriority w:val="99"/>
    <w:semiHidden/>
    <w:unhideWhenUsed/>
    <w:rsid w:val="004C786B"/>
    <w:pPr>
      <w:ind w:left="283"/>
    </w:pPr>
    <w:rPr>
      <w:sz w:val="16"/>
      <w:szCs w:val="16"/>
    </w:rPr>
  </w:style>
  <w:style w:type="character" w:customStyle="1" w:styleId="BodyTextIndent3Char">
    <w:name w:val="Body Text Indent 3 Char"/>
    <w:basedOn w:val="DefaultParagraphFont"/>
    <w:link w:val="BodyTextIndent3"/>
    <w:uiPriority w:val="99"/>
    <w:semiHidden/>
    <w:rsid w:val="004C786B"/>
    <w:rPr>
      <w:rFonts w:ascii="Segoe UI" w:hAnsi="Segoe UI"/>
      <w:sz w:val="16"/>
      <w:szCs w:val="16"/>
    </w:rPr>
  </w:style>
  <w:style w:type="paragraph" w:styleId="Closing">
    <w:name w:val="Closing"/>
    <w:basedOn w:val="Normal"/>
    <w:link w:val="ClosingChar"/>
    <w:uiPriority w:val="99"/>
    <w:semiHidden/>
    <w:unhideWhenUsed/>
    <w:rsid w:val="004C786B"/>
    <w:pPr>
      <w:spacing w:after="0" w:line="240" w:lineRule="auto"/>
      <w:ind w:left="4252"/>
    </w:pPr>
  </w:style>
  <w:style w:type="character" w:customStyle="1" w:styleId="ClosingChar">
    <w:name w:val="Closing Char"/>
    <w:basedOn w:val="DefaultParagraphFont"/>
    <w:link w:val="Closing"/>
    <w:uiPriority w:val="99"/>
    <w:semiHidden/>
    <w:rsid w:val="004C786B"/>
    <w:rPr>
      <w:rFonts w:ascii="Segoe UI" w:hAnsi="Segoe UI"/>
    </w:rPr>
  </w:style>
  <w:style w:type="paragraph" w:styleId="DocumentMap">
    <w:name w:val="Document Map"/>
    <w:basedOn w:val="Normal"/>
    <w:link w:val="DocumentMapChar"/>
    <w:uiPriority w:val="99"/>
    <w:semiHidden/>
    <w:unhideWhenUsed/>
    <w:rsid w:val="004C786B"/>
    <w:pPr>
      <w:spacing w:after="0" w:line="240" w:lineRule="auto"/>
    </w:pPr>
    <w:rPr>
      <w:rFonts w:cs="Segoe UI"/>
      <w:sz w:val="16"/>
      <w:szCs w:val="16"/>
    </w:rPr>
  </w:style>
  <w:style w:type="character" w:customStyle="1" w:styleId="DocumentMapChar">
    <w:name w:val="Document Map Char"/>
    <w:basedOn w:val="DefaultParagraphFont"/>
    <w:link w:val="DocumentMap"/>
    <w:uiPriority w:val="99"/>
    <w:semiHidden/>
    <w:rsid w:val="004C786B"/>
    <w:rPr>
      <w:rFonts w:ascii="Segoe UI" w:hAnsi="Segoe UI" w:cs="Segoe UI"/>
      <w:sz w:val="16"/>
      <w:szCs w:val="16"/>
    </w:rPr>
  </w:style>
  <w:style w:type="paragraph" w:styleId="EmailSignature">
    <w:name w:val="E-mail Signature"/>
    <w:basedOn w:val="Normal"/>
    <w:link w:val="EmailSignatureChar"/>
    <w:uiPriority w:val="99"/>
    <w:semiHidden/>
    <w:unhideWhenUsed/>
    <w:rsid w:val="004C786B"/>
    <w:pPr>
      <w:spacing w:after="0" w:line="240" w:lineRule="auto"/>
    </w:pPr>
  </w:style>
  <w:style w:type="character" w:customStyle="1" w:styleId="EmailSignatureChar">
    <w:name w:val="Email Signature Char"/>
    <w:basedOn w:val="DefaultParagraphFont"/>
    <w:link w:val="EmailSignature"/>
    <w:uiPriority w:val="99"/>
    <w:semiHidden/>
    <w:rsid w:val="004C786B"/>
    <w:rPr>
      <w:rFonts w:ascii="Segoe UI" w:hAnsi="Segoe UI"/>
    </w:rPr>
  </w:style>
  <w:style w:type="paragraph" w:styleId="HTMLAddress">
    <w:name w:val="HTML Address"/>
    <w:basedOn w:val="Normal"/>
    <w:link w:val="HTMLAddressChar"/>
    <w:uiPriority w:val="99"/>
    <w:semiHidden/>
    <w:unhideWhenUsed/>
    <w:rsid w:val="004C786B"/>
    <w:pPr>
      <w:spacing w:after="0" w:line="240" w:lineRule="auto"/>
    </w:pPr>
    <w:rPr>
      <w:i/>
      <w:iCs/>
    </w:rPr>
  </w:style>
  <w:style w:type="character" w:customStyle="1" w:styleId="HTMLAddressChar">
    <w:name w:val="HTML Address Char"/>
    <w:basedOn w:val="DefaultParagraphFont"/>
    <w:link w:val="HTMLAddress"/>
    <w:uiPriority w:val="99"/>
    <w:semiHidden/>
    <w:rsid w:val="004C786B"/>
    <w:rPr>
      <w:rFonts w:ascii="Segoe UI" w:hAnsi="Segoe UI"/>
      <w:i/>
      <w:iCs/>
    </w:rPr>
  </w:style>
  <w:style w:type="paragraph" w:styleId="HTMLPreformatted">
    <w:name w:val="HTML Preformatted"/>
    <w:basedOn w:val="Normal"/>
    <w:link w:val="HTMLPreformattedChar"/>
    <w:uiPriority w:val="99"/>
    <w:semiHidden/>
    <w:unhideWhenUsed/>
    <w:rsid w:val="004C786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C786B"/>
    <w:rPr>
      <w:rFonts w:ascii="Consolas" w:hAnsi="Consolas"/>
      <w:sz w:val="20"/>
      <w:szCs w:val="20"/>
    </w:rPr>
  </w:style>
  <w:style w:type="paragraph" w:styleId="MacroText">
    <w:name w:val="macro"/>
    <w:link w:val="MacroTextChar"/>
    <w:uiPriority w:val="99"/>
    <w:semiHidden/>
    <w:unhideWhenUsed/>
    <w:rsid w:val="004C786B"/>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4C786B"/>
    <w:rPr>
      <w:rFonts w:ascii="Consolas" w:hAnsi="Consolas"/>
      <w:sz w:val="20"/>
      <w:szCs w:val="20"/>
    </w:rPr>
  </w:style>
  <w:style w:type="paragraph" w:styleId="NormalIndent">
    <w:name w:val="Normal Indent"/>
    <w:basedOn w:val="Normal"/>
    <w:uiPriority w:val="99"/>
    <w:semiHidden/>
    <w:unhideWhenUsed/>
    <w:rsid w:val="004C786B"/>
    <w:pPr>
      <w:ind w:left="720"/>
    </w:pPr>
  </w:style>
  <w:style w:type="paragraph" w:styleId="NoteHeading">
    <w:name w:val="Note Heading"/>
    <w:basedOn w:val="Normal"/>
    <w:next w:val="Normal"/>
    <w:link w:val="NoteHeadingChar"/>
    <w:uiPriority w:val="99"/>
    <w:semiHidden/>
    <w:unhideWhenUsed/>
    <w:rsid w:val="004C786B"/>
    <w:pPr>
      <w:spacing w:after="0" w:line="240" w:lineRule="auto"/>
    </w:pPr>
  </w:style>
  <w:style w:type="character" w:customStyle="1" w:styleId="NoteHeadingChar">
    <w:name w:val="Note Heading Char"/>
    <w:basedOn w:val="DefaultParagraphFont"/>
    <w:link w:val="NoteHeading"/>
    <w:uiPriority w:val="99"/>
    <w:semiHidden/>
    <w:rsid w:val="004C786B"/>
    <w:rPr>
      <w:rFonts w:ascii="Segoe UI"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cdc.gov.au/resources/publications/national-syphilis-surveillance-and-monitoring-plan-2025" TargetMode="External"/><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header" Target="header3.xml"/><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hyperlink" Target="https://www.abs.gov.au/statistics/standards/australian-statistical-geography-standard-asgs-edition-3/jul2021-jun2026/indigenous-structure" TargetMode="External"/><Relationship Id="rId50" Type="http://schemas.openxmlformats.org/officeDocument/2006/relationships/hyperlink" Target="https://kemh.health.wa.gov.au/~/media/HSPs/NMHS/Hospitals/WNHS/Documents/Clinical-guidelines/Statewide-Maternity-Shared-Care-Guidelines.pdf" TargetMode="External"/><Relationship Id="rId55" Type="http://schemas.openxmlformats.org/officeDocument/2006/relationships/hyperlink" Target="https://www.act.gov.au/__data/assets/pdf_file/0009/2629926/Mpox-and-syphilis-clinician-alert.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DCComms@cdc.gov.au" TargetMode="External"/><Relationship Id="rId29" Type="http://schemas.openxmlformats.org/officeDocument/2006/relationships/image" Target="media/image13.png"/><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hyperlink" Target="mailto:syphilis.surveillance@cdc.gov.au" TargetMode="External"/><Relationship Id="rId53" Type="http://schemas.openxmlformats.org/officeDocument/2006/relationships/hyperlink" Target="https://www.health.tas.gov.au/news/articles/three-syphilis-tests-are-now-recommended-every-pregnancy-prevent-congenital-syphilis"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www.cdc.gov.au/resources/publications/national-syphilis-surveillance-and-monitoring-plan-202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hyperlink" Target="https://www.health.gov.au/resources/publications/syphilis-cdna-national-guidelines-for-public-health-units?language=en" TargetMode="External"/><Relationship Id="rId56" Type="http://schemas.openxmlformats.org/officeDocument/2006/relationships/image" Target="media/image28.png"/><Relationship Id="rId8" Type="http://schemas.openxmlformats.org/officeDocument/2006/relationships/webSettings" Target="webSettings.xml"/><Relationship Id="rId51" Type="http://schemas.openxmlformats.org/officeDocument/2006/relationships/hyperlink" Target="https://www.sahealth.sa.gov.au/wps/wcm/connect/4f3188804eedeac1b604b76a7ac0d6e4/Syphilis+in+pregnancy+and+the+neonate+PPG+v_5_0_.pdf?MOD=AJPERES&amp;CACHEID=ROOTWORKSPACE-4f3188804eedeac1b604b76a7ac0d6e4-ph8fmcZ"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cdc.gov.au/resources/publications/national-syphilis-response-plan-2023-2030" TargetMode="External"/><Relationship Id="rId25" Type="http://schemas.openxmlformats.org/officeDocument/2006/relationships/image" Target="media/image9.png"/><Relationship Id="rId33" Type="http://schemas.openxmlformats.org/officeDocument/2006/relationships/image" Target="media/image17.jpeg"/><Relationship Id="rId38" Type="http://schemas.openxmlformats.org/officeDocument/2006/relationships/image" Target="media/image22.png"/><Relationship Id="rId46" Type="http://schemas.openxmlformats.org/officeDocument/2006/relationships/hyperlink" Target="https://health.nt.gov.au/__data/assets/pdf_file/0009/1592199/health-alert-syphilis-update-11.02.2026.pdf" TargetMode="External"/><Relationship Id="rId59"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image" Target="media/image25.png"/><Relationship Id="rId54" Type="http://schemas.openxmlformats.org/officeDocument/2006/relationships/hyperlink" Target="https://digitallibrary.health.nt.gov.au/nthealthserver/api/core/bitstreams/77f72074-3e47-4697-9b80-63b3f5fd5630/conten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hyperlink" Target="https://www.health.qld.gov.au/__data/assets/pdf_file/0035/736883/g-sip.pdf" TargetMode="External"/><Relationship Id="rId57" Type="http://schemas.openxmlformats.org/officeDocument/2006/relationships/image" Target="media/image29.svg"/><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hyperlink" Target="https://www.health.gov.au/casedefinitions" TargetMode="External"/><Relationship Id="rId52" Type="http://schemas.openxmlformats.org/officeDocument/2006/relationships/hyperlink" Target="https://www.safercare.vic.gov.au/best-practice-improvement/clinical-guidance/maternity/syphilis-testing-during-pregnancy"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el\OneDrive%20-%20Department%20of%20Health\CDC\National%20Syphilis%20Surveillance%20Report%20template.dotx" TargetMode="External"/></Relationship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d0b66a-745c-439f-bf76-03889c346bed">
      <Terms xmlns="http://schemas.microsoft.com/office/infopath/2007/PartnerControls"/>
    </lcf76f155ced4ddcb4097134ff3c332f>
    <TaxCatchAll xmlns="719085c8-530d-4d40-b8b9-63d5f51fab06" xsi:nil="true"/>
    <Order0 xmlns="64d0b66a-745c-439f-bf76-03889c346b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2C96BF79B263478F32DAA0597FB74D" ma:contentTypeVersion="21" ma:contentTypeDescription="Create a new document." ma:contentTypeScope="" ma:versionID="4df880610c0c0189043fa86f3589bc24">
  <xsd:schema xmlns:xsd="http://www.w3.org/2001/XMLSchema" xmlns:xs="http://www.w3.org/2001/XMLSchema" xmlns:p="http://schemas.microsoft.com/office/2006/metadata/properties" xmlns:ns2="719085c8-530d-4d40-b8b9-63d5f51fab06" xmlns:ns3="64d0b66a-745c-439f-bf76-03889c346bed" targetNamespace="http://schemas.microsoft.com/office/2006/metadata/properties" ma:root="true" ma:fieldsID="ab45a8cef752eb1d7f6840ccc76f5c69" ns2:_="" ns3:_="">
    <xsd:import namespace="719085c8-530d-4d40-b8b9-63d5f51fab06"/>
    <xsd:import namespace="64d0b66a-745c-439f-bf76-03889c346be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element ref="ns3:MediaServiceSearchProperties" minOccurs="0"/>
                <xsd:element ref="ns3:Order0"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9085c8-530d-4d40-b8b9-63d5f51fab0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eed5d9c-7db4-4a96-bdcf-870c4507bb78}" ma:internalName="TaxCatchAll" ma:showField="CatchAllData" ma:web="719085c8-530d-4d40-b8b9-63d5f51fab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4d0b66a-745c-439f-bf76-03889c346be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Order0" ma:index="25" nillable="true" ma:displayName="Order" ma:format="Dropdown" ma:internalName="Order0">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A868E-2592-455D-816C-475A3962B9A8}">
  <ds:schemaRefs>
    <ds:schemaRef ds:uri="http://schemas.microsoft.com/office/2006/metadata/properties"/>
    <ds:schemaRef ds:uri="http://schemas.microsoft.com/office/infopath/2007/PartnerControls"/>
    <ds:schemaRef ds:uri="64d0b66a-745c-439f-bf76-03889c346bed"/>
    <ds:schemaRef ds:uri="719085c8-530d-4d40-b8b9-63d5f51fab06"/>
  </ds:schemaRefs>
</ds:datastoreItem>
</file>

<file path=customXml/itemProps2.xml><?xml version="1.0" encoding="utf-8"?>
<ds:datastoreItem xmlns:ds="http://schemas.openxmlformats.org/officeDocument/2006/customXml" ds:itemID="{B82177AB-C943-4402-B68A-D71AF46548BD}">
  <ds:schemaRefs>
    <ds:schemaRef ds:uri="http://schemas.microsoft.com/sharepoint/v3/contenttype/forms"/>
  </ds:schemaRefs>
</ds:datastoreItem>
</file>

<file path=customXml/itemProps3.xml><?xml version="1.0" encoding="utf-8"?>
<ds:datastoreItem xmlns:ds="http://schemas.openxmlformats.org/officeDocument/2006/customXml" ds:itemID="{0E4B9B0D-1901-4BA1-8DCF-75D81E623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9085c8-530d-4d40-b8b9-63d5f51fab06"/>
    <ds:schemaRef ds:uri="64d0b66a-745c-439f-bf76-03889c346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7ABA88-CBE0-FC4A-8C00-4C64D752A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National Syphilis Surveillance Report template.dotx</Template>
  <TotalTime>43</TotalTime>
  <Pages>49</Pages>
  <Words>9556</Words>
  <Characters>53709</Characters>
  <Application>Microsoft Office Word</Application>
  <DocSecurity>0</DocSecurity>
  <Lines>1790</Lines>
  <Paragraphs>1437</Paragraphs>
  <ScaleCrop>false</ScaleCrop>
  <HeadingPairs>
    <vt:vector size="2" baseType="variant">
      <vt:variant>
        <vt:lpstr>Title</vt:lpstr>
      </vt:variant>
      <vt:variant>
        <vt:i4>1</vt:i4>
      </vt:variant>
    </vt:vector>
  </HeadingPairs>
  <TitlesOfParts>
    <vt:vector size="1" baseType="lpstr">
      <vt:lpstr>National Syphilis Surveillance Report Q1 2026</vt:lpstr>
    </vt:vector>
  </TitlesOfParts>
  <Company/>
  <LinksUpToDate>false</LinksUpToDate>
  <CharactersWithSpaces>61828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Syphilis Surveillance Report Q1 2026</dc:title>
  <dc:subject>Communicable diseases prevention and control</dc:subject>
  <dc:creator>Australian Centre for Disease Control</dc:creator>
  <cp:keywords>syphilis, surveillance</cp:keywords>
  <dc:description/>
  <cp:lastModifiedBy>MASCHKE, Elvia</cp:lastModifiedBy>
  <cp:revision>29</cp:revision>
  <cp:lastPrinted>2026-09-30T01:09:00Z</cp:lastPrinted>
  <dcterms:created xsi:type="dcterms:W3CDTF">2026-09-30T00:29:00Z</dcterms:created>
  <dcterms:modified xsi:type="dcterms:W3CDTF">2026-09-30T01:35:00Z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0x010100652C96BF79B263478F32DAA0597FB74D</vt:lpwstr>
  </property>
  <property fmtid="{D5CDD505-2E9C-101B-9397-08002B2CF9AE}" pid="3" name="MediaServiceImageTags">
    <vt:lpwstr/>
  </property>
  <property fmtid="{D5CDD505-2E9C-101B-9397-08002B2CF9AE}" pid="4" name="ClassificationContentMarkingHeaderShapeIds">
    <vt:lpwstr>6ad39508,6776529f,29c82d70</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58ce0941,4dbcf4c9,69c0bb6f</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2025-12-09T04:45:48Z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07552bcc-6c20-45e9-a346-c1035e32f58a</vt:lpwstr>
  </property>
  <property fmtid="{D5CDD505-2E9C-101B-9397-08002B2CF9AE}" pid="16" name="MSIP_Label_7cd3e8b9-ffed-43a8-b7f4-cc2fa0382d36_ContentBits">
    <vt:lpwstr>3</vt:lpwstr>
  </property>
  <property fmtid="{D5CDD505-2E9C-101B-9397-08002B2CF9AE}" pid="17" name="MSIP_Label_7cd3e8b9-ffed-43a8-b7f4-cc2fa0382d36_Tag">
    <vt:lpwstr>50, 0, 1, 1</vt:lpwstr>
  </property>
  <property fmtid="{D5CDD505-2E9C-101B-9397-08002B2CF9AE}" pid="18" name="Order">
    <vt:r8>425300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docLang">
    <vt:lpwstr>en</vt:lpwstr>
  </property>
</Properties>
</file>