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310C6" w14:textId="3DAD997C" w:rsidR="00FF5689" w:rsidRPr="00751DE9" w:rsidRDefault="00CC54B7" w:rsidP="00E75EF6">
      <w:pPr>
        <w:pStyle w:val="Title"/>
        <w:tabs>
          <w:tab w:val="left" w:pos="7380"/>
          <w:tab w:val="left" w:pos="8203"/>
        </w:tabs>
      </w:pPr>
      <w:r>
        <w:rPr>
          <w:noProof/>
        </w:rPr>
        <w:t>Mpox</w:t>
      </w:r>
    </w:p>
    <w:p w14:paraId="52E748BB" w14:textId="77777777" w:rsidR="00FF5689" w:rsidRDefault="00AD6802" w:rsidP="00751DE9">
      <w:pPr>
        <w:pStyle w:val="Subtitle"/>
      </w:pPr>
      <w:r>
        <w:t>CDNA National Guidelines for Public Health Units</w:t>
      </w:r>
    </w:p>
    <w:p w14:paraId="0DDE0EBF" w14:textId="54958366" w:rsidR="00AD6802" w:rsidRPr="00F53156" w:rsidRDefault="00AD6802" w:rsidP="00AD6802">
      <w:pPr>
        <w:pStyle w:val="Covertext"/>
      </w:pPr>
      <w:r w:rsidRPr="00F53156">
        <w:t xml:space="preserve">Version </w:t>
      </w:r>
      <w:r w:rsidR="00CC54B7">
        <w:t>5.</w:t>
      </w:r>
      <w:r w:rsidR="00B93764">
        <w:t>1</w:t>
      </w:r>
    </w:p>
    <w:p w14:paraId="1AE85C94" w14:textId="1F891AF3" w:rsidR="00AD6802" w:rsidRPr="00F53156" w:rsidRDefault="00AD6802" w:rsidP="00B93764">
      <w:pPr>
        <w:pStyle w:val="Covertext"/>
        <w:tabs>
          <w:tab w:val="center" w:pos="4510"/>
        </w:tabs>
      </w:pPr>
      <w:r w:rsidRPr="00F53156">
        <w:t xml:space="preserve">Date: </w:t>
      </w:r>
      <w:r w:rsidR="00B93764">
        <w:t>0</w:t>
      </w:r>
      <w:r w:rsidR="006D289A">
        <w:t>6</w:t>
      </w:r>
      <w:r w:rsidR="00B93764">
        <w:t xml:space="preserve"> October 2026</w:t>
      </w:r>
    </w:p>
    <w:p w14:paraId="5F344D2A" w14:textId="0126FEAE" w:rsidR="00AD6802" w:rsidRPr="00AD6802" w:rsidRDefault="00AD6802" w:rsidP="00AD6802">
      <w:pPr>
        <w:pStyle w:val="Covertext"/>
      </w:pPr>
      <w:r w:rsidRPr="00F53156">
        <w:t xml:space="preserve">Endorsed by CDNA JEG: </w:t>
      </w:r>
      <w:r w:rsidR="00B93764">
        <w:t>25 August 2026</w:t>
      </w:r>
    </w:p>
    <w:p w14:paraId="3CCB5C93" w14:textId="632901A1" w:rsidR="00AD6802" w:rsidRPr="00CC54B7" w:rsidRDefault="00FF5689" w:rsidP="00CC54B7">
      <w:r w:rsidRPr="00CC54B7">
        <w:br w:type="page"/>
      </w:r>
    </w:p>
    <w:p w14:paraId="60AB4047" w14:textId="77777777" w:rsidR="00AD6802" w:rsidRPr="00C14AB0" w:rsidRDefault="00AD6802" w:rsidP="00AD6802">
      <w:pPr>
        <w:pStyle w:val="Copyrighttext"/>
      </w:pPr>
      <w:r w:rsidRPr="00C14AB0">
        <w:lastRenderedPageBreak/>
        <w:t>© Commonwealth of Australia as represented by the Australian Centre for Disease Control</w:t>
      </w:r>
    </w:p>
    <w:p w14:paraId="24CDCB92" w14:textId="599A992D" w:rsidR="00AD6802" w:rsidRPr="00C14AB0" w:rsidRDefault="00CC54B7" w:rsidP="00AD6802">
      <w:pPr>
        <w:pStyle w:val="Copyrighttext"/>
      </w:pPr>
      <w:r w:rsidRPr="00CC54B7">
        <w:t>Title: Mpox CDNA National Guidelines for Public Health Units</w:t>
      </w:r>
    </w:p>
    <w:p w14:paraId="06076979" w14:textId="77777777" w:rsidR="00AD6802" w:rsidRPr="00B06562" w:rsidRDefault="00AD6802" w:rsidP="00B06562">
      <w:pPr>
        <w:pStyle w:val="Copyrighttext"/>
        <w:rPr>
          <w:rStyle w:val="Strong"/>
        </w:rPr>
      </w:pPr>
      <w:r w:rsidRPr="00B06562">
        <w:rPr>
          <w:rStyle w:val="Strong"/>
        </w:rPr>
        <w:t>Creative Commons Licence</w:t>
      </w:r>
    </w:p>
    <w:p w14:paraId="6565FABB" w14:textId="77777777" w:rsidR="00AD6802" w:rsidRPr="00C14AB0" w:rsidRDefault="00AD6802" w:rsidP="00AD6802">
      <w:pPr>
        <w:pStyle w:val="Copyrighttext"/>
      </w:pPr>
      <w:r w:rsidRPr="00C14AB0">
        <w:t xml:space="preserve">This publication is licensed under the Creative Commons Attribution 4.0 International Public License available from </w:t>
      </w:r>
      <w:hyperlink r:id="rId11" w:history="1">
        <w:r w:rsidR="001A2834" w:rsidRPr="009C0ADC">
          <w:rPr>
            <w:rStyle w:val="Hyperlink"/>
          </w:rPr>
          <w:t>https://creativecommons.org/licenses/by/4.0/legalcode</w:t>
        </w:r>
      </w:hyperlink>
      <w:r w:rsidR="001A2834">
        <w:t xml:space="preserve"> </w:t>
      </w:r>
      <w:r w:rsidRPr="00C14AB0">
        <w:t>(“Licence”). You must read and understand the Licence before using any material from this publication.</w:t>
      </w:r>
    </w:p>
    <w:p w14:paraId="1450C57B" w14:textId="77777777" w:rsidR="00AD6802" w:rsidRPr="00B06562" w:rsidRDefault="00AD6802" w:rsidP="00B06562">
      <w:pPr>
        <w:pStyle w:val="Copyrighttext"/>
        <w:rPr>
          <w:rStyle w:val="Strong"/>
        </w:rPr>
      </w:pPr>
      <w:r w:rsidRPr="00B06562">
        <w:rPr>
          <w:rStyle w:val="Strong"/>
        </w:rPr>
        <w:t>Restrictions</w:t>
      </w:r>
    </w:p>
    <w:p w14:paraId="79B4C896" w14:textId="77777777" w:rsidR="00AD6802" w:rsidRPr="00C14AB0" w:rsidRDefault="00AD6802" w:rsidP="00AD6802">
      <w:pPr>
        <w:pStyle w:val="Copyrighttext"/>
      </w:pPr>
      <w:r w:rsidRPr="00C14AB0">
        <w:t>The Licence may not give you all the permissions necessary for your intended use. For example, other rights (such as publicity, privacy and moral rights) may limit how you use the material found in this publication.</w:t>
      </w:r>
    </w:p>
    <w:p w14:paraId="27801895" w14:textId="77777777" w:rsidR="00AD6802" w:rsidRPr="00C14AB0" w:rsidRDefault="00AD6802" w:rsidP="00AD6802">
      <w:pPr>
        <w:pStyle w:val="Copyrighttext"/>
      </w:pPr>
      <w:r w:rsidRPr="00C14AB0">
        <w:t>The Licence does not cover, and there is no permission given for, use of any of the following material found in this publication:</w:t>
      </w:r>
    </w:p>
    <w:p w14:paraId="783BC9CB" w14:textId="77777777" w:rsidR="00AD6802" w:rsidRPr="00C14BF9" w:rsidRDefault="00AD6802" w:rsidP="00AD6802">
      <w:pPr>
        <w:pStyle w:val="Copyrightbulletlist"/>
        <w:ind w:left="714"/>
      </w:pPr>
      <w:r w:rsidRPr="00C14AB0">
        <w:t xml:space="preserve">the Commonwealth Coat of Arms. </w:t>
      </w:r>
      <w:r w:rsidRPr="007A4AE2">
        <w:t>(</w:t>
      </w:r>
      <w:r w:rsidRPr="0093424B">
        <w:t>by way of information, the terms under which the Coat of Arms may be used can be found on the Department of Prime Minister and Cabinet website</w:t>
      </w:r>
      <w:r>
        <w:t>)</w:t>
      </w:r>
    </w:p>
    <w:p w14:paraId="28B95D65" w14:textId="77777777" w:rsidR="00AD6802" w:rsidRPr="00C14BF9" w:rsidRDefault="00AD6802" w:rsidP="00AD6802">
      <w:pPr>
        <w:pStyle w:val="Copyrightbulletlist"/>
        <w:ind w:left="714"/>
      </w:pPr>
      <w:r w:rsidRPr="00C14AB0">
        <w:t>any logos and trademarks;</w:t>
      </w:r>
    </w:p>
    <w:p w14:paraId="6A40ADDA" w14:textId="77777777" w:rsidR="00AD6802" w:rsidRPr="00C14BF9" w:rsidRDefault="00AD6802" w:rsidP="00AD6802">
      <w:pPr>
        <w:pStyle w:val="Copyrightbulletlist"/>
        <w:ind w:left="714"/>
      </w:pPr>
      <w:r w:rsidRPr="00C14AB0">
        <w:t>any photographs and images;</w:t>
      </w:r>
    </w:p>
    <w:p w14:paraId="4E5A6CF2" w14:textId="77777777" w:rsidR="00AD6802" w:rsidRPr="00C14BF9" w:rsidRDefault="00AD6802" w:rsidP="00AD6802">
      <w:pPr>
        <w:pStyle w:val="Copyrightbulletlist"/>
        <w:ind w:left="714"/>
      </w:pPr>
      <w:r w:rsidRPr="00C14AB0">
        <w:t>any signatures; and</w:t>
      </w:r>
    </w:p>
    <w:p w14:paraId="7E125734" w14:textId="77777777" w:rsidR="00AD6802" w:rsidRPr="00C14BF9" w:rsidRDefault="00AD6802" w:rsidP="00AD6802">
      <w:pPr>
        <w:pStyle w:val="Copyrightbulletlist"/>
        <w:ind w:left="714"/>
      </w:pPr>
      <w:r w:rsidRPr="00C14AB0">
        <w:t>any material belonging to third parties. The third party elements must be included here or have a footnote reference throughout the document showing where they are</w:t>
      </w:r>
      <w:r>
        <w:t>.</w:t>
      </w:r>
    </w:p>
    <w:p w14:paraId="20A8572F" w14:textId="77777777" w:rsidR="00AD6802" w:rsidRPr="00B06562" w:rsidRDefault="00AD6802" w:rsidP="00B06562">
      <w:pPr>
        <w:pStyle w:val="Copyrighttext"/>
        <w:rPr>
          <w:rStyle w:val="Strong"/>
        </w:rPr>
      </w:pPr>
      <w:r w:rsidRPr="00B06562">
        <w:rPr>
          <w:rStyle w:val="Strong"/>
        </w:rPr>
        <w:t>Attribution</w:t>
      </w:r>
    </w:p>
    <w:p w14:paraId="75257220" w14:textId="77777777" w:rsidR="00AD6802" w:rsidRPr="00C14AB0" w:rsidRDefault="00AD6802" w:rsidP="00AD6802">
      <w:pPr>
        <w:pStyle w:val="Copyrighttext"/>
      </w:pPr>
      <w:r w:rsidRPr="00C14AB0">
        <w:t>Without limiting your obligations under the Licence, the Australian Centre for Disease Control requests that you attribute this publication in your work. Any reasonable form of words may be used provided that you:</w:t>
      </w:r>
    </w:p>
    <w:p w14:paraId="38981D7A" w14:textId="77777777" w:rsidR="00AD6802" w:rsidRPr="00C14AB0" w:rsidRDefault="00AD6802" w:rsidP="00AD6802">
      <w:pPr>
        <w:pStyle w:val="Copyrightbulletlist"/>
        <w:ind w:left="714"/>
      </w:pPr>
      <w:r w:rsidRPr="00C14AB0">
        <w:t>include a reference to this publication and where, practicable, the relevant page numbers;</w:t>
      </w:r>
    </w:p>
    <w:p w14:paraId="3EAFA1DE" w14:textId="77777777" w:rsidR="00AD6802" w:rsidRPr="00C14AB0" w:rsidRDefault="00AD6802" w:rsidP="00AD6802">
      <w:pPr>
        <w:pStyle w:val="Copyrightbulletlist"/>
        <w:ind w:left="714"/>
      </w:pPr>
      <w:r w:rsidRPr="00C14AB0">
        <w:t>make it clear that you have permission to use the material under the Creative Commons Attribution 4.0 International Public License;</w:t>
      </w:r>
    </w:p>
    <w:p w14:paraId="72E1A59A" w14:textId="77777777" w:rsidR="00AD6802" w:rsidRPr="00C14AB0" w:rsidRDefault="00AD6802" w:rsidP="00AD6802">
      <w:pPr>
        <w:pStyle w:val="Copyrightbulletlist"/>
        <w:ind w:left="714"/>
      </w:pPr>
      <w:r w:rsidRPr="00C14AB0">
        <w:t>make it clear whether or not you have changed the material used from this publication;</w:t>
      </w:r>
    </w:p>
    <w:p w14:paraId="559AEA9F" w14:textId="77777777" w:rsidR="00AD6802" w:rsidRPr="00C14AB0" w:rsidRDefault="00AD6802" w:rsidP="00AD6802">
      <w:pPr>
        <w:pStyle w:val="Copyrightbulletlist"/>
        <w:ind w:left="714"/>
      </w:pPr>
      <w:r w:rsidRPr="00C14AB0">
        <w:t>include a copyright notice in relation to the material used. In the case of no change to the material, the words “© Commonwealth of Australia (Australian Centre for Disease Control) 20XX” may be used. In the case where the material has been changed or adapted, the words: “Based on Commonwealth of Australia (Australian Centre for Disease Control) material” may be used; and</w:t>
      </w:r>
    </w:p>
    <w:p w14:paraId="3327C255" w14:textId="77777777" w:rsidR="00AD6802" w:rsidRPr="00C14AB0" w:rsidRDefault="00AD6802" w:rsidP="00AD6802">
      <w:pPr>
        <w:pStyle w:val="Copyrightbulletlist"/>
        <w:ind w:left="714"/>
      </w:pPr>
      <w:r w:rsidRPr="00C14AB0">
        <w:t>do not suggest that the Australian Centre for Disease Control endorses you or your use of the material.</w:t>
      </w:r>
    </w:p>
    <w:p w14:paraId="1757184A" w14:textId="77777777" w:rsidR="00AD6802" w:rsidRPr="00B06562" w:rsidRDefault="00AD6802" w:rsidP="00B06562">
      <w:pPr>
        <w:pStyle w:val="Copyrighttext"/>
        <w:rPr>
          <w:rStyle w:val="Strong"/>
        </w:rPr>
      </w:pPr>
      <w:r w:rsidRPr="00B06562">
        <w:rPr>
          <w:rStyle w:val="Strong"/>
        </w:rPr>
        <w:t>Enquiries</w:t>
      </w:r>
    </w:p>
    <w:p w14:paraId="034B8775" w14:textId="5618A1B1" w:rsidR="00AD6802" w:rsidRDefault="00AD6802" w:rsidP="00AD6802">
      <w:pPr>
        <w:pStyle w:val="Copyrighttext"/>
      </w:pPr>
      <w:r w:rsidRPr="00C14AB0">
        <w:t xml:space="preserve">Enquiries regarding any other use of this publication should be addressed to the Communication and Public Information Section, Strategy and Engagement Branch, Australian Centre for Disease Control, GPO Box 798, Canberra ACT 2601, or via e-mail to </w:t>
      </w:r>
      <w:hyperlink r:id="rId12" w:history="1">
        <w:r w:rsidR="00CC54B7" w:rsidRPr="00917AC5">
          <w:rPr>
            <w:rStyle w:val="Hyperlink"/>
          </w:rPr>
          <w:t>comms@cdc.gov.au</w:t>
        </w:r>
      </w:hyperlink>
      <w:r w:rsidRPr="00C14AB0">
        <w:t>.</w:t>
      </w:r>
    </w:p>
    <w:p w14:paraId="03984C4E" w14:textId="77777777" w:rsidR="00AD6802" w:rsidRPr="00554E43" w:rsidRDefault="00AD6802" w:rsidP="00AD6802">
      <w:pPr>
        <w:pStyle w:val="BodyText"/>
        <w:rPr>
          <w:lang w:eastAsia="en-GB"/>
        </w:rPr>
      </w:pPr>
      <w:r>
        <w:br w:type="page"/>
      </w:r>
    </w:p>
    <w:p w14:paraId="04B3F3AE" w14:textId="77777777" w:rsidR="00AD6802" w:rsidRPr="00737E90" w:rsidRDefault="00AD6802" w:rsidP="00451795">
      <w:pPr>
        <w:pStyle w:val="Heading1"/>
      </w:pPr>
      <w:bookmarkStart w:id="0" w:name="_Toc230260140"/>
      <w:bookmarkStart w:id="1" w:name="_Toc232174932"/>
      <w:bookmarkStart w:id="2" w:name="_Toc232181730"/>
      <w:r w:rsidRPr="00737E90">
        <w:lastRenderedPageBreak/>
        <w:t>Using these guidelines</w:t>
      </w:r>
      <w:bookmarkEnd w:id="0"/>
      <w:bookmarkEnd w:id="1"/>
      <w:bookmarkEnd w:id="2"/>
    </w:p>
    <w:p w14:paraId="06980C2F" w14:textId="2AC8817E" w:rsidR="00AD6802" w:rsidRPr="00FA511D" w:rsidRDefault="00AD6802" w:rsidP="00AD6802">
      <w:pPr>
        <w:pStyle w:val="BodyText"/>
        <w:rPr>
          <w:lang w:eastAsia="en-GB"/>
        </w:rPr>
      </w:pPr>
      <w:r w:rsidRPr="00FA511D">
        <w:rPr>
          <w:lang w:eastAsia="en-GB"/>
        </w:rPr>
        <w:t xml:space="preserve">These guidelines for public health units (PHUs) outline Australia’s agreed national approach for the routine public health management of </w:t>
      </w:r>
      <w:r w:rsidR="0038305C">
        <w:rPr>
          <w:lang w:eastAsia="en-GB"/>
        </w:rPr>
        <w:t>mpox</w:t>
      </w:r>
      <w:r w:rsidRPr="0038305C">
        <w:rPr>
          <w:lang w:eastAsia="en-GB"/>
        </w:rPr>
        <w:t>.</w:t>
      </w:r>
      <w:r w:rsidRPr="00FA511D">
        <w:rPr>
          <w:lang w:eastAsia="en-GB"/>
        </w:rPr>
        <w:t xml:space="preserve"> They consider available evidence at the time of publication to develop pragmatic guidance, including where evidence is still evolving or where jurisdictional approaches differ. Jurisdictions may implement policies that differ from these national standards based on local factors.</w:t>
      </w:r>
    </w:p>
    <w:p w14:paraId="12181137" w14:textId="77777777" w:rsidR="00AD6802" w:rsidRPr="00FA511D" w:rsidRDefault="00AD6802" w:rsidP="00AD6802">
      <w:pPr>
        <w:pStyle w:val="BodyText"/>
        <w:rPr>
          <w:lang w:eastAsia="en-GB"/>
        </w:rPr>
      </w:pPr>
      <w:r w:rsidRPr="00FA511D">
        <w:rPr>
          <w:lang w:eastAsia="en-GB"/>
        </w:rPr>
        <w:t>Readers should not rely solely on the information contained within these guidelines. Guideline information is not intended to be a substitute for advice from other relevant sources, including, but not limited to, jurisdictional public health guidelines and advice from a public health specialist or other health professional. Clinical judgment and discretion may be required to interpret and apply these guidelines. PHUs should refer to and follow jurisdictional guidance regarding disease management where appropriate.</w:t>
      </w:r>
      <w:r w:rsidR="00B4556E">
        <w:rPr>
          <w:lang w:eastAsia="en-GB"/>
        </w:rPr>
        <w:t xml:space="preserve"> </w:t>
      </w:r>
      <w:r w:rsidRPr="00FA511D">
        <w:rPr>
          <w:lang w:eastAsia="en-GB"/>
        </w:rPr>
        <w:t>These guidelines are not intended to provide public health guidance or advice to other (non-PHU) audiences.</w:t>
      </w:r>
    </w:p>
    <w:p w14:paraId="40592903" w14:textId="77777777" w:rsidR="00AD6802" w:rsidRPr="00FA511D" w:rsidRDefault="00AD6802" w:rsidP="00AD6802">
      <w:pPr>
        <w:pStyle w:val="BodyText"/>
        <w:rPr>
          <w:lang w:eastAsia="en-GB"/>
        </w:rPr>
      </w:pPr>
      <w:bookmarkStart w:id="3" w:name="_Hlk218861433"/>
      <w:r w:rsidRPr="00FA511D">
        <w:rPr>
          <w:lang w:eastAsia="en-GB"/>
        </w:rPr>
        <w:t>Members of the Communicable Diseases Network Australia (CDNA), the Australian Health Protection Committee (AHPC), and the Australian Government, as represented by the Australian Centre for Disease Control (CDC), do not warrant, or represent that the information contained in these guidelines is accurate, current, or complete. The CDNA, the AHPC and the Australian CDC do not accept any legal liability or responsibility for any loss, damages, costs, or expenses incurred by the use of, reliance on, or interpretation of the information contained in these guidelines.</w:t>
      </w:r>
    </w:p>
    <w:p w14:paraId="3D406825" w14:textId="2A3A9115" w:rsidR="00825B26" w:rsidRPr="00825B26" w:rsidRDefault="00825B26" w:rsidP="00825B26">
      <w:pPr>
        <w:pStyle w:val="NoSpacing"/>
      </w:pPr>
      <w:bookmarkStart w:id="4" w:name="_Toc230260143"/>
      <w:bookmarkStart w:id="5" w:name="_Toc232174935"/>
      <w:bookmarkStart w:id="6" w:name="_Toc232181733"/>
      <w:bookmarkEnd w:id="3"/>
      <w:r w:rsidRPr="00825B26">
        <w:t xml:space="preserve">Endorsed by CDNA Jurisdictional Executive Group: </w:t>
      </w:r>
      <w:r w:rsidR="00B93764">
        <w:t>25 August 2026</w:t>
      </w:r>
    </w:p>
    <w:p w14:paraId="6AE82749" w14:textId="63D22EEE" w:rsidR="00825B26" w:rsidRPr="00825B26" w:rsidRDefault="00825B26" w:rsidP="00825B26">
      <w:pPr>
        <w:pStyle w:val="NoSpacing"/>
      </w:pPr>
      <w:r w:rsidRPr="00825B26">
        <w:t xml:space="preserve">Noted by AHPC: </w:t>
      </w:r>
      <w:r w:rsidR="007502DE">
        <w:t>21 September</w:t>
      </w:r>
      <w:r w:rsidRPr="00825B26">
        <w:t xml:space="preserve"> 202</w:t>
      </w:r>
      <w:r w:rsidR="007502DE">
        <w:t>6</w:t>
      </w:r>
    </w:p>
    <w:p w14:paraId="2F5752AD" w14:textId="272FA8C7" w:rsidR="00825B26" w:rsidRPr="0084201A" w:rsidRDefault="00825B26" w:rsidP="0084201A">
      <w:pPr>
        <w:pStyle w:val="BodyText"/>
      </w:pPr>
      <w:r w:rsidRPr="0084201A">
        <w:t xml:space="preserve">Published: </w:t>
      </w:r>
      <w:r w:rsidR="007502DE">
        <w:t>02 October</w:t>
      </w:r>
      <w:r w:rsidRPr="0084201A">
        <w:t xml:space="preserve"> 202</w:t>
      </w:r>
      <w:r w:rsidR="007502DE">
        <w:t>6</w:t>
      </w:r>
    </w:p>
    <w:p w14:paraId="64801867" w14:textId="3ADC4532" w:rsidR="00AD6802" w:rsidRPr="0035454C" w:rsidRDefault="00AD6802" w:rsidP="00451795">
      <w:pPr>
        <w:pStyle w:val="Heading1"/>
      </w:pPr>
      <w:r w:rsidRPr="0035454C">
        <w:lastRenderedPageBreak/>
        <w:t>Revision history</w:t>
      </w:r>
      <w:bookmarkEnd w:id="4"/>
      <w:bookmarkEnd w:id="5"/>
      <w:bookmarkEnd w:id="6"/>
    </w:p>
    <w:tbl>
      <w:tblPr>
        <w:tblStyle w:val="CDCTable4"/>
        <w:tblW w:w="8985" w:type="dxa"/>
        <w:tblCellMar>
          <w:top w:w="57" w:type="dxa"/>
          <w:left w:w="57" w:type="dxa"/>
          <w:bottom w:w="57" w:type="dxa"/>
          <w:right w:w="57" w:type="dxa"/>
        </w:tblCellMar>
        <w:tblLook w:val="04A0" w:firstRow="1" w:lastRow="0" w:firstColumn="1" w:lastColumn="0" w:noHBand="0" w:noVBand="1"/>
      </w:tblPr>
      <w:tblGrid>
        <w:gridCol w:w="1410"/>
        <w:gridCol w:w="1620"/>
        <w:gridCol w:w="1125"/>
        <w:gridCol w:w="4830"/>
      </w:tblGrid>
      <w:tr w:rsidR="00CC54B7" w:rsidRPr="00F33847" w14:paraId="67DB934A" w14:textId="77777777" w:rsidTr="000A0D20">
        <w:trPr>
          <w:cnfStyle w:val="100000000000" w:firstRow="1" w:lastRow="0" w:firstColumn="0" w:lastColumn="0" w:oddVBand="0" w:evenVBand="0" w:oddHBand="0" w:evenHBand="0" w:firstRowFirstColumn="0" w:firstRowLastColumn="0" w:lastRowFirstColumn="0" w:lastRowLastColumn="0"/>
          <w:trHeight w:val="540"/>
          <w:tblHeader/>
        </w:trPr>
        <w:tc>
          <w:tcPr>
            <w:cnfStyle w:val="001000000000" w:firstRow="0" w:lastRow="0" w:firstColumn="1" w:lastColumn="0" w:oddVBand="0" w:evenVBand="0" w:oddHBand="0" w:evenHBand="0" w:firstRowFirstColumn="0" w:firstRowLastColumn="0" w:lastRowFirstColumn="0" w:lastRowLastColumn="0"/>
            <w:tcW w:w="1410" w:type="dxa"/>
            <w:vAlign w:val="top"/>
            <w:hideMark/>
          </w:tcPr>
          <w:p w14:paraId="378796D8" w14:textId="616F548B" w:rsidR="00CC54B7" w:rsidRPr="00901FBC" w:rsidRDefault="00CC54B7" w:rsidP="000A0D20">
            <w:pPr>
              <w:pStyle w:val="Tableheaderrowblack"/>
              <w:rPr>
                <w:rFonts w:ascii="Times New Roman" w:hAnsi="Times New Roman"/>
              </w:rPr>
            </w:pPr>
            <w:r w:rsidRPr="00901FBC">
              <w:t>Version</w:t>
            </w:r>
          </w:p>
        </w:tc>
        <w:tc>
          <w:tcPr>
            <w:tcW w:w="1620" w:type="dxa"/>
            <w:vAlign w:val="top"/>
            <w:hideMark/>
          </w:tcPr>
          <w:p w14:paraId="67B2A49F" w14:textId="070B479E" w:rsidR="00CC54B7" w:rsidRPr="00901FBC" w:rsidRDefault="00CC54B7" w:rsidP="000A0D20">
            <w:pPr>
              <w:pStyle w:val="Tableheaderrowblack"/>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901FBC">
              <w:t>Date</w:t>
            </w:r>
          </w:p>
        </w:tc>
        <w:tc>
          <w:tcPr>
            <w:tcW w:w="1125" w:type="dxa"/>
            <w:vAlign w:val="top"/>
            <w:hideMark/>
          </w:tcPr>
          <w:p w14:paraId="4B6264E4" w14:textId="56C73A2F" w:rsidR="00CC54B7" w:rsidRPr="00901FBC" w:rsidRDefault="00CC54B7" w:rsidP="000A0D20">
            <w:pPr>
              <w:pStyle w:val="Tableheaderrowblack"/>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901FBC">
              <w:t>Revised by</w:t>
            </w:r>
          </w:p>
        </w:tc>
        <w:tc>
          <w:tcPr>
            <w:tcW w:w="4830" w:type="dxa"/>
            <w:vAlign w:val="top"/>
            <w:hideMark/>
          </w:tcPr>
          <w:p w14:paraId="18C565B5" w14:textId="34100959" w:rsidR="00CC54B7" w:rsidRPr="00901FBC" w:rsidRDefault="00CC54B7" w:rsidP="000A0D20">
            <w:pPr>
              <w:pStyle w:val="Tableheaderrowblack"/>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901FBC">
              <w:t>Changes</w:t>
            </w:r>
          </w:p>
        </w:tc>
      </w:tr>
      <w:tr w:rsidR="00CC54B7" w:rsidRPr="001C6D7E" w14:paraId="48A20F9A" w14:textId="77777777" w:rsidTr="000A0D20">
        <w:trPr>
          <w:trHeight w:val="30"/>
        </w:trPr>
        <w:tc>
          <w:tcPr>
            <w:cnfStyle w:val="001000000000" w:firstRow="0" w:lastRow="0" w:firstColumn="1" w:lastColumn="0" w:oddVBand="0" w:evenVBand="0" w:oddHBand="0" w:evenHBand="0" w:firstRowFirstColumn="0" w:firstRowLastColumn="0" w:lastRowFirstColumn="0" w:lastRowLastColumn="0"/>
            <w:tcW w:w="1410" w:type="dxa"/>
          </w:tcPr>
          <w:p w14:paraId="6DAE631C" w14:textId="77777777" w:rsidR="00CC54B7" w:rsidRPr="000A0D20" w:rsidRDefault="00CC54B7" w:rsidP="00854DD1">
            <w:pPr>
              <w:pStyle w:val="Tabletext"/>
            </w:pPr>
            <w:r w:rsidRPr="000A0D20">
              <w:t>Version 5.1</w:t>
            </w:r>
          </w:p>
        </w:tc>
        <w:tc>
          <w:tcPr>
            <w:tcW w:w="1620" w:type="dxa"/>
          </w:tcPr>
          <w:p w14:paraId="561D1238" w14:textId="77777777" w:rsidR="00CC54B7" w:rsidRDefault="00CC54B7" w:rsidP="00854DD1">
            <w:pPr>
              <w:pStyle w:val="Tabletext"/>
              <w:cnfStyle w:val="000000000000" w:firstRow="0" w:lastRow="0" w:firstColumn="0" w:lastColumn="0" w:oddVBand="0" w:evenVBand="0" w:oddHBand="0" w:evenHBand="0" w:firstRowFirstColumn="0" w:firstRowLastColumn="0" w:lastRowFirstColumn="0" w:lastRowLastColumn="0"/>
            </w:pPr>
            <w:r>
              <w:t>25 August 2026</w:t>
            </w:r>
          </w:p>
        </w:tc>
        <w:tc>
          <w:tcPr>
            <w:tcW w:w="1125" w:type="dxa"/>
          </w:tcPr>
          <w:p w14:paraId="3450E1A9" w14:textId="77777777"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t>CDNA</w:t>
            </w:r>
          </w:p>
        </w:tc>
        <w:tc>
          <w:tcPr>
            <w:tcW w:w="4830" w:type="dxa"/>
          </w:tcPr>
          <w:p w14:paraId="1DEDD8C7" w14:textId="5E2BC7EB" w:rsidR="00CC54B7" w:rsidRDefault="00CC54B7" w:rsidP="00854DD1">
            <w:pPr>
              <w:pStyle w:val="Tabletext"/>
              <w:cnfStyle w:val="000000000000" w:firstRow="0" w:lastRow="0" w:firstColumn="0" w:lastColumn="0" w:oddVBand="0" w:evenVBand="0" w:oddHBand="0" w:evenHBand="0" w:firstRowFirstColumn="0" w:firstRowLastColumn="0" w:lastRowFirstColumn="0" w:lastRowLastColumn="0"/>
            </w:pPr>
            <w:r>
              <w:t>Minor revision to update information about transmission, including information on sex toy hygiene and sample sites.</w:t>
            </w:r>
          </w:p>
        </w:tc>
      </w:tr>
      <w:tr w:rsidR="00CC54B7" w:rsidRPr="001C6D7E" w14:paraId="61A8C41D" w14:textId="77777777" w:rsidTr="000A0D20">
        <w:trPr>
          <w:trHeight w:val="30"/>
        </w:trPr>
        <w:tc>
          <w:tcPr>
            <w:cnfStyle w:val="001000000000" w:firstRow="0" w:lastRow="0" w:firstColumn="1" w:lastColumn="0" w:oddVBand="0" w:evenVBand="0" w:oddHBand="0" w:evenHBand="0" w:firstRowFirstColumn="0" w:firstRowLastColumn="0" w:lastRowFirstColumn="0" w:lastRowLastColumn="0"/>
            <w:tcW w:w="1410" w:type="dxa"/>
          </w:tcPr>
          <w:p w14:paraId="0C3D6176" w14:textId="77777777" w:rsidR="00CC54B7" w:rsidRPr="001C6D7E" w:rsidRDefault="00CC54B7" w:rsidP="00854DD1">
            <w:pPr>
              <w:pStyle w:val="Tabletext"/>
            </w:pPr>
            <w:r w:rsidRPr="001C6D7E">
              <w:t>Version 5.0</w:t>
            </w:r>
          </w:p>
        </w:tc>
        <w:tc>
          <w:tcPr>
            <w:tcW w:w="1620" w:type="dxa"/>
          </w:tcPr>
          <w:p w14:paraId="29D0AF87" w14:textId="77777777"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t>16 Decem</w:t>
            </w:r>
            <w:r w:rsidRPr="001C6D7E">
              <w:t>ber 2025</w:t>
            </w:r>
          </w:p>
        </w:tc>
        <w:tc>
          <w:tcPr>
            <w:tcW w:w="1125" w:type="dxa"/>
          </w:tcPr>
          <w:p w14:paraId="45EAA8B5" w14:textId="77777777"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1C6D7E">
              <w:t>CDNA</w:t>
            </w:r>
          </w:p>
        </w:tc>
        <w:tc>
          <w:tcPr>
            <w:tcW w:w="4830" w:type="dxa"/>
          </w:tcPr>
          <w:p w14:paraId="5656F95A"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pPr>
            <w:r>
              <w:t xml:space="preserve">Full revision to update evidence-based recommendations for public health response and align approaches for </w:t>
            </w:r>
            <w:r w:rsidRPr="66A0B6BB">
              <w:t>clade I and II</w:t>
            </w:r>
            <w:r>
              <w:t>.</w:t>
            </w:r>
          </w:p>
        </w:tc>
      </w:tr>
      <w:tr w:rsidR="00CC54B7" w:rsidRPr="001C6D7E" w14:paraId="5CAB1F19" w14:textId="77777777" w:rsidTr="000A0D20">
        <w:trPr>
          <w:trHeight w:val="30"/>
        </w:trPr>
        <w:tc>
          <w:tcPr>
            <w:cnfStyle w:val="001000000000" w:firstRow="0" w:lastRow="0" w:firstColumn="1" w:lastColumn="0" w:oddVBand="0" w:evenVBand="0" w:oddHBand="0" w:evenHBand="0" w:firstRowFirstColumn="0" w:firstRowLastColumn="0" w:lastRowFirstColumn="0" w:lastRowLastColumn="0"/>
            <w:tcW w:w="1410" w:type="dxa"/>
          </w:tcPr>
          <w:p w14:paraId="2278853F" w14:textId="77777777" w:rsidR="00CC54B7" w:rsidRPr="001C6D7E" w:rsidRDefault="00CC54B7" w:rsidP="00854DD1">
            <w:pPr>
              <w:pStyle w:val="Tabletext"/>
            </w:pPr>
            <w:r w:rsidRPr="001C6D7E">
              <w:t xml:space="preserve">Version 4.0 </w:t>
            </w:r>
          </w:p>
        </w:tc>
        <w:tc>
          <w:tcPr>
            <w:tcW w:w="1620" w:type="dxa"/>
          </w:tcPr>
          <w:p w14:paraId="049C8D45" w14:textId="2A72F0EF"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1C6D7E">
              <w:t>14</w:t>
            </w:r>
            <w:r w:rsidR="00303EB7">
              <w:t xml:space="preserve"> </w:t>
            </w:r>
            <w:r w:rsidRPr="001C6D7E">
              <w:t>October 2024</w:t>
            </w:r>
          </w:p>
        </w:tc>
        <w:tc>
          <w:tcPr>
            <w:tcW w:w="1125" w:type="dxa"/>
          </w:tcPr>
          <w:p w14:paraId="04E43935" w14:textId="77777777"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1C6D7E">
              <w:t xml:space="preserve">CDNA </w:t>
            </w:r>
          </w:p>
        </w:tc>
        <w:tc>
          <w:tcPr>
            <w:tcW w:w="4830" w:type="dxa"/>
          </w:tcPr>
          <w:p w14:paraId="42734F04" w14:textId="50A15FCE"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901FBC">
              <w:t>Full revision to update evidence-based recommendations for public health and strengthen clade I information.</w:t>
            </w:r>
          </w:p>
        </w:tc>
      </w:tr>
      <w:tr w:rsidR="00CC54B7" w:rsidRPr="001C6D7E" w14:paraId="476A9DF1" w14:textId="77777777" w:rsidTr="000A0D20">
        <w:trPr>
          <w:trHeight w:val="30"/>
        </w:trPr>
        <w:tc>
          <w:tcPr>
            <w:cnfStyle w:val="001000000000" w:firstRow="0" w:lastRow="0" w:firstColumn="1" w:lastColumn="0" w:oddVBand="0" w:evenVBand="0" w:oddHBand="0" w:evenHBand="0" w:firstRowFirstColumn="0" w:firstRowLastColumn="0" w:lastRowFirstColumn="0" w:lastRowLastColumn="0"/>
            <w:tcW w:w="1410" w:type="dxa"/>
          </w:tcPr>
          <w:p w14:paraId="2BD4E956" w14:textId="77777777" w:rsidR="00CC54B7" w:rsidRPr="001C6D7E" w:rsidRDefault="00CC54B7" w:rsidP="00854DD1">
            <w:pPr>
              <w:pStyle w:val="Tabletext"/>
            </w:pPr>
            <w:r w:rsidRPr="001C6D7E">
              <w:t>Version 3.0</w:t>
            </w:r>
          </w:p>
        </w:tc>
        <w:tc>
          <w:tcPr>
            <w:tcW w:w="1620" w:type="dxa"/>
          </w:tcPr>
          <w:p w14:paraId="22084742" w14:textId="7387488D"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1C6D7E">
              <w:t>20</w:t>
            </w:r>
            <w:r w:rsidR="00303EB7">
              <w:t xml:space="preserve"> </w:t>
            </w:r>
            <w:r w:rsidRPr="001C6D7E">
              <w:t>December 2022</w:t>
            </w:r>
          </w:p>
        </w:tc>
        <w:tc>
          <w:tcPr>
            <w:tcW w:w="1125" w:type="dxa"/>
          </w:tcPr>
          <w:p w14:paraId="32A27F9A" w14:textId="77777777" w:rsidR="00CC54B7" w:rsidRPr="001C6D7E"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1C6D7E">
              <w:t>CDNA</w:t>
            </w:r>
          </w:p>
        </w:tc>
        <w:tc>
          <w:tcPr>
            <w:tcW w:w="4830" w:type="dxa"/>
          </w:tcPr>
          <w:p w14:paraId="438E656C" w14:textId="5012B27F"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901FBC">
              <w:t>Full revision to present evidence-based recommendations for public health.</w:t>
            </w:r>
          </w:p>
          <w:p w14:paraId="48D5A6BE"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pPr>
            <w:r w:rsidRPr="00901FBC">
              <w:t xml:space="preserve">Revised: The disease, Routine prevention activities, Surveillance objectives, Case management, Specific settings. </w:t>
            </w:r>
          </w:p>
        </w:tc>
      </w:tr>
      <w:tr w:rsidR="00CC54B7" w:rsidRPr="00F33847" w14:paraId="34D6FC41" w14:textId="77777777" w:rsidTr="000A0D20">
        <w:trPr>
          <w:trHeight w:val="30"/>
        </w:trPr>
        <w:tc>
          <w:tcPr>
            <w:cnfStyle w:val="001000000000" w:firstRow="0" w:lastRow="0" w:firstColumn="1" w:lastColumn="0" w:oddVBand="0" w:evenVBand="0" w:oddHBand="0" w:evenHBand="0" w:firstRowFirstColumn="0" w:firstRowLastColumn="0" w:lastRowFirstColumn="0" w:lastRowLastColumn="0"/>
            <w:tcW w:w="1410" w:type="dxa"/>
          </w:tcPr>
          <w:p w14:paraId="6039F500" w14:textId="77777777" w:rsidR="00CC54B7" w:rsidRPr="00901FBC" w:rsidRDefault="00CC54B7" w:rsidP="00854DD1">
            <w:pPr>
              <w:pStyle w:val="Tabletext"/>
              <w:rPr>
                <w:rFonts w:ascii="Times New Roman" w:hAnsi="Times New Roman"/>
              </w:rPr>
            </w:pPr>
            <w:r w:rsidRPr="00901FBC">
              <w:t>Version 2.0</w:t>
            </w:r>
          </w:p>
        </w:tc>
        <w:tc>
          <w:tcPr>
            <w:tcW w:w="1620" w:type="dxa"/>
          </w:tcPr>
          <w:p w14:paraId="2A78E1A9" w14:textId="50565F8F"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08</w:t>
            </w:r>
            <w:r w:rsidR="00303EB7">
              <w:t xml:space="preserve"> </w:t>
            </w:r>
            <w:r w:rsidRPr="00901FBC">
              <w:t>September 2022</w:t>
            </w:r>
          </w:p>
        </w:tc>
        <w:tc>
          <w:tcPr>
            <w:tcW w:w="1125" w:type="dxa"/>
          </w:tcPr>
          <w:p w14:paraId="7A75D001"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CDNA</w:t>
            </w:r>
          </w:p>
        </w:tc>
        <w:tc>
          <w:tcPr>
            <w:tcW w:w="4830" w:type="dxa"/>
          </w:tcPr>
          <w:p w14:paraId="14B9BEBC"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 xml:space="preserve">Revised: The disease, Case management, Contact definitions, Contact management. </w:t>
            </w:r>
          </w:p>
        </w:tc>
      </w:tr>
      <w:tr w:rsidR="00CC54B7" w:rsidRPr="00F33847" w14:paraId="637688B4" w14:textId="77777777" w:rsidTr="000A0D20">
        <w:trPr>
          <w:trHeight w:val="65"/>
        </w:trPr>
        <w:tc>
          <w:tcPr>
            <w:cnfStyle w:val="001000000000" w:firstRow="0" w:lastRow="0" w:firstColumn="1" w:lastColumn="0" w:oddVBand="0" w:evenVBand="0" w:oddHBand="0" w:evenHBand="0" w:firstRowFirstColumn="0" w:firstRowLastColumn="0" w:lastRowFirstColumn="0" w:lastRowLastColumn="0"/>
            <w:tcW w:w="1410" w:type="dxa"/>
          </w:tcPr>
          <w:p w14:paraId="369807CE" w14:textId="77777777" w:rsidR="00CC54B7" w:rsidRPr="00901FBC" w:rsidRDefault="00CC54B7" w:rsidP="00854DD1">
            <w:pPr>
              <w:pStyle w:val="Tabletext"/>
              <w:rPr>
                <w:rFonts w:ascii="Times New Roman" w:hAnsi="Times New Roman"/>
              </w:rPr>
            </w:pPr>
            <w:r w:rsidRPr="00901FBC">
              <w:t>Version 1.0</w:t>
            </w:r>
          </w:p>
        </w:tc>
        <w:tc>
          <w:tcPr>
            <w:tcW w:w="1620" w:type="dxa"/>
          </w:tcPr>
          <w:p w14:paraId="01703A8A" w14:textId="44702C53"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27</w:t>
            </w:r>
            <w:r w:rsidR="00303EB7">
              <w:t xml:space="preserve"> </w:t>
            </w:r>
            <w:r w:rsidRPr="00901FBC">
              <w:t>July 2022</w:t>
            </w:r>
          </w:p>
        </w:tc>
        <w:tc>
          <w:tcPr>
            <w:tcW w:w="1125" w:type="dxa"/>
          </w:tcPr>
          <w:p w14:paraId="4982654C"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CDNA</w:t>
            </w:r>
          </w:p>
        </w:tc>
        <w:tc>
          <w:tcPr>
            <w:tcW w:w="4830" w:type="dxa"/>
          </w:tcPr>
          <w:p w14:paraId="2A74F20C" w14:textId="77777777" w:rsidR="00CC54B7" w:rsidRPr="00901FBC" w:rsidRDefault="00CC54B7" w:rsidP="00854DD1">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901FBC">
              <w:t>Developed by the Monkeypox Working Group.</w:t>
            </w:r>
          </w:p>
        </w:tc>
      </w:tr>
    </w:tbl>
    <w:p w14:paraId="5547838C" w14:textId="77777777" w:rsidR="00AD6802" w:rsidRPr="00B4556E" w:rsidRDefault="00AD6802" w:rsidP="00B4556E">
      <w:pPr>
        <w:pStyle w:val="BodyText"/>
      </w:pPr>
      <w:r w:rsidRPr="00B4556E">
        <w:br w:type="page"/>
      </w:r>
    </w:p>
    <w:p w14:paraId="338E7045" w14:textId="77777777" w:rsidR="00AD6802" w:rsidRDefault="00AD6802" w:rsidP="00AD6802">
      <w:pPr>
        <w:pStyle w:val="TOCHeading"/>
      </w:pPr>
      <w:r>
        <w:lastRenderedPageBreak/>
        <w:t>Contents</w:t>
      </w:r>
    </w:p>
    <w:p w14:paraId="1B118C80" w14:textId="5428B6B9" w:rsidR="00577814" w:rsidRPr="0042370F" w:rsidRDefault="00AD6802">
      <w:pPr>
        <w:pStyle w:val="TOC1"/>
        <w:tabs>
          <w:tab w:val="right" w:leader="dot" w:pos="9629"/>
        </w:tabs>
        <w:rPr>
          <w:lang w:eastAsia="en-AU"/>
        </w:rPr>
      </w:pPr>
      <w:r>
        <w:fldChar w:fldCharType="begin"/>
      </w:r>
      <w:r>
        <w:instrText xml:space="preserve"> TOC \o "1-1" \h \z \u </w:instrText>
      </w:r>
      <w:r>
        <w:fldChar w:fldCharType="separate"/>
      </w:r>
      <w:hyperlink w:anchor="_Toc238570902" w:history="1">
        <w:r w:rsidR="00577814" w:rsidRPr="005D32C2">
          <w:rPr>
            <w:rStyle w:val="Hyperlink"/>
            <w:noProof/>
          </w:rPr>
          <w:t>Public health approach</w:t>
        </w:r>
        <w:r w:rsidR="00577814">
          <w:rPr>
            <w:noProof/>
            <w:webHidden/>
          </w:rPr>
          <w:tab/>
        </w:r>
        <w:r w:rsidR="00577814">
          <w:rPr>
            <w:noProof/>
            <w:webHidden/>
          </w:rPr>
          <w:fldChar w:fldCharType="begin"/>
        </w:r>
        <w:r w:rsidR="00577814">
          <w:rPr>
            <w:noProof/>
            <w:webHidden/>
          </w:rPr>
          <w:instrText xml:space="preserve"> PAGEREF _Toc238570902 \h </w:instrText>
        </w:r>
        <w:r w:rsidR="00577814">
          <w:rPr>
            <w:noProof/>
            <w:webHidden/>
          </w:rPr>
        </w:r>
        <w:r w:rsidR="00577814">
          <w:rPr>
            <w:noProof/>
            <w:webHidden/>
          </w:rPr>
          <w:fldChar w:fldCharType="separate"/>
        </w:r>
        <w:r w:rsidR="00577814">
          <w:rPr>
            <w:noProof/>
            <w:webHidden/>
          </w:rPr>
          <w:t>6</w:t>
        </w:r>
        <w:r w:rsidR="00577814">
          <w:rPr>
            <w:noProof/>
            <w:webHidden/>
          </w:rPr>
          <w:fldChar w:fldCharType="end"/>
        </w:r>
      </w:hyperlink>
    </w:p>
    <w:p w14:paraId="0B47B91C" w14:textId="6D45F042" w:rsidR="00577814" w:rsidRPr="0042370F" w:rsidRDefault="00577814">
      <w:pPr>
        <w:pStyle w:val="TOC1"/>
        <w:tabs>
          <w:tab w:val="right" w:leader="dot" w:pos="9629"/>
        </w:tabs>
        <w:rPr>
          <w:lang w:eastAsia="en-AU"/>
        </w:rPr>
      </w:pPr>
      <w:hyperlink w:anchor="_Toc238570903" w:history="1">
        <w:r w:rsidRPr="005D32C2">
          <w:rPr>
            <w:rStyle w:val="Hyperlink"/>
            <w:noProof/>
            <w:lang w:eastAsia="en-AU"/>
          </w:rPr>
          <w:t>Disease summary</w:t>
        </w:r>
        <w:r>
          <w:rPr>
            <w:noProof/>
            <w:webHidden/>
          </w:rPr>
          <w:tab/>
        </w:r>
        <w:r>
          <w:rPr>
            <w:noProof/>
            <w:webHidden/>
          </w:rPr>
          <w:fldChar w:fldCharType="begin"/>
        </w:r>
        <w:r>
          <w:rPr>
            <w:noProof/>
            <w:webHidden/>
          </w:rPr>
          <w:instrText xml:space="preserve"> PAGEREF _Toc238570903 \h </w:instrText>
        </w:r>
        <w:r>
          <w:rPr>
            <w:noProof/>
            <w:webHidden/>
          </w:rPr>
        </w:r>
        <w:r>
          <w:rPr>
            <w:noProof/>
            <w:webHidden/>
          </w:rPr>
          <w:fldChar w:fldCharType="separate"/>
        </w:r>
        <w:r>
          <w:rPr>
            <w:noProof/>
            <w:webHidden/>
          </w:rPr>
          <w:t>8</w:t>
        </w:r>
        <w:r>
          <w:rPr>
            <w:noProof/>
            <w:webHidden/>
          </w:rPr>
          <w:fldChar w:fldCharType="end"/>
        </w:r>
      </w:hyperlink>
    </w:p>
    <w:p w14:paraId="599519E6" w14:textId="54E8EACE" w:rsidR="00577814" w:rsidRPr="0042370F" w:rsidRDefault="00577814">
      <w:pPr>
        <w:pStyle w:val="TOC1"/>
        <w:tabs>
          <w:tab w:val="right" w:leader="dot" w:pos="9629"/>
        </w:tabs>
        <w:rPr>
          <w:lang w:eastAsia="en-AU"/>
        </w:rPr>
      </w:pPr>
      <w:hyperlink w:anchor="_Toc238570904" w:history="1">
        <w:r w:rsidRPr="005D32C2">
          <w:rPr>
            <w:rStyle w:val="Hyperlink"/>
            <w:noProof/>
          </w:rPr>
          <w:t>Case classification</w:t>
        </w:r>
        <w:r>
          <w:rPr>
            <w:noProof/>
            <w:webHidden/>
          </w:rPr>
          <w:tab/>
        </w:r>
        <w:r>
          <w:rPr>
            <w:noProof/>
            <w:webHidden/>
          </w:rPr>
          <w:fldChar w:fldCharType="begin"/>
        </w:r>
        <w:r>
          <w:rPr>
            <w:noProof/>
            <w:webHidden/>
          </w:rPr>
          <w:instrText xml:space="preserve"> PAGEREF _Toc238570904 \h </w:instrText>
        </w:r>
        <w:r>
          <w:rPr>
            <w:noProof/>
            <w:webHidden/>
          </w:rPr>
        </w:r>
        <w:r>
          <w:rPr>
            <w:noProof/>
            <w:webHidden/>
          </w:rPr>
          <w:fldChar w:fldCharType="separate"/>
        </w:r>
        <w:r>
          <w:rPr>
            <w:noProof/>
            <w:webHidden/>
          </w:rPr>
          <w:t>9</w:t>
        </w:r>
        <w:r>
          <w:rPr>
            <w:noProof/>
            <w:webHidden/>
          </w:rPr>
          <w:fldChar w:fldCharType="end"/>
        </w:r>
      </w:hyperlink>
    </w:p>
    <w:p w14:paraId="480F6545" w14:textId="309AC6C0" w:rsidR="00577814" w:rsidRPr="0042370F" w:rsidRDefault="00577814">
      <w:pPr>
        <w:pStyle w:val="TOC1"/>
        <w:tabs>
          <w:tab w:val="right" w:leader="dot" w:pos="9629"/>
        </w:tabs>
        <w:rPr>
          <w:lang w:eastAsia="en-AU"/>
        </w:rPr>
      </w:pPr>
      <w:hyperlink w:anchor="_Toc238570905" w:history="1">
        <w:r w:rsidRPr="005D32C2">
          <w:rPr>
            <w:rStyle w:val="Hyperlink"/>
            <w:noProof/>
          </w:rPr>
          <w:t>Case management</w:t>
        </w:r>
        <w:r>
          <w:rPr>
            <w:noProof/>
            <w:webHidden/>
          </w:rPr>
          <w:tab/>
        </w:r>
        <w:r>
          <w:rPr>
            <w:noProof/>
            <w:webHidden/>
          </w:rPr>
          <w:fldChar w:fldCharType="begin"/>
        </w:r>
        <w:r>
          <w:rPr>
            <w:noProof/>
            <w:webHidden/>
          </w:rPr>
          <w:instrText xml:space="preserve"> PAGEREF _Toc238570905 \h </w:instrText>
        </w:r>
        <w:r>
          <w:rPr>
            <w:noProof/>
            <w:webHidden/>
          </w:rPr>
        </w:r>
        <w:r>
          <w:rPr>
            <w:noProof/>
            <w:webHidden/>
          </w:rPr>
          <w:fldChar w:fldCharType="separate"/>
        </w:r>
        <w:r>
          <w:rPr>
            <w:noProof/>
            <w:webHidden/>
          </w:rPr>
          <w:t>11</w:t>
        </w:r>
        <w:r>
          <w:rPr>
            <w:noProof/>
            <w:webHidden/>
          </w:rPr>
          <w:fldChar w:fldCharType="end"/>
        </w:r>
      </w:hyperlink>
    </w:p>
    <w:p w14:paraId="11ACE44E" w14:textId="4A7C3A79" w:rsidR="00577814" w:rsidRPr="0042370F" w:rsidRDefault="00577814">
      <w:pPr>
        <w:pStyle w:val="TOC1"/>
        <w:tabs>
          <w:tab w:val="right" w:leader="dot" w:pos="9629"/>
        </w:tabs>
        <w:rPr>
          <w:lang w:eastAsia="en-AU"/>
        </w:rPr>
      </w:pPr>
      <w:hyperlink w:anchor="_Toc238570906" w:history="1">
        <w:r w:rsidRPr="005D32C2">
          <w:rPr>
            <w:rStyle w:val="Hyperlink"/>
            <w:noProof/>
          </w:rPr>
          <w:t>Contact classification</w:t>
        </w:r>
        <w:r>
          <w:rPr>
            <w:noProof/>
            <w:webHidden/>
          </w:rPr>
          <w:tab/>
        </w:r>
        <w:r>
          <w:rPr>
            <w:noProof/>
            <w:webHidden/>
          </w:rPr>
          <w:fldChar w:fldCharType="begin"/>
        </w:r>
        <w:r>
          <w:rPr>
            <w:noProof/>
            <w:webHidden/>
          </w:rPr>
          <w:instrText xml:space="preserve"> PAGEREF _Toc238570906 \h </w:instrText>
        </w:r>
        <w:r>
          <w:rPr>
            <w:noProof/>
            <w:webHidden/>
          </w:rPr>
        </w:r>
        <w:r>
          <w:rPr>
            <w:noProof/>
            <w:webHidden/>
          </w:rPr>
          <w:fldChar w:fldCharType="separate"/>
        </w:r>
        <w:r>
          <w:rPr>
            <w:noProof/>
            <w:webHidden/>
          </w:rPr>
          <w:t>14</w:t>
        </w:r>
        <w:r>
          <w:rPr>
            <w:noProof/>
            <w:webHidden/>
          </w:rPr>
          <w:fldChar w:fldCharType="end"/>
        </w:r>
      </w:hyperlink>
    </w:p>
    <w:p w14:paraId="30BF4ED1" w14:textId="06F03DF3" w:rsidR="00577814" w:rsidRPr="0042370F" w:rsidRDefault="00577814">
      <w:pPr>
        <w:pStyle w:val="TOC1"/>
        <w:tabs>
          <w:tab w:val="right" w:leader="dot" w:pos="9629"/>
        </w:tabs>
        <w:rPr>
          <w:lang w:eastAsia="en-AU"/>
        </w:rPr>
      </w:pPr>
      <w:hyperlink w:anchor="_Toc238570907" w:history="1">
        <w:r w:rsidRPr="005D32C2">
          <w:rPr>
            <w:rStyle w:val="Hyperlink"/>
            <w:noProof/>
          </w:rPr>
          <w:t>Contact management</w:t>
        </w:r>
        <w:r>
          <w:rPr>
            <w:noProof/>
            <w:webHidden/>
          </w:rPr>
          <w:tab/>
        </w:r>
        <w:r>
          <w:rPr>
            <w:noProof/>
            <w:webHidden/>
          </w:rPr>
          <w:fldChar w:fldCharType="begin"/>
        </w:r>
        <w:r>
          <w:rPr>
            <w:noProof/>
            <w:webHidden/>
          </w:rPr>
          <w:instrText xml:space="preserve"> PAGEREF _Toc238570907 \h </w:instrText>
        </w:r>
        <w:r>
          <w:rPr>
            <w:noProof/>
            <w:webHidden/>
          </w:rPr>
        </w:r>
        <w:r>
          <w:rPr>
            <w:noProof/>
            <w:webHidden/>
          </w:rPr>
          <w:fldChar w:fldCharType="separate"/>
        </w:r>
        <w:r>
          <w:rPr>
            <w:noProof/>
            <w:webHidden/>
          </w:rPr>
          <w:t>15</w:t>
        </w:r>
        <w:r>
          <w:rPr>
            <w:noProof/>
            <w:webHidden/>
          </w:rPr>
          <w:fldChar w:fldCharType="end"/>
        </w:r>
      </w:hyperlink>
    </w:p>
    <w:p w14:paraId="363F7088" w14:textId="18B60EC3" w:rsidR="00577814" w:rsidRPr="0042370F" w:rsidRDefault="00577814">
      <w:pPr>
        <w:pStyle w:val="TOC1"/>
        <w:tabs>
          <w:tab w:val="right" w:leader="dot" w:pos="9629"/>
        </w:tabs>
        <w:rPr>
          <w:lang w:eastAsia="en-AU"/>
        </w:rPr>
      </w:pPr>
      <w:hyperlink w:anchor="_Toc238570908" w:history="1">
        <w:r w:rsidRPr="005D32C2">
          <w:rPr>
            <w:rStyle w:val="Hyperlink"/>
            <w:noProof/>
          </w:rPr>
          <w:t>Environmental evaluation and management</w:t>
        </w:r>
        <w:r>
          <w:rPr>
            <w:noProof/>
            <w:webHidden/>
          </w:rPr>
          <w:tab/>
        </w:r>
        <w:r>
          <w:rPr>
            <w:noProof/>
            <w:webHidden/>
          </w:rPr>
          <w:fldChar w:fldCharType="begin"/>
        </w:r>
        <w:r>
          <w:rPr>
            <w:noProof/>
            <w:webHidden/>
          </w:rPr>
          <w:instrText xml:space="preserve"> PAGEREF _Toc238570908 \h </w:instrText>
        </w:r>
        <w:r>
          <w:rPr>
            <w:noProof/>
            <w:webHidden/>
          </w:rPr>
        </w:r>
        <w:r>
          <w:rPr>
            <w:noProof/>
            <w:webHidden/>
          </w:rPr>
          <w:fldChar w:fldCharType="separate"/>
        </w:r>
        <w:r>
          <w:rPr>
            <w:noProof/>
            <w:webHidden/>
          </w:rPr>
          <w:t>16</w:t>
        </w:r>
        <w:r>
          <w:rPr>
            <w:noProof/>
            <w:webHidden/>
          </w:rPr>
          <w:fldChar w:fldCharType="end"/>
        </w:r>
      </w:hyperlink>
    </w:p>
    <w:p w14:paraId="3ACCEB9F" w14:textId="764630B4" w:rsidR="00577814" w:rsidRPr="0042370F" w:rsidRDefault="00577814">
      <w:pPr>
        <w:pStyle w:val="TOC1"/>
        <w:tabs>
          <w:tab w:val="right" w:leader="dot" w:pos="9629"/>
        </w:tabs>
        <w:rPr>
          <w:lang w:eastAsia="en-AU"/>
        </w:rPr>
      </w:pPr>
      <w:hyperlink w:anchor="_Toc238570909" w:history="1">
        <w:r w:rsidRPr="005D32C2">
          <w:rPr>
            <w:rStyle w:val="Hyperlink"/>
            <w:noProof/>
          </w:rPr>
          <w:t>Population level prevention</w:t>
        </w:r>
        <w:r>
          <w:rPr>
            <w:noProof/>
            <w:webHidden/>
          </w:rPr>
          <w:tab/>
        </w:r>
        <w:r>
          <w:rPr>
            <w:noProof/>
            <w:webHidden/>
          </w:rPr>
          <w:fldChar w:fldCharType="begin"/>
        </w:r>
        <w:r>
          <w:rPr>
            <w:noProof/>
            <w:webHidden/>
          </w:rPr>
          <w:instrText xml:space="preserve"> PAGEREF _Toc238570909 \h </w:instrText>
        </w:r>
        <w:r>
          <w:rPr>
            <w:noProof/>
            <w:webHidden/>
          </w:rPr>
        </w:r>
        <w:r>
          <w:rPr>
            <w:noProof/>
            <w:webHidden/>
          </w:rPr>
          <w:fldChar w:fldCharType="separate"/>
        </w:r>
        <w:r>
          <w:rPr>
            <w:noProof/>
            <w:webHidden/>
          </w:rPr>
          <w:t>16</w:t>
        </w:r>
        <w:r>
          <w:rPr>
            <w:noProof/>
            <w:webHidden/>
          </w:rPr>
          <w:fldChar w:fldCharType="end"/>
        </w:r>
      </w:hyperlink>
    </w:p>
    <w:p w14:paraId="627800E9" w14:textId="64B22ED5" w:rsidR="00577814" w:rsidRPr="0042370F" w:rsidRDefault="00577814">
      <w:pPr>
        <w:pStyle w:val="TOC1"/>
        <w:tabs>
          <w:tab w:val="right" w:leader="dot" w:pos="9629"/>
        </w:tabs>
        <w:rPr>
          <w:lang w:eastAsia="en-AU"/>
        </w:rPr>
      </w:pPr>
      <w:hyperlink w:anchor="_Toc238570910" w:history="1">
        <w:r w:rsidRPr="005D32C2">
          <w:rPr>
            <w:rStyle w:val="Hyperlink"/>
            <w:noProof/>
          </w:rPr>
          <w:t>Aboriginal and Torres Strait Islander Peoples and communities</w:t>
        </w:r>
        <w:r>
          <w:rPr>
            <w:noProof/>
            <w:webHidden/>
          </w:rPr>
          <w:tab/>
        </w:r>
        <w:r>
          <w:rPr>
            <w:noProof/>
            <w:webHidden/>
          </w:rPr>
          <w:fldChar w:fldCharType="begin"/>
        </w:r>
        <w:r>
          <w:rPr>
            <w:noProof/>
            <w:webHidden/>
          </w:rPr>
          <w:instrText xml:space="preserve"> PAGEREF _Toc238570910 \h </w:instrText>
        </w:r>
        <w:r>
          <w:rPr>
            <w:noProof/>
            <w:webHidden/>
          </w:rPr>
        </w:r>
        <w:r>
          <w:rPr>
            <w:noProof/>
            <w:webHidden/>
          </w:rPr>
          <w:fldChar w:fldCharType="separate"/>
        </w:r>
        <w:r>
          <w:rPr>
            <w:noProof/>
            <w:webHidden/>
          </w:rPr>
          <w:t>17</w:t>
        </w:r>
        <w:r>
          <w:rPr>
            <w:noProof/>
            <w:webHidden/>
          </w:rPr>
          <w:fldChar w:fldCharType="end"/>
        </w:r>
      </w:hyperlink>
    </w:p>
    <w:p w14:paraId="30C7D5CB" w14:textId="0DCEE0E1" w:rsidR="00577814" w:rsidRPr="0042370F" w:rsidRDefault="00577814">
      <w:pPr>
        <w:pStyle w:val="TOC1"/>
        <w:tabs>
          <w:tab w:val="right" w:leader="dot" w:pos="9629"/>
        </w:tabs>
        <w:rPr>
          <w:lang w:eastAsia="en-AU"/>
        </w:rPr>
      </w:pPr>
      <w:hyperlink w:anchor="_Toc238570911" w:history="1">
        <w:r w:rsidRPr="005D32C2">
          <w:rPr>
            <w:rStyle w:val="Hyperlink"/>
            <w:noProof/>
          </w:rPr>
          <w:t>Special situations</w:t>
        </w:r>
        <w:r>
          <w:rPr>
            <w:noProof/>
            <w:webHidden/>
          </w:rPr>
          <w:tab/>
        </w:r>
        <w:r>
          <w:rPr>
            <w:noProof/>
            <w:webHidden/>
          </w:rPr>
          <w:fldChar w:fldCharType="begin"/>
        </w:r>
        <w:r>
          <w:rPr>
            <w:noProof/>
            <w:webHidden/>
          </w:rPr>
          <w:instrText xml:space="preserve"> PAGEREF _Toc238570911 \h </w:instrText>
        </w:r>
        <w:r>
          <w:rPr>
            <w:noProof/>
            <w:webHidden/>
          </w:rPr>
        </w:r>
        <w:r>
          <w:rPr>
            <w:noProof/>
            <w:webHidden/>
          </w:rPr>
          <w:fldChar w:fldCharType="separate"/>
        </w:r>
        <w:r>
          <w:rPr>
            <w:noProof/>
            <w:webHidden/>
          </w:rPr>
          <w:t>18</w:t>
        </w:r>
        <w:r>
          <w:rPr>
            <w:noProof/>
            <w:webHidden/>
          </w:rPr>
          <w:fldChar w:fldCharType="end"/>
        </w:r>
      </w:hyperlink>
    </w:p>
    <w:p w14:paraId="7D619CD7" w14:textId="14CC6A2F" w:rsidR="00577814" w:rsidRPr="0042370F" w:rsidRDefault="00577814">
      <w:pPr>
        <w:pStyle w:val="TOC1"/>
        <w:tabs>
          <w:tab w:val="right" w:leader="dot" w:pos="9629"/>
        </w:tabs>
        <w:rPr>
          <w:lang w:eastAsia="en-AU"/>
        </w:rPr>
      </w:pPr>
      <w:hyperlink w:anchor="_Toc238570912" w:history="1">
        <w:r w:rsidRPr="005D32C2">
          <w:rPr>
            <w:rStyle w:val="Hyperlink"/>
            <w:noProof/>
          </w:rPr>
          <w:t>References</w:t>
        </w:r>
        <w:r>
          <w:rPr>
            <w:noProof/>
            <w:webHidden/>
          </w:rPr>
          <w:tab/>
        </w:r>
        <w:r>
          <w:rPr>
            <w:noProof/>
            <w:webHidden/>
          </w:rPr>
          <w:fldChar w:fldCharType="begin"/>
        </w:r>
        <w:r>
          <w:rPr>
            <w:noProof/>
            <w:webHidden/>
          </w:rPr>
          <w:instrText xml:space="preserve"> PAGEREF _Toc238570912 \h </w:instrText>
        </w:r>
        <w:r>
          <w:rPr>
            <w:noProof/>
            <w:webHidden/>
          </w:rPr>
        </w:r>
        <w:r>
          <w:rPr>
            <w:noProof/>
            <w:webHidden/>
          </w:rPr>
          <w:fldChar w:fldCharType="separate"/>
        </w:r>
        <w:r>
          <w:rPr>
            <w:noProof/>
            <w:webHidden/>
          </w:rPr>
          <w:t>19</w:t>
        </w:r>
        <w:r>
          <w:rPr>
            <w:noProof/>
            <w:webHidden/>
          </w:rPr>
          <w:fldChar w:fldCharType="end"/>
        </w:r>
      </w:hyperlink>
    </w:p>
    <w:p w14:paraId="3919CBBC" w14:textId="24CAEAFA" w:rsidR="00AD6802" w:rsidRPr="00351683" w:rsidRDefault="00AD6802" w:rsidP="00B4556E">
      <w:pPr>
        <w:pStyle w:val="BodyText"/>
      </w:pPr>
      <w:r>
        <w:fldChar w:fldCharType="end"/>
      </w:r>
      <w:r w:rsidRPr="00351683">
        <w:br w:type="page"/>
      </w:r>
    </w:p>
    <w:p w14:paraId="2DA9AC86" w14:textId="77777777" w:rsidR="00AD6802" w:rsidRDefault="00AD6802" w:rsidP="00AD6802">
      <w:pPr>
        <w:pStyle w:val="Heading1"/>
      </w:pPr>
      <w:bookmarkStart w:id="7" w:name="_Toc232174936"/>
      <w:bookmarkStart w:id="8" w:name="_Toc232181734"/>
      <w:bookmarkStart w:id="9" w:name="_Toc238570902"/>
      <w:r w:rsidRPr="00FD60C6">
        <w:lastRenderedPageBreak/>
        <w:t>Public health approach</w:t>
      </w:r>
      <w:bookmarkEnd w:id="7"/>
      <w:bookmarkEnd w:id="8"/>
      <w:bookmarkEnd w:id="9"/>
    </w:p>
    <w:p w14:paraId="7A8DEB52" w14:textId="117D81C6" w:rsidR="002331C6" w:rsidRPr="002331C6" w:rsidRDefault="002331C6" w:rsidP="002331C6">
      <w:pPr>
        <w:pStyle w:val="BodyText"/>
      </w:pPr>
      <w:r w:rsidRPr="001F5684">
        <w:t xml:space="preserve">This </w:t>
      </w:r>
      <w:r>
        <w:t>section</w:t>
      </w:r>
      <w:r w:rsidRPr="001F5684">
        <w:t xml:space="preserve"> outlines the public health response to</w:t>
      </w:r>
      <w:r>
        <w:t xml:space="preserve"> notifications of mpox of any clade.</w:t>
      </w:r>
    </w:p>
    <w:p w14:paraId="614C5BE8" w14:textId="77777777" w:rsidR="00AD6802" w:rsidRPr="00995E1C" w:rsidRDefault="00AD6802" w:rsidP="00AD6802">
      <w:pPr>
        <w:pStyle w:val="Heading2"/>
      </w:pPr>
      <w:bookmarkStart w:id="10" w:name="_Toc230260145"/>
      <w:bookmarkStart w:id="11" w:name="_Toc232174937"/>
      <w:bookmarkStart w:id="12" w:name="_Toc232181735"/>
      <w:r>
        <w:t>Priority</w:t>
      </w:r>
      <w:bookmarkEnd w:id="10"/>
      <w:bookmarkEnd w:id="11"/>
      <w:bookmarkEnd w:id="12"/>
    </w:p>
    <w:p w14:paraId="496EBB35" w14:textId="77777777" w:rsidR="00AD6802" w:rsidRPr="00AC6224" w:rsidRDefault="00AD6802" w:rsidP="00AC6224">
      <w:pPr>
        <w:pStyle w:val="BodyText"/>
      </w:pPr>
      <w:bookmarkStart w:id="13" w:name="_Toc230260147"/>
      <w:bookmarkStart w:id="14" w:name="_Toc232174938"/>
      <w:bookmarkStart w:id="15" w:name="_Toc232181736"/>
      <w:r w:rsidRPr="00AC6224">
        <w:t>Choose the priority classification/s and delete the others.</w:t>
      </w:r>
    </w:p>
    <w:tbl>
      <w:tblPr>
        <w:tblStyle w:val="CDCTable4"/>
        <w:tblW w:w="9498" w:type="dxa"/>
        <w:tblCellMar>
          <w:top w:w="57" w:type="dxa"/>
          <w:bottom w:w="57" w:type="dxa"/>
        </w:tblCellMar>
        <w:tblLook w:val="04A0" w:firstRow="1" w:lastRow="0" w:firstColumn="1" w:lastColumn="0" w:noHBand="0" w:noVBand="1"/>
      </w:tblPr>
      <w:tblGrid>
        <w:gridCol w:w="1701"/>
        <w:gridCol w:w="3544"/>
        <w:gridCol w:w="4253"/>
      </w:tblGrid>
      <w:tr w:rsidR="00AD6802" w:rsidRPr="00A767A2" w14:paraId="14D54761" w14:textId="77777777" w:rsidTr="007B18E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701" w:type="dxa"/>
            <w:vAlign w:val="top"/>
            <w:hideMark/>
          </w:tcPr>
          <w:p w14:paraId="3810B79F" w14:textId="77777777" w:rsidR="00AD6802" w:rsidRPr="005F1231" w:rsidRDefault="00AD6802" w:rsidP="007B18ED">
            <w:pPr>
              <w:pStyle w:val="Tableheaderrowblack"/>
            </w:pPr>
            <w:r w:rsidRPr="005F1231">
              <w:t>Priority Classification </w:t>
            </w:r>
          </w:p>
        </w:tc>
        <w:tc>
          <w:tcPr>
            <w:tcW w:w="3544" w:type="dxa"/>
            <w:vAlign w:val="top"/>
            <w:hideMark/>
          </w:tcPr>
          <w:p w14:paraId="746120A8" w14:textId="77777777" w:rsidR="00AD6802" w:rsidRPr="005F1231" w:rsidRDefault="00AD6802" w:rsidP="007B18ED">
            <w:pPr>
              <w:pStyle w:val="Tableheaderrowblack"/>
              <w:cnfStyle w:val="100000000000" w:firstRow="1" w:lastRow="0" w:firstColumn="0" w:lastColumn="0" w:oddVBand="0" w:evenVBand="0" w:oddHBand="0" w:evenHBand="0" w:firstRowFirstColumn="0" w:firstRowLastColumn="0" w:lastRowFirstColumn="0" w:lastRowLastColumn="0"/>
            </w:pPr>
            <w:r>
              <w:t>Timeframes to initiation of public health response</w:t>
            </w:r>
            <w:r w:rsidRPr="005F1231">
              <w:t> </w:t>
            </w:r>
          </w:p>
        </w:tc>
        <w:tc>
          <w:tcPr>
            <w:tcW w:w="4253" w:type="dxa"/>
            <w:vAlign w:val="top"/>
          </w:tcPr>
          <w:p w14:paraId="4D2EBB53" w14:textId="77777777" w:rsidR="00AD6802" w:rsidRPr="005F1231" w:rsidRDefault="00AD6802" w:rsidP="007B18ED">
            <w:pPr>
              <w:pStyle w:val="Tableheaderrowblack"/>
              <w:cnfStyle w:val="100000000000" w:firstRow="1" w:lastRow="0" w:firstColumn="0" w:lastColumn="0" w:oddVBand="0" w:evenVBand="0" w:oddHBand="0" w:evenHBand="0" w:firstRowFirstColumn="0" w:firstRowLastColumn="0" w:lastRowFirstColumn="0" w:lastRowLastColumn="0"/>
            </w:pPr>
            <w:r>
              <w:t>Timeframes for data entry into state or territory notifiable diseases database</w:t>
            </w:r>
          </w:p>
        </w:tc>
      </w:tr>
      <w:tr w:rsidR="00AD6802" w:rsidRPr="00A767A2" w14:paraId="53B78EE9" w14:textId="77777777" w:rsidTr="007B18ED">
        <w:trPr>
          <w:trHeight w:val="454"/>
        </w:trPr>
        <w:tc>
          <w:tcPr>
            <w:cnfStyle w:val="001000000000" w:firstRow="0" w:lastRow="0" w:firstColumn="1" w:lastColumn="0" w:oddVBand="0" w:evenVBand="0" w:oddHBand="0" w:evenHBand="0" w:firstRowFirstColumn="0" w:firstRowLastColumn="0" w:lastRowFirstColumn="0" w:lastRowLastColumn="0"/>
            <w:tcW w:w="1701" w:type="dxa"/>
          </w:tcPr>
          <w:p w14:paraId="5520211D" w14:textId="77777777" w:rsidR="00AD6802" w:rsidRPr="00390CCE" w:rsidRDefault="00AD6802" w:rsidP="00854DD1">
            <w:pPr>
              <w:pStyle w:val="Tabletext"/>
            </w:pPr>
            <w:r w:rsidRPr="00390CCE">
              <w:t xml:space="preserve">Urgent </w:t>
            </w:r>
          </w:p>
        </w:tc>
        <w:tc>
          <w:tcPr>
            <w:tcW w:w="3544" w:type="dxa"/>
          </w:tcPr>
          <w:p w14:paraId="4CA33D4F" w14:textId="77777777" w:rsidR="00AD6802" w:rsidRPr="00390CCE" w:rsidRDefault="00AD6802" w:rsidP="00854DD1">
            <w:pPr>
              <w:pStyle w:val="Tabletext"/>
              <w:cnfStyle w:val="000000000000" w:firstRow="0" w:lastRow="0" w:firstColumn="0" w:lastColumn="0" w:oddVBand="0" w:evenVBand="0" w:oddHBand="0" w:evenHBand="0" w:firstRowFirstColumn="0" w:firstRowLastColumn="0" w:lastRowFirstColumn="0" w:lastRowLastColumn="0"/>
            </w:pPr>
            <w:r w:rsidRPr="00390CCE">
              <w:t>Immediately</w:t>
            </w:r>
          </w:p>
        </w:tc>
        <w:tc>
          <w:tcPr>
            <w:tcW w:w="4253" w:type="dxa"/>
          </w:tcPr>
          <w:p w14:paraId="2D73EF7E" w14:textId="77777777" w:rsidR="00AD6802" w:rsidRPr="00390CCE" w:rsidRDefault="00AD6802" w:rsidP="00854DD1">
            <w:pPr>
              <w:pStyle w:val="Tabletext"/>
              <w:cnfStyle w:val="000000000000" w:firstRow="0" w:lastRow="0" w:firstColumn="0" w:lastColumn="0" w:oddVBand="0" w:evenVBand="0" w:oddHBand="0" w:evenHBand="0" w:firstRowFirstColumn="0" w:firstRowLastColumn="0" w:lastRowFirstColumn="0" w:lastRowLastColumn="0"/>
            </w:pPr>
            <w:r w:rsidRPr="00390CCE">
              <w:t>Within 1 working day</w:t>
            </w:r>
          </w:p>
        </w:tc>
      </w:tr>
    </w:tbl>
    <w:p w14:paraId="614B1A50" w14:textId="77777777" w:rsidR="00B671C2" w:rsidRDefault="00B671C2" w:rsidP="00B671C2">
      <w:r w:rsidRPr="00F32938">
        <w:t>Data entry timeline: Within 1 working day for all probable and confirmed cases</w:t>
      </w:r>
      <w:r>
        <w:t>.</w:t>
      </w:r>
    </w:p>
    <w:p w14:paraId="193D5B56" w14:textId="77777777" w:rsidR="00B671C2" w:rsidRPr="0039515F" w:rsidRDefault="00B671C2" w:rsidP="00B671C2">
      <w:r>
        <w:t xml:space="preserve">States and territories may review and amend their response time according to assessed public </w:t>
      </w:r>
      <w:r w:rsidRPr="0039515F">
        <w:t>health risk.</w:t>
      </w:r>
    </w:p>
    <w:p w14:paraId="61E5B7C6" w14:textId="77777777" w:rsidR="00B671C2" w:rsidRPr="00917AC5" w:rsidRDefault="00B671C2" w:rsidP="00917AC5">
      <w:pPr>
        <w:pStyle w:val="Heading3"/>
      </w:pPr>
      <w:bookmarkStart w:id="16" w:name="_Toc179789884"/>
      <w:r w:rsidRPr="00917AC5">
        <w:t>Data management</w:t>
      </w:r>
    </w:p>
    <w:p w14:paraId="44C81659" w14:textId="77777777" w:rsidR="00B671C2" w:rsidRDefault="00B671C2" w:rsidP="00B671C2">
      <w:pPr>
        <w:pStyle w:val="BodyText"/>
      </w:pPr>
      <w:r>
        <w:t>All c</w:t>
      </w:r>
      <w:r w:rsidRPr="00A02ABC">
        <w:t xml:space="preserve">onfirmed and probable cases should be entered on to the National Notifiable Diseases Surveillance </w:t>
      </w:r>
      <w:r w:rsidRPr="001B3DDB">
        <w:t xml:space="preserve">System </w:t>
      </w:r>
      <w:r w:rsidRPr="00492E29">
        <w:t>(</w:t>
      </w:r>
      <w:hyperlink r:id="rId13" w:history="1">
        <w:r w:rsidRPr="00492E29">
          <w:rPr>
            <w:rStyle w:val="Hyperlink"/>
          </w:rPr>
          <w:t>NNDSS</w:t>
        </w:r>
      </w:hyperlink>
      <w:r w:rsidRPr="00492E29">
        <w:t>)</w:t>
      </w:r>
      <w:r w:rsidRPr="00A02ABC">
        <w:t xml:space="preserve"> by </w:t>
      </w:r>
      <w:r>
        <w:t>state and territory</w:t>
      </w:r>
      <w:r w:rsidRPr="00A02ABC">
        <w:t xml:space="preserve"> </w:t>
      </w:r>
      <w:r>
        <w:t>public health units (</w:t>
      </w:r>
      <w:r w:rsidRPr="00A02ABC">
        <w:t>PHUs</w:t>
      </w:r>
      <w:r>
        <w:t>)</w:t>
      </w:r>
      <w:r w:rsidRPr="00A02ABC">
        <w:t xml:space="preserve">, ideally within one working day of notification. </w:t>
      </w:r>
    </w:p>
    <w:p w14:paraId="4B0E31FE" w14:textId="77777777" w:rsidR="00B671C2" w:rsidRPr="004F6AD4" w:rsidRDefault="00B671C2" w:rsidP="007B18ED">
      <w:pPr>
        <w:pStyle w:val="BodyText"/>
      </w:pPr>
      <w:r>
        <w:t xml:space="preserve">To note: </w:t>
      </w:r>
    </w:p>
    <w:p w14:paraId="7AA0B90F" w14:textId="77777777" w:rsidR="00B671C2" w:rsidRPr="005420E9" w:rsidRDefault="00B671C2" w:rsidP="007B18ED">
      <w:pPr>
        <w:pStyle w:val="ListBullet"/>
      </w:pPr>
      <w:r w:rsidRPr="005420E9">
        <w:t xml:space="preserve">The date of onset is the date that symptoms began, which may be prodromal/systemic symptoms, proctitis, or a rash. If </w:t>
      </w:r>
      <w:r w:rsidRPr="1ABB44CC">
        <w:t xml:space="preserve">asymptomatic infection, </w:t>
      </w:r>
      <w:r w:rsidRPr="005420E9">
        <w:t>do not enter a date of onset.</w:t>
      </w:r>
    </w:p>
    <w:p w14:paraId="02E861D9" w14:textId="77777777" w:rsidR="00B671C2" w:rsidRPr="009D652A" w:rsidRDefault="00B671C2" w:rsidP="007B18ED">
      <w:pPr>
        <w:pStyle w:val="ListBullet"/>
      </w:pPr>
      <w:r w:rsidRPr="61BA8E1B">
        <w:t>State and territory PHUs should document the clade, if tested, for each case’s infection in the notifiable disease database</w:t>
      </w:r>
      <w:r>
        <w:t>.</w:t>
      </w:r>
    </w:p>
    <w:p w14:paraId="27FE7CCD" w14:textId="7B0E4E09" w:rsidR="00B671C2" w:rsidRDefault="00B671C2" w:rsidP="007B18ED">
      <w:pPr>
        <w:pStyle w:val="BodyText"/>
      </w:pPr>
      <w:r w:rsidRPr="001D50F4">
        <w:t>The jurisdictional communicable disease branch should advise the National Incident Centre (NIC)</w:t>
      </w:r>
      <w:r>
        <w:t>,</w:t>
      </w:r>
      <w:r w:rsidRPr="001D50F4">
        <w:t xml:space="preserve"> if </w:t>
      </w:r>
      <w:bookmarkEnd w:id="16"/>
      <w:r>
        <w:t xml:space="preserve">required (see </w:t>
      </w:r>
      <w:hyperlink w:anchor="_Response_procedure" w:history="1">
        <w:r w:rsidRPr="00917AC5">
          <w:rPr>
            <w:rStyle w:val="Hyperlink"/>
          </w:rPr>
          <w:t>Response procedure</w:t>
        </w:r>
      </w:hyperlink>
      <w:r>
        <w:t>)</w:t>
      </w:r>
      <w:r w:rsidRPr="001D50F4">
        <w:t>.</w:t>
      </w:r>
    </w:p>
    <w:p w14:paraId="69069C70" w14:textId="77777777" w:rsidR="00B671C2" w:rsidRPr="00AD5F7C" w:rsidRDefault="00B671C2" w:rsidP="00AD5F7C">
      <w:pPr>
        <w:pStyle w:val="BodyText"/>
      </w:pPr>
      <w:r w:rsidRPr="00AD5F7C">
        <w:t>PHUs should complete enhanced mpox data fields, where possible. States and territories should transmit enhanced mpox data to the NNDSS in line with jurisdictional standards. Ideally, mpox enhanced data should be transmitted to the NNDSS on a fortnightly or monthly basis. Mpox data are checked quarterly by the Commonwealth.</w:t>
      </w:r>
    </w:p>
    <w:p w14:paraId="74541433" w14:textId="77777777" w:rsidR="00AD6802" w:rsidRDefault="00AD6802" w:rsidP="00AD6802">
      <w:pPr>
        <w:pStyle w:val="Heading2"/>
      </w:pPr>
      <w:r>
        <w:lastRenderedPageBreak/>
        <w:t>Public health importance</w:t>
      </w:r>
      <w:bookmarkEnd w:id="13"/>
      <w:bookmarkEnd w:id="14"/>
      <w:bookmarkEnd w:id="15"/>
    </w:p>
    <w:p w14:paraId="6736FAFA" w14:textId="77777777" w:rsidR="00CB46F6" w:rsidRPr="00A02ABC" w:rsidRDefault="00CB46F6" w:rsidP="00CB46F6">
      <w:pPr>
        <w:pStyle w:val="BodyText"/>
      </w:pPr>
      <w:r w:rsidRPr="642425FE">
        <w:t xml:space="preserve">Following the eradication of smallpox in 1980 and subsequent cessation of smallpox vaccination programs in the same year, MPXV has emerged as the most significant Orthopoxvirus for public health. Historically, MPXV primarily occurred in humans in Central and West Africa, often in proximity to tropical rainforests. Around 75% of cases during the 1980s were attributable to contact with infected animals </w:t>
      </w:r>
      <w:r>
        <w:fldChar w:fldCharType="begin"/>
      </w:r>
      <w:r>
        <w:instrText xml:space="preserve"> ADDIN ZOTERO_ITEM CSL_CITATION {"citationID":"hhHoZuOy","properties":{"formattedCitation":"(1\\uc0\\u8211{}4)","plainCitation":"(1–4)","noteIndex":0},"citationItems":[{"id":21,"uris":["http://zotero.org/users/local/eE57gvz8/items/RBICL9YN"],"itemData":{"id":21,"type":"article-journal","container-title":"Global Security: Health, Science and Policy","DOI":"10.1080/23779497.2022.2124185","ISSN":"2377-9497","issue":"1","journalAbbreviation":"Global Security: Health, Science and Policy","language":"en","page":"51-56","source":"DOI.org (Crossref)","title":"Public Health Emergency of International Concern declared by the World Health Organization for Monkeypox","volume":"7","author":[{"family":"Sah","given":"Ranjit"},{"family":"Padhi","given":"Bijaya Kumar"},{"family":"Siddiq","given":"Abdelmonem"},{"family":"Abdelaal","given":"Abdelaziz"},{"family":"Reda","given":"Abdulla"},{"family":"Ismail Lashin","given":"Basant"},{"family":"Mohanty","given":"Aroop"},{"family":"Z. Alshahrani","given":"Najim"},{"family":"Rodriguez-Morales","given":"Alfonso J."}],"issued":{"date-parts":[["2022",12,31]]}}},{"id":23,"uris":["http://zotero.org/users/local/eE57gvz8/items/NBC4KPIA"],"itemData":{"id":23,"type":"article-journal","abstract":"Monkeypox is a zoonotic disease caused by monkeypox virus (MPXV), which is a member of orthopoxvirus genus. The reemergence of MPXV in 2017 (at Bayelsa state) after 39 years of no reported case in Nigeria, and the export of travelers' monkeypox (MPX) from Nigeria to other parts of the world, in 2018 and 2019, respectively, have raised concern that MPXV may have emerged to occupy the ecological and immunological niche vacated by smallpox virus. This review X-rays the current state of knowledge pertaining the infection biology, epidemiology, and evolution of MPXV in Nigeria and worldwide, especially with regard to the human, cellular, and viral factors that modulate the virus transmission dynamics, infection, and its maintenance in nature. This paper also elucidates the role of recombination, gene loss and gene gain in MPXV evolution, chronicles the role of signaling in MPXV infection, and reviews the current therapeutic options available for the treatment and prevention of MPX. Additionally, genome-wide phylogenetic analysis was undertaken, and we show that MPXV isolates from recent 2017 outbreak in Nigeria were monophyletic with the isolate exported to Israel from Nigeria but do not share the most recent common ancestor with isolates obtained from earlier outbreaks, in 1971 and 1978, respectively. Finally, the review highlighted gaps in knowledge particularly the non-identification of a definitive reservoir host animal for MPXV and proposed future research endeavors to address the unresolved questions.","container-title":"Viruses","DOI":"10.3390/v12111257","ISSN":"1999-4915","issue":"11","journalAbbreviation":"Viruses","language":"eng","note":"PMID: 33167496\nPMCID: PMC7694534","page":"1257","source":"PubMed","title":"Monkeypox Virus in Nigeria: Infection Biology, Epidemiology, and Evolution","title-short":"Monkeypox Virus in Nigeria","volume":"12","author":[{"family":"Alakunle","given":"Emmanuel"},{"family":"Moens","given":"Ugo"},{"family":"Nchinda","given":"Godwin"},{"family":"Okeke","given":"Malachy Ifeanyi"}],"issued":{"date-parts":[["2020",11,5]]}}},{"id":26,"uris":["http://zotero.org/users/local/eE57gvz8/items/WK49GWVS"],"itemData":{"id":26,"type":"article-journal","abstract":"The recent apparent increase in human monkeypox cases across a wide geographic area, the potential for further spread, and the lack of reliable surveillance have raised the level of concern for this emerging zoonosis. In November 2017, the World Health Organization (WHO), in collaboration with CDC, hosted an informal consultation on monkeypox with researchers, global health partners, ministries of health, and orthopoxvirus experts to review and discuss human monkeypox in African countries where cases have been recently detected and also identify components of surveillance and response that need improvement. Endemic human monkeypox has been reported from more countries in the past decade than during the previous 40 years. Since 2016, confirmed cases of monkeypox have occurred in Central African Republic, Democratic Republic of the Congo, Liberia, Nigeria, Republic of the Congo, and Sierra Leone and in captive chimpanzees in Cameroon. Many countries with endemic monkeypox lack recent experience and specific knowledge about the disease to detect cases, treat patients, and prevent further spread of the virus. Specific improvements in surveillance capacity, laboratory diagnostics, and infection control measures are needed to launch an efficient response. Further, gaps in knowledge about the epidemiology and ecology of the virus need to be addressed to design, recommend, and implement needed prevention and control measures.","container-title":"MMWR. Morbidity and mortality weekly report","DOI":"10.15585/mmwr.mm6710a5","ISSN":"1545-861X","issue":"10","journalAbbreviation":"MMWR Morb Mortal Wkly Rep","language":"eng","note":"PMID: 29543790\nPMCID: PMC5857192","page":"306-310","source":"PubMed","title":"Emergence of Monkeypox - West and Central Africa, 1970-2017","volume":"67","author":[{"family":"Durski","given":"Kara N."},{"family":"McCollum","given":"Andrea M."},{"family":"Nakazawa","given":"Yoshinori"},{"family":"Petersen","given":"Brett W."},{"family":"Reynolds","given":"Mary G."},{"family":"Briand","given":"Sylvie"},{"family":"Djingarey","given":"Mamoudou Harouna"},{"family":"Olson","given":"Victoria"},{"family":"Damon","given":"Inger K."},{"family":"Khalakdina","given":"Asheena"}],"issued":{"date-parts":[["2018",3,16]]}}},{"id":29,"uris":["http://zotero.org/users/local/eE57gvz8/items/DMK6DXKL"],"itemData":{"id":29,"type":"chapter","page":"565-568","publisher":"Alpha Press","title":"Control of Communicable Diseases Manual","author":[{"family":"Heymann, D","given":""}],"issued":{"date-parts":[["2015"]]}}}],"schema":"https://github.com/citation-style-language/schema/raw/master/csl-citation.json"} </w:instrText>
      </w:r>
      <w:r>
        <w:fldChar w:fldCharType="separate"/>
      </w:r>
      <w:r w:rsidRPr="00B06562">
        <w:t>(1–4)</w:t>
      </w:r>
      <w:r>
        <w:fldChar w:fldCharType="end"/>
      </w:r>
      <w:r w:rsidRPr="642425FE">
        <w:t>.</w:t>
      </w:r>
      <w:r>
        <w:t xml:space="preserve"> </w:t>
      </w:r>
      <w:r w:rsidRPr="00A02ABC">
        <w:t>Before 2018, the only cases with secondary transmission outside Africa occurred in 2003 in the United States of America</w:t>
      </w:r>
      <w:r w:rsidRPr="1ABB44CC">
        <w:t xml:space="preserve"> (USA),</w:t>
      </w:r>
      <w:r w:rsidRPr="00A02ABC">
        <w:t xml:space="preserve"> associated with contact with infected animals</w:t>
      </w:r>
      <w:r>
        <w:t xml:space="preserve"> </w:t>
      </w:r>
      <w:r>
        <w:fldChar w:fldCharType="begin"/>
      </w:r>
      <w:r>
        <w:instrText xml:space="preserve"> ADDIN ZOTERO_ITEM CSL_CITATION {"citationID":"fgjiIIi7","properties":{"formattedCitation":"(5,6)","plainCitation":"(5,6)","noteIndex":0},"citationItems":[{"id":30,"uris":["http://zotero.org/users/local/eE57gvz8/items/JYRATAF8"],"itemData":{"id":30,"type":"article-journal","abstract":"A mysterious disease was reported on May 24, 2003, when the Wisconsin Division of Public Health (DPH) received notice of a 3-year-old girl who had been hospitalized in central Wisconsin with cellulites and fever after being bitten by a prairie dog on May 13. The laboratory isolated a gram-negative bacillus, raising concerns that it might be tularemia or plague; ultimately, it was identified as an acinetobacter species and was considered to be a contaminant. Because no other such cases were reported at the time, the case was thought to be merely an isolated event. However, within two weeks, on June 2, 2003, evidence of a much wider scenario began to emerge. On that date, the Wisconsin DPH received notice from the Marshfield Laboratory that the mother of the first patient had become ill on May 26 and that electron-microscopic evidence of a poxvirus was found in a skin lesion. On that same day, another report, this time from the Milwaukee Health Department, of a strange illness was received at the DPH and described the case of a meat inspector who resided in southeastern Wisconsin and also was a distributor of exotic animals. By July 30, 2003, 72 confirmed or suspected cases of monkeypox had been reported in Wisconsin, Illinois, and Indiana and represented a large outbreak. The peak in the onset of illness occurred between May 29 and June 9, 2003, and no further cases of illness have been reported in humans since June 22, 2003. Traceback investigations from the child and other patients followed the route of introduction of monkeypox into Wisconsin to a distributor in Illinois, who had received a shipment of exotic animals imported into the United States through Texas from Ghana, West Africa.","container-title":"Seminars in Pediatric Infectious Diseases","DOI":"10.1053/j.spid.2004.09.001","ISSN":"1045-1870","issue":"4","journalAbbreviation":"Semin Pediatr Infect Dis","language":"eng","note":"PMID: 15494953\nPMCID: PMC7129998","page":"280-287","source":"PubMed","title":"Monkeypox: a review of the history and emergence in the Western hemisphere","title-short":"Monkeypox","volume":"15","author":[{"family":"Ligon","given":"B. Lee"}],"issued":{"date-parts":[["2004",10]]}}},{"id":33,"uris":["http://zotero.org/users/local/eE57gvz8/items/7BGNFZIZ"],"itemData":{"id":33,"type":"webpage","title":"Update: Multistate Outbreak of Monkeypox --- Illinois, Indiana, Kansas, Missouri, Ohoi, and Wisconsin, 2003","URL":"https://www.cdc.gov/mmwr/preview/mmwrhtml/mm5227a5.htm","author":[{"family":"Centers for Disease Control and Prevention","given":""}]}}],"schema":"https://github.com/citation-style-language/schema/raw/master/csl-citation.json"} </w:instrText>
      </w:r>
      <w:r>
        <w:fldChar w:fldCharType="separate"/>
      </w:r>
      <w:r w:rsidRPr="00B06562">
        <w:t>(5,6)</w:t>
      </w:r>
      <w:r>
        <w:fldChar w:fldCharType="end"/>
      </w:r>
      <w:r w:rsidRPr="00A02ABC">
        <w:t>.</w:t>
      </w:r>
    </w:p>
    <w:p w14:paraId="43473CA9" w14:textId="77777777" w:rsidR="00CB46F6" w:rsidRDefault="00CB46F6" w:rsidP="00CB46F6">
      <w:pPr>
        <w:pStyle w:val="BodyText"/>
      </w:pPr>
      <w:r>
        <w:t xml:space="preserve">In early May 2022, multiple countries outside of the African continent reported outbreaks of MPXV clade IIb, predominantly associated with direct transmission of MPXV through sexual/intimate contact. On 20 May 2022, Australian health authorities detected cases associated with this global outbreak locally – this was the first time the virus had been detected in Australia </w:t>
      </w:r>
      <w:r>
        <w:fldChar w:fldCharType="begin"/>
      </w:r>
      <w:r>
        <w:instrText xml:space="preserve"> ADDIN ZOTERO_ITEM CSL_CITATION {"citationID":"5U51MGUL","properties":{"formattedCitation":"(7)","plainCitation":"(7)","noteIndex":0},"citationItems":[{"id":34,"uris":["http://zotero.org/users/local/eE57gvz8/items/ZBZLNW6W"],"itemData":{"id":34,"type":"webpage","title":"Mpox","URL":"https://www.health.gov.au/diseases/monkeypox-mpox","author":[{"family":"Australian Government Department of Health Disability and Ageing","given":""}],"accessed":{"date-parts":[["2025",8,3]]}}}],"schema":"https://github.com/citation-style-language/schema/raw/master/csl-citation.json"} </w:instrText>
      </w:r>
      <w:r>
        <w:fldChar w:fldCharType="separate"/>
      </w:r>
      <w:r w:rsidRPr="00B06562">
        <w:t>(7)</w:t>
      </w:r>
      <w:r>
        <w:fldChar w:fldCharType="end"/>
      </w:r>
      <w:r>
        <w:t xml:space="preserve">. </w:t>
      </w:r>
    </w:p>
    <w:p w14:paraId="1EEEF231" w14:textId="77777777" w:rsidR="00CB46F6" w:rsidRDefault="00CB46F6" w:rsidP="00CB46F6">
      <w:pPr>
        <w:pStyle w:val="BodyText"/>
      </w:pPr>
      <w:r>
        <w:t xml:space="preserve">The World Health Organization (WHO) declared the mpox outbreak, due to MXPV clade IIb, a public health emergency of international concern (PHEIC) on 23 July 2022, followed by Australia’s declaration of mpox as a Communicable Disease Incident of National Significance on 28 July 2022 (stood down on 25 November 2022). From January 2022 to June 2025, over 100,000 mpox cases (largely MPXV clade IIb) were reported in more than 100 countries outside of Africa </w:t>
      </w:r>
      <w:r>
        <w:fldChar w:fldCharType="begin"/>
      </w:r>
      <w:r>
        <w:instrText xml:space="preserve"> ADDIN ZOTERO_ITEM CSL_CITATION {"citationID":"4pncWtmb","properties":{"formattedCitation":"(8)","plainCitation":"(8)","noteIndex":0},"citationItems":[{"id":2,"uris":["http://zotero.org/users/local/eE57gvz8/items/IL3G54KI"],"itemData":{"id":2,"type":"webpage","title":"Global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fldChar w:fldCharType="separate"/>
      </w:r>
      <w:r w:rsidRPr="00B06562">
        <w:t>(8)</w:t>
      </w:r>
      <w:r>
        <w:fldChar w:fldCharType="end"/>
      </w:r>
      <w:r>
        <w:t xml:space="preserve">. Case numbers peaked in August 2022, followed by a significant decrease into late 2022 and onward, but transmission continues globally. In Australia, sustained locally acquired human-to-human transmission of MPXV clade IIb was observed in 2024 </w:t>
      </w:r>
      <w:r>
        <w:fldChar w:fldCharType="begin"/>
      </w:r>
      <w:r>
        <w:instrText xml:space="preserve"> ADDIN ZOTERO_ITEM CSL_CITATION {"citationID":"wOkXv7Ov","properties":{"formattedCitation":"(9)","plainCitation":"(9)","noteIndex":0},"citationItems":[{"id":35,"uris":["http://zotero.org/users/local/eE57gvz8/items/NBBU6699"],"itemData":{"id":35,"type":"webpage","title":"National Notifiable Disease Surveillance System","URL":"https://nindss.health.gov.au/pbi-dashboard/","author":[{"family":"Australian Government Department of Health Disability and Ageing","given":""}]}}],"schema":"https://github.com/citation-style-language/schema/raw/master/csl-citation.json"} </w:instrText>
      </w:r>
      <w:r>
        <w:fldChar w:fldCharType="separate"/>
      </w:r>
      <w:r w:rsidRPr="00B06562">
        <w:t>(9)</w:t>
      </w:r>
      <w:r>
        <w:fldChar w:fldCharType="end"/>
      </w:r>
      <w:r>
        <w:t>.</w:t>
      </w:r>
    </w:p>
    <w:p w14:paraId="4FCE10A0" w14:textId="77777777" w:rsidR="00CB46F6" w:rsidRDefault="00CB46F6" w:rsidP="00CB46F6">
      <w:pPr>
        <w:pStyle w:val="BodyText"/>
      </w:pPr>
      <w:r>
        <w:t xml:space="preserve">The WHO declared mpox a PHEIC for a second time on 14 August 2024, following the upsurge of clade Ib from the Democratic Republic of the Congo (DRC) to several neighbouring African countries from late 2023 </w:t>
      </w:r>
      <w:r>
        <w:fldChar w:fldCharType="begin"/>
      </w:r>
      <w:r>
        <w:instrText xml:space="preserve"> ADDIN ZOTERO_ITEM CSL_CITATION {"citationID":"C1BzNoOe","properties":{"formattedCitation":"(10)","plainCitation":"(10)","noteIndex":0},"citationItems":[{"id":36,"uris":["http://zotero.org/users/local/eE57gvz8/items/MZVNB6NR"],"itemData":{"id":36,"type":"webpage","title":"WHO Director-General declares mpox outbreak a public health emergency of international concern","URL":"https://www.who.int/news/item/14-08-2024-who-director-general-declares-mpox-outbreak-a-public-health-emergency-of-international-concern","author":[{"family":"World Health Organization","given":""}]}}],"schema":"https://github.com/citation-style-language/schema/raw/master/csl-citation.json"} </w:instrText>
      </w:r>
      <w:r>
        <w:fldChar w:fldCharType="separate"/>
      </w:r>
      <w:r w:rsidRPr="00B06562">
        <w:t>(10)</w:t>
      </w:r>
      <w:r>
        <w:fldChar w:fldCharType="end"/>
      </w:r>
      <w:r>
        <w:t xml:space="preserve">. From January 2022 to June 2025, more than 43,000 mpox cases (largely MPXV clade Ib, but also clade Ia) were reported in 30 African countries, with the majority of cases from the DRC, Uganda, and Burundi </w:t>
      </w:r>
      <w:r>
        <w:fldChar w:fldCharType="begin"/>
      </w:r>
      <w:r>
        <w:instrText xml:space="preserve"> ADDIN ZOTERO_ITEM CSL_CITATION {"citationID":"UC56BVMh","properties":{"formattedCitation":"(8)","plainCitation":"(8)","noteIndex":0},"citationItems":[{"id":2,"uris":["http://zotero.org/users/local/eE57gvz8/items/IL3G54KI"],"itemData":{"id":2,"type":"webpage","title":"Global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fldChar w:fldCharType="separate"/>
      </w:r>
      <w:r w:rsidRPr="00B06562">
        <w:t>(8)</w:t>
      </w:r>
      <w:r>
        <w:fldChar w:fldCharType="end"/>
      </w:r>
      <w:r>
        <w:t xml:space="preserve">.  </w:t>
      </w:r>
    </w:p>
    <w:p w14:paraId="2F60A743" w14:textId="77777777" w:rsidR="00CB46F6" w:rsidRDefault="00CB46F6" w:rsidP="00CB46F6">
      <w:pPr>
        <w:pStyle w:val="BodyText"/>
      </w:pPr>
      <w:r>
        <w:t xml:space="preserve">By July 2025, imported MPXV clade Ib cases were reported in 18 countries outside of Africa, including Australia, and three countries outside of Africa reported imported clade Ia cases </w:t>
      </w:r>
      <w:r>
        <w:fldChar w:fldCharType="begin"/>
      </w:r>
      <w:r>
        <w:instrText xml:space="preserve"> ADDIN ZOTERO_ITEM CSL_CITATION {"citationID":"9yCxZi8n","properties":{"formattedCitation":"(8)","plainCitation":"(8)","noteIndex":0},"citationItems":[{"id":2,"uris":["http://zotero.org/users/local/eE57gvz8/items/IL3G54KI"],"itemData":{"id":2,"type":"webpage","title":"Global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fldChar w:fldCharType="separate"/>
      </w:r>
      <w:r w:rsidRPr="00B06562">
        <w:t>(8)</w:t>
      </w:r>
      <w:r>
        <w:fldChar w:fldCharType="end"/>
      </w:r>
      <w:r>
        <w:t xml:space="preserve">. The PHEIC status for mpox was declared over by the WHO on 5 September 2025 </w:t>
      </w:r>
      <w:r>
        <w:fldChar w:fldCharType="begin"/>
      </w:r>
      <w:r>
        <w:instrText xml:space="preserve"> ADDIN ZOTERO_ITEM CSL_CITATION {"citationID":"HHXZSZOP","properties":{"formattedCitation":"(11)","plainCitation":"(11)","noteIndex":0},"citationItems":[{"id":172,"uris":["http://zotero.org/users/local/eE57gvz8/items/PBQ5MWR3"],"itemData":{"id":172,"type":"webpage","title":"WHO Director-General's opening remarks at the media briefing – 5 September 2025","URL":"https://www.who.int/news-room/speeches/item/who-director-general-s-opening-remarks-at-the-media-briefing---5-september-2025","author":[{"family":"World Health Organization","given":""}]}}],"schema":"https://github.com/citation-style-language/schema/raw/master/csl-citation.json"} </w:instrText>
      </w:r>
      <w:r>
        <w:fldChar w:fldCharType="separate"/>
      </w:r>
      <w:r w:rsidRPr="00B06562">
        <w:t>(11)</w:t>
      </w:r>
      <w:r>
        <w:fldChar w:fldCharType="end"/>
      </w:r>
      <w:r>
        <w:t>.</w:t>
      </w:r>
    </w:p>
    <w:p w14:paraId="29FD86B7" w14:textId="77777777" w:rsidR="00CB46F6" w:rsidRDefault="00CB46F6" w:rsidP="00CB46F6">
      <w:pPr>
        <w:pStyle w:val="BodyText"/>
      </w:pPr>
      <w:r>
        <w:lastRenderedPageBreak/>
        <w:t xml:space="preserve">By October 2025, locally acquired clade Ib cases were reported in four European countries and the USA, indicating ongoing transmission in sexual networks in the community </w:t>
      </w:r>
      <w:r>
        <w:fldChar w:fldCharType="begin"/>
      </w:r>
      <w:r>
        <w:instrText xml:space="preserve"> ADDIN ZOTERO_ITEM CSL_CITATION {"citationID":"PYYc003f","properties":{"formattedCitation":"(12)","plainCitation":"(12)","noteIndex":0},"citationItems":[{"id":207,"uris":["http://zotero.org/users/local/eE57gvz8/items/C8TEM8C7"],"itemData":{"id":207,"type":"webpage","title":"Local transmission of clade 1b mpox cases detected in EU/EEA, ECDC urges renewed vigilance","URL":"https://www.ecdc.europa.eu/en/news-events/local-transmission-clade-1b-mpox-cases-detected-eueea-ecdc-urges-renewed-vigilance","author":[{"family":"European Centre for Disease Prevention and Control","given":""}]}}],"schema":"https://github.com/citation-style-language/schema/raw/master/csl-citation.json"} </w:instrText>
      </w:r>
      <w:r>
        <w:fldChar w:fldCharType="separate"/>
      </w:r>
      <w:r w:rsidRPr="00B06562">
        <w:t>(12)</w:t>
      </w:r>
      <w:r>
        <w:fldChar w:fldCharType="end"/>
      </w:r>
      <w:r>
        <w:t xml:space="preserve">. </w:t>
      </w:r>
    </w:p>
    <w:p w14:paraId="7ECE4363" w14:textId="7E25D7FE" w:rsidR="001319B9" w:rsidRPr="001319B9" w:rsidRDefault="00CB46F6" w:rsidP="00CB46F6">
      <w:pPr>
        <w:pStyle w:val="BodyText"/>
      </w:pPr>
      <w:r>
        <w:t xml:space="preserve">In December 2025, the first reported case of a </w:t>
      </w:r>
      <w:r w:rsidRPr="000A6AEE">
        <w:t>clade Ib/IIb MPXV recombinant strain</w:t>
      </w:r>
      <w:r>
        <w:t xml:space="preserve"> was detected in the United Kingdom. This case was subsequently linked by sequencing data to a retrospective case in India from September of the same year. To date, these are the only known cases of this strain (</w:t>
      </w:r>
      <w:hyperlink r:id="rId14" w:history="1">
        <w:r w:rsidRPr="0081209D">
          <w:rPr>
            <w:rStyle w:val="Hyperlink"/>
          </w:rPr>
          <w:t>reference</w:t>
        </w:r>
      </w:hyperlink>
      <w:r>
        <w:t>).</w:t>
      </w:r>
    </w:p>
    <w:p w14:paraId="2403B1E5" w14:textId="77777777" w:rsidR="00AD6802" w:rsidRDefault="00AD6802" w:rsidP="00AD6802">
      <w:pPr>
        <w:pStyle w:val="Heading2"/>
        <w:rPr>
          <w:lang w:eastAsia="en-AU"/>
        </w:rPr>
      </w:pPr>
      <w:bookmarkStart w:id="17" w:name="_Toc230260148"/>
      <w:bookmarkStart w:id="18" w:name="_Toc232174939"/>
      <w:bookmarkStart w:id="19" w:name="_Toc232181737"/>
      <w:r>
        <w:rPr>
          <w:lang w:eastAsia="en-AU"/>
        </w:rPr>
        <w:t>Public health response aims</w:t>
      </w:r>
      <w:bookmarkEnd w:id="17"/>
      <w:bookmarkEnd w:id="18"/>
      <w:bookmarkEnd w:id="19"/>
    </w:p>
    <w:p w14:paraId="068551DD" w14:textId="3FAACBC8" w:rsidR="00AD6802" w:rsidRDefault="0026648F" w:rsidP="0026648F">
      <w:pPr>
        <w:pStyle w:val="BodyText"/>
      </w:pPr>
      <w:bookmarkStart w:id="20" w:name="_Toc230260149"/>
      <w:bookmarkStart w:id="21" w:name="_Toc232174940"/>
      <w:bookmarkStart w:id="22" w:name="_Toc232181738"/>
      <w:r w:rsidRPr="0026648F">
        <w:t>The aim of the public health response to mpox in Australia is to suppress transmission of mpox and prevent future cases. This approach acknowledges the risk of ongoing incursions of mpox cases into Australia, and inability to eliminate all cases of mpox from Australia given the global epidemiology.</w:t>
      </w:r>
    </w:p>
    <w:p w14:paraId="62F8F7DE" w14:textId="73348278" w:rsidR="00D26D9F" w:rsidRDefault="00D26D9F" w:rsidP="00D26D9F">
      <w:pPr>
        <w:pStyle w:val="Heading2"/>
        <w:rPr>
          <w:lang w:eastAsia="en-AU"/>
        </w:rPr>
      </w:pPr>
      <w:r>
        <w:rPr>
          <w:lang w:eastAsia="en-AU"/>
        </w:rPr>
        <w:t>Priority populations</w:t>
      </w:r>
    </w:p>
    <w:p w14:paraId="78AA7E08" w14:textId="66014DE0" w:rsidR="007C34B4" w:rsidRPr="00917AC5" w:rsidRDefault="000C49F6" w:rsidP="00917AC5">
      <w:pPr>
        <w:pStyle w:val="Heading3"/>
      </w:pPr>
      <w:r w:rsidRPr="00917AC5">
        <w:t>High-risk groups and settings</w:t>
      </w:r>
    </w:p>
    <w:p w14:paraId="1213C9A2" w14:textId="77777777" w:rsidR="003D030C" w:rsidRPr="003D030C" w:rsidRDefault="003D030C" w:rsidP="003D030C">
      <w:pPr>
        <w:pStyle w:val="BodyText"/>
      </w:pPr>
      <w:r w:rsidRPr="003D030C">
        <w:t xml:space="preserve">While diverse modes of transmission mean that anyone can acquire or transmit mpox, cases in the global clade IIb outbreak have occurred primarily, but not exclusively, men who have sex with men (MSM) </w:t>
      </w:r>
      <w:r w:rsidRPr="003D030C">
        <w:fldChar w:fldCharType="begin"/>
      </w:r>
      <w:r w:rsidRPr="003D030C">
        <w:instrText xml:space="preserve"> ADDIN ZOTERO_ITEM CSL_CITATION {"citationID":"Beq2xiOQ","properties":{"formattedCitation":"(8,13)","plainCitation":"(8,13)","noteIndex":0},"citationItems":[{"id":2,"uris":["http://zotero.org/users/local/eE57gvz8/items/IL3G54KI"],"itemData":{"id":2,"type":"webpage","title":"Global Mpox Trends","URL":"https://worldhealthorg.shinyapps.io/mpx_global/#key-figures","author":[{"family":"World Health Organization","given":""}]}},{"id":11,"uris":["http://zotero.org/users/local/eE57gvz8/items/TSNXHYMD"],"itemData":{"id":11,"type":"article-journal","abstract":"BACKGROUND: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rsidRPr="003D030C">
        <w:fldChar w:fldCharType="separate"/>
      </w:r>
      <w:r w:rsidRPr="003D030C">
        <w:t>(8,13)</w:t>
      </w:r>
      <w:r w:rsidRPr="003D030C">
        <w:fldChar w:fldCharType="end"/>
      </w:r>
      <w:r w:rsidRPr="003D030C">
        <w:t xml:space="preserve">, as has been seen in the Australian context (Latham et al. 2025). The ongoing clade Ib outbreak in the DRC and other African countries is also strongly associated with sexual contact/direct physical contact and household contact </w:t>
      </w:r>
      <w:r w:rsidRPr="003D030C">
        <w:fldChar w:fldCharType="begin"/>
      </w:r>
      <w:r w:rsidRPr="003D030C">
        <w:instrText xml:space="preserve"> ADDIN ZOTERO_ITEM CSL_CITATION {"citationID":"KAbfgol0","properties":{"formattedCitation":"(14)","plainCitation":"(14)","noteIndex":0},"citationItems":[{"id":3,"uris":["http://zotero.org/users/local/eE57gvz8/items/G7ZZWSNQ"],"itemData":{"id":3,"type":"article-journal","abstract":"BACKGROUND: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rsidRPr="003D030C">
        <w:fldChar w:fldCharType="separate"/>
      </w:r>
      <w:r w:rsidRPr="003D030C">
        <w:t>(14)</w:t>
      </w:r>
      <w:r w:rsidRPr="003D030C">
        <w:fldChar w:fldCharType="end"/>
      </w:r>
      <w:r w:rsidRPr="003D030C">
        <w:t xml:space="preserve">. </w:t>
      </w:r>
    </w:p>
    <w:p w14:paraId="1C2B0327" w14:textId="77777777" w:rsidR="003D030C" w:rsidRPr="003D030C" w:rsidRDefault="003D030C" w:rsidP="003D030C">
      <w:pPr>
        <w:pStyle w:val="BodyText"/>
      </w:pPr>
      <w:r w:rsidRPr="003D030C">
        <w:t>High-risk settings for transmission include:</w:t>
      </w:r>
    </w:p>
    <w:p w14:paraId="3924A498" w14:textId="77777777" w:rsidR="003D030C" w:rsidRPr="003D030C" w:rsidRDefault="003D030C" w:rsidP="003D030C">
      <w:pPr>
        <w:pStyle w:val="ListBullet"/>
      </w:pPr>
      <w:r w:rsidRPr="003D030C">
        <w:fldChar w:fldCharType="begin"/>
      </w:r>
      <w:r w:rsidRPr="003D030C">
        <w:instrText xml:space="preserve"> ADDIN EN.CITE </w:instrText>
      </w:r>
      <w:r w:rsidRPr="003D030C">
        <w:fldChar w:fldCharType="begin"/>
      </w:r>
      <w:r w:rsidRPr="003D030C">
        <w:instrText xml:space="preserve"> ADDIN EN.CITE.DATA </w:instrText>
      </w:r>
      <w:r w:rsidRPr="003D030C">
        <w:fldChar w:fldCharType="end"/>
      </w:r>
      <w:r w:rsidRPr="003D030C">
        <w:fldChar w:fldCharType="end"/>
      </w:r>
      <w:r w:rsidRPr="003D030C">
        <w:t xml:space="preserve">households </w:t>
      </w:r>
      <w:r w:rsidRPr="003D030C">
        <w:fldChar w:fldCharType="begin"/>
      </w:r>
      <w:r w:rsidRPr="003D030C">
        <w:instrText xml:space="preserve"> ADDIN ZOTERO_ITEM CSL_CITATION {"citationID":"R6iIyi2y","properties":{"formattedCitation":"(15)","plainCitation":"(15)","noteIndex":0},"citationItems":[{"id":50,"uris":["http://zotero.org/users/local/eE57gvz8/items/PY4TVXEH"],"itemData":{"id":50,"type":"webpage","title":"Monkeypox - Questions and Answers","URL":"https://www.who.int/news-room/questions-and-answers/item/monkeypox","author":[{"family":"World Health Organization","given":""}]}}],"schema":"https://github.com/citation-style-language/schema/raw/master/csl-citation.json"} </w:instrText>
      </w:r>
      <w:r w:rsidRPr="003D030C">
        <w:fldChar w:fldCharType="separate"/>
      </w:r>
      <w:r w:rsidRPr="003D030C">
        <w:t>(15)</w:t>
      </w:r>
      <w:r w:rsidRPr="003D030C">
        <w:fldChar w:fldCharType="end"/>
      </w:r>
      <w:r w:rsidRPr="003D030C" w:rsidDel="00C668A5">
        <w:t xml:space="preserve"> </w:t>
      </w:r>
    </w:p>
    <w:p w14:paraId="4DCB2240" w14:textId="77777777" w:rsidR="003D030C" w:rsidRPr="003D030C" w:rsidRDefault="003D030C" w:rsidP="003D030C">
      <w:pPr>
        <w:pStyle w:val="ListBullet"/>
      </w:pPr>
      <w:r w:rsidRPr="003D030C">
        <w:rPr>
          <w:lang w:val="fr-FR"/>
        </w:rPr>
        <w:t xml:space="preserve">sex-on-premises venues (SOPV) </w:t>
      </w:r>
      <w:r w:rsidRPr="003D030C">
        <w:fldChar w:fldCharType="begin"/>
      </w:r>
      <w:r w:rsidRPr="003D030C">
        <w:rPr>
          <w:lang w:val="fr-FR"/>
        </w:rPr>
        <w:instrText xml:space="preserve"> ADDIN ZOTERO_ITEM CSL_CITATION {"citationID":"8BjtwT1f","properties":{"formattedCitation":"(16\\uc0\\u8211{}18)","plainCitation":"(16–18)","noteIndex":0},"citationItems":[{"id":63,"uris":["http://zotero.org/users/local/eE57gvz8/items/IBI3I7F8"],"itemData":{"id":63,"type":"webpage","title":"Social Gatherings, Safer Sex, and Monkeypox","URL":"https://www.cdc.gov/poxvirus/monkeypox/specific-settings/social-gatherings.html","author":[{"family":"Centers for Disease Control and Prevention","given":""}]}},{"id":64,"uris":["http://zotero.org/users/local/eE57gvz8/items/6Q7TL5L3"],"itemData":{"id":64,"type":"webpage","title":"Monkeypox in the European Region: what we know so far and how we need to respond","URL":"https://www.who.int/europe/news/item/30-05-2022-monkeypox-in-the-european-region--what-we-know-so-far-and-how-we-need-to-respond","author":[{"family":"World Health Organization","given":""}]}},{"id":65,"uris":["http://zotero.org/users/local/eE57gvz8/items/2JBJBS38"],"itemData":{"id":65,"type":"article-journal","abstract":"PURPOSE: The worldwide mpox outbreak starting in May 2022 marks the occurrence of another previously atypical infectious disease in Europe. This study's objective was to present a comprehensive overview based on the gathered data and to illustrate the approach of the Cologne Health Department to contain the mpox outbreak.\nMETHODS: In this retrospective observational study, 368 individuals reported to the Cologne Health Department as PCR-positive for mpox were included. Data were collected in structured telephone interviews and digitally processed.\nRESULTS: The first mpox case in Cologne was recorded on May 24, 2022. The local outbreak lasted approximately 4 months and reached its peak in July. The last reported case in Cologne occurred on September 17. Transmissions mostly occurred through sexual contacts (67.4%) or other close physical contacts (4.6%) between men, but also through fomites, in the context of events or occasionally in the work environment. In 21.5% of cases, no route of infection could be determined. The mean incubation period was 8.2 days. Clinically, mpox infections usually presented with skin and/or mucosal lesions accompanied by general symptoms. In 74.8% of cases, a prodromal stage was absent. Initially, the rash often had an unspecific appearance, but in the further clinical course, it usually passed through the typical stages. Most infections resolved spontaneously under home care. In 3.5% of cases, however, inpatient hospitalisation was required. Infected persons with a previous smallpox vaccination had 0.43 times the odds of unvaccinated persons to be affected by lesions in 3 or more body regions and 0.30 times the odds to develop lesions in all 5 body regions. Previous vaccination statistically reduced the total duration of symptoms by 2.0 days.\nCONC</w:instrText>
      </w:r>
      <w:r w:rsidRPr="003D030C">
        <w:instrText xml:space="preserve">LUSIONS: The mpox outbreak 2022 in Cologne primarily affected men who have sex with men and have reported recent sexual encounters. The observed average incubation period was shorter than initially assumed. Mucosal involvement and associated symptoms occur in a relevant number of cases and can lead to more severe clinical courses. Previous smallpox vaccination was statistically significantly associated with milder courses of mpox. In the case of an unclear rash or symptoms suggesting mucosal involvement, mpox should be considered as a differential diagnosis. An equally rapid and well-orchestrated public health response are crucial for infection control.","container-title":"Infection","DOI":"10.1007/s15010-023-01997-x","ISSN":"1439-0973","issue":"5","journalAbbreviation":"Infection","language":"eng","note":"PMID: 36787016\nPMCID: PMC9926425","page":"1369-1381","source":"PubMed","title":"Mpox outbreak 2022: an overview of all cases reported to the Cologne Health Department","title-short":"Mpox outbreak 2022","volume":"51","author":[{"family":"Kröger","given":"Sophia Toya"},{"family":"Lehmann","given":"Max Christian"},{"family":"Treutlein","given":"Melanie"},{"family":"Fiethe","given":"Achim"},{"family":"Kossow","given":"Annelene"},{"family":"Küfer-Weiß","given":"Annika"},{"family":"Nießen","given":"Johannes"},{"family":"Grüne","given":"Barbara"}],"issued":{"date-parts":[["2023",10]]}}}],"schema":"https://github.com/citation-style-language/schema/raw/master/csl-citation.json"} </w:instrText>
      </w:r>
      <w:r w:rsidRPr="003D030C">
        <w:fldChar w:fldCharType="separate"/>
      </w:r>
      <w:r w:rsidRPr="003D030C">
        <w:t>(16–18)</w:t>
      </w:r>
      <w:r w:rsidRPr="003D030C">
        <w:fldChar w:fldCharType="end"/>
      </w:r>
      <w:r w:rsidRPr="003D030C" w:rsidDel="003D2F1F">
        <w:t xml:space="preserve"> </w:t>
      </w:r>
    </w:p>
    <w:p w14:paraId="04EDD296" w14:textId="77777777" w:rsidR="003D030C" w:rsidRPr="003D030C" w:rsidRDefault="003D030C" w:rsidP="003D030C">
      <w:pPr>
        <w:pStyle w:val="ListBullet"/>
      </w:pPr>
      <w:r w:rsidRPr="003D030C">
        <w:t xml:space="preserve">events, parties, or other venues where skin-to-skin contact and other intimate contact occurs </w:t>
      </w:r>
      <w:r w:rsidRPr="003D030C">
        <w:fldChar w:fldCharType="begin"/>
      </w:r>
      <w:r w:rsidRPr="003D030C">
        <w:instrText xml:space="preserve"> ADDIN ZOTERO_ITEM CSL_CITATION {"citationID":"2TTibT2T","properties":{"formattedCitation":"(8,18\\uc0\\u8211{}20)","plainCitation":"(8,18–20)","noteIndex":0},"citationItems":[{"id":2,"uris":["http://zotero.org/users/local/eE57gvz8/items/IL3G54KI"],"itemData":{"id":2,"type":"webpage","title":"Global Mpox Trends","URL":"https://worldhealthorg.shinyapps.io/mpx_global/#key-figures","author":[{"family":"World Health Organization","given":""}]}},{"id":65,"uris":["http://zotero.org/users/local/eE57gvz8/items/2JBJBS38"],"itemData":{"id":65,"type":"article-journal","abstract":"PURPOSE: The worldwide mpox outbreak starting in May 2022 marks the occurrence of another previously atypical infectious disease in Europe. This study's objective was to present a comprehensive overview based on the gathered data and to illustrate the approach of the Cologne Health Department to contain the mpox outbreak.\nMETHODS: In this retrospective observational study, 368 individuals reported to the Cologne Health Department as PCR-positive for mpox were included. Data were collected in structured telephone interviews and digitally processed.\nRESULTS: The first mpox case in Cologne was recorded on May 24, 2022. The local outbreak lasted approximately 4 months and reached its peak in July. The last reported case in Cologne occurred on September 17. Transmissions mostly occurred through sexual contacts (67.4%) or other close physical contacts (4.6%) between men, but also through fomites, in the context of events or occasionally in the work environment. In 21.5% of cases, no route of infection could be determined. The mean incubation period was 8.2 days. Clinically, mpox infections usually presented with skin and/or mucosal lesions accompanied by general symptoms. In 74.8% of cases, a prodromal stage was absent. Initially, the rash often had an unspecific appearance, but in the further clinical course, it usually passed through the typical stages. Most infections resolved spontaneously under home care. In 3.5% of cases, however, inpatient hospitalisation was required. Infected persons with a previous smallpox vaccination had 0.43 times the odds of unvaccinated persons to be affected by lesions in 3 or more body regions and 0.30 times the odds to develop lesions in all 5 body regions. Previous vaccination statistically reduced the total duration of symptoms by 2.0 days.\nCONCLUSIONS: The mpox outbreak 2022 in Cologne primarily affected men who have sex with men and have reported recent sexual encounters. The observed average incubation period was shorter than initially assumed. Mucosal involvement and associated symptoms occur in a relevant number of cases and can lead to more severe clinical courses. Previous smallpox vaccination was statistically significantly associated with milder courses of mpox. In the case of an unclear rash or symptoms suggesting mucosal involvement, mpox should be considered as a differential diagnosis. An equally rapid and well-orchestrated public health response are crucial for infection control.","container-title":"Infection","DOI":"10.1007/s15010-023-01997-x","ISSN":"1439-0973","issue":"5","journalAbbreviation":"Infection","language":"eng","note":"PMID: 36787016\nPMCID: PMC9926425","page":"1369-1381","source":"PubMed","title":"Mpox outbreak 2022: an overview of all cases reported to the Cologne Health Department","title-short":"Mpox outbreak 2022","volume":"51","author":[{"family":"Kröger","given":"Sophia Toya"},{"family":"Lehmann","given":"Max Christian"},{"family":"Treutlein","given":"Melanie"},{"family":"Fiethe","given":"Achim"},{"family":"Kossow","given":"Annelene"},{"family":"Küfer-Weiß","given":"Annika"},{"family":"Nießen","given":"Johannes"},{"family":"Grüne","given":"Barbara"}],"issued":{"date-parts":[["2023",10]]}}},{"id":67,"uris":["http://zotero.org/users/local/eE57gvz8/items/PY23UJ3E"],"itemData":{"id":67,"type":"article-journal","abstract":"Since early May 2022, an outbreak due to Mpox virus (formerly called monkeypox) has occurred in many countries around the world. On July 23, the World Health Organization declared the outbreak 'Public Health Emergency of International Concern'. In order to combat the outbreak, it is important to have effective infection prevention and control plans. The first step is to qualitatively and quantitatively determine the risks of infections, followed by the design and implementation of infection prevention and control measures. Mpox is transmitted through direct, indirect, and prolonged contact, through sexual transmission, and via the respiratory route. Men who have sex with men are identified as the most vulnerable population. Home pet-raisers, and health care workers are at risk of catching the disease. The outcome of infection is catastrophic among the elderly, immunocompromised individuals, pregnant female and children. The spillover to animals is of great concern. It is important to communicate the risks and have community engagement in the control of this outbreak. The availability of vaccines will add to the capability of containing the outbreak. It is critical to prevent the virus from spreading further. Hence, we review the recent findings on the risk management of Mpox along with the preventive strategies.","container-title":"Journal of Infection and Public Health","DOI":"10.1016/j.jiph.2023.04.001","ISSN":"1876-035X","issue":"6","journalAbbreviation":"J Infect Public Health","language":"eng","note":"PMID: 37062165\nPMCID: PMC10074767","page":"901-910","source":"PubMed","title":"Mpox: Risks and approaches to prevention","title-short":"Mpox","volume":"16","author":[{"family":"Amer","given":"Fatma"},{"family":"Khalil","given":"Hend E. S."},{"family":"Elahmady","given":"Mohammed"},{"family":"ElBadawy","given":"Nissreen E."},{"family":"Zahran","given":"Wafaa Ahmed"},{"family":"Abdelnasser","given":"Moustafa"},{"family":"Rodríguez-Morales","given":"Alfonso J."},{"family":"Wegdan","given":"Ahmed A."},{"family":"Tash","given":"Rehab M. Elsaid"}],"issued":{"date-parts":[["2023",6]]}}},{"id":69,"uris":["http://zotero.org/users/local/eE57gvz8/items/3VJ4SJPC"],"itemData":{"id":69,"type":"article-journal","abstract":"The recent multi-country outbreak of Mpox (Monkeypox disease) constituted a public health emergency. Although animal-to-human transmission is known to be the primary way of transmission, an increasing number of cases transmitted by person-to-person contact have been reported. During the recent Mpox outbreak sexual or intimate contact has been considered the most important way of transmission. However, other routes of transmission must not be ignored. The knowledge of how the Monkeypox Virus (MPXV) spreads is crucial to implement adequate measures to contain the spread of the disease. Therefore, this systematic review aimed to collect scientific data published concerning other implicated sources of infection beyond sexual interaction, such as the involvement of respiratory particles, contact with contaminated surfaces and skin-to-skin contact. The current study was performed using the guidelines of Preferred Reporting Items for Systematic Reviews and Meta-Analyses (PRISMA). Publications analyzing contacts of Mpox index cases and their outcome after contact were included. A total of 7319 person-to-person contacts were surveyed and 273 of them became positive cases. Positive secondary transmission of MPXV was verified after contact with people cohabiting in the same household, with family members, with healthcare workers, or within healthcare facilities, and sexual contact or contact with contaminated surfaces. Using the same cup, sharing the same dishes, and sleeping in the same room or bed were also positively associated with transmission. Five studies showed no evidence of transmission despite contact with surfaces, skin-to-skin contact, or through airway particles within healthcare facilities where containment measures were taken. These records support the case for person-to-person transmission and suggest that other types of contact beyond sexual contact pose a significant risk of acquiring the infection. Further investigation is crucial to elucidate MPXV transmission dynamics, and to implement adequate measures to contain the spread of the infection.","container-title":"Viruses","DOI":"10.3390/v15051074","ISSN":"1999-4915","issue":"5","journalAbbreviation":"Viruses","language":"eng","note":"PMID: 37243160\nPMCID: PMC10222665","page":"1074","source":"PubMed","title":"Mpox Person-to-Person Transmission-Where Have We Got So Far? A Systematic Review","title-short":"Mpox Person-to-Person Transmission-Where Have We Got So Far?","volume":"15","author":[{"family":"Pinto","given":"Pedro"},{"family":"Costa","given":"Miguel Alves"},{"family":"Gonçalves","given":"Micael F. M."},{"family":"Rodrigues","given":"Acácio Gonçalves"},{"family":"Lisboa","given":"Carmen"}],"issued":{"date-parts":[["2023",4,28]]}}}],"schema":"https://github.com/citation-style-language/schema/raw/master/csl-citation.json"} </w:instrText>
      </w:r>
      <w:r w:rsidRPr="003D030C">
        <w:fldChar w:fldCharType="separate"/>
      </w:r>
      <w:r w:rsidRPr="003D030C">
        <w:t>(8,18–20)</w:t>
      </w:r>
      <w:r w:rsidRPr="003D030C">
        <w:fldChar w:fldCharType="end"/>
      </w:r>
      <w:r w:rsidRPr="003D030C" w:rsidDel="00967468">
        <w:t xml:space="preserve"> </w:t>
      </w:r>
    </w:p>
    <w:p w14:paraId="32B47619" w14:textId="77777777" w:rsidR="003D030C" w:rsidRPr="003D030C" w:rsidRDefault="003D030C" w:rsidP="003D030C">
      <w:pPr>
        <w:pStyle w:val="ListBullet"/>
      </w:pPr>
      <w:r w:rsidRPr="003D030C">
        <w:t xml:space="preserve">healthcare settings (though only 2% of cases in healthcare workers in the global clade IIb outbreak have reported a healthcare associated exposure) </w:t>
      </w:r>
      <w:r w:rsidRPr="003D030C">
        <w:fldChar w:fldCharType="begin"/>
      </w:r>
      <w:r w:rsidRPr="003D030C">
        <w:instrText xml:space="preserve"> ADDIN ZOTERO_ITEM CSL_CITATION {"citationID":"Keo3TxQp","properties":{"formattedCitation":"(8)","plainCitation":"(8)","noteIndex":0},"citationItems":[{"id":2,"uris":["http://zotero.org/users/local/eE57gvz8/items/IL3G54KI"],"itemData":{"id":2,"type":"webpage","title":"Global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rsidRPr="003D030C">
        <w:fldChar w:fldCharType="separate"/>
      </w:r>
      <w:r w:rsidRPr="003D030C">
        <w:t>(8)</w:t>
      </w:r>
      <w:r w:rsidRPr="003D030C">
        <w:fldChar w:fldCharType="end"/>
      </w:r>
    </w:p>
    <w:p w14:paraId="50235A00" w14:textId="77777777" w:rsidR="003D030C" w:rsidRPr="003D030C" w:rsidRDefault="003D030C" w:rsidP="003D030C">
      <w:pPr>
        <w:pStyle w:val="ListBullet"/>
      </w:pPr>
      <w:r w:rsidRPr="003D030C">
        <w:t xml:space="preserve">countries or areas where mpox is endemic or there is a high risk of exposure </w:t>
      </w:r>
      <w:r w:rsidRPr="003D030C">
        <w:fldChar w:fldCharType="begin"/>
      </w:r>
      <w:r w:rsidRPr="003D030C">
        <w:instrText xml:space="preserve"> ADDIN ZOTERO_ITEM CSL_CITATION {"citationID":"chQdmfHM","properties":{"formattedCitation":"(7)","plainCitation":"(7)","noteIndex":0},"citationItems":[{"id":34,"uris":["http://zotero.org/users/local/eE57gvz8/items/ZBZLNW6W"],"itemData":{"id":34,"type":"webpage","title":"Mpox","URL":"https://www.health.gov.au/diseases/monkeypox-mpox","author":[{"family":"Australian Government Department of Health Disability and Ageing","given":""}],"accessed":{"date-parts":[["2025",8,3]]}}}],"schema":"https://github.com/citation-style-language/schema/raw/master/csl-citation.json"} </w:instrText>
      </w:r>
      <w:r w:rsidRPr="003D030C">
        <w:fldChar w:fldCharType="separate"/>
      </w:r>
      <w:r w:rsidRPr="003D030C">
        <w:t>(7)</w:t>
      </w:r>
      <w:r w:rsidRPr="003D030C">
        <w:fldChar w:fldCharType="end"/>
      </w:r>
      <w:r w:rsidRPr="003D030C">
        <w:t>.</w:t>
      </w:r>
    </w:p>
    <w:p w14:paraId="77407F53" w14:textId="77777777" w:rsidR="003D030C" w:rsidRDefault="003D030C" w:rsidP="003D030C">
      <w:pPr>
        <w:pStyle w:val="BodyText"/>
      </w:pPr>
      <w:r w:rsidRPr="003D030C">
        <w:t xml:space="preserve">Evidence of mpox transmission in schools and childcare settings outside of Africa is limited </w:t>
      </w:r>
      <w:r w:rsidRPr="003D030C">
        <w:fldChar w:fldCharType="begin"/>
      </w:r>
      <w:r w:rsidRPr="003D030C">
        <w:instrText xml:space="preserve"> ADDIN ZOTERO_ITEM CSL_CITATION {"citationID":"aGd6IFgU","properties":{"formattedCitation":"(21)","plainCitation":"(21)","noteIndex":0},"citationItems":[{"id":196,"uris":["http://zotero.org/users/local/eE57gvz8/items/9VBFEMAB"],"itemData":{"id":196,"type":"article-journal","container-title":"MMWR. Morbidity and mortality weekly report","DOI":"10.15585/mmwr.mm7223a4","ISSN":"1545-861X","issue":"23","journalAbbreviation":"MMWR Morb Mortal Wkly Rep","language":"eng","note":"PMID: 37289653\nPMCID: PMC10328459","page":"633-635","source":"PubMed","title":"Notes from the Field: Exposures to Mpox Among Cases in Children Aged ≤12 Years - United States, September 25-December 31, 2022","title-short":"Notes from the Field","volume":"72","author":[{"family":"Nemechek","given":"Kaylea"},{"family":"Stefanos","given":"Ruth"},{"family":"Miller","given":"Erin L."},{"family":"Riser","given":"Aspen"},{"family":"Kebede","given":"Bethel"},{"family":"Galang","given":"Romeo R."},{"family":"Hufstetler","given":"Kaitlin"},{"family":"Descamps","given":"Denisse"},{"family":"Balenger","given":"Adelaide"},{"family":"Hennessee","given":"Ian"},{"family":"Neelam","given":"Varsha"},{"family":"Hutchins","given":"Helena J."},{"family":"Labuda","given":"Sarah M."},{"family":"Davis","given":"K. Meryl"},{"family":"McCormick","given":"David W."},{"family":"Marx","given":"Grace E."},{"family":"Kimball","given":"Anne"},{"family":"Ruberto","given":"Irene"},{"family":"Williamson","given":"Thomas"},{"family":"Rzucidlo","given":"Paul"},{"family":"Willut","given":"Christina"},{"family":"Harold","given":"Rachel E."},{"family":"Mangla","given":"Anil T."},{"family":"English","given":"Andrew"},{"family":"Brikshavana","given":"Danucha"},{"family":"Blanding","given":"Justin"},{"family":"Kim","given":"Moon"},{"family":"Finn","given":"Lauren E."},{"family":"Marutani","given":"Amy"},{"family":"Lockwood","given":"Maura"},{"family":"Johnson","given":"Shannon"},{"family":"Ditto","given":"Nicole"},{"family":"Wilton","given":"Sara"},{"family":"Edmond","given":"Tara"},{"family":"Stokich","given":"Denise"},{"family":"Shinall","given":"Amanda"},{"family":"Alravez","given":"Bryanna"},{"family":"Crawley","given":"Addie"},{"family":"Nambiar","given":"Atmaram"},{"family":"Gateley","given":"Emily L."},{"family":"Schuman","given":"Julie"},{"family":"White","given":"Stephen L."},{"family":"Davis","given":"Kenneth"},{"family":"Milleron","given":"Rania"},{"family":"Mendez","given":"Minerva"},{"family":"Kawakami","given":"Vance"},{"family":"Segaloff","given":"Hannah E."},{"family":"Bower","given":"William A."},{"family":"Ellington","given":"Sascha R."},{"family":"McCollum","given":"Andrea M."},{"family":"Pao","given":"Leah Zilversmit"}],"issued":{"date-parts":[["2023",6,9]]}}}],"schema":"https://github.com/citation-style-language/schema/raw/master/csl-citation.json"} </w:instrText>
      </w:r>
      <w:r w:rsidRPr="003D030C">
        <w:fldChar w:fldCharType="separate"/>
      </w:r>
      <w:r w:rsidRPr="003D030C">
        <w:t>(21)</w:t>
      </w:r>
      <w:r w:rsidRPr="003D030C">
        <w:fldChar w:fldCharType="end"/>
      </w:r>
      <w:r w:rsidRPr="003D030C">
        <w:t xml:space="preserve">, and these have not been identified as high-risk settings in Australia. If a case is detected in a school or childcare setting, a risk assessment should be </w:t>
      </w:r>
      <w:r w:rsidRPr="003D030C">
        <w:lastRenderedPageBreak/>
        <w:t xml:space="preserve">undertaken and guidance followed as in </w:t>
      </w:r>
      <w:hyperlink w:anchor="_Case_management_1" w:history="1">
        <w:r w:rsidRPr="003D030C">
          <w:rPr>
            <w:rStyle w:val="Hyperlink"/>
          </w:rPr>
          <w:t>Case management</w:t>
        </w:r>
      </w:hyperlink>
      <w:r w:rsidRPr="003D030C">
        <w:t xml:space="preserve"> and </w:t>
      </w:r>
      <w:hyperlink w:anchor="_Contact_management" w:history="1">
        <w:r w:rsidRPr="003D030C">
          <w:rPr>
            <w:rStyle w:val="Hyperlink"/>
          </w:rPr>
          <w:t>Contact management</w:t>
        </w:r>
      </w:hyperlink>
      <w:r w:rsidRPr="003D030C">
        <w:t>.</w:t>
      </w:r>
    </w:p>
    <w:p w14:paraId="425A92B2" w14:textId="57DE98F4" w:rsidR="00BC3863" w:rsidRPr="00917AC5" w:rsidRDefault="00BC3863" w:rsidP="00917AC5">
      <w:pPr>
        <w:pStyle w:val="Heading3"/>
      </w:pPr>
      <w:r w:rsidRPr="00917AC5">
        <w:t>Groups at increased risk of severe disease</w:t>
      </w:r>
    </w:p>
    <w:p w14:paraId="1477412C" w14:textId="77777777" w:rsidR="000E02EE" w:rsidRPr="00807557" w:rsidRDefault="000E02EE" w:rsidP="000E02EE">
      <w:pPr>
        <w:pStyle w:val="BodyText"/>
      </w:pPr>
      <w:r>
        <w:t xml:space="preserve">People infected with MPXV who may be at greater risk of more severe disease include: </w:t>
      </w:r>
    </w:p>
    <w:p w14:paraId="3E0C0276" w14:textId="77777777" w:rsidR="000E02EE" w:rsidRPr="005420E9" w:rsidRDefault="000E02EE" w:rsidP="000E02EE">
      <w:pPr>
        <w:pStyle w:val="ListBullet"/>
      </w:pPr>
      <w:r w:rsidRPr="00F53C0E">
        <w:t>Immunocompromised people:</w:t>
      </w:r>
      <w:r>
        <w:t xml:space="preserve"> I</w:t>
      </w:r>
      <w:r w:rsidRPr="005420E9">
        <w:t>ndividuals</w:t>
      </w:r>
      <w:r>
        <w:t xml:space="preserve"> immunocompromised due to</w:t>
      </w:r>
      <w:r w:rsidRPr="005420E9">
        <w:t xml:space="preserve"> </w:t>
      </w:r>
      <w:r>
        <w:t>human immunodeficiency virus (</w:t>
      </w:r>
      <w:r w:rsidRPr="005420E9">
        <w:t>HIV</w:t>
      </w:r>
      <w:r>
        <w:t>)</w:t>
      </w:r>
      <w:r w:rsidRPr="005420E9">
        <w:t xml:space="preserve"> infection (CD4 count &lt;</w:t>
      </w:r>
      <w:r>
        <w:t>350 </w:t>
      </w:r>
      <w:r w:rsidRPr="005420E9">
        <w:t>cells/μL)</w:t>
      </w:r>
      <w:r>
        <w:t xml:space="preserve"> or other immunocompromising conditions or treatments</w:t>
      </w:r>
      <w:r w:rsidRPr="005420E9">
        <w:t xml:space="preserve"> </w:t>
      </w:r>
      <w:r>
        <w:fldChar w:fldCharType="begin"/>
      </w:r>
      <w:r>
        <w:instrText xml:space="preserve"> ADDIN ZOTERO_ITEM CSL_CITATION {"citationID":"vNM5qKib","properties":{"formattedCitation":"(22\\uc0\\u8211{}26)","plainCitation":"(22–26)","noteIndex":0},"citationItems":[{"id":40,"uris":["http://zotero.org/users/local/eE57gvz8/items/V3GUH7ZT"],"itemData":{"id":40,"type":"webpage","title":"Joint ECDC-WHO Regional Office for Europe Monkeypox Surveillance Bulletin","URL":"https://monkeypoxreport.ecdc.europa.eu/","author":[{"family":"European Centre for Disease Prevention and Control","given":""}]}},{"id":41,"uris":["http://zotero.org/users/local/eE57gvz8/items/NYH4GJXH"],"itemData":{"id":41,"type":"article-journal","abstract":"Up to 22 June 2022, 508 confirmed cases of monkeypox (MPX) have been reported in the Madrid region of Spain, 99% are men (n = 503) with a median age of 35 years (range: 18-67). In this ongoing outbreak, 427 cases (84.1%) reported condomless sex or sex with multiple partners within the 21 days before onset of symptoms, who were predominantly men who have sex with men (MSM) (n = 397; 93%). Both the location of the rash, mainly in the anogenital and perineal area, as well as the presence of inguinal lymphadenopathy suggest that close physical contact during sexual activity played a key role in transmission. Several cases reported being at a sauna in the city of Madrid (n = 34) or a mass event held on the Spanish island of Gran Canaria (n = 27), activities which may represent a conducive environment for MPX virus spread, with many private parties also playing an important role. Because of the rapid implementation of MPX surveillance in Madrid, one of the largest outbreaks reported outside Africa was identified. To minimise transmission, we continue to actively work with LGBTIQ+ groups and associations, with the aim of raising awareness among people at risk and encouraging them to adopt preventive measures.","container-title":"Euro Surveillance: Bulletin Europeen Sur Les Maladies Transmissibles = European Communicable Disease Bulletin","DOI":"10.2807/1560-7917.ES.2022.27.27.2200471","ISSN":"1560-7917","issue":"27","journalAbbreviation":"Euro Surveill","language":"eng","note":"PMID: 35801519\nPMCID: PMC9264731","page":"2200471","source":"PubMed","title":"Monkeypox outbreak predominantly affecting men who have sex with men, Madrid, Spain, 26 April to 16 June 2022","volume":"27","author":[{"family":"Iñigo Martínez","given":"Jesús"},{"family":"Gil Montalbán","given":"Elisa"},{"family":"Jiménez Bueno","given":"Susana"},{"family":"Martín Martínez","given":"Fernando"},{"family":"Nieto Juliá","given":"Alba"},{"family":"Sánchez Díaz","given":"Jesús"},{"family":"García Marín","given":"Natividad"},{"family":"Córdoba Deorador","given":"Esther"},{"family":"Nunziata Forte","given":"Antonio"},{"family":"Alonso García","given":"Marcos"},{"family":"Humanes Navarro","given":"Ana María"},{"family":"Montero Morales","given":"Laura"},{"family":"Domínguez Rodríguez","given":"María José"},{"family":"Carbajo Ariza","given":"Manuel"},{"family":"Díaz García","given":"Luis Miguel"},{"family":"Mata Pariente","given":"Nelva"},{"family":"Rumayor Zarzuelo","given":"Mercedes"},{"family":"Velasco Rodríguez","given":"Manuel José"},{"family":"Aragón Peña","given":"Andrés"},{"family":"Rodríguez Baena","given":"Elena"},{"family":"Miguel Benito","given":"Ángel"},{"family":"Pérez Meixeira","given":"Ana"},{"family":"Ordobás Gavín","given":"María"},{"family":"Lopaz Pérez","given":"María Ángeles"},{"family":"Arce Arnáez","given":"Araceli"}],"issued":{"date-parts":[["2022",7]]}}},{"id":44,"uris":["http://zotero.org/users/local/eE57gvz8/items/5NARETR8"],"itemData":{"id":44,"type":"article-journal","abstract":"Up to 27 May 2022, Portugal has detected 96 confirmed cases of monkeypox. We describe 27 confirmed cases (median age: 33 years (range: 22-51); all males), with an earliest symptom onset date of 29 April. Almost all cases (n = 25) live in the Lisbon and Tagus Valley health region. Most cases were neither part of identified transmission chains, nor linked to travel or had contact with symptomatic persons or with animals, suggesting the possible previously undetected spread of monkeypox.","container-title":"Euro Surveillance: Bulletin Europeen Sur Les Maladies Transmissibles = European Communicable Disease Bulletin","DOI":"10.2807/1560-7917.ES.2022.27.22.2200424","ISSN":"1560-7917","issue":"22","journalAbbreviation":"Euro Surveill","language":"eng","note":"PMID: 35656830\nPMCID: PMC9164676","page":"2200424","source":"PubMed","title":"Ongoing monkeypox virus outbreak, Portugal, 29 April to 23 May 2022","volume":"27","author":[{"family":"Perez Duque","given":"Mariana"},{"family":"Ribeiro","given":"Sofia"},{"family":"Martins","given":"João Vieira"},{"family":"Casaca","given":"Pedro"},{"family":"Leite","given":"Pedro Pinto"},{"family":"Tavares","given":"Margarida"},{"family":"Mansinho","given":"Kamal"},{"family":"Duque","given":"Luís Miguel"},{"family":"Fernandes","given":"Cândida"},{"family":"Cordeiro","given":"Rita"},{"family":"Borrego","given":"Maria José"},{"family":"Pelerito","given":"Ana"},{"family":"Carvalho","given":"Isabel Lopes","non-dropping-particle":"de"},{"family":"Núncio","given":"Sofia"},{"family":"Manageiro","given":"Vera"},{"family":"Minetti","given":"Corrado"},{"family":"Machado","given":"Jorge"},{"family":"Haussig","given":"Joana M."},{"family":"Croci","given":"Roberto"},{"family":"Spiteri","given":"Gianfranco"},{"family":"Casal","given":"Ana Sofia"},{"family":"Mendes","given":"Diana"},{"family":"Souto","given":"Tiago"},{"family":"Pocinho","given":"Sara"},{"family":"Fernandes","given":"Teresa"},{"family":"Firme","given":"Ana"},{"family":"Vasconcelos","given":"Paula"},{"family":"Freitas","given":"Graça"}],"issued":{"date-parts":[["2022",6]]}}},{"id":52,"uris":["http://zotero.org/users/local/eE57gvz8/items/EJYP6AM4"],"itemData":{"id":52,"type":"article-journal","abstract":"BACKGROUND: In May 2022, several countries with no history of sustained community transmission of mpox (formerly known as monkeypox) notified WHO of new mpox cases. These cases were soon followed by a large-scale outbreak, which unfolded across the world, driven by local, in-country transmission within previously unaffected countries. On July 23, 2022, WHO declared the outbreak a Public Health Emergency of International Concern. Here, we aim to describe the main epidemiological features of this outbreak, the largest reported to date.\nMETHODS: In this analysis of global surveillance data we analysed data for all confirmed mpox cases reported by WHO Member States through the global surveillance system from Jan 1, 2022, to Jan 29, 2023. Data included daily aggregated numbers of mpox cases by country and a case reporting form (CRF) containing information on demographics, clinical presentation, epidemiological exposure factors, and laboratory testing. We used the data to (1) describe the key epidemiological and clinical features of cases; (2) analyse risk factors for hospitalisation (by multivariable mixed-effects binary logistic regression); and (3) retrospectively analyse transmission trends. Sequencing data from GISAID and GenBank were used to analyse monkeypox virus (MPXV) genetic diversity.\nFINDINGS: Data from 82 807 cases with submitted CRFs were included in the analysis. Cases were primarily due to clade IIb MPXV (mainly lineage B.1, followed by lineage A.2). The outbreak was driven by transmission among males (73 560 [96·4%] of 76 293 cases) who self-identify as men who have sex with men (25 938 [86·9%] of 29 854 cases). The most common reported route of transmission was sexual contact (14 941 [68·7%] of 21 749). 3927 (7·3%) of 54 117 cases were hospitalised, with increased odds for those aged younger than 5 years (adjusted odds ratio 2·12 [95% CI 1·32-3·40], p=0·0020), aged 65 years and older (1·54 [1·05-2·25], p=0·026), female cases (1·61 [1·35-1·91], p&lt;0·0001), and for cases who are immunosuppressed either due to being HIV positive and immunosuppressed (2·00 [1·68-2·37], p&lt;0·0001), or other immunocompromising conditions (3·47 [1·84-6·54], p=0·0001).\nINTERPRETATION: Continued global surveillance allowed WHO to monitor the epidemic, identify risk factors, and inform the public health response. The outbreak can be attributed to clade IIb MPXV spread by newly described modes of transmission.\nFUNDING: WHO Contingency Fund for Emergencies.\nTRANSLATIONS: For the French and Spanish translations of the abstract see Supplementary Materials section.","container-title":"The Lancet. Global Health","DOI":"10.1016/S2214-109X(23)00198-5","ISSN":"2214-109X","issue":"7","journalAbbreviation":"Lancet Glob Health","language":"eng","note":"PMID: 37349031\nPMCID: PMC10281644","page":"e1012-e1023","source":"PubMed","title":"Description of the first global outbreak of mpox: an analysis of global surveillance data","title-short":"Description of the first global outbreak of mpox","volume":"11","author":[{"family":"Laurenson-Schafer","given":"Henry"},{"family":"Sklenovská","given":"Nikola"},{"family":"Hoxha","given":"Ana"},{"family":"Kerr","given":"Steven M."},{"family":"Ndumbi","given":"Patricia"},{"family":"Fitzner","given":"Julia"},{"family":"Almiron","given":"Maria"},{"family":"Sousa","given":"Luis Alves","non-dropping-particle":"de"},{"family":"Briand","given":"Sylvie"},{"family":"Cenciarelli","given":"Orlando"},{"family":"Colombe","given":"Soledad"},{"family":"Doherty","given":"Meg"},{"family":"Fall","given":"Ibrahima Soce"},{"family":"García-Calavaro","given":"Christian"},{"family":"Haussig","given":"Joana M."},{"family":"Kato","given":"Masaya"},{"family":"Mahamud","given":"Abdi Rahman"},{"family":"Morgan","given":"Oliver W."},{"family":"Nabeth","given":"Pierre"},{"family":"Naiene","given":"Jeremias Domingos"},{"family":"Navegantes","given":"Wildo Araujo"},{"family":"Ogundiran","given":"Opeayo"},{"family":"Okot","given":"Charles"},{"family":"Pebody","given":"Richard"},{"family":"Matsui","given":"Tamano"},{"family":"Ramírez","given":"Hugo López-Gatell"},{"family":"Smallwood","given":"Catherine"},{"family":"Tasigchana","given":"Raúl Francisco Pérez"},{"family":"Vaughan","given":"Aisling M."},{"family":"Williams","given":"George Sie"},{"literal":"WHO mpox Surveillance and Analytics team"},{"family":"Mala","given":"Peter Omondi"},{"family":"Lewis","given":"Rosamund F."},{"family":"Pavlin","given":"Boris I."},{"family":"Polain de Waroux","given":"Olivier","non-dropping-particle":"le"}],"issued":{"date-parts":[["2023",7]]}}},{"id":124,"uris":["http://zotero.org/users/local/eE57gvz8/items/UU5BZZAJ"],"itemData":{"id":124,"type":"webpage","title":"Clinical management and infection prevention and control for mpox: living guideline, May 2025","URL":"https://www.who.int/publications/i/item/B09434","author":[{"family":"World Health Organization","given":""}]}}],"schema":"https://github.com/citation-style-language/schema/raw/master/csl-citation.json"} </w:instrText>
      </w:r>
      <w:r>
        <w:fldChar w:fldCharType="separate"/>
      </w:r>
      <w:r w:rsidRPr="00B06562">
        <w:t>(22–26)</w:t>
      </w:r>
      <w:r>
        <w:fldChar w:fldCharType="end"/>
      </w:r>
      <w:r w:rsidRPr="005420E9">
        <w:t>.</w:t>
      </w:r>
    </w:p>
    <w:p w14:paraId="6DC73BA9" w14:textId="77777777" w:rsidR="000E02EE" w:rsidRPr="00A13C5B" w:rsidRDefault="000E02EE" w:rsidP="000E02EE">
      <w:pPr>
        <w:pStyle w:val="ListBullet"/>
      </w:pPr>
      <w:r w:rsidRPr="00F53C0E">
        <w:t>Pregnant people:</w:t>
      </w:r>
      <w:r w:rsidRPr="005420E9">
        <w:t xml:space="preserve"> </w:t>
      </w:r>
      <w:r>
        <w:t>E</w:t>
      </w:r>
      <w:r w:rsidRPr="005420E9">
        <w:t xml:space="preserve">vidence to support increased risk of severe disease in this group in the context of contemporary global outbreaks is mixed and often based on small numbers. However, vertical transmission of MPXV can occur and may carry a high risk of pregnancy loss or severe congenital infection in some cases </w:t>
      </w:r>
      <w:r>
        <w:fldChar w:fldCharType="begin"/>
      </w:r>
      <w:r>
        <w:instrText xml:space="preserve"> ADDIN ZOTERO_ITEM CSL_CITATION {"citationID":"9Y3RObWV","properties":{"formattedCitation":"(27\\uc0\\u8211{}31)","plainCitation":"(27–31)","noteIndex":0},"citationItems":[{"id":55,"uris":["http://zotero.org/users/local/eE57gvz8/items/SY3EEC3S"],"itemData":{"id":55,"type":"article-journal","abstract":"Human monkeypox is an endemic disease in rain-forested regions of central Democratic Republic of Congo. We report fetal outcomes for 1 of 4 pregnant women who participated in an observational study at the General Hospital of Kole (Sankuru Province), where 222 symptomatic subjects were followed between 2007 and 2011. Of the 4 pregnant women, 1 gave birth to a healthy infant, 2 had miscarriages in the first trimester, and 1 had fetal death, with the macerated stillborn showing diffuse cutaneous maculopapillary skin lesions involving the head, trunk and extremities, including palms of hands and soles of feet.","container-title":"The Journal of Infectious Diseases","DOI":"10.1093/infdis/jix260","ISSN":"1537-6613","issue":"7","journalAbbreviation":"J Infect Dis","language":"eng","note":"PMID: 29029147","page":"824-828","source":"PubMed","title":"Maternal and Fetal Outcomes Among Pregnant Women With Human Monkeypox Infection in the Democratic Republic of Congo","volume":"216","author":[{"family":"Mbala","given":"Placide K."},{"family":"Huggins","given":"John W."},{"family":"Riu-Rovira","given":"Therese"},{"family":"Ahuka","given":"Steve M."},{"family":"Mulembakani","given":"Prime"},{"family":"Rimoin","given":"Anne W."},{"family":"Martin","given":"James W."},{"family":"Muyembe","given":"Jean-Jacques T."}],"issued":{"date-parts":[["2017",10,17]]}}},{"id":57,"uris":["http://zotero.org/users/local/eE57gvz8/items/SVUF9SYQ"],"itemData":{"id":57,"type":"webpage","title":"Mpox (Monkeypox) in Pregnancy","URL":"https://www.rcog.org.uk/media/mrpktraf/2023-11-mpox-monkeypox-in-pregnancy.pdf","author":[{"family":"Royal College of Obstetricians &amp; Gynaecologists","given":""}]}},{"id":58,"uris":["http://zotero.org/users/local/eE57gvz8/items/2LF54CWD"],"itemData":{"id":58,"type":"article-journal","container-title":"Lancet (London, England)","DOI":"10.1016/S0140-6736(22)01063-7","ISSN":"1474-547X","issue":"10345","journalAbbreviation":"Lancet","language":"eng","note":"PMID: 35750071\nPMCID: PMC9534144","page":"21-22","source":"PubMed","title":"Guidelines for pregnant individuals with monkeypox virus exposure","volume":"400","author":[{"family":"Dashraath","given":"Pradip"},{"family":"Nielsen-Saines","given":"Karin"},{"family":"Mattar","given":"Citra"},{"family":"Musso","given":"Didier"},{"family":"Tambyah","given":"Paul"},{"family":"Baud","given":"David"}],"issued":{"date-parts":[["2022",7,2]]}}},{"id":61,"uris":["http://zotero.org/users/local/eE57gvz8/items/QT749NGD"],"itemData":{"id":61,"type":"article-journal","abstract":"Viral infections during pregnancy have been one of the leading causes associated with significant perinatal problems, such as congenital defects, fetal neurological syndromes, stillbirths, and adverse pregnancy outcomes. The mpox virus infection, caused by an Orthopoxvirus related to the human smallpox virus, was declared a global health emergency by the World Health Organization in July 2022 due to the large number of cases emerging outside the usual endemic area in Africa. There is little information on the impact of mpox virus infection during pregnancy, although the limited evidence available shows a high rate of fetal harm. This review addresses the problem of mpox virus infection in pregnant women and provides indications for its prevention, diagnosis, and treatment.","container-title":"Revista Clinica Espanola","DOI":"10.1016/j.rceng.2022.09.002","ISSN":"2254-8874","issue":"1","journalAbbreviation":"Rev Clin Esp (Barc)","language":"eng","note":"PMID: 36341988\nPMCID: PMC9620439","page":"32-39","source":"PubMed","title":"Mpox and pregnancy: A neglected disease and its impact on perinatal health","title-short":"Mpox and pregnancy","volume":"223","author":[{"family":"Velázquez-Cervantes","given":"M. A."},{"family":"Ulloa-Aguilar","given":"J. M."},{"family":"León-Juárez","given":"M."}],"issued":{"date-parts":[["2023",1]]}}},{"id":163,"uris":["http://zotero.org/users/local/eE57gvz8/items/6EKASDSQ"],"itemData":{"id":163,"type":"article-journal","container-title":"The New England Journal of Medicine","DOI":"10.1056/NEJMc2503347","ISSN":"1533-4406","issue":"23","journalAbbreviation":"N Engl J Med","language":"eng","note":"PMID: 40532158\nPMCID: PMC12180470","page":"2385-2387","source":"PubMed","title":"Three Cases of Vertical Transmission of Clade Ib Mpox Virus","volume":"392","author":[{"family":"Vakaniaki","given":"Emmanuel Hasivirwe"},{"family":"Kuispond","given":"Nono-Raymond Swar"},{"family":"Hirata","given":"Yuichiro"},{"family":"Bangwen","given":"Eugene"},{"family":"Brosius","given":"Isabel"},{"family":"Kinganda-Lusamaki","given":"Eddy"},{"family":"Ozono","given":"Seiya"},{"family":"Katano","given":"Harutaka"},{"family":"Ndunge","given":"Laurent Gabanga"},{"family":"Mulopo-Mukanya","given":"Noella"},{"family":"Tshomba","given":"Jean-Claude"},{"family":"De Vos","given":"Elise"},{"family":"Van Dijck","given":"Christophe"},{"family":"Munganga","given":"Papy"},{"family":"Mukari","given":"Guy"},{"family":"Mujula","given":"Yves"},{"family":"Mambo","given":"Divin Mazambi"},{"family":"Kitwanda","given":"Steeven Bilembo"},{"family":"Maliyamungu-Bubala","given":"Nadine"},{"family":"Mutimbwa-Mambo","given":"Léandre"},{"family":"Crozier","given":"Ian"},{"family":"Dodd","given":"Lori E."},{"family":"Tshiani-Mbaya","given":"Olivier"},{"family":"Lebwaze","given":"Bienvenu Massamba"},{"family":"Malembaka","given":"Espoir Bwenge"},{"family":"Barhishindi","given":"Isaac"},{"family":"Krasemann","given":"Susanne"},{"family":"Colebunders","given":"Robert"},{"family":"Katoto","given":"Patrick D. M. C."},{"family":"Makiala-Mandanda","given":"Sheila"},{"family":"Kindrachuk","given":"Jason"},{"family":"Rimoin","given":"Anne W."},{"family":"Muyembe-Tamfum","given":"Jean-Jacques"},{"family":"Mukadi-Bamuleka","given":"Daniel"},{"family":"Wawina-Bokalanga","given":"Tony"},{"family":"Nundu","given":"Sabin Sabiti"},{"family":"Suzuki","given":"Tadaki"},{"family":"Chirimwami","given":"Raphaël Bulakali"},{"family":"Liesenborghs","given":"Laurens"},{"family":"Mbala-Kingebeni","given":"Placide"}],"issued":{"date-parts":[["2025",6,19]]}}}],"schema":"https://github.com/citation-style-language/schema/raw/master/csl-citation.json"} </w:instrText>
      </w:r>
      <w:r>
        <w:fldChar w:fldCharType="separate"/>
      </w:r>
      <w:r w:rsidRPr="00B06562">
        <w:t>(27–31)</w:t>
      </w:r>
      <w:r>
        <w:fldChar w:fldCharType="end"/>
      </w:r>
      <w:r w:rsidRPr="005420E9">
        <w:t xml:space="preserve">. </w:t>
      </w:r>
    </w:p>
    <w:p w14:paraId="0F48B796" w14:textId="77777777" w:rsidR="000E02EE" w:rsidRPr="005420E9" w:rsidRDefault="000E02EE" w:rsidP="000E02EE">
      <w:pPr>
        <w:pStyle w:val="ListBullet"/>
      </w:pPr>
      <w:r w:rsidRPr="00F53C0E">
        <w:t>Children:</w:t>
      </w:r>
      <w:r>
        <w:t xml:space="preserve"> The WHO </w:t>
      </w:r>
      <w:r w:rsidRPr="00635C6B">
        <w:t>identif</w:t>
      </w:r>
      <w:r>
        <w:t>ies children as groups who may be at greater risk of more severe disease, reflecting the data from the global outbreak of clade IIb indicating children younger than 5 years were twice</w:t>
      </w:r>
      <w:r w:rsidRPr="37F5D588">
        <w:t xml:space="preserve"> as</w:t>
      </w:r>
      <w:r>
        <w:t xml:space="preserve"> likely to be hospitalised due to mpox compared with people aged 15-44 years </w:t>
      </w:r>
      <w:r>
        <w:fldChar w:fldCharType="begin"/>
      </w:r>
      <w:r>
        <w:instrText xml:space="preserve"> ADDIN ZOTERO_ITEM CSL_CITATION {"citationID":"3yn4QkC0","properties":{"formattedCitation":"(25)","plainCitation":"(25)","noteIndex":0},"citationItems":[{"id":52,"uris":["http://zotero.org/users/local/eE57gvz8/items/EJYP6AM4"],"itemData":{"id":52,"type":"article-journal","abstract":"BACKGROUND: In May 2022, several countries with no history of sustained community transmission of mpox (formerly known as monkeypox) notified WHO of new mpox cases. These cases were soon followed by a large-scale outbreak, which unfolded across the world, driven by local, in-country transmission within previously unaffected countries. On July 23, 2022, WHO declared the outbreak a Public Health Emergency of International Concern. Here, we aim to describe the main epidemiological features of this outbreak, the largest reported to date.\nMETHODS: In this analysis of global surveillance data we analysed data for all confirmed mpox cases reported by WHO Member States through the global surveillance system from Jan 1, 2022, to Jan 29, 2023. Data included daily aggregated numbers of mpox cases by country and a case reporting form (CRF) containing information on demographics, clinical presentation, epidemiological exposure factors, and laboratory testing. We used the data to (1) describe the key epidemiological and clinical features of cases; (2) analyse risk factors for hospitalisation (by multivariable mixed-effects binary logistic regression); and (3) retrospectively analyse transmission trends. Sequencing data from GISAID and GenBank were used to analyse monkeypox virus (MPXV) genetic diversity.\nFINDINGS: Data from 82 807 cases with submitted CRFs were included in the analysis. Cases were primarily due to clade IIb MPXV (mainly lineage B.1, followed by lineage A.2). The outbreak was driven by transmission among males (73 560 [96·4%] of 76 293 cases) who self-identify as men who have sex with men (25 938 [86·9%] of 29 854 cases). The most common reported route of transmission was sexual contact (14 941 [68·7%] of 21 749). 3927 (7·3%) of 54 117 cases were hospitalised, with increased odds for those aged younger than 5 years (adjusted odds ratio 2·12 [95% CI 1·32-3·40], p=0·0020), aged 65 years and older (1·54 [1·05-2·25], p=0·026), female cases (1·61 [1·35-1·91], p&lt;0·0001), and for cases who are immunosuppressed either due to being HIV positive and immunosuppressed (2·00 [1·68-2·37], p&lt;0·0001), or other immunocompromising conditions (3·47 [1·84-6·54], p=0·0001).\nINTERPRETATION: Continued global surveillance allowed WHO to monitor the epidemic, identify risk factors, and inform the public health response. The outbreak can be attributed to clade IIb MPXV spread by newly described modes of transmission.\nFUNDING: WHO Contingency Fund for Emergencies.\nTRANSLATIONS: For the French and Spanish translations of the abstract see Supplementary Materials section.","container-title":"The Lancet. Global Health","DOI":"10.1016/S2214-109X(23)00198-5","ISSN":"2214-109X","issue":"7","journalAbbreviation":"Lancet Glob Health","language":"eng","note":"PMID: 37349031\nPMCID: PMC10281644","page":"e1012-e1023","source":"PubMed","title":"Description of the first global outbreak of mpox: an analysis of global surveillance data","title-short":"Description of the first global outbreak of mpox","volume":"11","author":[{"family":"Laurenson-Schafer","given":"Henry"},{"family":"Sklenovská","given":"Nikola"},{"family":"Hoxha","given":"Ana"},{"family":"Kerr","given":"Steven M."},{"family":"Ndumbi","given":"Patricia"},{"family":"Fitzner","given":"Julia"},{"family":"Almiron","given":"Maria"},{"family":"Sousa","given":"Luis Alves","non-dropping-particle":"de"},{"family":"Briand","given":"Sylvie"},{"family":"Cenciarelli","given":"Orlando"},{"family":"Colombe","given":"Soledad"},{"family":"Doherty","given":"Meg"},{"family":"Fall","given":"Ibrahima Soce"},{"family":"García-Calavaro","given":"Christian"},{"family":"Haussig","given":"Joana M."},{"family":"Kato","given":"Masaya"},{"family":"Mahamud","given":"Abdi Rahman"},{"family":"Morgan","given":"Oliver W."},{"family":"Nabeth","given":"Pierre"},{"family":"Naiene","given":"Jeremias Domingos"},{"family":"Navegantes","given":"Wildo Araujo"},{"family":"Ogundiran","given":"Opeayo"},{"family":"Okot","given":"Charles"},{"family":"Pebody","given":"Richard"},{"family":"Matsui","given":"Tamano"},{"family":"Ramírez","given":"Hugo López-Gatell"},{"family":"Smallwood","given":"Catherine"},{"family":"Tasigchana","given":"Raúl Francisco Pérez"},{"family":"Vaughan","given":"Aisling M."},{"family":"Williams","given":"George Sie"},{"literal":"WHO mpox Surveillance and Analytics team"},{"family":"Mala","given":"Peter Omondi"},{"family":"Lewis","given":"Rosamund F."},{"family":"Pavlin","given":"Boris I."},{"family":"Polain de Waroux","given":"Olivier","non-dropping-particle":"le"}],"issued":{"date-parts":[["2023",7]]}}}],"schema":"https://github.com/citation-style-language/schema/raw/master/csl-citation.json"} </w:instrText>
      </w:r>
      <w:r>
        <w:fldChar w:fldCharType="separate"/>
      </w:r>
      <w:r w:rsidRPr="00B06562">
        <w:t>(25)</w:t>
      </w:r>
      <w:r>
        <w:fldChar w:fldCharType="end"/>
      </w:r>
      <w:r>
        <w:t>. Additionally s</w:t>
      </w:r>
      <w:r w:rsidRPr="2B01F21E">
        <w:t xml:space="preserve">evere outcomes in children have been recorded in clade I outbreaks in Africa, </w:t>
      </w:r>
      <w:r w:rsidRPr="26F23A7C">
        <w:t>likely</w:t>
      </w:r>
      <w:r w:rsidRPr="2B01F21E">
        <w:t xml:space="preserve"> relating to factors such as malnourishment, co-infection and lack of access to healthcare and vaccination</w:t>
      </w:r>
      <w:r>
        <w:t xml:space="preserve"> </w:t>
      </w:r>
      <w:r>
        <w:fldChar w:fldCharType="begin"/>
      </w:r>
      <w:r>
        <w:instrText xml:space="preserve"> ADDIN ZOTERO_ITEM CSL_CITATION {"citationID":"SxfPAj6k","properties":{"formattedCitation":"(14,15,25,32,33)","plainCitation":"(14,15,25,32,33)","noteIndex":0},"citationItems":[{"id":47,"uris":["http://zotero.org/users/local/eE57gvz8/items/IMG4ZVG7"],"itemData":{"id":47,"type":"article-journal","abstract":"Monkeypox, a zoonotic disease caused by an orthopoxvirus, results in a smallpox-like disease in humans. Since monkeypox in humans was initially diagnosed in 1970 in the Democratic Republic of the Congo (DRC), it has spread to other regions of Africa (primarily West and Central), and cases outside Africa have emerged in recent years. We conducted a systematic review of peer-reviewed and grey literature on how monkeypox epidemiology has evolved, with particular emphasis on the number of confirmed, probable, and/or possible cases, age at presentation, mortality, and geographical spread. The review is registered with PROSPERO (CRD42020208269). We identified 48 peer-reviewed articles and 18 grey literature sources for data extraction. The number of human monkeypox cases has been on the rise since the 1970s, with the most dramatic increases occurring in the DRC. The median age at presentation has increased from 4 (1970s) to 21 years (2010-2019). There was an overall case fatality rate of 8.7%, with a significant difference between clades-Central African 10.6% (95% CI: 8.4%- 13.3%) vs. West African 3.6% (95% CI: 1.7%- 6.8%). Since 2003, import- and travel-related spread outside of Africa has occasionally resulted in outbreaks. Interactions/activities with infected animals or individuals are risk behaviors associated with acquiring monkeypox. Our review shows an escalation of monkeypox cases, especially in the highly endemic DRC, a spread to other countries, and a growing median age from young children to young adults. These findings may be related to the cessation of smallpox vaccination, which provided some cross-protection against monkeypox, leading to increased human-to-human transmission. The appearance of outbreaks beyond Africa highlights the global relevance of the disease. Increased surveillance and detection of monkeypox cases are essential tools for understanding the continuously changing epidemiology of this resurging disease.","container-title":"PLoS neglected tropical diseases","DOI":"10.1371/journal.pntd.0010141","ISSN":"1935-2735","issue":"2","journalAbbreviation":"PLoS Negl Trop Dis","language":"eng","note":"PMID: 35148313\nPMCID: PMC8870502","page":"e0010141","source":"PubMed","title":"The changing epidemiology of human monkeypox-A potential threat? A systematic review","title-short":"The changing epidemiology of human monkeypox-A potential threat?","volume":"16","author":[{"family":"Bunge","given":"Eveline M."},{"family":"Hoet","given":"Bernard"},{"family":"Chen","given":"Liddy"},{"family":"Lienert","given":"Florian"},{"family":"Weidenthaler","given":"Heinz"},{"family":"Baer","given":"Lorraine R."},{"family":"Steffen","given":"Robert"}],"issued":{"date-parts":[["2022",2]]}}},{"id":50,"uris":["http://zotero.org/users/local/eE57gvz8/items/PY4TVXEH"],"itemData":{"id":50,"type":"webpage","title":"Monkeypox - Questions and Answers","URL":"https://www.who.int/news-room/questions-and-answers/item/monkeypox","author":[{"family":"World Health Organization","given":""}]}},{"id":51,"uris":["http://zotero.org/users/local/eE57gvz8/items/6QKIGR4E"],"itemData":{"id":51,"type":"webpage","title":"Monkeypox in the United States: What Clinicians Need to Know June 2022","URL":"https://stacks.cdc.gov/view/cdc/119786","author":[{"family":"Centers for Disease Control and Prevention","given":""}]}},{"id":52,"uris":["http://zotero.org/users/local/eE57gvz8/items/EJYP6AM4"],"itemData":{"id":52,"type":"article-journal","abstract":"BACKGROUND: In May 2022, several countries with no history of sustained community transmission of mpox (formerly known as monkeypox) notified WHO of new mpox cases. These cases were soon followed by a large-scale outbreak, which unfolded across the world, driven by local, in-country transmission within previously unaffected countries. On July 23, 2022, WHO declared the outbreak a Public Health Emergency of International Concern. Here, we aim to describe the main epidemiological features of this outbreak, the largest reported to date.\nMETHODS: In this analysis of global surveillance data we analysed data for all confirmed mpox cases reported by WHO Member States through the global surveillance system from Jan 1, 2022, to Jan 29, 2023. Data included daily aggregated numbers of mpox cases by country and a case reporting form (CRF) containing information on demographics, clinical presentation, epidemiological exposure factors, and laboratory testing. We used the data to (1) describe the key epidemiological and clinical features of cases; (2) analyse risk factors for hospitalisation (by multivariable mixed-effects binary logistic regression); and (3) retrospectively analyse transmission trends. Sequencing data from GISAID and GenBank were used to analyse monkeypox virus (MPXV) genetic diversity.\nFINDINGS: Data from 82 807 cases with submitted CRFs were included in the analysis. Cases were primarily due to clade IIb MPXV (mainly lineage B.1, followed by lineage A.2). The outbreak was driven by transmission among males (73 560 [96·4%] of 76 293 cases) who self-identify as men who have sex with men (25 938 [86·9%] of 29 854 cases). The most common reported route of transmission was sexual contact (14 941 [68·7%] of 21 749). 3927 (7·3%) of 54 117 cases were hospitalised, with increased odds for those aged younger than 5 years (adjusted odds ratio 2·12 [95% CI 1·32-3·40], p=0·0020), aged 65 years and older (1·54 [1·05-2·25], p=0·026), female cases (1·61 [1·35-1·91], p&lt;0·0001), and for cases who are immunosuppressed either due to being HIV positive and immunosuppressed (2·00 [1·68-2·37], p&lt;0·0001), or other immunocompromising conditions (3·47 [1·84-6·54], p=0·0001).\nINTERPRETATION: Continued global surveillance allowed WHO to monitor the epidemic, identify risk factors, and inform the public health response. The outbreak can be attributed to clade IIb MPXV spread by newly described modes of transmission.\nFUNDING: WHO Contingency Fund for Emergencies.\nTRANSLATIONS: For the French and Spanish translations of the abstract see Supplementary Materials section.","container-title":"The Lancet. Global Health","DOI":"10.1016/S2214-109X(23)00198-5","ISSN":"2214-109X","issue":"7","journalAbbreviation":"Lancet Glob Health","language":"eng","note":"PMID: 37349031\nPMCID: PMC10281644","page":"e1012-e1023","source":"PubMed","title":"Description of the first global outbreak of mpox: an analysis of global surveillance data","title-short":"Description of the first global outbreak of mpox","volume":"11","author":[{"family":"Laurenson-Schafer","given":"Henry"},{"family":"Sklenovská","given":"Nikola"},{"family":"Hoxha","given":"Ana"},{"family":"Kerr","given":"Steven M."},{"family":"Ndumbi","given":"Patricia"},{"family":"Fitzner","given":"Julia"},{"family":"Almiron","given":"Maria"},{"family":"Sousa","given":"Luis Alves","non-dropping-particle":"de"},{"family":"Briand","given":"Sylvie"},{"family":"Cenciarelli","given":"Orlando"},{"family":"Colombe","given":"Soledad"},{"family":"Doherty","given":"Meg"},{"family":"Fall","given":"Ibrahima Soce"},{"family":"García-Calavaro","given":"Christian"},{"family":"Haussig","given":"Joana M."},{"family":"Kato","given":"Masaya"},{"family":"Mahamud","given":"Abdi Rahman"},{"family":"Morgan","given":"Oliver W."},{"family":"Nabeth","given":"Pierre"},{"family":"Naiene","given":"Jeremias Domingos"},{"family":"Navegantes","given":"Wildo Araujo"},{"family":"Ogundiran","given":"Opeayo"},{"family":"Okot","given":"Charles"},{"family":"Pebody","given":"Richard"},{"family":"Matsui","given":"Tamano"},{"family":"Ramírez","given":"Hugo López-Gatell"},{"family":"Smallwood","given":"Catherine"},{"family":"Tasigchana","given":"Raúl Francisco Pérez"},{"family":"Vaughan","given":"Aisling M."},{"family":"Williams","given":"George Sie"},{"literal":"WHO mpox Surveillance and Analytics team"},{"family":"Mala","given":"Peter Omondi"},{"family":"Lewis","given":"Rosamund F."},{"family":"Pavlin","given":"Boris I."},{"family":"Polain de Waroux","given":"Olivier","non-dropping-particle":"le"}],"issued":{"date-parts":[["2023",7]]}}},{"id":3,"uris":["http://zotero.org/users/local/eE57gvz8/items/G7ZZWSNQ"],"itemData":{"id":3,"type":"article-journal","abstract":"BACKGROUND: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fldChar w:fldCharType="separate"/>
      </w:r>
      <w:r w:rsidRPr="00B06562">
        <w:t>(14,15,25,32,33)</w:t>
      </w:r>
      <w:r>
        <w:fldChar w:fldCharType="end"/>
      </w:r>
      <w:r w:rsidRPr="005420E9">
        <w:t>.</w:t>
      </w:r>
      <w:r>
        <w:t xml:space="preserve"> It is unclear whether children in Australia may be at greater risk of severe disease due to the limited number of cases in this population notified in Australia to date.</w:t>
      </w:r>
    </w:p>
    <w:p w14:paraId="6E8631BE" w14:textId="77777777" w:rsidR="00AD6802" w:rsidRDefault="00AD6802" w:rsidP="00AD6802">
      <w:pPr>
        <w:pStyle w:val="Heading2"/>
        <w:rPr>
          <w:lang w:eastAsia="en-AU"/>
        </w:rPr>
      </w:pPr>
      <w:bookmarkStart w:id="23" w:name="_Toc230260150"/>
      <w:bookmarkStart w:id="24" w:name="_Toc232174941"/>
      <w:bookmarkStart w:id="25" w:name="_Toc232181739"/>
      <w:bookmarkEnd w:id="20"/>
      <w:bookmarkEnd w:id="21"/>
      <w:bookmarkEnd w:id="22"/>
      <w:r>
        <w:rPr>
          <w:lang w:eastAsia="en-AU"/>
        </w:rPr>
        <w:t>Surveillance aims</w:t>
      </w:r>
      <w:bookmarkEnd w:id="23"/>
      <w:bookmarkEnd w:id="24"/>
      <w:bookmarkEnd w:id="25"/>
    </w:p>
    <w:p w14:paraId="137B2C8D" w14:textId="49DDBF8E" w:rsidR="00AF57FA" w:rsidRPr="00B06562" w:rsidRDefault="00AF57FA" w:rsidP="00AF57FA">
      <w:pPr>
        <w:pStyle w:val="BodyText"/>
        <w:rPr>
          <w:lang w:val="fr-FR"/>
        </w:rPr>
      </w:pPr>
      <w:r w:rsidRPr="003C0BFC">
        <w:rPr>
          <w:lang w:val="fr-FR"/>
        </w:rPr>
        <w:t>Key surveillance objectives</w:t>
      </w:r>
      <w:r w:rsidR="00B06562">
        <w:rPr>
          <w:lang w:val="fr-FR"/>
        </w:rPr>
        <w:t>.</w:t>
      </w:r>
    </w:p>
    <w:p w14:paraId="7768CCB9" w14:textId="77777777" w:rsidR="00AF57FA" w:rsidRPr="005420E9" w:rsidRDefault="00AF57FA" w:rsidP="00AF57FA">
      <w:pPr>
        <w:pStyle w:val="ListBullet"/>
      </w:pPr>
      <w:r w:rsidRPr="005420E9">
        <w:t>Identify and describe the epidemiology of mpox cases to inform public health interventions.</w:t>
      </w:r>
    </w:p>
    <w:p w14:paraId="0A82DB8F" w14:textId="77777777" w:rsidR="00AF57FA" w:rsidRPr="005420E9" w:rsidRDefault="00AF57FA" w:rsidP="00AF57FA">
      <w:pPr>
        <w:pStyle w:val="ListBullet"/>
      </w:pPr>
      <w:r w:rsidRPr="005420E9">
        <w:t>Identify clusters of mpox cases and sources of infection to minimise transmission through case and contact management.</w:t>
      </w:r>
    </w:p>
    <w:p w14:paraId="592DA449" w14:textId="77777777" w:rsidR="00AF57FA" w:rsidRPr="005420E9" w:rsidRDefault="00AF57FA" w:rsidP="00AF57FA">
      <w:pPr>
        <w:pStyle w:val="ListBullet"/>
      </w:pPr>
      <w:r w:rsidRPr="005420E9">
        <w:t xml:space="preserve">Enable effective prevention and control measures and effective communication strategies based on: </w:t>
      </w:r>
    </w:p>
    <w:p w14:paraId="47046C38" w14:textId="77777777" w:rsidR="00AF57FA" w:rsidRPr="005420E9" w:rsidRDefault="00AF57FA" w:rsidP="00A06387">
      <w:pPr>
        <w:pStyle w:val="ListBullet2"/>
      </w:pPr>
      <w:r w:rsidRPr="005420E9">
        <w:t>identified routes of transmission</w:t>
      </w:r>
    </w:p>
    <w:p w14:paraId="0FB8892C" w14:textId="77777777" w:rsidR="00AF57FA" w:rsidRPr="005420E9" w:rsidRDefault="00AF57FA" w:rsidP="00A06387">
      <w:pPr>
        <w:pStyle w:val="ListBullet2"/>
      </w:pPr>
      <w:r>
        <w:t>identified priority populations</w:t>
      </w:r>
      <w:r w:rsidRPr="005420E9">
        <w:t xml:space="preserve">, and </w:t>
      </w:r>
    </w:p>
    <w:p w14:paraId="357314E2" w14:textId="77777777" w:rsidR="00AF57FA" w:rsidRPr="00B06562" w:rsidRDefault="00AF57FA" w:rsidP="00A06387">
      <w:pPr>
        <w:pStyle w:val="ListBullet2"/>
      </w:pPr>
      <w:r w:rsidRPr="005420E9">
        <w:t>high-risk settings.</w:t>
      </w:r>
    </w:p>
    <w:p w14:paraId="103D1C81" w14:textId="72D17BF5" w:rsidR="00AF57FA" w:rsidRPr="00B06562" w:rsidRDefault="00AF57FA" w:rsidP="00AF57FA">
      <w:pPr>
        <w:pStyle w:val="ListBullet"/>
        <w:rPr>
          <w:lang w:eastAsia="en-AU"/>
        </w:rPr>
      </w:pPr>
      <w:r w:rsidRPr="005420E9">
        <w:lastRenderedPageBreak/>
        <w:t>Provide robust data to support efforts to reduce human-to-human transmission.</w:t>
      </w:r>
    </w:p>
    <w:p w14:paraId="4DB0CFAF" w14:textId="77777777" w:rsidR="00AD6802" w:rsidRDefault="00AD6802" w:rsidP="00AD6802">
      <w:pPr>
        <w:pStyle w:val="Heading1"/>
        <w:rPr>
          <w:lang w:eastAsia="en-AU"/>
        </w:rPr>
      </w:pPr>
      <w:bookmarkStart w:id="26" w:name="_Toc232174942"/>
      <w:bookmarkStart w:id="27" w:name="_Toc232181740"/>
      <w:bookmarkStart w:id="28" w:name="_Toc238570903"/>
      <w:r>
        <w:rPr>
          <w:lang w:eastAsia="en-AU"/>
        </w:rPr>
        <w:lastRenderedPageBreak/>
        <w:t>Disease summary</w:t>
      </w:r>
      <w:bookmarkEnd w:id="26"/>
      <w:bookmarkEnd w:id="27"/>
      <w:bookmarkEnd w:id="28"/>
    </w:p>
    <w:p w14:paraId="4C40C2AD" w14:textId="13391674" w:rsidR="00F40623" w:rsidRPr="00F40623" w:rsidRDefault="00F40623" w:rsidP="00F40623">
      <w:pPr>
        <w:pStyle w:val="BodyText"/>
        <w:rPr>
          <w:lang w:eastAsia="en-AU"/>
        </w:rPr>
      </w:pPr>
      <w:r w:rsidRPr="00F40623">
        <w:rPr>
          <w:lang w:eastAsia="en-AU"/>
        </w:rPr>
        <w:t>On 28 November 2022, the WHO announced a change in disease name from monkeypox to mpox. Mpox is caused by infection with MPXV.</w:t>
      </w:r>
    </w:p>
    <w:p w14:paraId="131C40CC" w14:textId="77777777" w:rsidR="00AD6802" w:rsidRDefault="00AD6802" w:rsidP="00AD6802">
      <w:pPr>
        <w:pStyle w:val="Heading2"/>
      </w:pPr>
      <w:bookmarkStart w:id="29" w:name="_Toc230260152"/>
      <w:bookmarkStart w:id="30" w:name="_Toc232174943"/>
      <w:bookmarkStart w:id="31" w:name="_Toc232181741"/>
      <w:r>
        <w:t>Infectious agent</w:t>
      </w:r>
      <w:bookmarkEnd w:id="29"/>
      <w:bookmarkEnd w:id="30"/>
      <w:bookmarkEnd w:id="31"/>
    </w:p>
    <w:p w14:paraId="0379124E" w14:textId="77777777" w:rsidR="00AD6802" w:rsidRPr="00917AC5" w:rsidRDefault="00AD6802" w:rsidP="00917AC5">
      <w:pPr>
        <w:pStyle w:val="Heading3"/>
      </w:pPr>
      <w:bookmarkStart w:id="32" w:name="_Toc230260153"/>
      <w:r w:rsidRPr="00917AC5">
        <w:t>Pathogen</w:t>
      </w:r>
      <w:bookmarkEnd w:id="32"/>
    </w:p>
    <w:p w14:paraId="61F85165" w14:textId="77777777" w:rsidR="002D763B" w:rsidRPr="00A02ABC" w:rsidRDefault="002D763B" w:rsidP="002D763B">
      <w:pPr>
        <w:pStyle w:val="BodyText"/>
      </w:pPr>
      <w:r>
        <w:t>MPXV</w:t>
      </w:r>
      <w:r w:rsidRPr="00A02ABC">
        <w:t xml:space="preserve"> is an enveloped double-stranded deoxyribonucleic acid </w:t>
      </w:r>
      <w:r>
        <w:t>(DNA)</w:t>
      </w:r>
      <w:r w:rsidRPr="00A02ABC">
        <w:t xml:space="preserve"> virus of the genus Orthopoxvirus (related to the Poxviridae family), which also includes variola virus (which causes smallpox), vaccinia virus (which is used to produce the smallpox vaccine) and cowpox virus </w:t>
      </w:r>
      <w:r>
        <w:fldChar w:fldCharType="begin"/>
      </w:r>
      <w:r>
        <w:instrText xml:space="preserve"> ADDIN ZOTERO_ITEM CSL_CITATION {"citationID":"DdhPWD02","properties":{"formattedCitation":"(1)","plainCitation":"(1)","noteIndex":0},"citationItems":[{"id":21,"uris":["http://zotero.org/users/local/eE57gvz8/items/RBICL9YN"],"itemData":{"id":21,"type":"article-journal","container-title":"Global Security: Health, Science and Policy","DOI":"10.1080/23779497.2022.2124185","ISSN":"2377-9497","issue":"1","journalAbbreviation":"Global Security: Health, Science and Policy","language":"en","page":"51-56","source":"DOI.org (Crossref)","title":"Public Health Emergency of International Concern declared by the World Health Organization for Monkeypox","volume":"7","author":[{"family":"Sah","given":"Ranjit"},{"family":"Padhi","given":"Bijaya Kumar"},{"family":"Siddiq","given":"Abdelmonem"},{"family":"Abdelaal","given":"Abdelaziz"},{"family":"Reda","given":"Abdulla"},{"family":"Ismail Lashin","given":"Basant"},{"family":"Mohanty","given":"Aroop"},{"family":"Z. Alshahrani","given":"Najim"},{"family":"Rodriguez-Morales","given":"Alfonso J."}],"issued":{"date-parts":[["2022",12,31]]}}}],"schema":"https://github.com/citation-style-language/schema/raw/master/csl-citation.json"} </w:instrText>
      </w:r>
      <w:r>
        <w:fldChar w:fldCharType="separate"/>
      </w:r>
      <w:r w:rsidRPr="00B06562">
        <w:t>(1)</w:t>
      </w:r>
      <w:r>
        <w:fldChar w:fldCharType="end"/>
      </w:r>
      <w:r w:rsidRPr="00A02ABC">
        <w:t xml:space="preserve">. </w:t>
      </w:r>
    </w:p>
    <w:p w14:paraId="0E576796" w14:textId="77777777" w:rsidR="002D763B" w:rsidRDefault="002D763B" w:rsidP="002D763B">
      <w:pPr>
        <w:pStyle w:val="BodyText"/>
      </w:pPr>
      <w:r w:rsidRPr="298442C5">
        <w:t xml:space="preserve">MPXV </w:t>
      </w:r>
      <w:r w:rsidRPr="00A02ABC">
        <w:t>has two distinct genetic clades</w:t>
      </w:r>
      <w:r w:rsidRPr="1ABB44CC">
        <w:t>.</w:t>
      </w:r>
      <w:r w:rsidRPr="00A02ABC">
        <w:t xml:space="preserve"> </w:t>
      </w:r>
    </w:p>
    <w:p w14:paraId="4A2D9B71" w14:textId="77777777" w:rsidR="002D763B" w:rsidRPr="005420E9" w:rsidRDefault="002D763B" w:rsidP="002D763B">
      <w:pPr>
        <w:pStyle w:val="ListBullet"/>
      </w:pPr>
      <w:r w:rsidRPr="005420E9">
        <w:t>Clade I: formerly known as the Congo Basin or Central African clade and has two subclades, clades Ia and Ib</w:t>
      </w:r>
      <w:r>
        <w:t>.</w:t>
      </w:r>
    </w:p>
    <w:p w14:paraId="52B10F7F" w14:textId="77777777" w:rsidR="002D763B" w:rsidRPr="00B06562" w:rsidRDefault="002D763B" w:rsidP="002D763B">
      <w:pPr>
        <w:pStyle w:val="ListBullet"/>
      </w:pPr>
      <w:r w:rsidRPr="236F995D">
        <w:t xml:space="preserve">Clade II: formerly known as the West African clade and has two subclades, clades IIa and IIb </w:t>
      </w:r>
      <w:r w:rsidRPr="236F995D">
        <w:fldChar w:fldCharType="begin"/>
      </w:r>
      <w:r w:rsidRPr="236F995D">
        <w:instrText xml:space="preserve"> ADDIN ZOTERO_ITEM CSL_CITATION {"citationID":"Yow27EAt","properties":{"formattedCitation":"(1,34)","plainCitation":"(1,34)","noteIndex":0},"citationItems":[{"id":21,"uris":["http://zotero.org/users/local/eE57gvz8/items/RBICL9YN"],"itemData":{"id":21,"type":"article-journal","container-title":"Global Security: Health, Science and Policy","DOI":"10.1080/23779497.2022.2124185","ISSN":"2377-9497","issue":"1","journalAbbreviation":"Global Security: Health, Science and Policy","language":"en","page":"51-56","source":"DOI.org (Crossref)","title":"Public Health Emergency of International Concern declared by the World Health Organization for Monkeypox","volume":"7","author":[{"family":"Sah","given":"Ranjit"},{"family":"Padhi","given":"Bijaya Kumar"},{"family":"Siddiq","given":"Abdelmonem"},{"family":"Abdelaal","given":"Abdelaziz"},{"family":"Reda","given":"Abdulla"},{"family":"Ismail Lashin","given":"Basant"},{"family":"Mohanty","given":"Aroop"},{"family":"Z. Alshahrani","given":"Najim"},{"family":"Rodriguez-Morales","given":"Alfonso J."}],"issued":{"date-parts":[["2022",12,31]]}}},{"id":72,"uris":["http://zotero.org/users/local/eE57gvz8/items/H5UZZGKE"],"itemData":{"id":72,"type":"article-journal","abstract":"Monkeypox virus (MPXV) is an orthopoxvirus closely related to variola virus, the causative agent of smallpox. Human MPXV infection results in a disease that is similar to smallpox and can also be fatal. Two clades of MPXV have been identified, with viruses of the central African clade displaying more pathogenic properties than those within the west African clade. The monkeypox inhibitor of complement enzymes (MOPICE), which is not expressed by viruses of the west African clade, has been hypothesized to be a main virulence factor responsible for increased pathogenic properties of central African strains of MPXV. To gain a better understanding of the role of MOPICE during MPXV-mediated disease, we compared the host adaptive immune response and disease severity following intrabronchial infection with MPXV-Zaire (n = 4), or a recombinant MPXV-Zaire (n = 4) lacking expression of MOPICE in rhesus macaques (RM). Data presented here demonstrate that infection of RM with MPXV leads to significant viral replication in the peripheral blood and lungs and results in the induction of a robust and sustained adaptive immune response against the virus. More importantly, we show that the loss of MOPICE expression results in enhanced viral replication in vivo, as well as a dampened adaptive immune response against MPXV. Taken together, these findings suggest that MOPICE modulates the anti-MPXV immune response and that this protein is not the sole virulence factor of the central African clade of MPXV.","container-title":"Journal of Virology","DOI":"10.1128/JVI.00199-11","ISSN":"1098-5514","issue":"18","journalAbbreviation":"J Virol","language":"eng","note":"PMID: 21752919\nPMCID: PMC3165757","page":"9527-9542","source":"PubMed","title":"Deletion of the monkeypox virus inhibitor of complement enzymes locus impacts the adaptive immune response to monkeypox virus in a nonhuman primate model of infection","volume":"85","author":[{"family":"Estep","given":"Ryan D."},{"family":"Messaoudi","given":"Ilhem"},{"family":"O'Connor","given":"Megan A."},{"family":"Li","given":"Helen"},{"family":"Sprague","given":"Jerald"},{"family":"Barron","given":"Alexander"},{"family":"Engelmann","given":"Flora"},{"family":"Yen","given":"Bonnie"},{"family":"Powers","given":"Michael F."},{"family":"Jones","given":"John M."},{"family":"Robinson","given":"Bridget A."},{"family":"Orzechowska","given":"Beata U."},{"family":"Manoharan","given":"Minsha"},{"family":"Legasse","given":"Alfred"},{"family":"Planer","given":"Shannon"},{"family":"Wilk","given":"Jennifer"},{"family":"Axthelm","given":"Michael K."},{"family":"Wong","given":"Scott W."}],"issued":{"date-parts":[["2011",9]]}}}],"schema":"https://github.com/citation-style-language/schema/raw/master/csl-citation.json"} </w:instrText>
      </w:r>
      <w:r w:rsidRPr="236F995D">
        <w:fldChar w:fldCharType="separate"/>
      </w:r>
      <w:r w:rsidRPr="00B06562">
        <w:t>(1,34)</w:t>
      </w:r>
      <w:r w:rsidRPr="236F995D">
        <w:fldChar w:fldCharType="end"/>
      </w:r>
      <w:r w:rsidRPr="00B06562">
        <w:t>. While rare, recombinant MPXV strains have been recently identified. Recombinant viruses can emerge when an individual is concurrently infected with different MPXV strains and genetic material is exchanged during viral replication, resulting in a virus containing genomic elements from more than one clade. The emergence of recombinant strains is thought to have been facilitated by the co-circulation of distinct MPXV lineages in interconnected transmission networks, highlighting the importance of ongoing genomic surveillance for the detection and characterisation of emerging variants.</w:t>
      </w:r>
    </w:p>
    <w:p w14:paraId="1BDF5891" w14:textId="77777777" w:rsidR="00AD6802" w:rsidRPr="00917AC5" w:rsidRDefault="00AD6802" w:rsidP="00917AC5">
      <w:pPr>
        <w:pStyle w:val="Heading3"/>
      </w:pPr>
      <w:bookmarkStart w:id="33" w:name="_Toc230260154"/>
      <w:r w:rsidRPr="00917AC5">
        <w:t>Reservoir</w:t>
      </w:r>
      <w:bookmarkEnd w:id="33"/>
    </w:p>
    <w:p w14:paraId="62556327" w14:textId="170148E4" w:rsidR="00AD6802" w:rsidRPr="000B4EDB" w:rsidRDefault="007C4492" w:rsidP="007C4492">
      <w:pPr>
        <w:pStyle w:val="BodyText"/>
      </w:pPr>
      <w:bookmarkStart w:id="34" w:name="_Toc230260155"/>
      <w:r w:rsidRPr="007C4492">
        <w:t>The natural reservoir of MPXV remains unknown. However, the virus has been isolated from several African rodents and primates, including the Gambian pouched rat, tree squirrel, rope squirrel, and sooty mangabey monkey.</w:t>
      </w:r>
    </w:p>
    <w:p w14:paraId="00C9BD04" w14:textId="77777777" w:rsidR="00AD6802" w:rsidRPr="00917AC5" w:rsidRDefault="00AD6802" w:rsidP="00917AC5">
      <w:pPr>
        <w:pStyle w:val="Heading3"/>
      </w:pPr>
      <w:r w:rsidRPr="00917AC5">
        <w:lastRenderedPageBreak/>
        <w:t>Mode of transmission</w:t>
      </w:r>
      <w:bookmarkEnd w:id="34"/>
    </w:p>
    <w:p w14:paraId="52EAE354" w14:textId="77777777" w:rsidR="000B0BB0" w:rsidRPr="00B06562" w:rsidRDefault="000B0BB0" w:rsidP="00B06562">
      <w:pPr>
        <w:pStyle w:val="BodyText"/>
      </w:pPr>
      <w:r w:rsidRPr="002950FB">
        <w:t xml:space="preserve">The primary mode of transmission for mpox is via direct contact with lesions (through broken skin or mucous membranes). Less frequently, transmission of mpox may occur via contact with materials contaminated with MPXV </w:t>
      </w:r>
      <w:r w:rsidRPr="00B06562">
        <w:fldChar w:fldCharType="begin"/>
      </w:r>
      <w:r w:rsidRPr="00B06562">
        <w:instrText xml:space="preserve"> ADDIN ZOTERO_ITEM CSL_CITATION {"citationID":"KMMjKJqr","properties":{"formattedCitation":"(35\\uc0\\u8211{}37)","plainCitation":"(35–37)","noteIndex":0},"citationItems":[{"id":76,"uris":["http://zotero.org/users/local/eE57gvz8/items/N6EMF7EQ"],"itemData":{"id":76,"type":"article-journal","abstract":"In July 2021, we conducted environmental sampling at the residence of a person in Dallas, Texas, USA, who had travel-associated human West African monkeypox virus (MPXV-WA). Targeted environmental swab sampling was conducted 15 days after the person who had monkeypox left the household. Results indicate extensive MPXV-WA DNA contamination, and viable virus from 7 samples was successfully isolated in cell culture. There was no statistical difference (p = 0.94) between MPXV-WA PCR positivity of porous (9/10, 90%) vs. nonporous (19/21, 90.5%) surfaces, but there was a significant difference (p&lt;0.01) between viable virus detected in cultures of porous (6/10, 60%) vs. nonporous (1/21, 5%) surfaces. These findings indicate that porous surfaces (e.g., bedding, clothing) may pose more of a MPXV exposure risk than nonporous surfaces (e.g., metal, plastic). Viable MPXV was detected on household surfaces after at least 15 days. However, low titers (&lt;102 PFU) indicate a limited potential for indirect transmission.","container-title":"Emerging Infectious Diseases","DOI":"10.3201/eid2810.221047","ISSN":"1080-6059","issue":"10","journalAbbreviation":"Emerg Infect Dis","language":"eng","note":"PMID: 35951009\nPMCID: PMC9514334","page":"1982-1989","source":"PubMed","title":"Environmental Persistence of Monkeypox Virus on Surfaces in Household of Person with Travel-Associated Infection, Dallas, Texas, USA, 2021","volume":"28","author":[{"family":"Morgan","given":"Clint N."},{"family":"Whitehill","given":"Florence"},{"family":"Doty","given":"Jeffrey B."},{"family":"Schulte","given":"Joann"},{"family":"Matheny","given":"Audrey"},{"family":"Stringer","given":"Joey"},{"family":"Delaney","given":"Lisa J."},{"family":"Esparza","given":"Richard"},{"family":"Rao","given":"Agam K."},{"family":"McCollum","given":"Andrea M."}],"issued":{"date-parts":[["2022",10]]}}},{"id":79,"uris":["http://zotero.org/users/local/eE57gvz8/items/IHFTHCI6"],"itemData":{"id":79,"type":"article-journal","abstract":"Monkeypox virus (MPXV) has spread globally. Emerging studies have now provided evidence regarding MPXV transmission, that can inform rational evidence-based policies and reduce misinformation on this topic. We aimed to review the evidence on transmission of the virus. Real-world studies have isolated viable viruses from high-touch surfaces for as long as 15 days. Strong evidence suggests that the current circulating monkeypox (mpox) has evolved from previous outbreaks outside of Africa, but it is yet unknown whether these mutations may lead to an inherently increased infectivity of the virus. Strong evidence also suggests that the main route of current MPXV transmission is sexual; through either close contact or directly, with detection of culturable virus in saliva, nasopharynx, and sperm for prolonged periods and the presence of rashes mainly in genital areas. The milder clinical presentations and the potential presence of presymptomatic transmission in the current circulating variant compared to previous clades, as well as the dominance of spread amongst men who have sex with men (MSMs) suggests that mpox has a developed distinct clinical phenotype that has increased its transmissibility. Increased public awareness of MPXV transmission modalities may lead to earlier detection of the spillover of new cases into other groups.","container-title":"Journal of Medical Virology","DOI":"10.1002/jmv.28534","ISSN":"1096-9071","issue":"2","journalAbbreviation":"J Med Virol","language":"eng","note":"PMID: 36708091\nPMCID: PMC10107822","page":"e28534","source":"PubMed","title":"Transmission of monkeypox/mpox virus: A narrative review of environmental, viral, host, and population factors in relation to the 2022 international outbreak","title-short":"Transmission of monkeypox/mpox virus","volume":"95","author":[{"family":"Pan","given":"Daniel"},{"family":"Nazareth","given":"Joshua"},{"family":"Sze","given":"Shirley"},{"family":"Martin","given":"Christopher A."},{"family":"Decker","given":"Jonathan"},{"family":"Fletcher","given":"Eve"},{"family":"Déirdre Hollingsworth","given":"T."},{"family":"Barer","given":"Michael R."},{"family":"Pareek","given":"Manish"},{"family":"Tang","given":"Julian W."}],"issued":{"date-parts":[["2023",2]]}}},{"id":155,"uris":["http://zotero.org/users/local/eE57gvz8/items/YF3KJR7Y"],"itemData":{"id":155,"type":"webpage","title":"Mpox","URL":"https://bestpractice.bmj.com/topics/en-gb/1611/pdf/1611/Mpox.pdf","author":[{"family":"BMJ Best Practice","given":""}]}}],"schema":"https://github.com/citation-style-language/schema/raw/master/csl-citation.json"} </w:instrText>
      </w:r>
      <w:r w:rsidRPr="00B06562">
        <w:fldChar w:fldCharType="separate"/>
      </w:r>
      <w:r w:rsidRPr="00B06562">
        <w:t>(35–37)</w:t>
      </w:r>
      <w:r w:rsidRPr="00B06562">
        <w:fldChar w:fldCharType="end"/>
      </w:r>
      <w:r w:rsidRPr="00B06562">
        <w:t xml:space="preserve">. </w:t>
      </w:r>
    </w:p>
    <w:p w14:paraId="181FE542" w14:textId="77777777" w:rsidR="000B0BB0" w:rsidRPr="00B06562" w:rsidRDefault="000B0BB0" w:rsidP="00B06562">
      <w:pPr>
        <w:pStyle w:val="BodyText"/>
      </w:pPr>
      <w:r w:rsidRPr="00B06562">
        <w:t>Other potential routes of transmission include:</w:t>
      </w:r>
    </w:p>
    <w:p w14:paraId="1AAAE35B" w14:textId="01D8B023" w:rsidR="000B0BB0" w:rsidRDefault="005662D7" w:rsidP="005662D7">
      <w:pPr>
        <w:pStyle w:val="ListBullet"/>
      </w:pPr>
      <w:r>
        <w:t>i</w:t>
      </w:r>
      <w:r w:rsidR="000B0BB0" w:rsidRPr="005420E9">
        <w:t>ndirectly via fomites (e.g., contaminated sheets and clothing)</w:t>
      </w:r>
    </w:p>
    <w:p w14:paraId="28E0CD63" w14:textId="70E9EC3A" w:rsidR="000B0BB0" w:rsidRPr="007E4C00" w:rsidRDefault="005662D7" w:rsidP="005662D7">
      <w:pPr>
        <w:pStyle w:val="ListBullet"/>
      </w:pPr>
      <w:r>
        <w:t>a</w:t>
      </w:r>
      <w:r w:rsidR="000B0BB0" w:rsidRPr="005420E9">
        <w:t xml:space="preserve">erosol-generating and percutaneous procedures </w:t>
      </w:r>
      <w:r w:rsidR="000B0BB0">
        <w:fldChar w:fldCharType="begin"/>
      </w:r>
      <w:r w:rsidR="000B0BB0">
        <w:instrText xml:space="preserve"> ADDIN ZOTERO_ITEM CSL_CITATION {"citationID":"TjE5GztO","properties":{"formattedCitation":"(38,39)","plainCitation":"(38,39)","noteIndex":0},"citationItems":[{"id":91,"uris":["http://zotero.org/users/local/eE57gvz8/items/PMPXJTLF"],"itemData":{"id":91,"type":"article-journal","abstract":"This review delves into the historical context, current epidemiological landscape, genomics, and pathobiology of monkeypox virus (MPXV). Furthermore, it elucidates the present vaccination status and strategies to curb the spread of monkeypox. Monkeypox, caused by the Orthopoxvirus known as MPXV, is a zoonotic ailment. MPXV can be transmitted from person to person through respiratory droplets during prolonged face-to-face interactions. While many cases of monkeypox are self-limiting, vulnerable groups such as young children, pregnant women, and immunocompromised individuals may experience severe manifestations. Diagnosis predominantly relies on clinical presentations, complemented by laboratory techniques like RT-PCR. Although treatment is often not required, severe cases necessitate antiviral medications like tecovirimat, cidofovir, and brincidofovir. Vaccination, particularly using the smallpox vaccine, has proven instrumental in outbreak control, exhibiting an efficacy of at least 85% against mpox as evidenced by data from Africa. Mitigating transmission requires measures like wearing surgical masks, adequately covering skin lesions, and avoiding handling wild animals.","container-title":"Veterinary Medicine International","DOI":"10.1155/2024/8839830","ISSN":"2090-8113","journalAbbreviation":"Vet Med Int","language":"eng","note":"PMID: 38836166\nPMCID: PMC11150048","page":"8839830","source":"PubMed","title":"Insights into the Transmission, Host Range, Genomics, Vaccination, and Current Epidemiology of the Monkeypox Virus","volume":"2024","author":[{"family":"Araf","given":"Yusha"},{"family":"Nipa","given":"Jannatul Ferdous"},{"family":"Naher","given":"Sabekun"},{"family":"Maliha","given":"Sumaiya Tasnim"},{"family":"Rahman","given":"Hasanur"},{"family":"Arafat","given":"Kazi Ifthi"},{"family":"Munif","given":"Mohammad Raguib"},{"family":"Uddin","given":"Md Jamal"},{"family":"Jeba","given":"Nurejunnati"},{"family":"Saha","given":"Sukumar"},{"family":"Zhai","given":"Jingbo"},{"family":"Hasan","given":"S. M. Nazmul"},{"family":"Xue","given":"Mengzhou"},{"family":"Hossain","given":"Md Golzar"},{"family":"Zheng","given":"Chunfu"}],"issued":{"date-parts":[["2024"]]}}},{"id":103,"uris":["http://zotero.org/users/local/eE57gvz8/items/WPTGWND6"],"itemData":{"id":103,"type":"article-journal","abstract":"Viral aerosols can have a major impact on public health and on the dynamics of infection. Once aerosolized, viruses are subjected to various stress factors and their integrity and potential of infectivity can be altered. Empirical characterization is needed in order to predict more accurately the fate of these bioaerosols both for short term and long term suspension in the air. Here the susceptibility to aerosolization of the monkeypox virus (MPXV), associated with emerging zoonotic diseases, was studied using a 10.7 L rotating chamber. This chamber was built to fit inside a Class three biological safety cabinet, specifically for studying airborne biosafety level three (BSL3) microorganisms. Airborne viruses were detected by culture and quantitative polymerase chain reaction (qPCR) after up to 90 h of aging. Viral concentrations detected dropped by two logs for culture analysis and by one log for qPCR analysis within the first 18 h of aging; viral concentrations were stable between 18 and 90 h, suggesting a potential for the MPXV to retain infectivity in aerosols for more than 90 h. The rotating chamber used in this study maintained viral particles airborne successfully for prolonged periods and could be used to study the susceptibility of other BSL3 microorganisms.","container-title":"Journal of Virological Methods","DOI":"10.1016/j.jviromet.2012.10.009","ISSN":"1879-0984","issue":"2","journalAbbreviation":"J Virol Methods","language":"eng","note":"PMID: 23142251\nPMCID: PMC3556235","page":"333-337","source":"PubMed","title":"Susceptibility of monkeypox virus aerosol suspensions in a rotating chamber","volume":"187","author":[{"family":"Verreault","given":"Daniel"},{"family":"Killeen","given":"Stephanie Z."},{"family":"Redmann","given":"Rachel K."},{"family":"Roy","given":"Chad J."}],"issued":{"date-parts":[["2013",2]]}}}],"schema":"https://github.com/citation-style-language/schema/raw/master/csl-citation.json"} </w:instrText>
      </w:r>
      <w:r w:rsidR="000B0BB0">
        <w:fldChar w:fldCharType="separate"/>
      </w:r>
      <w:r w:rsidR="000B0BB0" w:rsidRPr="00B06562">
        <w:t>(38,39)</w:t>
      </w:r>
      <w:r w:rsidR="000B0BB0">
        <w:fldChar w:fldCharType="end"/>
      </w:r>
    </w:p>
    <w:p w14:paraId="533412B3" w14:textId="59187225" w:rsidR="000B0BB0" w:rsidRPr="00BD1D51" w:rsidRDefault="005662D7" w:rsidP="005662D7">
      <w:pPr>
        <w:pStyle w:val="ListBullet"/>
      </w:pPr>
      <w:r>
        <w:t>a</w:t>
      </w:r>
      <w:r w:rsidR="000B0BB0" w:rsidRPr="005420E9">
        <w:t xml:space="preserve">nimal to human transmission: </w:t>
      </w:r>
      <w:r w:rsidR="000B0BB0">
        <w:t>I</w:t>
      </w:r>
      <w:r w:rsidR="000B0BB0" w:rsidRPr="005420E9">
        <w:t xml:space="preserve">nfrequently described but can occur through direct contact via bites </w:t>
      </w:r>
      <w:r w:rsidR="000B0BB0" w:rsidRPr="00BD1D51">
        <w:t>or scratches and indirectly from contact with blood, bodily fluids, cutaneous lesions or mucosal lesions</w:t>
      </w:r>
      <w:r w:rsidR="000B0BB0">
        <w:t>. T</w:t>
      </w:r>
      <w:r w:rsidR="000B0BB0" w:rsidRPr="00BD1D51">
        <w:t xml:space="preserve">here is also limited evidence to suggest that humans can transmit the virus to household pets </w:t>
      </w:r>
      <w:r w:rsidR="000B0BB0" w:rsidRPr="00BD1D51">
        <w:fldChar w:fldCharType="begin"/>
      </w:r>
      <w:r w:rsidR="000B0BB0">
        <w:instrText xml:space="preserve"> ADDIN ZOTERO_ITEM CSL_CITATION {"citationID":"6DRslY1n","properties":{"formattedCitation":"(36,38,40)","plainCitation":"(36,38,40)","noteIndex":0},"citationItems":[{"id":79,"uris":["http://zotero.org/users/local/eE57gvz8/items/IHFTHCI6"],"itemData":{"id":79,"type":"article-journal","abstract":"Monkeypox virus (MPXV) has spread globally. Emerging studies have now provided evidence regarding MPXV transmission, that can inform rational evidence-based policies and reduce misinformation on this topic. We aimed to review the evidence on transmission of the virus. Real-world studies have isolated viable viruses from high-touch surfaces for as long as 15 days. Strong evidence suggests that the current circulating monkeypox (mpox) has evolved from previous outbreaks outside of Africa, but it is yet unknown whether these mutations may lead to an inherently increased infectivity of the virus. Strong evidence also suggests that the main route of current MPXV transmission is sexual; through either close contact or directly, with detection of culturable virus in saliva, nasopharynx, and sperm for prolonged periods and the presence of rashes mainly in genital areas. The milder clinical presentations and the potential presence of presymptomatic transmission in the current circulating variant compared to previous clades, as well as the dominance of spread amongst men who have sex with men (MSMs) suggests that mpox has a developed distinct clinical phenotype that has increased its transmissibility. Increased public awareness of MPXV transmission modalities may lead to earlier detection of the spillover of new cases into other groups.","container-title":"Journal of Medical Virology","DOI":"10.1002/jmv.28534","ISSN":"1096-9071","issue":"2","journalAbbreviation":"J Med Virol","language":"eng","note":"PMID: 36708091\nPMCID: PMC10107822","page":"e28534","source":"PubMed","title":"Transmission of monkeypox/mpox virus: A narrative review of environmental, viral, host, and population factors in relation to the 2022 international outbreak","title-short":"Transmission of monkeypox/mpox virus","volume":"95","author":[{"family":"Pan","given":"Daniel"},{"family":"Nazareth","given":"Joshua"},{"family":"Sze","given":"Shirley"},{"family":"Martin","given":"Christopher A."},{"family":"Decker","given":"Jonathan"},{"family":"Fletcher","given":"Eve"},{"family":"Déirdre Hollingsworth","given":"T."},{"family":"Barer","given":"Michael R."},{"family":"Pareek","given":"Manish"},{"family":"Tang","given":"Julian W."}],"issued":{"date-parts":[["2023",2]]}}},{"id":88,"uris":["http://zotero.org/users/local/eE57gvz8/items/BEBJTPR7"],"itemData":{"id":88,"type":"article-journal","container-title":"Lancet (London, England)","DOI":"10.1016/S0140-6736(22)01487-8","ISSN":"1474-547X","issue":"10353","journalAbbreviation":"Lancet","language":"eng","note":"PMID: 35963267\nPMCID: PMC9536767","page":"658-659","source":"PubMed","title":"Evidence of human-to-dog transmission of monkeypox virus","volume":"400","author":[{"family":"Seang","given":"Sophie"},{"family":"Burrel","given":"Sonia"},{"family":"Todesco","given":"Eve"},{"family":"Leducq","given":"Valentin"},{"family":"Monsel","given":"Gentiane"},{"family":"Le Pluart","given":"Diane"},{"family":"Cordevant","given":"Christophe"},{"family":"Pourcher","given":"Valérie"},{"family":"Palich","given":"Romain"}],"issued":{"date-parts":[["2022",8,27]]}}},{"id":91,"uris":["http://zotero.org/users/local/eE57gvz8/items/PMPXJTLF"],"itemData":{"id":91,"type":"article-journal","abstract":"This review delves into the historical context, current epidemiological landscape, genomics, and pathobiology of monkeypox virus (MPXV). Furthermore, it elucidates the present vaccination status and strategies to curb the spread of monkeypox. Monkeypox, caused by the Orthopoxvirus known as MPXV, is a zoonotic ailment. MPXV can be transmitted from person to person through respiratory droplets during prolonged face-to-face interactions. While many cases of monkeypox are self-limiting, vulnerable groups such as young children, pregnant women, and immunocompromised individuals may experience severe manifestations. Diagnosis predominantly relies on clinical presentations, complemented by laboratory techniques like RT-PCR. Although treatment is often not required, severe cases necessitate antiviral medications like tecovirimat, cidofovir, and brincidofovir. Vaccination, particularly using the smallpox vaccine, has proven instrumental in outbreak control, exhibiting an efficacy of at least 85% against mpox as evidenced by data from Africa. Mitigating transmission requires measures like wearing surgical masks, adequately covering skin lesions, and avoiding handling wild animals.","container-title":"Veterinary Medicine International","DOI":"10.1155/2024/8839830","ISSN":"2090-8113","journalAbbreviation":"Vet Med Int","language":"eng","note":"PMID: 38836166\nPMCID: PMC11150048","page":"8839830","source":"PubMed","title":"Insights into the Transmission, Host Range, Genomics, Vaccination, and Current Epidemiology of the Monkeypox Virus","volume":"2024","author":[{"family":"Araf","given":"Yusha"},{"family":"Nipa","given":"Jannatul Ferdous"},{"family":"Naher","given":"Sabekun"},{"family":"Maliha","given":"Sumaiya Tasnim"},{"family":"Rahman","given":"Hasanur"},{"family":"Arafat","given":"Kazi Ifthi"},{"family":"Munif","given":"Mohammad Raguib"},{"family":"Uddin","given":"Md Jamal"},{"family":"Jeba","given":"Nurejunnati"},{"family":"Saha","given":"Sukumar"},{"family":"Zhai","given":"Jingbo"},{"family":"Hasan","given":"S. M. Nazmul"},{"family":"Xue","given":"Mengzhou"},{"family":"Hossain","given":"Md Golzar"},{"family":"Zheng","given":"Chunfu"}],"issued":{"date-parts":[["2024"]]}}}],"schema":"https://github.com/citation-style-language/schema/raw/master/csl-citation.json"} </w:instrText>
      </w:r>
      <w:r w:rsidR="000B0BB0" w:rsidRPr="00BD1D51">
        <w:fldChar w:fldCharType="separate"/>
      </w:r>
      <w:r w:rsidR="000B0BB0" w:rsidRPr="00B06562">
        <w:t>(36,38,40)</w:t>
      </w:r>
      <w:r w:rsidR="000B0BB0" w:rsidRPr="00BD1D51">
        <w:fldChar w:fldCharType="end"/>
      </w:r>
      <w:r w:rsidR="000B0BB0" w:rsidRPr="00BD1D51">
        <w:fldChar w:fldCharType="begin"/>
      </w:r>
      <w:r w:rsidR="000B0BB0" w:rsidRPr="00BD1D51">
        <w:instrText xml:space="preserve"> ADDIN EN.CITE &lt;EndNote&gt;&lt;Cite&gt;&lt;Author&gt;Seang&lt;/Author&gt;&lt;Year&gt;2022&lt;/Year&gt;&lt;RecNum&gt;54&lt;/RecNum&gt;&lt;DisplayText&gt;(25)&lt;/DisplayText&gt;&lt;record&gt;&lt;rec-number&gt;54&lt;/rec-number&gt;&lt;foreign-keys&gt;&lt;key app="EN" db-id="pp0ptvp0mtzdtye0tr352zav2pf9r5tvx5za" timestamp="1664334944"&gt;54&lt;/key&gt;&lt;/foreign-keys&gt;&lt;ref-type name="Journal Article"&gt;17&lt;/ref-type&gt;&lt;contributors&gt;&lt;authors&gt;&lt;author&gt;Seang, Sophie&lt;/author&gt;&lt;author&gt;Burrel, Sonia&lt;/author&gt;&lt;author&gt;Todesco, Eve&lt;/author&gt;&lt;author&gt;Leducq, Valentin&lt;/author&gt;&lt;author&gt;Monsel, Gentiane&lt;/author&gt;&lt;author&gt;Le Pluart, Diane&lt;/author&gt;&lt;author&gt;Cordevant, Christophe&lt;/author&gt;&lt;author&gt;Pourcher, Valérie&lt;/author&gt;&lt;author&gt;Palich, Romain&lt;/author&gt;&lt;/authors&gt;&lt;/contributors&gt;&lt;titles&gt;&lt;title&gt;Evidence of human-to-dog transmission of monkeypox virus&lt;/title&gt;&lt;secondary-title&gt;The Lancet&lt;/secondary-title&gt;&lt;/titles&gt;&lt;periodical&gt;&lt;full-title&gt;The Lancet&lt;/full-title&gt;&lt;/periodical&gt;&lt;pages&gt;658-659&lt;/pages&gt;&lt;volume&gt;400&lt;/volume&gt;&lt;number&gt;10353&lt;/number&gt;&lt;section&gt;658&lt;/section&gt;&lt;dates&gt;&lt;year&gt;2022&lt;/year&gt;&lt;/dates&gt;&lt;isbn&gt;01406736&lt;/isbn&gt;&lt;urls&gt;&lt;/urls&gt;&lt;electronic-resource-num&gt;10.1016/s0140-6736(22)01487-8&lt;/electronic-resource-num&gt;&lt;/record&gt;&lt;/Cite&gt;&lt;/EndNote&gt;</w:instrText>
      </w:r>
      <w:r w:rsidR="000B0BB0" w:rsidRPr="00BD1D51">
        <w:fldChar w:fldCharType="end"/>
      </w:r>
    </w:p>
    <w:p w14:paraId="0FBE3EAA" w14:textId="04CFD17A" w:rsidR="000B0BB0" w:rsidRPr="00BD1D51" w:rsidRDefault="005662D7" w:rsidP="005662D7">
      <w:pPr>
        <w:pStyle w:val="ListBullet"/>
      </w:pPr>
      <w:r>
        <w:t>v</w:t>
      </w:r>
      <w:r w:rsidR="000B0BB0" w:rsidRPr="00BD1D51">
        <w:t xml:space="preserve">ertical transmission </w:t>
      </w:r>
      <w:r w:rsidR="000B0BB0" w:rsidRPr="00BD1D51">
        <w:fldChar w:fldCharType="begin"/>
      </w:r>
      <w:r w:rsidR="000B0BB0">
        <w:instrText xml:space="preserve"> ADDIN ZOTERO_ITEM CSL_CITATION {"citationID":"iXMDM2Tf","properties":{"formattedCitation":"(27,36,38,41,42)","plainCitation":"(27,36,38,41,42)","noteIndex":0},"citationItems":[{"id":55,"uris":["http://zotero.org/users/local/eE57gvz8/items/SY3EEC3S"],"itemData":{"id":55,"type":"article-journal","abstract":"Human monkeypox is an endemic disease in rain-forested regions of central Democratic Republic of Congo. We report fetal outcomes for 1 of 4 pregnant women who participated in an observational study at the General Hospital of Kole (Sankuru Province), where 222 symptomatic subjects were followed between 2007 and 2011. Of the 4 pregnant women, 1 gave birth to a healthy infant, 2 had miscarriages in the first trimester, and 1 had fetal death, with the macerated stillborn showing diffuse cutaneous maculopapillary skin lesions involving the head, trunk and extremities, including palms of hands and soles of feet.","container-title":"The Journal of Infectious Diseases","DOI":"10.1093/infdis/jix260","ISSN":"1537-6613","issue":"7","journalAbbreviation":"J Infect Dis","language":"eng","note":"PMID: 29029147","page":"824-828","source":"PubMed","title":"Maternal and Fetal Outcomes Among Pregnant Women With Human Monkeypox Infection in the Democratic Republic of Congo","volume":"216","author":[{"family":"Mbala","given":"Placide K."},{"family":"Huggins","given":"John W."},{"family":"Riu-Rovira","given":"Therese"},{"family":"Ahuka","given":"Steve M."},{"family":"Mulembakani","given":"Prime"},{"family":"Rimoin","given":"Anne W."},{"family":"Martin","given":"James W."},{"family":"Muyembe","given":"Jean-Jacques T."}],"issued":{"date-parts":[["2017",10,17]]}}},{"id":79,"uris":["http://zotero.org/users/local/eE57gvz8/items/IHFTHCI6"],"itemData":{"id":79,"type":"article-journal","abstract":"Monkeypox virus (MPXV) has spread globally. Emerging studies have now provided evidence regarding MPXV transmission, that can inform rational evidence-based policies and reduce misinformation on this topic. We aimed to review the evidence on transmission of the virus. Real-world studies have isolated viable viruses from high-touch surfaces for as long as 15 days. Strong evidence suggests that the current circulating monkeypox (mpox) has evolved from previous outbreaks outside of Africa, but it is yet unknown whether these mutations may lead to an inherently increased infectivity of the virus. Strong evidence also suggests that the main route of current MPXV transmission is sexual; through either close contact or directly, with detection of culturable virus in saliva, nasopharynx, and sperm for prolonged periods and the presence of rashes mainly in genital areas. The milder clinical presentations and the potential presence of presymptomatic transmission in the current circulating variant compared to previous clades, as well as the dominance of spread amongst men who have sex with men (MSMs) suggests that mpox has a developed distinct clinical phenotype that has increased its transmissibility. Increased public awareness of MPXV transmission modalities may lead to earlier detection of the spillover of new cases into other groups.","container-title":"Journal of Medical Virology","DOI":"10.1002/jmv.28534","ISSN":"1096-9071","issue":"2","journalAbbreviation":"J Med Virol","language":"eng","note":"PMID: 36708091\nPMCID: PMC10107822","page":"e28534","source":"PubMed","title":"Transmission of monkeypox/mpox virus: A narrative review of environmental, viral, host, and population factors in relation to the 2022 international outbreak","title-short":"Transmission of monkeypox/mpox virus","volume":"95","author":[{"family":"Pan","given":"Daniel"},{"family":"Nazareth","given":"Joshua"},{"family":"Sze","given":"Shirley"},{"family":"Martin","given":"Christopher A."},{"family":"Decker","given":"Jonathan"},{"family":"Fletcher","given":"Eve"},{"family":"Déirdre Hollingsworth","given":"T."},{"family":"Barer","given":"Michael R."},{"family":"Pareek","given":"Manish"},{"family":"Tang","given":"Julian W."}],"issued":{"date-parts":[["2023",2]]}}},{"id":91,"uris":["http://zotero.org/users/local/eE57gvz8/items/PMPXJTLF"],"itemData":{"id":91,"type":"article-journal","abstract":"This review delves into the historical context, current epidemiological landscape, genomics, and pathobiology of monkeypox virus (MPXV). Furthermore, it elucidates the present vaccination status and strategies to curb the spread of monkeypox. Monkeypox, caused by the Orthopoxvirus known as MPXV, is a zoonotic ailment. MPXV can be transmitted from person to person through respiratory droplets during prolonged face-to-face interactions. While many cases of monkeypox are self-limiting, vulnerable groups such as young children, pregnant women, and immunocompromised individuals may experience severe manifestations. Diagnosis predominantly relies on clinical presentations, complemented by laboratory techniques like RT-PCR. Although treatment is often not required, severe cases necessitate antiviral medications like tecovirimat, cidofovir, and brincidofovir. Vaccination, particularly using the smallpox vaccine, has proven instrumental in outbreak control, exhibiting an efficacy of at least 85% against mpox as evidenced by data from Africa. Mitigating transmission requires measures like wearing surgical masks, adequately covering skin lesions, and avoiding handling wild animals.","container-title":"Veterinary Medicine International","DOI":"10.1155/2024/8839830","ISSN":"2090-8113","journalAbbreviation":"Vet Med Int","language":"eng","note":"PMID: 38836166\nPMCID: PMC11150048","page":"8839830","source":"PubMed","title":"Insights into the Transmission, Host Range, Genomics, Vaccination, and Current Epidemiology of the Monkeypox Virus","volume":"2024","author":[{"family":"Araf","given":"Yusha"},{"family":"Nipa","given":"Jannatul Ferdous"},{"family":"Naher","given":"Sabekun"},{"family":"Maliha","given":"Sumaiya Tasnim"},{"family":"Rahman","given":"Hasanur"},{"family":"Arafat","given":"Kazi Ifthi"},{"family":"Munif","given":"Mohammad Raguib"},{"family":"Uddin","given":"Md Jamal"},{"family":"Jeba","given":"Nurejunnati"},{"family":"Saha","given":"Sukumar"},{"family":"Zhai","given":"Jingbo"},{"family":"Hasan","given":"S. M. Nazmul"},{"family":"Xue","given":"Mengzhou"},{"family":"Hossain","given":"Md Golzar"},{"family":"Zheng","given":"Chunfu"}],"issued":{"date-parts":[["2024"]]}}},{"id":94,"uris":["http://zotero.org/users/local/eE57gvz8/items/7DB94XIA"],"itemData":{"id":94,"type":"article-journal","abstract":"Monkeypox virus (MPXV), which causes disease in humans, has for many years been restricted to the African continent, with only a handful of sporadic cases in other parts of the world. However, unprecedented outbreaks of monkeypox in non-endemic regions have recently taken the world by surprise. In less than 4 months, the number of detected MPXV infections has soared to more than 48,000 cases, recording a total of 13 deaths. In this Review, we discuss the clinical, epidemiological and immunological features of MPXV infections. We also highlight important research questions and new opportunities to tackle the ongoing monkeypox outbreak.","container-title":"Nature Reviews. Immunology","DOI":"10.1038/s41577-022-00775-4","ISSN":"1474-1741","issue":"10","journalAbbreviation":"Nat Rev Immunol","language":"eng","note":"PMID: 36064780\nPMCID: PMC9443635","page":"597-613","source":"PubMed","title":"Monkeypox: disease epidemiology, host immunity and clinical interventions","title-short":"Monkeypox","volume":"22","author":[{"family":"Lum","given":"Fok-Moon"},{"family":"Torres-Ruesta","given":"Anthony"},{"family":"Tay","given":"Matthew Z."},{"family":"Lin","given":"Raymond T. P."},{"family":"Lye","given":"David C."},{"family":"Rénia","given":"Laurent"},{"family":"Ng","given":"Lisa F. P."}],"issued":{"date-parts":[["2022",10]]}}},{"id":97,"uris":["http://zotero.org/users/local/eE57gvz8/items/YCYEB6JN"],"itemData":{"id":97,"type":"webpage","title":"Multi-country monkeypox outbreak: situation update","URL":"https://www.who.int/emergencies/disease-outbreak-news/item/2022-DON396","author":[{"family":"World Health Organization","given":""}],"issued":{"date-parts":[["2022",6,27]]}}}],"schema":"https://github.com/citation-style-language/schema/raw/master/csl-citation.json"} </w:instrText>
      </w:r>
      <w:r w:rsidR="000B0BB0" w:rsidRPr="00BD1D51">
        <w:fldChar w:fldCharType="separate"/>
      </w:r>
      <w:r w:rsidR="000B0BB0" w:rsidRPr="00B06562">
        <w:t>(27,36,38,41,42)</w:t>
      </w:r>
      <w:r w:rsidR="000B0BB0" w:rsidRPr="00BD1D51">
        <w:fldChar w:fldCharType="end"/>
      </w:r>
      <w:r w:rsidR="000B0BB0" w:rsidRPr="00BD1D51">
        <w:t xml:space="preserve">, including reported pregnancy loss or congenital mpox due to MPXV clade Ib infection </w:t>
      </w:r>
      <w:r w:rsidR="000B0BB0" w:rsidRPr="00BD1D51">
        <w:fldChar w:fldCharType="begin"/>
      </w:r>
      <w:r w:rsidR="000B0BB0">
        <w:instrText xml:space="preserve"> ADDIN ZOTERO_ITEM CSL_CITATION {"citationID":"bmMg9Rw0","properties":{"formattedCitation":"(31)","plainCitation":"(31)","noteIndex":0},"citationItems":[{"id":163,"uris":["http://zotero.org/users/local/eE57gvz8/items/6EKASDSQ"],"itemData":{"id":163,"type":"article-journal","container-title":"The New England Journal of Medicine","DOI":"10.1056/NEJMc2503347","ISSN":"1533-4406","issue":"23","journalAbbreviation":"N Engl J Med","language":"eng","note":"PMID: 40532158\nPMCID: PMC12180470","page":"2385-2387","source":"PubMed","title":"Three Cases of Vertical Transmission of Clade Ib Mpox Virus","volume":"392","author":[{"family":"Vakaniaki","given":"Emmanuel Hasivirwe"},{"family":"Kuispond","given":"Nono-Raymond Swar"},{"family":"Hirata","given":"Yuichiro"},{"family":"Bangwen","given":"Eugene"},{"family":"Brosius","given":"Isabel"},{"family":"Kinganda-Lusamaki","given":"Eddy"},{"family":"Ozono","given":"Seiya"},{"family":"Katano","given":"Harutaka"},{"family":"Ndunge","given":"Laurent Gabanga"},{"family":"Mulopo-Mukanya","given":"Noella"},{"family":"Tshomba","given":"Jean-Claude"},{"family":"De Vos","given":"Elise"},{"family":"Van Dijck","given":"Christophe"},{"family":"Munganga","given":"Papy"},{"family":"Mukari","given":"Guy"},{"family":"Mujula","given":"Yves"},{"family":"Mambo","given":"Divin Mazambi"},{"family":"Kitwanda","given":"Steeven Bilembo"},{"family":"Maliyamungu-Bubala","given":"Nadine"},{"family":"Mutimbwa-Mambo","given":"Léandre"},{"family":"Crozier","given":"Ian"},{"family":"Dodd","given":"Lori E."},{"family":"Tshiani-Mbaya","given":"Olivier"},{"family":"Lebwaze","given":"Bienvenu Massamba"},{"family":"Malembaka","given":"Espoir Bwenge"},{"family":"Barhishindi","given":"Isaac"},{"family":"Krasemann","given":"Susanne"},{"family":"Colebunders","given":"Robert"},{"family":"Katoto","given":"Patrick D. M. C."},{"family":"Makiala-Mandanda","given":"Sheila"},{"family":"Kindrachuk","given":"Jason"},{"family":"Rimoin","given":"Anne W."},{"family":"Muyembe-Tamfum","given":"Jean-Jacques"},{"family":"Mukadi-Bamuleka","given":"Daniel"},{"family":"Wawina-Bokalanga","given":"Tony"},{"family":"Nundu","given":"Sabin Sabiti"},{"family":"Suzuki","given":"Tadaki"},{"family":"Chirimwami","given":"Raphaël Bulakali"},{"family":"Liesenborghs","given":"Laurens"},{"family":"Mbala-Kingebeni","given":"Placide"}],"issued":{"date-parts":[["2025",6,19]]}}}],"schema":"https://github.com/citation-style-language/schema/raw/master/csl-citation.json"} </w:instrText>
      </w:r>
      <w:r w:rsidR="000B0BB0" w:rsidRPr="00BD1D51">
        <w:fldChar w:fldCharType="separate"/>
      </w:r>
      <w:r w:rsidR="000B0BB0" w:rsidRPr="00B06562">
        <w:t>(31)</w:t>
      </w:r>
      <w:r w:rsidR="000B0BB0" w:rsidRPr="00BD1D51">
        <w:fldChar w:fldCharType="end"/>
      </w:r>
    </w:p>
    <w:p w14:paraId="1076A6E0" w14:textId="20A9DD4F" w:rsidR="000B0BB0" w:rsidRPr="00BD1D51" w:rsidRDefault="005662D7" w:rsidP="005662D7">
      <w:pPr>
        <w:pStyle w:val="ListBullet"/>
      </w:pPr>
      <w:r>
        <w:t>c</w:t>
      </w:r>
      <w:r w:rsidR="000B0BB0">
        <w:t>ontact with blood and body fluids</w:t>
      </w:r>
      <w:r w:rsidR="000B0BB0" w:rsidRPr="00BD1D51">
        <w:t xml:space="preserve">: </w:t>
      </w:r>
      <w:r w:rsidR="000B0BB0">
        <w:t>L</w:t>
      </w:r>
      <w:r w:rsidR="000B0BB0" w:rsidRPr="00BD1D51">
        <w:t xml:space="preserve">imited evidence suggests the potential for transmission through blood or via semen or vaginal fluids </w:t>
      </w:r>
      <w:r w:rsidR="000B0BB0" w:rsidRPr="00BD1D51">
        <w:fldChar w:fldCharType="begin"/>
      </w:r>
      <w:r w:rsidR="000B0BB0">
        <w:instrText xml:space="preserve"> ADDIN ZOTERO_ITEM CSL_CITATION {"citationID":"tcpfcFCk","properties":{"formattedCitation":"(13,43,44)","plainCitation":"(13,43,44)","noteIndex":0},"citationItems":[{"id":11,"uris":["http://zotero.org/users/local/eE57gvz8/items/TSNXHYMD"],"itemData":{"id":11,"type":"article-journal","abstract":"BACKGROUND: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Group"}],"issued":{"date-parts":[["2022",8,25]]}}},{"id":98,"uris":["http://zotero.org/users/local/eE57gvz8/items/CPBR2BSE"],"itemData":{"id":98,"type":"article-journal","abstract":"A monkeypox (MPX) outbreak has expanded worldwide since May 2022. We tested 147 clinical samples collected at different time points from 12 patients by real-time PCR. MPX DNA was detected in saliva from all cases, sometimes with high viral loads. Other samples were frequently positive: rectal swab (11/12 cases), nasopharyngeal swab (10/12 cases), semen (7/9 cases), urine (9/12 cases) and faeces (8/12 cases). These results improve knowledge on virus shedding and the possible role of bodily fluids in disease transmission.","container-title":"Euro Surveillance: Bulletin Europeen Sur Les Maladies Transmissibles = European Communicable Disease Bulletin","DOI":"10.2807/1560-7917.ES.2022.27.28.2200503","ISSN":"1560-7917","issue":"28","journalAbbreviation":"Euro Surveill","language":"eng","note":"PMID: 35837964\nPMCID: PMC9284919","page":"2200503","source":"PubMed","title":"Frequent detection of monkeypox virus DNA in saliva, semen, and other clinical samples from 12 patients, Barcelona, Spain, May to June 2022","volume":"27","author":[{"family":"Peiró-Mestres","given":"Aida"},{"family":"Fuertes","given":"Irene"},{"family":"Camprubí-Ferrer","given":"Daniel"},{"family":"Marcos","given":"María Ángeles"},{"family":"Vilella","given":"Anna"},{"family":"Navarro","given":"Mireia"},{"family":"Rodriguez-Elena","given":"Laura"},{"family":"Riera","given":"Josep"},{"family":"Català","given":"Alba"},{"family":"Martínez","given":"Miguel J."},{"family":"Blanco","given":"Jose L."},{"literal":"Hospital Clinic de Barcelona Monkeypox Study Group"}],"issued":{"date-parts":[["2022",7]]}}},{"id":101,"uris":["http://zotero.org/users/local/eE57gvz8/items/CNQCY24G"],"itemData":{"id":101,"type":"article-journal","container-title":"The Lancet. Infectious Diseases","DOI":"10.1016/S1473-3099(22)00513-8","ISSN":"1474-4457","issue":"9","journalAbbreviation":"Lancet Infect Dis","language":"eng","note":"PMID: 35931095\nPMCID: PMC9629691","page":"1267-1269","source":"PubMed","title":"Monkeypox virus isolation from a semen sample collected in the early phase of infection in a patient with prolonged seminal viral shedding","volume":"22","author":[{"family":"Lapa","given":"Daniele"},{"family":"Carletti","given":"Fabrizio"},{"family":"Mazzotta","given":"Valentina"},{"family":"Matusali","given":"Giulia"},{"family":"Pinnetti","given":"Carmela"},{"family":"Meschi","given":"Silvia"},{"family":"Gagliardini","given":"Roberta"},{"family":"Colavita","given":"Francesca"},{"family":"Mondi","given":"Annalisa"},{"family":"Minosse","given":"Claudia"},{"family":"Scorzolini","given":"Laura"},{"family":"Cicalini","given":"Stefania"},{"family":"Maffongelli","given":"Gaetano"},{"family":"Specchiarello","given":"Eliana"},{"family":"Camici","given":"Marta"},{"family":"Bettini","given":"Aurora"},{"family":"Baldini","given":"Francesco"},{"family":"Francalancia","given":"Massimo"},{"family":"Mizzoni","given":"Klizia"},{"family":"Garbuglia","given":"Anna Rosa"},{"family":"Nicastri","given":"Emanuele"},{"family":"Girardi","given":"Enrico"},{"family":"Antinori","given":"Andrea"},{"family":"Vaia","given":"Francesco"},{"family":"Maggi","given":"Fabrizio"},{"literal":"INMI Monkeypox Study Group"}],"issued":{"date-parts":[["2022",9]]}}}],"schema":"https://github.com/citation-style-language/schema/raw/master/csl-citation.json"} </w:instrText>
      </w:r>
      <w:r w:rsidR="000B0BB0" w:rsidRPr="00BD1D51">
        <w:fldChar w:fldCharType="separate"/>
      </w:r>
      <w:r w:rsidR="000B0BB0" w:rsidRPr="00B06562">
        <w:t>(13,43,44)</w:t>
      </w:r>
      <w:r w:rsidR="000B0BB0" w:rsidRPr="00BD1D51">
        <w:fldChar w:fldCharType="end"/>
      </w:r>
    </w:p>
    <w:p w14:paraId="32EC8BCF" w14:textId="0862F2A0" w:rsidR="000B0BB0" w:rsidRPr="007E4EC8" w:rsidRDefault="005662D7" w:rsidP="005662D7">
      <w:pPr>
        <w:pStyle w:val="ListBullet"/>
      </w:pPr>
      <w:r>
        <w:t>t</w:t>
      </w:r>
      <w:r w:rsidR="000B0BB0" w:rsidRPr="4734D323">
        <w:t xml:space="preserve">ransmission via droplet exposure is uncommon </w:t>
      </w:r>
      <w:r w:rsidR="000B0BB0" w:rsidRPr="4734D323">
        <w:fldChar w:fldCharType="begin"/>
      </w:r>
      <w:r w:rsidR="000B0BB0">
        <w:instrText xml:space="preserve"> ADDIN ZOTERO_ITEM CSL_CITATION {"citationID":"xwnYAjrZ","properties":{"formattedCitation":"(36,45\\uc0\\u8211{}47)","plainCitation":"(36,45–47)","noteIndex":0},"citationItems":[{"id":79,"uris":["http://zotero.org/users/local/eE57gvz8/items/IHFTHCI6"],"itemData":{"id":79,"type":"article-journal","abstract":"Monkeypox virus (MPXV) has spread globally. Emerging studies have now provided evidence regarding MPXV transmission, that can inform rational evidence-based policies and reduce misinformation on this topic. We aimed to review the evidence on transmission of the virus. Real-world studies have isolated viable viruses from high-touch surfaces for as long as 15 days. Strong evidence suggests that the current circulating monkeypox (mpox) has evolved from previous outbreaks outside of Africa, but it is yet unknown whether these mutations may lead to an inherently increased infectivity of the virus. Strong evidence also suggests that the main route of current MPXV transmission is sexual; through either close contact or directly, with detection of culturable virus in saliva, nasopharynx, and sperm for prolonged periods and the presence of rashes mainly in genital areas. The milder clinical presentations and the potential presence of presymptomatic transmission in the current circulating variant compared to previous clades, as well as the dominance of spread amongst men who have sex with men (MSMs) suggests that mpox has a developed distinct clinical phenotype that has increased its transmissibility. Increased public awareness of MPXV transmission modalities may lead to earlier detection of the spillover of new cases into other groups.","container-title":"Journal of Medical Virology","DOI":"10.1002/jmv.28534","ISSN":"1096-9071","issue":"2","journalAbbreviation":"J Med Virol","language":"eng","note":"PMID: 36708091\nPMCID: PMC10107822","page":"e28534","source":"PubMed","title":"Transmission of monkeypox/mpox virus: A narrative review of environmental, viral, host, and population factors in relation to the 2022 international outbreak","title-short":"Transmission of monkeypox/mpox virus","volume":"95","author":[{"family":"Pan","given":"Daniel"},{"family":"Nazareth","given":"Joshua"},{"family":"Sze","given":"Shirley"},{"family":"Martin","given":"Christopher A."},{"family":"Decker","given":"Jonathan"},{"family":"Fletcher","given":"Eve"},{"family":"Déirdre Hollingsworth","given":"T."},{"family":"Barer","given":"Michael R."},{"family":"Pareek","given":"Manish"},{"family":"Tang","given":"Julian W."}],"issued":{"date-parts":[["2023",2]]}}},{"id":82,"uris":["http://zotero.org/users/local/eE57gvz8/items/GZIYD69S"],"itemData":{"id":82,"type":"article-journal","abstract":"The relative contribution of the respiratory route to transmission of mpox (formerly known as monkeypox) is unclear. We review the evidence for respiratory transmission of monkeypox virus (MPXV), examining key works from animal models, human outbreaks and case reports, and environmental studies. Laboratory experiments have initiated MPXV infection in animals via respiratory routes. Some animal-to-animal respiratory transmission has been shown in controlled studies, and environmental sampling studies have detected airborne MPXV. Reports from real-life outbreaks demonstrate that transmission is associated with close contact, and although it is difficult to infer the route of MPXV acquisition in individual case reports, so far respiratory transmission has not been specifically implicated. Based on the available evidence, the likelihood of human-to-human MPXV respiratory transmission appears to be low; however, studies should continue to assess this possibility.","container-title":"The Lancet. Microbe","DOI":"10.1016/S2666-5247(23)00034-4","ISSN":"2666-5247","issue":"4","journalAbbreviation":"Lancet Microbe","language":"eng","note":"PMID: 36898398\nPMCID: PMC9991082","page":"e277-e283","source":"PubMed","title":"Mpox respiratory transmission: the state of the evidence","title-short":"Mpox respiratory transmission","volume":"4","author":[{"family":"Beeson","given":"Amy"},{"family":"Styczynski","given":"Ashley"},{"family":"Hutson","given":"Christina L."},{"family":"Whitehill","given":"Florence"},{"family":"Angelo","given":"Kristina M."},{"family":"Minhaj","given":"Faisal S."},{"family":"Morgan","given":"Clint"},{"family":"Ciampaglio","given":"Kaitlyn"},{"family":"Reynolds","given":"Mary G."},{"family":"McCollum","given":"Andrea M."},{"family":"Guagliardo","given":"Sarah Anne J."}],"issued":{"date-parts":[["2023",4]]}}},{"id":85,"uris":["http://zotero.org/users/local/eE57gvz8/items/MHCTQVNN"],"itemData":{"id":85,"type":"article-journal","abstract":"OBJECTIVES: To make inferences regarding the effectiveness of respiratory interventions and case isolation measures in reducing or preventing the transmission of mpox based on synthesis of available literature.\nMETHODS: The WHO Clinical Management and Infection Prevention and Control 2022 guideline and droplet precautions in healthcare facilities and home isolation infection prevention control measures for patients with mpox. We conducted a systematic review that included a broad search of five electronic databases. In a two-stage process, we initially sought only randomized controlled trials and observational comparative studies; when the search failed to yield eligible studies, the subsequent search included all study designs including clinical and environmental sampling studies.\nRESULTS: No studies were identified that directly addressed airborne and droplet precautions and home isolation infection prevention control measures. To inform the review questions the review team synthesized route of transmission data in mpox. There were 2366/4309 (54.9%) cases in which investigators identified mpox infection occurring following transmission through direct physical sexual contact. There were no reported mpox cases in which investigators identified inhalation as a single route of transmission. There were 2/4309 cases in which investigators identified fomite as a single route of transmission. Clinical and environmental sampling studies isolated mpox virus in a minority of saliva, oropharangeal swabs, mpox skin lesions, and hospital room air.\nCONCLUSIONS: Current findings provide compelling evidence that transmission of mpox occurs through direct physical contact. Because investigators have not reported any cases of transmission via inhalation alone, the impact of airborne and droplet infection prevention control measures in reducing transmission will be minimal. Avoiding physical contact with others, covering mpox lesions and wearing a medical mask is likely to reduce onward mpox transmission; there may be minimal reduction in transmission from additionally physically isolating patients with mild disease at home.","container-title":"PLOS global public health","DOI":"10.1371/journal.pgph.0002731","ISSN":"2767-3375","issue":"1","journalAbbreviation":"PLOS Glob Public Health","language":"eng","note":"PMID: 38236835\nPMCID: PMC10796032","page":"e0002731","source":"PubMed","title":"Infection prevention and control measures to reduce the transmission of mpox: A systematic review","title-short":"Infection prevention and control measures to reduce the transmission of mpox","volume":"4","author":[{"family":"Kuehn","given":"Rebecca"},{"family":"Fox","given":"Tilly"},{"family":"Guyatt","given":"Gordon"},{"family":"Lutje","given":"Vittoria"},{"family":"Gould","given":"Susan"}],"issued":{"date-parts":[["2024"]]}}},{"id":156,"uris":["http://zotero.org/users/local/eE57gvz8/items/LZQNBBKM"],"itemData":{"id":156,"type":"article-journal","container-title":"The Lancet. Microbe","DOI":"10.1016/j.lanmic.2025.101082","ISSN":"2666-5247","issue":"6","journalAbbreviation":"Lancet Microbe","language":"eng","note":"PMID: 39923781","page":"101082","source":"PubMed","title":"Aerosol transmission risk of mpox relative to COVID-19 and smallpox","volume":"6","author":[{"family":"Leong","given":"Fong Yew"},{"family":"Ge","given":"Zhengwei"},{"family":"Loo","given":"Liang Hui"},{"family":"Fong","given":"Siew-Wai"},{"family":"Goh","given":"Yun Shan"},{"family":"Xu","given":"George"},{"family":"Kang","given":"Chang Wei"},{"family":"Wong","given":"Judith Chui Ching"},{"family":"Li","given":"Hongying"},{"family":"Ooi","given":"Chin Chun"},{"family":"Tay","given":"Matthew Zirui"}],"issued":{"date-parts":[["2025",6]]}}}],"schema":"https://github.com/citation-style-language/schema/raw/master/csl-citation.json"} </w:instrText>
      </w:r>
      <w:r w:rsidR="000B0BB0" w:rsidRPr="4734D323">
        <w:fldChar w:fldCharType="separate"/>
      </w:r>
      <w:r w:rsidR="000B0BB0" w:rsidRPr="00B06562">
        <w:t>(36,45–47)</w:t>
      </w:r>
      <w:r w:rsidR="000B0BB0" w:rsidRPr="4734D323">
        <w:fldChar w:fldCharType="end"/>
      </w:r>
      <w:r w:rsidR="000B0BB0" w:rsidRPr="4734D323">
        <w:t>, with no reported mpox cases attributed to inhalation/airborne transmission as a single route of transmission.</w:t>
      </w:r>
    </w:p>
    <w:p w14:paraId="37BC5306" w14:textId="77777777" w:rsidR="000B0BB0" w:rsidRPr="001E6B97" w:rsidRDefault="000B0BB0" w:rsidP="000B0BB0">
      <w:pPr>
        <w:pStyle w:val="Tabletitle"/>
      </w:pPr>
      <w:r w:rsidRPr="001E6B97">
        <w:t>Summary of mpox transmission routes/settings by region and MPXV clade</w:t>
      </w:r>
    </w:p>
    <w:tbl>
      <w:tblPr>
        <w:tblStyle w:val="CDCTable4"/>
        <w:tblW w:w="9350" w:type="dxa"/>
        <w:tblLayout w:type="fixed"/>
        <w:tblCellMar>
          <w:top w:w="57" w:type="dxa"/>
          <w:bottom w:w="57" w:type="dxa"/>
        </w:tblCellMar>
        <w:tblLook w:val="04A0" w:firstRow="1" w:lastRow="0" w:firstColumn="1" w:lastColumn="0" w:noHBand="0" w:noVBand="1"/>
      </w:tblPr>
      <w:tblGrid>
        <w:gridCol w:w="1985"/>
        <w:gridCol w:w="1559"/>
        <w:gridCol w:w="5806"/>
      </w:tblGrid>
      <w:tr w:rsidR="000B0BB0" w:rsidRPr="00AC562D" w14:paraId="52D76F9E" w14:textId="77777777" w:rsidTr="008E192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985" w:type="dxa"/>
            <w:vAlign w:val="top"/>
          </w:tcPr>
          <w:p w14:paraId="4EC9EA51" w14:textId="77777777" w:rsidR="000B0BB0" w:rsidRPr="002C0835" w:rsidRDefault="000B0BB0" w:rsidP="002C0835">
            <w:pPr>
              <w:pStyle w:val="Tableheaderrowblack"/>
            </w:pPr>
            <w:r w:rsidRPr="002C0835">
              <w:t>Region/country</w:t>
            </w:r>
          </w:p>
        </w:tc>
        <w:tc>
          <w:tcPr>
            <w:tcW w:w="1559" w:type="dxa"/>
            <w:vAlign w:val="top"/>
          </w:tcPr>
          <w:p w14:paraId="332EF6CD" w14:textId="77777777" w:rsidR="000B0BB0" w:rsidRPr="002C0835" w:rsidRDefault="000B0BB0" w:rsidP="002C0835">
            <w:pPr>
              <w:pStyle w:val="Tableheaderrowblack"/>
              <w:cnfStyle w:val="100000000000" w:firstRow="1" w:lastRow="0" w:firstColumn="0" w:lastColumn="0" w:oddVBand="0" w:evenVBand="0" w:oddHBand="0" w:evenHBand="0" w:firstRowFirstColumn="0" w:firstRowLastColumn="0" w:lastRowFirstColumn="0" w:lastRowLastColumn="0"/>
            </w:pPr>
            <w:r w:rsidRPr="002C0835">
              <w:t>MPXV clade</w:t>
            </w:r>
          </w:p>
        </w:tc>
        <w:tc>
          <w:tcPr>
            <w:tcW w:w="5806" w:type="dxa"/>
            <w:vAlign w:val="top"/>
          </w:tcPr>
          <w:p w14:paraId="2BBED3FE" w14:textId="77777777" w:rsidR="000B0BB0" w:rsidRPr="002C0835" w:rsidRDefault="000B0BB0" w:rsidP="002C0835">
            <w:pPr>
              <w:pStyle w:val="Tableheaderrowblack"/>
              <w:cnfStyle w:val="100000000000" w:firstRow="1" w:lastRow="0" w:firstColumn="0" w:lastColumn="0" w:oddVBand="0" w:evenVBand="0" w:oddHBand="0" w:evenHBand="0" w:firstRowFirstColumn="0" w:firstRowLastColumn="0" w:lastRowFirstColumn="0" w:lastRowLastColumn="0"/>
            </w:pPr>
            <w:r w:rsidRPr="002C0835">
              <w:t>Transmission route/setting</w:t>
            </w:r>
          </w:p>
        </w:tc>
      </w:tr>
      <w:tr w:rsidR="000B0BB0" w:rsidRPr="0025016C" w14:paraId="55F2FFD9" w14:textId="77777777" w:rsidTr="00AC562D">
        <w:trPr>
          <w:trHeight w:val="300"/>
        </w:trPr>
        <w:tc>
          <w:tcPr>
            <w:cnfStyle w:val="001000000000" w:firstRow="0" w:lastRow="0" w:firstColumn="1" w:lastColumn="0" w:oddVBand="0" w:evenVBand="0" w:oddHBand="0" w:evenHBand="0" w:firstRowFirstColumn="0" w:firstRowLastColumn="0" w:lastRowFirstColumn="0" w:lastRowLastColumn="0"/>
            <w:tcW w:w="1985" w:type="dxa"/>
          </w:tcPr>
          <w:p w14:paraId="2DE1F104" w14:textId="77777777" w:rsidR="000B0BB0" w:rsidRPr="0025016C" w:rsidRDefault="000B0BB0" w:rsidP="00854DD1">
            <w:pPr>
              <w:pStyle w:val="Tabletext"/>
            </w:pPr>
            <w:r w:rsidRPr="0025016C">
              <w:t>International outbreak</w:t>
            </w:r>
            <w:r>
              <w:t xml:space="preserve"> </w:t>
            </w:r>
            <w:r>
              <w:fldChar w:fldCharType="begin"/>
            </w:r>
            <w:r>
              <w:instrText xml:space="preserve"> ADDIN ZOTERO_ITEM CSL_CITATION {"citationID":"YUeiKuq4","properties":{"formattedCitation":"(8)","plainCitation":"(8)","noteIndex":0},"citationItems":[{"id":2,"uris":["http://zotero.org/users/local/eE57gvz8/items/IL3G54KI"],"itemData":{"id":2,"type":"webpage","title":"Global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fldChar w:fldCharType="separate"/>
            </w:r>
            <w:r w:rsidRPr="00F00DC9">
              <w:t>(8)</w:t>
            </w:r>
            <w:r>
              <w:fldChar w:fldCharType="end"/>
            </w:r>
          </w:p>
        </w:tc>
        <w:tc>
          <w:tcPr>
            <w:tcW w:w="1559" w:type="dxa"/>
          </w:tcPr>
          <w:p w14:paraId="4FE80084"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IIb</w:t>
            </w:r>
          </w:p>
        </w:tc>
        <w:tc>
          <w:tcPr>
            <w:tcW w:w="5806" w:type="dxa"/>
          </w:tcPr>
          <w:p w14:paraId="1268AE88" w14:textId="77777777" w:rsidR="000B0BB0" w:rsidRPr="006769C8"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6769C8">
              <w:t>Direct contact with skin or mucosal lesions during sexual activity among MSM(87%) (based on 38,048 cases)</w:t>
            </w:r>
          </w:p>
          <w:p w14:paraId="54FC646E"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Setting (data available for 8,736 cases):</w:t>
            </w:r>
          </w:p>
          <w:p w14:paraId="71A5C5AC"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t xml:space="preserve">any </w:t>
            </w:r>
            <w:r w:rsidRPr="00B205DD">
              <w:t>party setting with sexual contact (57%)</w:t>
            </w:r>
          </w:p>
          <w:p w14:paraId="7F9D3F08"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household (9%)</w:t>
            </w:r>
          </w:p>
          <w:p w14:paraId="4E88174F" w14:textId="77777777" w:rsidR="000B0BB0" w:rsidRPr="0009174B"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healthcare (0.2%)</w:t>
            </w:r>
          </w:p>
        </w:tc>
      </w:tr>
      <w:tr w:rsidR="000B0BB0" w:rsidRPr="0025016C" w14:paraId="08E255BA" w14:textId="77777777" w:rsidTr="00AC562D">
        <w:trPr>
          <w:trHeight w:val="300"/>
        </w:trPr>
        <w:tc>
          <w:tcPr>
            <w:cnfStyle w:val="001000000000" w:firstRow="0" w:lastRow="0" w:firstColumn="1" w:lastColumn="0" w:oddVBand="0" w:evenVBand="0" w:oddHBand="0" w:evenHBand="0" w:firstRowFirstColumn="0" w:firstRowLastColumn="0" w:lastRowFirstColumn="0" w:lastRowLastColumn="0"/>
            <w:tcW w:w="1985" w:type="dxa"/>
          </w:tcPr>
          <w:p w14:paraId="664E12FA" w14:textId="77777777" w:rsidR="000B0BB0" w:rsidRPr="0025016C" w:rsidRDefault="000B0BB0" w:rsidP="00854DD1">
            <w:pPr>
              <w:pStyle w:val="Tabletext"/>
            </w:pPr>
            <w:r w:rsidRPr="0025016C">
              <w:t>The DRC</w:t>
            </w:r>
            <w:r>
              <w:t xml:space="preserve"> </w:t>
            </w:r>
            <w:r>
              <w:fldChar w:fldCharType="begin"/>
            </w:r>
            <w:r>
              <w:instrText xml:space="preserve"> ADDIN ZOTERO_ITEM CSL_CITATION {"citationID":"FybcDM4i","properties":{"formattedCitation":"(14)","plainCitation":"(14)","noteIndex":0},"citationItems":[{"id":3,"uris":["http://zotero.org/users/local/eE57gvz8/items/G7ZZWSNQ"],"itemData":{"id":3,"type":"article-journal","abstract":"BACKGROUND: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fldChar w:fldCharType="separate"/>
            </w:r>
            <w:r w:rsidRPr="00934503">
              <w:t>(14)</w:t>
            </w:r>
            <w:r>
              <w:fldChar w:fldCharType="end"/>
            </w:r>
          </w:p>
        </w:tc>
        <w:tc>
          <w:tcPr>
            <w:tcW w:w="1559" w:type="dxa"/>
          </w:tcPr>
          <w:p w14:paraId="5C3AF748"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Ib</w:t>
            </w:r>
          </w:p>
        </w:tc>
        <w:tc>
          <w:tcPr>
            <w:tcW w:w="5806" w:type="dxa"/>
          </w:tcPr>
          <w:p w14:paraId="5D2D65AA"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Total number of cases: 4,436</w:t>
            </w:r>
          </w:p>
          <w:p w14:paraId="31A202CD"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sexual/physical contact (44%)</w:t>
            </w:r>
          </w:p>
          <w:p w14:paraId="2F52365C"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household contact (21%)</w:t>
            </w:r>
          </w:p>
          <w:p w14:paraId="7FFC30A0" w14:textId="77777777" w:rsidR="000B0BB0" w:rsidRPr="0009174B"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caregiving or healthcare activities (with exposure to bodily secretions or excretions) (7%)</w:t>
            </w:r>
          </w:p>
        </w:tc>
      </w:tr>
      <w:tr w:rsidR="000B0BB0" w:rsidRPr="0025016C" w14:paraId="20495650" w14:textId="77777777" w:rsidTr="00AC562D">
        <w:trPr>
          <w:trHeight w:val="300"/>
        </w:trPr>
        <w:tc>
          <w:tcPr>
            <w:cnfStyle w:val="001000000000" w:firstRow="0" w:lastRow="0" w:firstColumn="1" w:lastColumn="0" w:oddVBand="0" w:evenVBand="0" w:oddHBand="0" w:evenHBand="0" w:firstRowFirstColumn="0" w:firstRowLastColumn="0" w:lastRowFirstColumn="0" w:lastRowLastColumn="0"/>
            <w:tcW w:w="1985" w:type="dxa"/>
          </w:tcPr>
          <w:p w14:paraId="6DFF6DC0" w14:textId="77777777" w:rsidR="000B0BB0" w:rsidRPr="0025016C" w:rsidRDefault="000B0BB0" w:rsidP="00854DD1">
            <w:pPr>
              <w:pStyle w:val="Tabletext"/>
            </w:pPr>
            <w:r w:rsidRPr="0025016C">
              <w:t>The DRC</w:t>
            </w:r>
            <w:r>
              <w:t xml:space="preserve"> </w:t>
            </w:r>
            <w:r>
              <w:fldChar w:fldCharType="begin"/>
            </w:r>
            <w:r>
              <w:instrText xml:space="preserve"> ADDIN ZOTERO_ITEM CSL_CITATION {"citationID":"2bhfMuNq","properties":{"formattedCitation":"(14)","plainCitation":"(14)","noteIndex":0},"citationItems":[{"id":3,"uris":["http://zotero.org/users/local/eE57gvz8/items/G7ZZWSNQ"],"itemData":{"id":3,"type":"article-journal","abstract":"BACKGROUND: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fldChar w:fldCharType="separate"/>
            </w:r>
            <w:r w:rsidRPr="00934503">
              <w:t>(14)</w:t>
            </w:r>
            <w:r>
              <w:fldChar w:fldCharType="end"/>
            </w:r>
          </w:p>
        </w:tc>
        <w:tc>
          <w:tcPr>
            <w:tcW w:w="1559" w:type="dxa"/>
          </w:tcPr>
          <w:p w14:paraId="7B224CE4" w14:textId="77777777" w:rsidR="000B0BB0" w:rsidRPr="0025016C" w:rsidRDefault="000B0BB0" w:rsidP="00AC562D">
            <w:pPr>
              <w:pStyle w:val="TableofAuthorities"/>
              <w:cnfStyle w:val="000000000000" w:firstRow="0" w:lastRow="0" w:firstColumn="0" w:lastColumn="0" w:oddVBand="0" w:evenVBand="0" w:oddHBand="0" w:evenHBand="0" w:firstRowFirstColumn="0" w:firstRowLastColumn="0" w:lastRowFirstColumn="0" w:lastRowLastColumn="0"/>
            </w:pPr>
            <w:r w:rsidRPr="0025016C">
              <w:t>Ia</w:t>
            </w:r>
          </w:p>
        </w:tc>
        <w:tc>
          <w:tcPr>
            <w:tcW w:w="5806" w:type="dxa"/>
          </w:tcPr>
          <w:p w14:paraId="6DECC7A1"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Total number of cases: 459</w:t>
            </w:r>
          </w:p>
          <w:p w14:paraId="2FB34E9F"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household contact (32%)</w:t>
            </w:r>
          </w:p>
          <w:p w14:paraId="0CDBE93B"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animal contact (22%)</w:t>
            </w:r>
          </w:p>
          <w:p w14:paraId="6B8F2A23" w14:textId="77777777" w:rsidR="000B0BB0"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interaction at school/market/church (13%)</w:t>
            </w:r>
          </w:p>
          <w:p w14:paraId="6E507946" w14:textId="77777777" w:rsidR="000B0BB0" w:rsidRPr="0009174B" w:rsidRDefault="000B0BB0" w:rsidP="00854DD1">
            <w:pPr>
              <w:pStyle w:val="Tablelistbullet"/>
              <w:cnfStyle w:val="000000000000" w:firstRow="0" w:lastRow="0" w:firstColumn="0" w:lastColumn="0" w:oddVBand="0" w:evenVBand="0" w:oddHBand="0" w:evenHBand="0" w:firstRowFirstColumn="0" w:firstRowLastColumn="0" w:lastRowFirstColumn="0" w:lastRowLastColumn="0"/>
            </w:pPr>
            <w:r w:rsidRPr="0009174B">
              <w:t>sexual/physical contact (5%)</w:t>
            </w:r>
          </w:p>
        </w:tc>
      </w:tr>
      <w:tr w:rsidR="000B0BB0" w:rsidRPr="0025016C" w14:paraId="5D4819DD" w14:textId="77777777" w:rsidTr="00AC562D">
        <w:trPr>
          <w:trHeight w:val="300"/>
        </w:trPr>
        <w:tc>
          <w:tcPr>
            <w:cnfStyle w:val="001000000000" w:firstRow="0" w:lastRow="0" w:firstColumn="1" w:lastColumn="0" w:oddVBand="0" w:evenVBand="0" w:oddHBand="0" w:evenHBand="0" w:firstRowFirstColumn="0" w:firstRowLastColumn="0" w:lastRowFirstColumn="0" w:lastRowLastColumn="0"/>
            <w:tcW w:w="1985" w:type="dxa"/>
          </w:tcPr>
          <w:p w14:paraId="3880F37C" w14:textId="77777777" w:rsidR="000B0BB0" w:rsidRPr="0025016C" w:rsidRDefault="000B0BB0" w:rsidP="00854DD1">
            <w:pPr>
              <w:pStyle w:val="Tabletext"/>
            </w:pPr>
            <w:r w:rsidRPr="7A1677BC">
              <w:lastRenderedPageBreak/>
              <w:t xml:space="preserve">Sweden, the UK </w:t>
            </w:r>
            <w:r w:rsidRPr="7A1677BC">
              <w:fldChar w:fldCharType="begin"/>
            </w:r>
            <w:r w:rsidRPr="7A1677BC">
              <w:instrText xml:space="preserve"> ADDIN ZOTERO_ITEM CSL_CITATION {"citationID":"SKfqMVXD","properties":{"formattedCitation":"(48,49)","plainCitation":"(48,49)","noteIndex":0},"citationItems":[{"id":152,"uris":["http://zotero.org/users/local/eE57gvz8/items/DA5AUBIE"],"itemData":{"id":152,"type":"article-journal","abstract":"An unprecedented upsurge in mpox, caused by clade I of the monkeypox virus (MPXV) was noted in Central Africa in 2024. The first mpox case with MPXV clade Ib outside Africa was reported in Sweden in mid-August. The case experienced a mild disease course after travelling to an affected country. No additional cases of this clade have been detected in Sweden. Strengthened public health measures and surveillance including whole genome sequencing are crucial to prevent establishment of novel MPXV clades.","container-title":"Euro Surveillance: Bulletin Europeen Sur Les Maladies Transmissibles = European Communicable Disease Bulletin","DOI":"10.2807/1560-7917.ES.2024.29.48.2400740","ISSN":"1560-7917","issue":"48","journalAbbreviation":"Euro Surveill","language":"eng","note":"PMID: 39611206\nPMCID: PMC11605805","page":"2400740","source":"PubMed","title":"First case of mpox with monkeypox virus clade Ib outside Africa in a returning traveller, Sweden, August 2024: public health measures","title-short":"First case of mpox with monkeypox virus clade Ib outside Africa in a returning traveller, Sweden, August 2024","volume":"29","author":[{"family":"Treutiger","given":"Carl-Johan"},{"family":"Filén","given":"Finn"},{"family":"Rehn","given":"Moa"},{"family":"Aarum","given":"Johan"},{"family":"Jacks","given":"Andreas"},{"family":"Gisslén","given":"Magnus"},{"family":"Sturegård","given":"Erik"},{"family":"Karlberg","given":"Maria Lind"},{"family":"Karlsson Lindsjö","given":"Oskar"},{"family":"Sondén","given":"Klara"}],"issued":{"date-parts":[["2024",11]]}}},{"id":150,"uris":["http://zotero.org/users/local/eE57gvz8/items/NM5VM85C"],"itemData":{"id":150,"type":"article-journal","abstract":"We report two importations of monkeypox virus clade Ib infection to the United Kingdom in 2024. The first was a traveller returning from Tanzania, Rwanda and Uganda, the second from Uganda. Both presented with fever and typical skin lesions; 147 contacts were followed up, 19 vaccinated with MVA-BN. Three household contacts of the first individual, including two children, became infected. These are the first reported autochthonous transmissions of clade Ib in Europe, and first paediatric cases outside the African continent.","container-title":"Euro Surveillance: Bulletin Europeen Sur Les Maladies Transmissibles = European Communicable Disease Bulletin","DOI":"10.2807/1560-7917.ES.2025.30.10.2500131","ISSN":"1560-7917","issue":"10","journalAbbreviation":"Euro Surveill","language":"eng","note":"PMID: 40084422\nPMCID: PMC11912141","page":"2500131","source":"PubMed","title":"Case series of the first five human infections with monkeypox virus clade Ib and report on the public health response, United Kingdom, October to November 2024","volume":"30","author":[{"family":"Alvi","given":"Muhammad Ibaad"},{"family":"Kliner","given":"Merav"},{"family":"Welfare","given":"William"},{"family":"Gordon","given":"N. Claire"},{"family":"Thomas","given":"Sherine"},{"family":"Padfield","given":"Simon"},{"family":"Emmett","given":"Hannah E."},{"family":"Heinsbroek","given":"Ellen"},{"family":"Hughes","given":"Gareth J."},{"family":"Groves","given":"Natalie"},{"family":"Gallagher","given":"Eileen"},{"family":"Pullan","given":"Steven"},{"family":"Belfield","given":"Amy"},{"family":"Houlihan","given":"Catherine F."},{"family":"Rampling","given":"Tommy"},{"family":"O'Hara","given":"Geraldine"},{"family":"Tunbridge","given":"Anne"},{"family":"Dunning","given":"Jake"},{"family":"Whittaker","given":"Elizabeth"},{"family":"Alonso","given":"Alejandra"},{"family":"Beadsworth","given":"Mike"},{"family":"Payne","given":"Brendan Ai"},{"family":"Chand","given":"Meera"},{"family":"Hopkins","given":"Susan"},{"family":"Armstrong","given":"Gillian"}],"issued":{"date-parts":[["2025",3]]}}}],"schema":"https://github.com/citation-style-language/schema/raw/master/csl-citation.json"} </w:instrText>
            </w:r>
            <w:r w:rsidRPr="7A1677BC">
              <w:fldChar w:fldCharType="separate"/>
            </w:r>
            <w:r w:rsidRPr="7A1677BC">
              <w:t>(48,49)</w:t>
            </w:r>
            <w:r w:rsidRPr="7A1677BC">
              <w:fldChar w:fldCharType="end"/>
            </w:r>
          </w:p>
        </w:tc>
        <w:tc>
          <w:tcPr>
            <w:tcW w:w="1559" w:type="dxa"/>
          </w:tcPr>
          <w:p w14:paraId="4609AD45" w14:textId="77777777"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Ib</w:t>
            </w:r>
            <w:r>
              <w:t xml:space="preserve"> (imported)</w:t>
            </w:r>
          </w:p>
        </w:tc>
        <w:tc>
          <w:tcPr>
            <w:tcW w:w="5806" w:type="dxa"/>
          </w:tcPr>
          <w:p w14:paraId="7C490601" w14:textId="73CA94DD" w:rsidR="000B0BB0" w:rsidRPr="0025016C" w:rsidRDefault="000B0BB0" w:rsidP="00854DD1">
            <w:pPr>
              <w:pStyle w:val="Tabletext"/>
              <w:cnfStyle w:val="000000000000" w:firstRow="0" w:lastRow="0" w:firstColumn="0" w:lastColumn="0" w:oddVBand="0" w:evenVBand="0" w:oddHBand="0" w:evenHBand="0" w:firstRowFirstColumn="0" w:firstRowLastColumn="0" w:lastRowFirstColumn="0" w:lastRowLastColumn="0"/>
            </w:pPr>
            <w:r w:rsidRPr="0025016C">
              <w:t xml:space="preserve">One imported clade Ib mpox case was reported in Sweden in 2024, acquired infection in Africa through close physical contact </w:t>
            </w:r>
            <w:r w:rsidR="008E192D">
              <w:t>–</w:t>
            </w:r>
            <w:r w:rsidRPr="0025016C">
              <w:t xml:space="preserve"> no secondary transmission.</w:t>
            </w:r>
          </w:p>
          <w:p w14:paraId="187861AE" w14:textId="77777777" w:rsidR="000B0BB0" w:rsidRPr="005F621E" w:rsidRDefault="000B0BB0" w:rsidP="006769C8">
            <w:pPr>
              <w:pStyle w:val="Tabletext"/>
              <w:cnfStyle w:val="000000000000" w:firstRow="0" w:lastRow="0" w:firstColumn="0" w:lastColumn="0" w:oddVBand="0" w:evenVBand="0" w:oddHBand="0" w:evenHBand="0" w:firstRowFirstColumn="0" w:firstRowLastColumn="0" w:lastRowFirstColumn="0" w:lastRowLastColumn="0"/>
            </w:pPr>
            <w:r w:rsidRPr="0025016C">
              <w:t>Two imported clade Ib mpox cases were reported in the UK in 2024, acquired infection in African countries via massage/heterosexual contact</w:t>
            </w:r>
            <w:r>
              <w:t>. O</w:t>
            </w:r>
            <w:r w:rsidRPr="006955AF">
              <w:t>ne case resulted in 3 secondary cases within the household (the partner and 2 children)</w:t>
            </w:r>
            <w:r>
              <w:t xml:space="preserve"> and t</w:t>
            </w:r>
            <w:r w:rsidRPr="005F621E">
              <w:t>he other case had no secondary transmission.</w:t>
            </w:r>
          </w:p>
        </w:tc>
      </w:tr>
    </w:tbl>
    <w:p w14:paraId="2DE69B23" w14:textId="77777777" w:rsidR="007C4492" w:rsidRPr="007C4492" w:rsidRDefault="007C4492" w:rsidP="007C4492">
      <w:pPr>
        <w:pStyle w:val="BodyText"/>
      </w:pPr>
    </w:p>
    <w:p w14:paraId="7BDF2A40" w14:textId="77777777" w:rsidR="00AD6802" w:rsidRPr="00917AC5" w:rsidRDefault="00AD6802" w:rsidP="00917AC5">
      <w:pPr>
        <w:pStyle w:val="Heading3"/>
      </w:pPr>
      <w:bookmarkStart w:id="35" w:name="_Toc230260156"/>
      <w:r w:rsidRPr="00917AC5">
        <w:t>Incubation period</w:t>
      </w:r>
      <w:bookmarkEnd w:id="35"/>
    </w:p>
    <w:p w14:paraId="5400C6C5" w14:textId="5BA08F43" w:rsidR="0056091A" w:rsidRPr="0056091A" w:rsidRDefault="0056091A" w:rsidP="0056091A">
      <w:pPr>
        <w:pStyle w:val="BodyText"/>
      </w:pPr>
      <w:r w:rsidRPr="00A02ABC">
        <w:t>The</w:t>
      </w:r>
      <w:r w:rsidRPr="5E805812">
        <w:t xml:space="preserve"> average </w:t>
      </w:r>
      <w:r w:rsidRPr="00A02ABC">
        <w:t xml:space="preserve">incubation period </w:t>
      </w:r>
      <w:r w:rsidRPr="5E805812">
        <w:t xml:space="preserve">for </w:t>
      </w:r>
      <w:r>
        <w:t xml:space="preserve">mpox </w:t>
      </w:r>
      <w:r w:rsidRPr="5E805812">
        <w:t xml:space="preserve">is estimated </w:t>
      </w:r>
      <w:r>
        <w:t>to be</w:t>
      </w:r>
      <w:r w:rsidRPr="5E805812">
        <w:t xml:space="preserve"> </w:t>
      </w:r>
      <w:r w:rsidRPr="0059703D">
        <w:t>8</w:t>
      </w:r>
      <w:r w:rsidRPr="00A02ABC">
        <w:t xml:space="preserve"> days</w:t>
      </w:r>
      <w:r>
        <w:t>,</w:t>
      </w:r>
      <w:r w:rsidRPr="00A02ABC">
        <w:t xml:space="preserve"> with a range of </w:t>
      </w:r>
      <w:r w:rsidRPr="5E805812">
        <w:t>3</w:t>
      </w:r>
      <w:r w:rsidRPr="00A02ABC">
        <w:t xml:space="preserve"> to 21 days </w:t>
      </w:r>
      <w:r>
        <w:fldChar w:fldCharType="begin"/>
      </w:r>
      <w:r>
        <w:instrText xml:space="preserve"> ADDIN ZOTERO_ITEM CSL_CITATION {"citationID":"7lS1qOU4","properties":{"formattedCitation":"(50\\uc0\\u8211{}52)","plainCitation":"(50–52)","noteIndex":0},"citationItems":[{"id":75,"uris":["http://zotero.org/users/local/eE57gvz8/items/YAYNRT5Y"],"itemData":{"id":75,"type":"webpage","title":"Mpox","URL":"https://www.who.int/news-room/fact-sheets/detail/monkeypox","author":[{"family":"World Health Organization","given":""}],"issued":{"date-parts":[["2024",8,26]]}}},{"id":108,"uris":["http://zotero.org/users/local/eE57gvz8/items/FWUABH4K"],"itemData":{"id":108,"type":"article-journal","abstract":"A &gt;600% increase in monkeypox cases occurred in the Bokungu Health Zone of the Democratic Republic of the Congo during the second half of 2013; this increase prompted an outbreak investigation. A total of 104 possible cases were reported from this health zone; among 60 suspected cases that were tested, 50 (48.1%) cases were confirmed by laboratory testing, and 10 (9.6%) tested negative for monkeypox virus (MPXV) infection. The household attack rate (i.e., rate of persons living with an infected person that develop symptoms of MPXV infection) was 50%. Nine families showed &gt;1 transmission event, and &gt;6 transmission events occurred within this health zone. Mean incubation period was 8 days (range 4-14 days). The high attack rate and transmission observed in this study reinforce the importance of surveillance and rapid identification of monkeypox cases. Community education and training are needed to prevent transmission of MPXV infection during outbreaks.","container-title":"Emerging Infectious Diseases","DOI":"10.3201/eid2206.150579","ISSN":"1080-6059","issue":"6","journalAbbreviation":"Emerg Infect Dis","language":"eng","note":"PMID: 27191380\nPMCID: PMC4880088","page":"1014-1021","source":"PubMed","title":"Extended Human-to-Human Transmission during a Monkeypox Outbreak in the Democratic Republic of the Congo","volume":"22","author":[{"family":"Nolen","given":"Leisha Diane"},{"family":"Osadebe","given":"Lynda"},{"family":"Katomba","given":"Jacques"},{"family":"Likofata","given":"Jacques"},{"family":"Mukadi","given":"Daniel"},{"family":"Monroe","given":"Benjamin"},{"family":"Doty","given":"Jeffrey"},{"family":"Hughes","given":"Christine Marie"},{"family":"Kabamba","given":"Joelle"},{"family":"Malekani","given":"Jean"},{"family":"Bomponda","given":"Pierre Lokwa"},{"family":"Lokota","given":"Jules Inonga"},{"family":"Balilo","given":"Marcel Pie"},{"family":"Likafi","given":"Toutou"},{"family":"Lushima","given":"Robert Shongo"},{"family":"Ilunga","given":"Benoit Kebela"},{"family":"Nkawa","given":"Frida"},{"family":"Pukuta","given":"Elisabeth"},{"family":"Karhemere","given":"Stomy"},{"family":"Tamfum","given":"Jean-Jacques Muyembe"},{"family":"Nguete","given":"Beatrice"},{"family":"Wemakoy","given":"Emile Okitolonda"},{"family":"McCollum","given":"Andrea M."},{"family":"Reynolds","given":"Mary G."}],"issued":{"date-parts":[["2016",6]]}}},{"id":111,"uris":["http://zotero.org/users/local/eE57gvz8/items/QEB8ZUJ2"],"itemData":{"id":111,"type":"article-journal","abstract":"BACKGROUND: In 2022, there were outbreaks of Mpox where the disease is not endemic. We summarised and compared the findings from published observational studies on the clinical presentation and epidemiology of the 2022 and previous outbreaks of Mpox.\nMETHODS: We registered a review protocol with the Open Science Framework (osf.io/j3kb7). We searched MEDLINE, Embase, CENTRAL, CINAHL and Scopus databases, and relevant websites up to August 30, 2022. Retrieved literature citations were screened for eligibility, and summary clinical presentation and epidemiological data from the included studies were pooled, when possible, using an inverse variance, random-effects model.\nRESULTS: Seventy-nine studies met the eligibility. Irrespective of outbreak, fever, headache, myalgia, lymphadenopathy, pleomorphic skin lesions, oral lesions, and sore throat were potentially highly relevant Mpox manifestations, while conjunctivitis, cough, and possibly reactivation of varicella zoster virus may be part of the clinical presentation. The mean incubation period for the 2022 outbreaks was 7.4 d (6.4-8.4 d, I2 64.2%; 4 studies: 270 cases) and for previous outbreaks, 12.9 d (10.4-15.5 d; one study: 31 cases), p &lt; .001. None of the male cases from previous outbreaks was reported to have sex with men (MSM) whereas almost all reported male cases from the 2022 outbreak were MSM. Concomitant sexually transmitted infections and perianal lesions were reported only among male cases from the 2022 outbreak, with the cases mostly presenting with genital lesions.\nCONCLUSIONS: The 2022 Mpox outbreaks appear to be mostly among MSM and have a lower incubation period compared with previous outbreaks.Key messages79 studies met the review's inclusion criteria.The 2022 Mpox outbreaks appear to have shorter incubation period compared with previous outbreaks.Established clinical presentation of Mpox includes fever, headache, myalgia, lymphadenopathy, pleomorphic skin lesions, oral lesions, and sore throat.Almost all reported cases from the 2022 Mpox outbreaks were men who had sex with men (MSM).Concomitant sexually transmitted infections and perianal lesions were only reported among cases from the 2022 Mpox outbreaks.A significantly higher proportion of Mpox cases from the 2022 outbreaks had genital lesions compared with cases from previous outbreaks.The 2022 Mpox outbreaks appear to be mostly among MSM.","container-title":"Infectious Diseases (London, England)","DOI":"10.1080/23744235.2023.2214609","ISSN":"2374-4243","issue":"7","journalAbbreviation":"Infect Dis (Lond)","language":"eng","note":"PMID: 37200216","page":"490-508","source":"PubMed","title":"Comparative evaluation of the clinical presentation and epidemiology of the 2022 and previous Mpox outbreaks: a rapid review and meta-analysis","title-short":"Comparative evaluation of the clinical presentation and epidemiology of the 2022 and previous Mpox outbreaks","volume":"55","author":[{"family":"Okoli","given":"George N."},{"family":"Van Caeseele","given":"Paul"},{"family":"Askin","given":"Nicole"},{"family":"Abou-Setta","given":"Ahmed M."}],"issued":{"date-parts":[["2023",7]]}}}],"schema":"https://github.com/citation-style-language/schema/raw/master/csl-citation.json"} </w:instrText>
      </w:r>
      <w:r>
        <w:fldChar w:fldCharType="separate"/>
      </w:r>
      <w:r w:rsidRPr="00B06562">
        <w:t>(50–52)</w:t>
      </w:r>
      <w:r>
        <w:fldChar w:fldCharType="end"/>
      </w:r>
      <w:r w:rsidRPr="00A02ABC">
        <w:t>. The</w:t>
      </w:r>
      <w:r>
        <w:t xml:space="preserve">re is no evidence to suggest the incubation period varies by clade, but it </w:t>
      </w:r>
      <w:r w:rsidRPr="00A02ABC">
        <w:t>may be influenced by transmission</w:t>
      </w:r>
      <w:r w:rsidRPr="00914D4C">
        <w:t xml:space="preserve"> </w:t>
      </w:r>
      <w:r w:rsidRPr="00A02ABC">
        <w:t xml:space="preserve">route, with </w:t>
      </w:r>
      <w:r>
        <w:t>infections acquired through direct</w:t>
      </w:r>
      <w:r w:rsidRPr="00A02ABC">
        <w:t xml:space="preserve"> exposure (e.g.</w:t>
      </w:r>
      <w:r>
        <w:t>,</w:t>
      </w:r>
      <w:r w:rsidRPr="00A02ABC">
        <w:t xml:space="preserve"> contact with broken skin or mucous membrane</w:t>
      </w:r>
      <w:r>
        <w:t>s</w:t>
      </w:r>
      <w:r w:rsidRPr="00A02ABC">
        <w:t xml:space="preserve">) having a shorter incubation period </w:t>
      </w:r>
      <w:r>
        <w:fldChar w:fldCharType="begin"/>
      </w:r>
      <w:r>
        <w:instrText xml:space="preserve"> ADDIN ZOTERO_ITEM CSL_CITATION {"citationID":"3coUCvWt","properties":{"formattedCitation":"(53)","plainCitation":"(53)","noteIndex":0},"citationItems":[{"id":114,"uris":["http://zotero.org/users/local/eE57gvz8/items/P3CDMKJS"],"itemData":{"id":114,"type":"article-journal","abstract":"In May 2022, monkeypox outbreaks have been reported in countries not endemic for monkeypox. We estimated the monkeypox incubation period, using reported exposure and symptom-onset times for 18 cases detected and confirmed in the Netherlands up to 31 May 2022. Mean incubation period was 9.0 [corrected] days (5th-95th percentiles: 4.2-17.3), underpinning the current recommendation to monitor or isolate/quarantine case contacts for 21 days. However, as the incubation period may differ between different transmission routes, further epidemiological investigations are needed.","container-title":"Euro Surveillance: Bulletin Europeen Sur Les Maladies Transmissibles = European Communicable Disease Bulletin","DOI":"10.2807/1560-7917.ES.2022.27.24.2200448","ISSN":"1560-7917","issue":"24","journalAbbreviation":"Euro Surveill","language":"eng","note":"PMID: 35713026\nPMCID: PMC9205160","page":"2200448","source":"PubMed","title":"Estimated incubation period for monkeypox cases confirmed in the Netherlands, May 2022","volume":"27","author":[{"family":"Miura","given":"Fuminari"},{"family":"Ewijk","given":"Catharina E.","non-dropping-particle":"van"},{"family":"Backer","given":"Jantien A."},{"family":"Xiridou","given":"Maria"},{"family":"Franz","given":"Eelco"},{"family":"Op de Coul","given":"Eline"},{"family":"Brandwagt","given":"Diederik"},{"family":"Cleef","given":"Brigitte","non-dropping-particle":"van"},{"family":"Rijckevorsel","given":"Gini","non-dropping-particle":"van"},{"family":"Swaan","given":"Corien"},{"family":"Hof","given":"Susan","non-dropping-particle":"van den"},{"family":"Wallinga","given":"Jacco"}],"issued":{"date-parts":[["2022",6]]}}}],"schema":"https://github.com/citation-style-language/schema/raw/master/csl-citation.json"} </w:instrText>
      </w:r>
      <w:r>
        <w:fldChar w:fldCharType="separate"/>
      </w:r>
      <w:r w:rsidRPr="00B06562">
        <w:t>(53)</w:t>
      </w:r>
      <w:r>
        <w:fldChar w:fldCharType="end"/>
      </w:r>
      <w:r>
        <w:t>.</w:t>
      </w:r>
    </w:p>
    <w:p w14:paraId="24AF8311" w14:textId="77777777" w:rsidR="00AD6802" w:rsidRPr="00917AC5" w:rsidRDefault="00AD6802" w:rsidP="00917AC5">
      <w:pPr>
        <w:pStyle w:val="Heading3"/>
      </w:pPr>
      <w:bookmarkStart w:id="36" w:name="_Toc230260157"/>
      <w:r w:rsidRPr="00917AC5">
        <w:t>Infectious period</w:t>
      </w:r>
      <w:bookmarkEnd w:id="36"/>
    </w:p>
    <w:p w14:paraId="4DFA9E0A" w14:textId="3E64CB58" w:rsidR="00580F18" w:rsidRPr="00B06562" w:rsidRDefault="00580F18" w:rsidP="00580F18">
      <w:pPr>
        <w:pStyle w:val="BodyText"/>
      </w:pPr>
      <w:r>
        <w:t>People with mpox</w:t>
      </w:r>
      <w:r w:rsidRPr="32DF4891">
        <w:t xml:space="preserve"> </w:t>
      </w:r>
      <w:r>
        <w:t xml:space="preserve">are typically infectious from </w:t>
      </w:r>
      <w:r w:rsidRPr="00A02ABC">
        <w:t>the onset of symptoms</w:t>
      </w:r>
      <w:r>
        <w:t>—</w:t>
      </w:r>
      <w:r w:rsidRPr="00A02ABC">
        <w:t>either prodrome, rash</w:t>
      </w:r>
      <w:r>
        <w:t>,</w:t>
      </w:r>
      <w:r w:rsidRPr="00A02ABC">
        <w:t xml:space="preserve"> or proctitis</w:t>
      </w:r>
      <w:r>
        <w:t xml:space="preserve"> </w:t>
      </w:r>
      <w:r>
        <w:fldChar w:fldCharType="begin"/>
      </w:r>
      <w:r>
        <w:instrText xml:space="preserve"> ADDIN ZOTERO_ITEM CSL_CITATION {"citationID":"Y8YO9hrP","properties":{"formattedCitation":"(26)","plainCitation":"(26)","noteIndex":0},"citationItems":[{"id":124,"uris":["http://zotero.org/users/local/eE57gvz8/items/UU5BZZAJ"],"itemData":{"id":124,"type":"webpage","title":"Clinical management and infection prevention and control for mpox: living guideline, May 2025","URL":"https://www.who.int/publications/i/item/B09434","author":[{"family":"World Health Organization","given":""}]}}],"schema":"https://github.com/citation-style-language/schema/raw/master/csl-citation.json"} </w:instrText>
      </w:r>
      <w:r>
        <w:fldChar w:fldCharType="separate"/>
      </w:r>
      <w:r w:rsidRPr="00B06562">
        <w:t>(26)</w:t>
      </w:r>
      <w:r>
        <w:fldChar w:fldCharType="end"/>
      </w:r>
      <w:r w:rsidRPr="00A02ABC">
        <w:t xml:space="preserve">. </w:t>
      </w:r>
      <w:r w:rsidRPr="009253A6">
        <w:t>People</w:t>
      </w:r>
      <w:r w:rsidRPr="00A02ABC">
        <w:t xml:space="preserve"> remain infectious until all symptoms have resolved, and all lesions have formed scabs and fallen off, leaving fresh skin underneath.</w:t>
      </w:r>
      <w:r>
        <w:t xml:space="preserve"> </w:t>
      </w:r>
      <w:r w:rsidRPr="009253A6">
        <w:t>Some people</w:t>
      </w:r>
      <w:r w:rsidRPr="00A02ABC">
        <w:t xml:space="preserve"> may not be aware of their exact symptom onset date</w:t>
      </w:r>
      <w:r>
        <w:t>,</w:t>
      </w:r>
      <w:r w:rsidRPr="00A02ABC">
        <w:t xml:space="preserve"> as initial symptoms may be very subtle or not visible </w:t>
      </w:r>
      <w:r>
        <w:fldChar w:fldCharType="begin"/>
      </w:r>
      <w:r>
        <w:instrText xml:space="preserve"> ADDIN ZOTERO_ITEM CSL_CITATION {"citationID":"2XN4RQGC","properties":{"formattedCitation":"(26,36,54\\uc0\\u8211{}56)","plainCitation":"(26,36,54–56)","noteIndex":0},"citationItems":[{"id":79,"uris":["http://zotero.org/users/local/eE57gvz8/items/IHFTHCI6"],"itemData":{"id":79,"type":"article-journal","abstract":"Monkeypox virus (MPXV) has spread globally. Emerging studies have now provided evidence regarding MPXV transmission, that can inform rational evidence-based policies and reduce misinformation on this topic. We aimed to review the evidence on transmission of the virus. Real-world studies have isolated viable viruses from high-touch surfaces for as long as 15 days. Strong evidence suggests that the current circulating monkeypox (mpox) has evolved from previous outbreaks outside of Africa, but it is yet unknown whether these mutations may lead to an inherently increased infectivity of the virus. Strong evidence also suggests that the main route of current MPXV transmission is sexual; through either close contact or directly, with detection of culturable virus in saliva, nasopharynx, and sperm for prolonged periods and the presence of rashes mainly in genital areas. The milder clinical presentations and the potential presence of presymptomatic transmission in the current circulating variant compared to previous clades, as well as the dominance of spread amongst men who have sex with men (MSMs) suggests that mpox has a developed distinct clinical phenotype that has increased its transmissibility. Increased public awareness of MPXV transmission modalities may lead to earlier detection of the spillover of new cases into other groups.","container-title":"Journal of Medical Virology","DOI":"10.1002/jmv.28534","ISSN":"1096-9071","issue":"2","journalAbbreviation":"J Med Virol","language":"eng","note":"PMID: 36708091\nPMCID: PMC10107822","page":"e28534","source":"PubMed","title":"Transmission of monkeypox/mpox virus: A narrative review of environmental, viral, host, and population factors in relation to the 2022 international outbreak","title-short":"Transmission of monkeypox/mpox virus","volume":"95","author":[{"family":"Pan","given":"Daniel"},{"family":"Nazareth","given":"Joshua"},{"family":"Sze","given":"Shirley"},{"family":"Martin","given":"Christopher A."},{"family":"Decker","given":"Jonathan"},{"family":"Fletcher","given":"Eve"},{"family":"Déirdre Hollingsworth","given":"T."},{"family":"Barer","given":"Michael R."},{"family":"Pareek","given":"Manish"},{"family":"Tang","given":"Julian W."}],"issued":{"date-parts":[["2023",2]]}}},{"id":120,"uris":["http://zotero.org/users/local/eE57gvz8/items/A7V33LBV"],"itemData":{"id":120,"type":"webpage","title":"Guidance Principles for monkeypox control in the UK: 4 nations consensus statement","URL":"https://www.gov.uk/government/publications/principles-for-monkeypox-control-in-the-uk-4-nations-consensus-statement/principles-for-monkeypox-control-in-the-uk-4-nations-consensus-statement","author":[{"family":"United Kingdom Health Security Agency","given":""}]}},{"id":121,"uris":["http://zotero.org/users/local/eE57gvz8/items/J2DHIRS9"],"itemData":{"id":121,"type":"article-journal","abstract":"The zoonosis human monkeypox (MPX) was discovered in 1970, twelve years after the discovery of monkeypox virus (MPXV) in a Danish laboratory in 1958. Historically confined to West Africa (WA) and the Congo basin (CB), new epidemics in Sudan and the United States of America (USA) have fuelled new research highlighting environmental factors contributing to the expanded geographical spread of monkeypox virus (MPXV). A systematic literature review was conducted in MEDLINE® (Ovid), MEDLINE® (PubMed) and Google Scholar databases using the search terms: monkeypox, MPXV and \"human monkeypox\". The literature revealed MPX has classic prodromal symptoms followed by a total body rash. The sole distinguishing clinical characteristic from other pox-like illnesses is the profound lymphadenopathy. Laboratory diagnosis of MPX is essential, a suitable test for endemic areas is under development but not yet available. For the time being anti-poxvirus antibodies in an unvaccinated individual with a history of severe illness and rash can suggest MPX infection. The reservoir host remains elusive yet the rope squirrel and Gambian pouched rat appear to be the most likely candidates. Transmission includes fomite, droplet, direct contact with infected humans or animals and consumption of infected meat. Though smallpox vaccination is protective against MPXV, new non-immune generations contribute to increasing incidence. Environmental factors are increasing the frequency of contact with potential hosts, thus increasing the risk of animal-to-human transmission. Increased risk of transmission through globalisation, conflict and environmental influences makes MPX a more realistic threat to previously unaffected countries. Health worker training and further development and accessibility of suitable diagnostic tests, vaccinations and anti-viral treatment is becoming increasingly necessary.","container-title":"Tropical Medicine and Infectious Disease","DOI":"10.3390/tropicalmed1010008","ISSN":"2414-6366","issue":"1","journalAbbreviation":"Trop Med Infect Dis","language":"eng","note":"PMID: 30270859\nPMCID: PMC6082047","page":"8","source":"PubMed","title":"Human Monkeypox: Current State of Knowledge and Implications for the Future","title-short":"Human Monkeypox","volume":"1","author":[{"family":"Brown","given":"Katy"},{"family":"Leggat","given":"Peter A."}],"issued":{"date-parts":[["2016",12,20]]}}},{"id":124,"uris":["http://zotero.org/users/local/eE57gvz8/items/UU5BZZAJ"],"itemData":{"id":124,"type":"webpage","title":"Clinical management and infection prevention and control for mpox: living guideline, May 2025","URL":"https://www.who.int/publications/i/item/B09434","author":[{"family":"World Health Organization","given":""}]}},{"id":125,"uris":["http://zotero.org/users/local/eE57gvz8/items/BQVYPTK5"],"itemData":{"id":125,"type":"webpage","title":"Disease Outbreak News: Multi-country monkeypox outbreak in non-endemic countries","URL":"https://www.who.int/emergencies/disease-outbreak-news/item/2022-DON393","author":[{"family":"World Health Organization","given":""}]}}],"schema":"https://github.com/citation-style-language/schema/raw/master/csl-citation.json"} </w:instrText>
      </w:r>
      <w:r>
        <w:fldChar w:fldCharType="separate"/>
      </w:r>
      <w:r w:rsidRPr="00AD5F7C">
        <w:t>(26,36,54–56)</w:t>
      </w:r>
      <w:r>
        <w:fldChar w:fldCharType="end"/>
      </w:r>
      <w:r w:rsidRPr="00A02ABC">
        <w:t>.</w:t>
      </w:r>
    </w:p>
    <w:p w14:paraId="228DD175" w14:textId="77777777" w:rsidR="00580F18" w:rsidRPr="00B06562" w:rsidRDefault="00580F18" w:rsidP="00B06562">
      <w:pPr>
        <w:pStyle w:val="BodyText"/>
      </w:pPr>
      <w:r>
        <w:t xml:space="preserve">There is limited evidence regarding infectivity pre-symptom onset. However, </w:t>
      </w:r>
      <w:r w:rsidRPr="07AA4545">
        <w:t xml:space="preserve">a small number of </w:t>
      </w:r>
      <w:r>
        <w:t xml:space="preserve">studies have demonstrated pre-symptomatic transmission, </w:t>
      </w:r>
      <w:r w:rsidRPr="07AA4545">
        <w:t>or presence of virus</w:t>
      </w:r>
      <w:r>
        <w:t>,</w:t>
      </w:r>
      <w:r w:rsidRPr="07AA4545">
        <w:t xml:space="preserve"> </w:t>
      </w:r>
      <w:r>
        <w:t xml:space="preserve">up to 4 days prior to symptom onset </w:t>
      </w:r>
      <w:r>
        <w:fldChar w:fldCharType="begin"/>
      </w:r>
      <w:r>
        <w:instrText xml:space="preserve"> ADDIN ZOTERO_ITEM CSL_CITATION {"citationID":"OXpCDHZS","properties":{"formattedCitation":"(26,57\\uc0\\u8211{}60)","plainCitation":"(26,57–60)","noteIndex":0},"citationItems":[{"id":124,"uris":["http://zotero.org/users/local/eE57gvz8/items/UU5BZZAJ"],"itemData":{"id":124,"type":"webpage","title":"Clinical management and infection prevention and control for mpox: living guideline, May 2025","URL":"https://www.who.int/publications/i/item/B09434","author":[{"family":"World Health Organization","given":""}]}},{"id":173,"uris":["http://zotero.org/users/local/eE57gvz8/items/BSRAXDLE"],"itemData":{"id":173,"type":"article-journal","abstract":"We describe the results of a prospective observational study of the clinical natural history of human monkeypox (mpox) virus (MPXV) infections at the remote L'Hopital General de Reference de Kole (Kole hospital), the rainforest of the Congo River basin of the Democratic Republic of the Congo (DRC) from March 2007 until August 2011. The research was conducted jointly by the Institute National de Recherche Biomedical (INRB) and the US Army Medical Research Institute of Infectious Diseases (USAMRIID). The Kole hospital was one of the two previous WHO Mpox study sites (1981-1986). The hospital is staffed by a Spanish Order of Catholic Nuns from La Congregation Des Soeurs Missionnaires Du Christ Jesus including two Spanish physicians, who were members of the Order as well, were part of the WHO study on human mpox. Of 244 patients admitted with a clinical diagnosis of MPXV infection, 216 were positive in both the Pan-Orthopox and MPXV specific PCR. The cardinal observations of these 216 patients are summarized in this report. There were three deaths (3/216) among these hospitalized patients; fetal death occurred in 3 of 4 patients who were pregnant at admission, with the placenta of one fetus demonstrating prominent MPXV infection of the chorionic villi. The most common complaints were rash (96.8%), malaise (85.2%), sore throat (78.2%), and lymphadenopathy/adenopathy (57.4%). The most common physical exam findings were mpox rash (99.5%) and lymphadenopathy (98.6%). The single patient without the classic mpox rash had been previously vaccinated against smallpox. Age group of less than 5 years had the highest lesion count. Primary household cases tended to have higher lesion counts than secondary or later same household cases. Of the 216 patients, 200 were tested for IgM &amp; IgG antibodies (Abs) to Orthopoxviruses. All 200 patients had anti-orthopoxvirus IgG Abs; whereas 189/200 were positive for IgM. Patients with hypoalbuminemia had a high risk of severe disease. Patients with fatal disease had higher maximum geometric mean values than survivors for the following variables, respectively: viral DNA in blood (DNAemia); maximum lesion count; day of admission mean AST and ALT.","container-title":"PLoS neglected tropical diseases","DOI":"10.1371/journal.pntd.0010384","ISSN":"1935-2735","issue":"4","journalAbbreviation":"PLoS Negl Trop Dis","language":"eng","note":"PMID: 37079637\nPMCID: PMC10153724","page":"e0010384","source":"PubMed","title":"Clinical characterization and placental pathology of mpox infection in hospitalized patients in the Democratic Republic of the Congo","volume":"17","author":[{"family":"Pittman","given":"Phillip R."},{"family":"Martin","given":"James W."},{"family":"Kingebeni","given":"Placide Mbala"},{"family":"Tamfum","given":"Jean-Jacques Muyembe"},{"family":"Mwema","given":"Gaston"},{"family":"Wan","given":"Qingwen"},{"family":"Ewala","given":"Pierre"},{"family":"Alonga","given":"Jules"},{"family":"Bilulu","given":"Guy"},{"family":"Reynolds","given":"Mary G."},{"family":"Quinn","given":"Xiaofei"},{"family":"Norris","given":"Sarah"},{"family":"Townsend","given":"Michael B."},{"family":"Satheshkumar","given":"Panayampalli S."},{"family":"Wadding","given":"James"},{"family":"Soltis","given":"Bryony"},{"family":"Honko","given":"Anna"},{"family":"Güereña","given":"Fernando B."},{"family":"Korman","given":"Lawrence"},{"family":"Patterson","given":"Kerry"},{"family":"Schwartz","given":"David A."},{"family":"Huggins","given":"John W."},{"literal":"Kole Human Mpox Infection Study Group"}],"issued":{"date-parts":[["2023",4]]}}},{"id":176,"uris":["http://zotero.org/users/local/eE57gvz8/items/MVHYFJ8K"],"itemData":{"id":176,"type":"article-journal","abstract":"Abstract\n            \n              Objective\n              To analyse the transmission dynamics of the monkeypox outbreak in the UK, declared a Public Health Emergency of International Concern in July 2022.\n            \n            \n              Design\n              Contact tracing study, linking data on case-contact pairs and on probable exposure dates.\n            \n            \n              Setting\n              Case questionnaires from the UK Health Security Agency (UKHSA), United Kingdom.\n            \n            \n              Participants\n              2746 people with polymerase chain reaction confirmed monkeypox virus in the UK between 6 May and 1 August 2022.\n            \n            \n              Main outcome measures\n              The incubation period and serial interval of a monkeypox infection using two bayesian time delay models—one corrected for interval censoring (ICC—interval censoring corrected) and one corrected for interval censoring, right truncation, and epidemic phase bias (ICRTC—interval censoring right truncation corrected). Growth rates of cases by reporting date, when monkeypox virus was confirmed and reported to UKHSA, were estimated using generalised additive models.\n            \n            \n              Results\n              The mean age of participants was 37.8 years and 95% reported being gay, bisexual, and other men who have sex with men (1160 out of 1213 reporting). The mean incubation period was estimated to be 7.6 days (95% credible interval 6.5 to 9.9) using the ICC model and 7.8 days (6.6 to 9.2) using the ICRTC model. The estimated mean serial interval was 8.0 days (95% credible interval 6.5 to 9.8) using the ICC model and 9.5 days (7.4 to 12.3) using the ICRTC model. Although the mean serial interval was longer than the incubation period for both models, short serial intervals were more common than short incubation periods, with the 25th centile and the median of the serial interval shorter than the incubation period. For the ICC and ICRTC models, the corresponding estimates ranged from 1.8 days (95% credible interval 1.5 to 1.8) to 1.6 days (1.4 to 1.6) shorter at the 25th centile and 1.6 days (1.5 to 1.7) to 0.8 days (0.3 to 1.2) shorter at the median. 10 out of 13 linked patients had documented pre-symptomatic transmission. Doubling times of cases declined from 9.07 days (95% confidence interval 12.63 to 7.08) on the 6 May, when the first case of monkeypox was reported in the UK, to a halving time of 29 days (95% confidence interval 38.02 to 23.44) on 1 August.\n            \n            \n              Conclusions\n              Analysis of the instantaneous growth rate of monkeypox incidence indicates that the epidemic peaked in the UK as of 9 July and then started to decline. Short serial intervals were more common than short incubation periods suggesting considerable pre-symptomatic transmission, which was validated through linked patient level records. For patients who could be linked through personally identifiable data, four days was the maximum time that transmission was detected before symptoms manifested. An isolation period of 16 to 23 days would be required to detect 95% of people with a potential infection. The 95th centile of the serial interval was between 23 and 41 days, suggesting long infectious periods.","container-title":"BMJ","DOI":"10.1136/bmj-2022-073153","ISSN":"1756-1833","journalAbbreviation":"BMJ","language":"en","page":"e073153","source":"DOI.org (Crossref)","title":"Transmission dynamics of monkeypox in the United Kingdom: contact tracing study","title-short":"Transmission dynamics of monkeypox in the United Kingdom","author":[{"family":"Ward","given":"Thomas"},{"family":"Christie","given":"Rachel"},{"family":"Paton","given":"Robert S"},{"family":"Cumming","given":"Fergus"},{"family":"Overton","given":"Christopher E"}],"issued":{"date-parts":[["2022",11,2]]}}},{"id":178,"uris":["http://zotero.org/users/local/eE57gvz8/items/36MKUH6Q"],"itemData":{"id":178,"type":"article-journal","abstract":"Mpox has spread rapidly to many countries in nonendemic regions. After reviewing detailed exposure histories of 109 pairs of mpox cases in the Netherlands, we identified 34 pairs where transmission was likely and the infectee reported a single potential infector with a mean serial interval of 10.1 days (95% credible interval, 6.6-14.7 days). Further investigation into pairs from 1 regional public health service revealed that presymptomatic transmission may have occurred in 5 of 18 pairs. These findings emphasize that precaution remains key, regardless of the presence of recognizable symptoms of mpox.","container-title":"The Journal of Infectious Diseases","DOI":"10.1093/infdis/jiad091","ISSN":"1537-6613","issue":"3","journalAbbreviation":"J Infect Dis","language":"eng","note":"PMID: 37014716\nPMCID: PMC10938196","page":"800-804","source":"PubMed","title":"Time Scales of Human Mpox Transmission in The Netherlands","volume":"229","author":[{"family":"Miura","given":"Fuminari"},{"family":"Backer","given":"Jantien A."},{"family":"Rijckevorsel","given":"Gini","non-dropping-particle":"van"},{"family":"Bavalia","given":"Roisin"},{"family":"Raven","given":"Stijn"},{"family":"Petrignani","given":"Mariska"},{"family":"Ainslie","given":"Kylie E. C."},{"family":"Wallinga","given":"Jacco"},{"literal":"Dutch Mpox Response Team"}],"issued":{"date-parts":[["2024",3,14]]}}},{"id":117,"uris":["http://zotero.org/users/local/eE57gvz8/items/9FYRIA88"],"itemData":{"id":117,"type":"article-journal","abstract":"The risk of infection after exposure to clade IIb mpox virus (MPXV) is unknown, and potential presymptomatic shedding of MPXV remains to be demonstrated. High-risk contacts of mpox patients were followed-up in a prospective longitudinal cohort study. Individuals reporting sexual contact, &gt;15 min skin-to-skin contact, or living in the same household with an mpox patient were recruited in a sexual health clinic in Antwerp, Belgium. Participants kept a symptom diary, performed daily self-sampling (anorectal, genital, and saliva), and presented for weekly clinic visits for physical examination and sampling (blood and oropharyngeal). Samples were tested for MPXV by PCR. Between June 24 and July 31, 2022, 25 contacts were included, of which 12/18 (66.0%) sexual and 1/7 (14.0%) nonsexual contacts showed evidence of infection by MPXV-PCR. Six cases had typical mpox symptoms. Viral DNA was detected as early as 4 days before symptom onset in 5 of them. In 3 of these cases, replication-competent virus was demonstrated in the presymptomatic phase. These findings confirm the existence of presymptomatic shedding of replication-competent MPXV and emphasize the high risk of transmission during sexual contact. Sexual contacts of mpox cases should abstain from sex during the incubation period, irrespective of symptoms.","container-title":"Journal of Medical Virology","DOI":"10.1002/jmv.28769","ISSN":"1096-9071","issue":"5","journalAbbreviation":"J Med Virol","language":"eng","note":"PMID: 37212312","page":"e28769","source":"PubMed","title":"Presymptomatic viral shedding in high-risk mpox contacts: A prospective cohort study","title-short":"Presymptomatic viral shedding in high-risk mpox contacts","volume":"95","author":[{"family":"Brosius","given":"Isabel"},{"family":"Van Dijck","given":"Christophe"},{"family":"Coppens","given":"Jasmine"},{"family":"Vandenhove","given":"Leen"},{"family":"Bangwen","given":"Eugene"},{"family":"Vanroye","given":"Fien"},{"family":"Verschueren","given":"Jacob"},{"literal":"ITM MPOX Study Group"},{"family":"Zange","given":"Sabine"},{"family":"Bugert","given":"Joachim"},{"family":"Michiels","given":"Johan"},{"family":"Bottieau","given":"Emmanuel"},{"family":"Soentjens","given":"Patrick"},{"family":"Griensven","given":"Johan","non-dropping-particle":"van"},{"family":"Kenyon","given":"Chris"},{"family":"Ariën","given":"Kevin K."},{"family":"Van Esbroeck","given":"Marjan"},{"family":"Vercauteren","given":"Koen"},{"family":"Liesenborghs","given":"Laurens"}],"issued":{"date-parts":[["2023",5]]}}}],"schema":"https://github.com/citation-style-language/schema/raw/master/csl-citation.json"} </w:instrText>
      </w:r>
      <w:r>
        <w:fldChar w:fldCharType="separate"/>
      </w:r>
      <w:r w:rsidRPr="00AD5F7C">
        <w:t>(26,57–60)</w:t>
      </w:r>
      <w:r>
        <w:fldChar w:fldCharType="end"/>
      </w:r>
      <w:r>
        <w:t>.</w:t>
      </w:r>
    </w:p>
    <w:p w14:paraId="35A93797" w14:textId="77777777" w:rsidR="00580F18" w:rsidRPr="00B06562" w:rsidRDefault="00580F18" w:rsidP="00B06562">
      <w:pPr>
        <w:pStyle w:val="BodyText"/>
      </w:pPr>
      <w:r w:rsidRPr="00B06562">
        <w:t>Contact tracing is generally recommended from symptom onset. However, PHUs may consider undertaking contact tracing for up to 4 days pre-symptom onset for:</w:t>
      </w:r>
    </w:p>
    <w:p w14:paraId="37C67DA3" w14:textId="77777777" w:rsidR="00580F18" w:rsidRDefault="00580F18" w:rsidP="00580F18">
      <w:pPr>
        <w:pStyle w:val="ListBullet"/>
      </w:pPr>
      <w:r w:rsidRPr="00721817">
        <w:t xml:space="preserve">exposures in highly susceptible populations (e.g. exposure on an oncology ward) </w:t>
      </w:r>
    </w:p>
    <w:p w14:paraId="54CEB1A0" w14:textId="77777777" w:rsidR="00580F18" w:rsidRPr="00721817" w:rsidRDefault="00580F18" w:rsidP="00580F18">
      <w:pPr>
        <w:pStyle w:val="ListBullet"/>
      </w:pPr>
      <w:r w:rsidRPr="4734D323">
        <w:t>sexual contacts (due to the potential for unrecognised anorectal or genital lesions</w:t>
      </w:r>
      <w:r>
        <w:t xml:space="preserve"> [internal or external]</w:t>
      </w:r>
      <w:r w:rsidRPr="4734D323">
        <w:t xml:space="preserve"> and absent prodromal symptoms).</w:t>
      </w:r>
    </w:p>
    <w:p w14:paraId="1881380B" w14:textId="77777777" w:rsidR="00580F18" w:rsidRDefault="00580F18" w:rsidP="00580F18">
      <w:pPr>
        <w:pStyle w:val="BodyText"/>
      </w:pPr>
      <w:r>
        <w:t>Symptomatic c</w:t>
      </w:r>
      <w:r w:rsidRPr="1CE0B292">
        <w:t>ases</w:t>
      </w:r>
      <w:r w:rsidRPr="23CC9C65">
        <w:t xml:space="preserve"> </w:t>
      </w:r>
      <w:r>
        <w:t>without</w:t>
      </w:r>
      <w:r w:rsidRPr="24572324">
        <w:t xml:space="preserve"> visible lesions </w:t>
      </w:r>
      <w:r w:rsidRPr="0E6A2EB8">
        <w:t xml:space="preserve">should </w:t>
      </w:r>
      <w:r w:rsidRPr="5DD0AFFD">
        <w:t xml:space="preserve">be </w:t>
      </w:r>
      <w:r w:rsidRPr="0E6A2EB8">
        <w:t xml:space="preserve">considered </w:t>
      </w:r>
      <w:r w:rsidRPr="57367EC4">
        <w:t xml:space="preserve">infectious </w:t>
      </w:r>
      <w:r>
        <w:t>until complete resolution of all symptoms, or after</w:t>
      </w:r>
      <w:r w:rsidRPr="5FB9B796">
        <w:t xml:space="preserve"> 21 days </w:t>
      </w:r>
      <w:r>
        <w:t>post symptom onset, whichever is longer</w:t>
      </w:r>
      <w:r w:rsidRPr="24572324">
        <w:t>.</w:t>
      </w:r>
      <w:r>
        <w:t xml:space="preserve"> See </w:t>
      </w:r>
      <w:hyperlink w:anchor="_Guidance_for_cases" w:history="1">
        <w:r w:rsidRPr="00917AC5">
          <w:rPr>
            <w:rStyle w:val="Hyperlink"/>
          </w:rPr>
          <w:t>Guidance for cases without visible skin lesions</w:t>
        </w:r>
      </w:hyperlink>
      <w:r>
        <w:t>.</w:t>
      </w:r>
    </w:p>
    <w:p w14:paraId="2FE58349" w14:textId="345819A2" w:rsidR="00BE26A7" w:rsidRPr="00BE26A7" w:rsidRDefault="00580F18" w:rsidP="00BE26A7">
      <w:pPr>
        <w:pStyle w:val="BodyText"/>
      </w:pPr>
      <w:r>
        <w:lastRenderedPageBreak/>
        <w:t xml:space="preserve">Asymptomatic cases should be considered infectious for 21 days after a positive test. See </w:t>
      </w:r>
      <w:hyperlink w:anchor="_Guidance_for_asymptomatic" w:history="1">
        <w:r w:rsidRPr="00917AC5">
          <w:rPr>
            <w:rStyle w:val="Hyperlink"/>
          </w:rPr>
          <w:t>Guidance for asymptomatic cases</w:t>
        </w:r>
      </w:hyperlink>
      <w:r w:rsidRPr="7701FEE9">
        <w:t>.</w:t>
      </w:r>
      <w:r>
        <w:t xml:space="preserve"> </w:t>
      </w:r>
    </w:p>
    <w:p w14:paraId="562081B4" w14:textId="77777777" w:rsidR="00AD6802" w:rsidRDefault="00AD6802" w:rsidP="00AD6802">
      <w:pPr>
        <w:pStyle w:val="Heading2"/>
      </w:pPr>
      <w:bookmarkStart w:id="37" w:name="_Toc230260158"/>
      <w:bookmarkStart w:id="38" w:name="_Toc232174944"/>
      <w:bookmarkStart w:id="39" w:name="_Toc232181742"/>
      <w:r>
        <w:t>Clinical condition</w:t>
      </w:r>
      <w:bookmarkEnd w:id="37"/>
      <w:bookmarkEnd w:id="38"/>
      <w:bookmarkEnd w:id="39"/>
    </w:p>
    <w:p w14:paraId="381CBA92" w14:textId="77777777" w:rsidR="00AD6802" w:rsidRPr="00917AC5" w:rsidRDefault="00AD6802" w:rsidP="00917AC5">
      <w:pPr>
        <w:pStyle w:val="Heading3"/>
      </w:pPr>
      <w:bookmarkStart w:id="40" w:name="_Toc230260159"/>
      <w:r w:rsidRPr="00917AC5">
        <w:t>Clinical features</w:t>
      </w:r>
      <w:bookmarkEnd w:id="40"/>
    </w:p>
    <w:p w14:paraId="38857A2C" w14:textId="77777777" w:rsidR="007D6E7B" w:rsidRPr="00A02ABC" w:rsidRDefault="007D6E7B" w:rsidP="007D6E7B">
      <w:pPr>
        <w:pStyle w:val="BodyText"/>
      </w:pPr>
      <w:r w:rsidRPr="00A02ABC">
        <w:t xml:space="preserve">Mpox is usually a self-limiting disease with symptoms lasting 2 to 4 weeks. </w:t>
      </w:r>
    </w:p>
    <w:p w14:paraId="73ACC7B8" w14:textId="77777777" w:rsidR="007D6E7B" w:rsidRPr="00A02ABC" w:rsidRDefault="007D6E7B" w:rsidP="007D6E7B">
      <w:pPr>
        <w:pStyle w:val="BodyText"/>
      </w:pPr>
      <w:r w:rsidRPr="00A02ABC">
        <w:t>The illness may have a prodromal period lasting 1 to 5 days</w:t>
      </w:r>
      <w:r>
        <w:t>,</w:t>
      </w:r>
      <w:r w:rsidRPr="00A02ABC">
        <w:t xml:space="preserve"> characterised by lymphadenopathy, fever (≥38</w:t>
      </w:r>
      <w:r>
        <w:t> </w:t>
      </w:r>
      <w:r w:rsidRPr="00A02ABC">
        <w:t>°C) or history of fever, headache, myalgia, arthralgia, back pain</w:t>
      </w:r>
      <w:r w:rsidRPr="19123E43">
        <w:t>,</w:t>
      </w:r>
      <w:r w:rsidRPr="00A02ABC">
        <w:t xml:space="preserve"> and sore throat. Not all cases report prodromal symptoms </w:t>
      </w:r>
      <w:r>
        <w:fldChar w:fldCharType="begin"/>
      </w:r>
      <w:r>
        <w:instrText xml:space="preserve"> ADDIN ZOTERO_ITEM CSL_CITATION {"citationID":"GBYD9Xz1","properties":{"formattedCitation":"(18,61)","plainCitation":"(18,61)","noteIndex":0},"citationItems":[{"id":65,"uris":["http://zotero.org/users/local/eE57gvz8/items/2JBJBS38"],"itemData":{"id":65,"type":"article-journal","abstract":"PURPOSE: The worldwide mpox outbreak starting in May 2022 marks the occurrence of another previously atypical infectious disease in Europe. This study's objective was to present a comprehensive overview based on the gathered data and to illustrate the approach of the Cologne Health Department to contain the mpox outbreak.\nMETHODS: In this retrospective observational study, 368 individuals reported to the Cologne Health Department as PCR-positive for mpox were included. Data were collected in structured telephone interviews and digitally processed.\nRESULTS: The first mpox case in Cologne was recorded on May 24, 2022. The local outbreak lasted approximately 4 months and reached its peak in July. The last reported case in Cologne occurred on September 17. Transmissions mostly occurred through sexual contacts (67.4%) or other close physical contacts (4.6%) between men, but also through fomites, in the context of events or occasionally in the work environment. In 21.5% of cases, no route of infection could be determined. The mean incubation period was 8.2 days. Clinically, mpox infections usually presented with skin and/or mucosal lesions accompanied by general symptoms. In 74.8% of cases, a prodromal stage was absent. Initially, the rash often had an unspecific appearance, but in the further clinical course, it usually passed through the typical stages. Most infections resolved spontaneously under home care. In 3.5% of cases, however, inpatient hospitalisation was required. Infected persons with a previous smallpox vaccination had 0.43 times the odds of unvaccinated persons to be affected by lesions in 3 or more body regions and 0.30 times the odds to develop lesions in all 5 body regions. Previous vaccination statistically reduced the total duration of symptoms by 2.0 days.\nCONCLUSIONS: The mpox outbreak 2022 in Cologne primarily affected men who have sex with men and have reported recent sexual encounters. The observed average incubation period was shorter than initially assumed. Mucosal involvement and associated symptoms occur in a relevant number of cases and can lead to more severe clinical courses. Previous smallpox vaccination was statistically significantly associated with milder courses of mpox. In the case of an unclear rash or symptoms suggesting mucosal involvement, mpox should be considered as a differential diagnosis. An equally rapid and well-orchestrated public health response are crucial for infection control.","container-title":"Infection","DOI":"10.1007/s15010-023-01997-x","ISSN":"1439-0973","issue":"5","journalAbbreviation":"Infection","language":"eng","note":"PMID: 36787016\nPMCID: PMC9926425","page":"1369-1381","source":"PubMed","title":"Mpox outbreak 2022: an overview of all cases reported to the Cologne Health Department","title-short":"Mpox outbreak 2022","volume":"51","author":[{"family":"Kröger","given":"Sophia Toya"},{"family":"Lehmann","given":"Max Christian"},{"family":"Treutlein","given":"Melanie"},{"family":"Fiethe","given":"Achim"},{"family":"Kossow","given":"Annelene"},{"family":"Küfer-Weiß","given":"Annika"},{"family":"Nießen","given":"Johannes"},{"family":"Grüne","given":"Barbara"}],"issued":{"date-parts":[["2023",10]]}}},{"id":126,"uris":["http://zotero.org/users/local/eE57gvz8/items/Q7W6DGW8"],"itemData":{"id":126,"type":"webpage","title":"Monkeypox: information for primary care","URL":"https://assets.publishing.service.gov.uk/government/uploads/system/uploads/attachment_data/file/850059/Monkeypox_information_for_primary_care.pdf","author":[{"family":"Public Health England","given":""}]}}],"schema":"https://github.com/citation-style-language/schema/raw/master/csl-citation.json"} </w:instrText>
      </w:r>
      <w:r>
        <w:fldChar w:fldCharType="separate"/>
      </w:r>
      <w:r w:rsidRPr="00B06562">
        <w:t>(18,61)</w:t>
      </w:r>
      <w:r>
        <w:fldChar w:fldCharType="end"/>
      </w:r>
      <w:r w:rsidRPr="00A02ABC">
        <w:t>.</w:t>
      </w:r>
    </w:p>
    <w:p w14:paraId="4676C099" w14:textId="77777777" w:rsidR="007D6E7B" w:rsidRPr="00A02ABC" w:rsidRDefault="007D6E7B" w:rsidP="007D6E7B">
      <w:pPr>
        <w:pStyle w:val="BodyText"/>
      </w:pPr>
      <w:r w:rsidRPr="00A02ABC">
        <w:t>A maculopapular rash is typical of mpox and may develop 1 to 5 days after the onset of fever. The rash may be generalised or localised, discrete</w:t>
      </w:r>
      <w:r>
        <w:t>,</w:t>
      </w:r>
      <w:r w:rsidRPr="00A02ABC">
        <w:t xml:space="preserve"> or confluent. It is classically described as centrifugal, more concentrated on the face and extremities than the trunk. Skin lesions often present first as macules (lesions with a flat base), which progress to papules (slightly raised firm lesions), vesicles (lesions filled with clear fluid)</w:t>
      </w:r>
      <w:r>
        <w:t>,</w:t>
      </w:r>
      <w:r w:rsidRPr="00A02ABC">
        <w:t xml:space="preserve"> and pustules (lesions filled with yellowish fluid). Crusted scabbing usually begins 14 to 21 days after rash onset. Scabs then fall off, leaving dyspigmented scars </w:t>
      </w:r>
      <w:r>
        <w:fldChar w:fldCharType="begin"/>
      </w:r>
      <w:r>
        <w:instrText xml:space="preserve"> ADDIN ZOTERO_ITEM CSL_CITATION {"citationID":"hVdRgaEV","properties":{"formattedCitation":"(62)","plainCitation":"(62)","noteIndex":0},"citationItems":[{"id":127,"uris":["http://zotero.org/users/local/eE57gvz8/items/KK587ADQ"],"itemData":{"id":127,"type":"article-journal","abstract":"Human monkeypox is a rare viral zoonosis endemic to central and western Africa that has recently emerged in the USA. Laboratory diagnosis is important because the virus can cause disease that is clinically indistinguishable from other pox-like illnesses, particularly smallpox and chickenpox. Although the natural animal reservoir of the monkeypox virus is unknown, rodents are the probable source of its introduction into the USA. A clear understanding of the virulence and transmissibility of human monkeypox has been limited by inconsistencies in epidemiological investigations. Monkeypox is the most important orthopoxvirus infection in human beings since the eradication of smallpox in the 1970s. There is currently no proven treatment for human monkeypox, and questions about its potential as an agent of bioterrorism persist.","container-title":"The Lancet. Infectious Diseases","DOI":"10.1016/s1473-3099(03)00856-9","ISSN":"1473-3099","issue":"1","journalAbbreviation":"Lancet Infect Dis","language":"eng","note":"PMID: 14720564\nPMCID: PMC9628772","page":"15-25","source":"PubMed","title":"Human monkeypox: an emerging zoonosis","title-short":"Human monkeypox","volume":"4","author":[{"family":"Di Giulio","given":"Daniel B."},{"family":"Eckburg","given":"Paul B."}],"issued":{"date-parts":[["2004",1]]}}}],"schema":"https://github.com/citation-style-language/schema/raw/master/csl-citation.json"} </w:instrText>
      </w:r>
      <w:r>
        <w:fldChar w:fldCharType="separate"/>
      </w:r>
      <w:r w:rsidRPr="00B06562">
        <w:t>(62)</w:t>
      </w:r>
      <w:r>
        <w:fldChar w:fldCharType="end"/>
      </w:r>
      <w:r w:rsidRPr="00A02ABC">
        <w:t xml:space="preserve">. </w:t>
      </w:r>
    </w:p>
    <w:p w14:paraId="54C79701" w14:textId="77777777" w:rsidR="007D6E7B" w:rsidRPr="00A02ABC" w:rsidRDefault="007D6E7B" w:rsidP="007D6E7B">
      <w:pPr>
        <w:pStyle w:val="BodyText"/>
      </w:pPr>
      <w:r w:rsidRPr="4734D323">
        <w:t xml:space="preserve">Many cases associated with the global clade IIb outbreak have not presented with the classically described clinical picture for mpox </w:t>
      </w:r>
      <w:r>
        <w:t>outlined</w:t>
      </w:r>
      <w:r w:rsidRPr="4734D323">
        <w:t xml:space="preserve"> above </w:t>
      </w:r>
      <w:r w:rsidRPr="4734D323">
        <w:fldChar w:fldCharType="begin"/>
      </w:r>
      <w:r>
        <w:instrText xml:space="preserve"> ADDIN ZOTERO_ITEM CSL_CITATION {"citationID":"P55fASFV","properties":{"formattedCitation":"(42,63)","plainCitation":"(42,63)","noteIndex":0},"citationItems":[{"id":97,"uris":["http://zotero.org/users/local/eE57gvz8/items/YCYEB6JN"],"itemData":{"id":97,"type":"webpage","title":"Multi-country monkeypox outbreak: situation update","URL":"https://www.who.int/emergencies/disease-outbreak-news/item/2022-DON396","author":[{"family":"World Health Organization","given":""}],"issued":{"date-parts":[["2022",6,27]]}}},{"id":131,"uris":["http://zotero.org/users/local/eE57gvz8/items/HN6BITER"],"itemData":{"id":131,"type":"article-journal","abstract":"On 23 July 2022, the World Health Organization declared the global mpox outbreak as a public health emergency of international significance. The mpox virus (MPXV) that caused the outbreak was classified as clade IIb, which belongs to the West African clade. However, the relationship between MPXV clades and symptoms, as well as the severity of mpox outcomes, is not fully understood. Thus, we aimed to investigate the global mpox prevalence and the differences in clinical manifestations and outcomes among patients with mpox between pre-outbreak (2003-2021) and the current mpox outbreak. In this systematic review and meta-analysis, PubMed/MEDLINE, Web of Science, Embase, Cumulative Index to Nursing and Allied Health Literature, and Google Scholar were searched using the keyword \"monkeypox\" and \"mpox\" up to 13 October 2022. A random effects model was used to obtain the pooled prevalence and 95% confidence intervals. This study included 27 articles, and 5698 patients with mpox with 19 distinctive features from 19 countries across five continents were assessed. Patients with mpox during the 2022 mpox outbreak showed mild clinical manifestations and outcomes compared with those before the 2022 mpox outbreak: mild rash (relative ratio [RR]: 5.09, 95% confidence interval [CI]: 1.52-17.08), fever (0.68, 0.49-0.94), pruritus (0.25, 0.19-0.32), myalgia (0.50, 0.31-0.81), headache (0.56, 0.35-0.88), skin ulcer (0.32, 0.17-0.59), abdominal symptom (0.29, 0.20-0.42), pharyngitis (0.32, 0.18-0.58), nausea or vomiting (0.15, 0.02-0.93), conjunctivitis (0.11, 0.03-0.38), concomitant infection with HIV (1.70, 0.95-3 0.04), and death (0.02, 0.001-0.31). MPXV clade IIb exhibited higher infectivity but may cause mild disease symptoms and low mortality rate. It is important to consider MPXV infection in patients with mpox-related features and/or a history of sexual transmission to prevent the spread of the disease and recognise the current pandemic threat.","container-title":"Reviews in Medical Virology","DOI":"10.1002/rmv.2508","ISSN":"1099-1654","issue":"1","journalAbbreviation":"Rev Med Virol","language":"eng","note":"PMID: 38282393","page":"e2508","source":"PubMed","title":"Clinical characteristics and outcomes of patients with mpox during the 2022 mpox outbreak compared with those before the outbreak: A systematic review and meta-analysis","title-short":"Clinical characteristics and outcomes of patients with mpox during the 2022 mpox outbreak compared with those before the outbreak","volume":"34","author":[{"family":"Cho","given":"Wonyoung"},{"family":"Park","given":"Sangil"},{"family":"Kim","given":"Hyeon Jin"},{"family":"Lee","given":"Myeongcheol"},{"family":"Choi","given":"Yong Sung"},{"family":"Yeo","given":"Seung Geun"},{"family":"Lee","given":"Jinseok"},{"family":"Koyanagi","given":"Ai"},{"family":"Jacob","given":"Louis"},{"family":"Smith","given":"Lee"},{"family":"Rahmati","given":"Masoud"},{"family":"Ahmad","given":"Suhana"},{"family":"Fond","given":"Guillaume"},{"family":"Boyer","given":"Laurent"},{"family":"Rhee","given":"Sang Youl"},{"family":"Lee","given":"Seung Won"},{"family":"Shin","given":"Jae Il"},{"family":"Woo","given":"Ho Geol"},{"family":"Yon","given":"Dong Keon"}],"issued":{"date-parts":[["2024",1]]}}}],"schema":"https://github.com/citation-style-language/schema/raw/master/csl-citation.json"} </w:instrText>
      </w:r>
      <w:r w:rsidRPr="4734D323">
        <w:fldChar w:fldCharType="separate"/>
      </w:r>
      <w:r w:rsidRPr="00B06562">
        <w:t>(42,63)</w:t>
      </w:r>
      <w:r w:rsidRPr="4734D323">
        <w:fldChar w:fldCharType="end"/>
      </w:r>
      <w:r w:rsidRPr="4734D323">
        <w:t>. This relates to the mode of transmission predominantly being via sexual contact and attenuated illness among those vaccinated against mpox. Differing presentations have included</w:t>
      </w:r>
      <w:r>
        <w:t xml:space="preserve"> the following</w:t>
      </w:r>
      <w:r w:rsidRPr="4734D323">
        <w:t>:</w:t>
      </w:r>
    </w:p>
    <w:p w14:paraId="07F8F103" w14:textId="77777777" w:rsidR="007D6E7B" w:rsidRPr="005420E9" w:rsidRDefault="007D6E7B" w:rsidP="007D6E7B">
      <w:pPr>
        <w:pStyle w:val="ListBullet"/>
      </w:pPr>
      <w:r w:rsidRPr="7A1677BC">
        <w:t>Rash in 95% of cases (with 64% having ≤10 lesions)</w:t>
      </w:r>
      <w:r w:rsidRPr="00DD133D">
        <w:t xml:space="preserve"> </w:t>
      </w:r>
      <w:r w:rsidRPr="7A1677BC">
        <w:fldChar w:fldCharType="begin"/>
      </w:r>
      <w:r w:rsidRPr="7A1677BC">
        <w:instrText xml:space="preserve"> ADDIN ZOTERO_ITEM CSL_CITATION {"citationID":"IVZfRZwt","properties":{"formattedCitation":"(13)","plainCitation":"(13)","noteIndex":0},"citationItems":[{"id":11,"uris":["http://zotero.org/users/local/eE57gvz8/items/TSNXHYMD"],"itemData":{"id":11,"type":"article-journal","abstract":"BACKGROUND: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rsidRPr="7A1677BC">
        <w:fldChar w:fldCharType="separate"/>
      </w:r>
      <w:r w:rsidRPr="00B06562">
        <w:t>(13)</w:t>
      </w:r>
      <w:r w:rsidRPr="7A1677BC">
        <w:fldChar w:fldCharType="end"/>
      </w:r>
      <w:r w:rsidRPr="7A1677BC">
        <w:t>.</w:t>
      </w:r>
    </w:p>
    <w:p w14:paraId="7442A5ED" w14:textId="77777777" w:rsidR="007D6E7B" w:rsidRPr="005420E9" w:rsidRDefault="007D6E7B" w:rsidP="007D6E7B">
      <w:pPr>
        <w:pStyle w:val="ListBullet"/>
      </w:pPr>
      <w:r>
        <w:t>L</w:t>
      </w:r>
      <w:r w:rsidRPr="005420E9">
        <w:t>esions</w:t>
      </w:r>
      <w:r>
        <w:t xml:space="preserve"> which</w:t>
      </w:r>
      <w:r w:rsidRPr="005420E9">
        <w:t xml:space="preserve"> appeared in the genital or perianal area and </w:t>
      </w:r>
      <w:r>
        <w:t>did</w:t>
      </w:r>
      <w:r w:rsidRPr="005420E9">
        <w:t xml:space="preserve"> not spread further (68% of cases with mucosal lesions) </w:t>
      </w:r>
      <w:r>
        <w:fldChar w:fldCharType="begin"/>
      </w:r>
      <w:r>
        <w:instrText xml:space="preserve"> ADDIN ZOTERO_ITEM CSL_CITATION {"citationID":"EbwFmwsb","properties":{"formattedCitation":"(13)","plainCitation":"(13)","noteIndex":0},"citationItems":[{"id":11,"uris":["http://zotero.org/users/local/eE57gvz8/items/TSNXHYMD"],"itemData":{"id":11,"type":"article-journal","abstract":"BACKGROUND: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fldChar w:fldCharType="separate"/>
      </w:r>
      <w:r w:rsidRPr="00B06562">
        <w:t>(13)</w:t>
      </w:r>
      <w:r>
        <w:fldChar w:fldCharType="end"/>
      </w:r>
      <w:r w:rsidRPr="005420E9">
        <w:t xml:space="preserve">. </w:t>
      </w:r>
    </w:p>
    <w:p w14:paraId="3BE46AE3" w14:textId="77777777" w:rsidR="007D6E7B" w:rsidRPr="005420E9" w:rsidRDefault="007D6E7B" w:rsidP="007D6E7B">
      <w:pPr>
        <w:pStyle w:val="ListBullet"/>
      </w:pPr>
      <w:r w:rsidRPr="7A1677BC">
        <w:t>Absence of visible skin lesions in 5% of cases</w:t>
      </w:r>
      <w:r>
        <w:t xml:space="preserve"> (Latham et al., 2025)</w:t>
      </w:r>
      <w:r w:rsidRPr="7A1677BC">
        <w:t xml:space="preserve">. People may present with proctitis, urethritis, </w:t>
      </w:r>
      <w:r>
        <w:t xml:space="preserve">vaginal or vulval pain, </w:t>
      </w:r>
      <w:r w:rsidRPr="7A1677BC">
        <w:t xml:space="preserve">rectal pain and/or rectal bleeding </w:t>
      </w:r>
      <w:r w:rsidRPr="7A1677BC">
        <w:fldChar w:fldCharType="begin"/>
      </w:r>
      <w:r w:rsidRPr="7A1677BC">
        <w:instrText xml:space="preserve"> ADDIN ZOTERO_ITEM CSL_CITATION {"citationID":"7AkbhHZH","properties":{"formattedCitation":"(13)","plainCitation":"(13)","noteIndex":0},"citationItems":[{"id":11,"uris":["http://zotero.org/users/local/eE57gvz8/items/TSNXHYMD"],"itemData":{"id":11,"type":"article-journal","abstract":"BACKGROUND: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rsidRPr="7A1677BC">
        <w:fldChar w:fldCharType="separate"/>
      </w:r>
      <w:r w:rsidRPr="00B06562">
        <w:t>(13)</w:t>
      </w:r>
      <w:r w:rsidRPr="7A1677BC">
        <w:fldChar w:fldCharType="end"/>
      </w:r>
      <w:r w:rsidRPr="7A1677BC">
        <w:t xml:space="preserve"> and tenesmus. Vomiting, diarrhoea, nausea and abdominal pain may also occur </w:t>
      </w:r>
      <w:r w:rsidRPr="7A1677BC">
        <w:fldChar w:fldCharType="begin"/>
      </w:r>
      <w:r w:rsidRPr="7A1677BC">
        <w:instrText xml:space="preserve"> ADDIN ZOTERO_ITEM CSL_CITATION {"citationID":"NmWlhOEe","properties":{"formattedCitation":"(65)","plainCitation":"(65)","noteIndex":0},"citationItems":[{"id":199,"uris":["http://zotero.org/users/local/eE57gvz8/items/8F8QUJYK"],"itemData":{"id":199,"type":"article-journal","abstract":"INTRODUCTION: Mpox is a viral infection caused by the monkeypox virus, a member of the Poxviridae family and Orthopoxvirus genus. Other well-known viruses of the Orthopoxvirus genus include the variola virus (smallpox), cowpox virus and vaccinia virus. Although there is a plethora of research regarding the dermatological and influenza-like symptoms of mpox, particularly following the 2022 mpox outbreak, more research is needed on the gastrointestinal (GI) effects.\nOBJECTIVES: This systematic review is to outline the GI manifestations of the monkeypox virus.\nMETHODS: The authors conducted this systematic review using guidelines outlined in the Preferred Reporting Items for Systematic Reviews and Meta-Analyses. A search was conducted through the PubMed, EMBASE and MEDLINE databases from January 1958 to June 2023. The authors selected English language papers that discussed the GI symptoms in mpox patients. A manual search was also conducted in the reference sections of these publications for other relevant papers.\nRESULTS: 33 papers involving 830 patients were selected for this review. The GI manifestations in mpox patients are proctitis, vomiting, diarrhoea, rectal pain, nausea, tenesmus, rectal bleeding and abdominal pain. Although various papers explored transmission routes, one paper established a direct connection between anal-receptive sex transmission route and the development of a GI complication (proctitis). Another study reported that the mode of transmission could potentially impact the occurrence of GI symptoms and severity of the disease. The reviewed papers did not discover a relation between the severity of dermatological and influenza-like symptoms and the GI manifestations mentioned.\nCONCLUSION: This systematic review confirms that GI manifestations are observed in mpox patients. GI symptoms of mpox are crucial for gastroenterologists and other healthcare professionals to recognise in order to address patient discomfort and further understand the pathophysiology of the virus.","container-title":"BMJ open gastroenterology","DOI":"10.1136/bmjgast-2023-001266","ISSN":"2054-4774","issue":"1","journalAbbreviation":"BMJ Open Gastroenterol","language":"eng","note":"PMID: 38184298\nPMCID: PMC10773419","page":"e001266","source":"PubMed","title":"Mpox gastrointestinal manifestations: a systematic review","title-short":"Mpox gastrointestinal manifestations","volume":"11","author":[{"family":"Ramakrishnan","given":"Rahul"},{"family":"Shenoy","given":"Atira"},{"family":"Madhavan","given":"Ranganathan"},{"family":"Meyer","given":"Damon"}],"issued":{"date-parts":[["2024",1,6]]}}}],"schema":"https://github.com/citation-style-language/schema/raw/master/csl-citation.json"} </w:instrText>
      </w:r>
      <w:r w:rsidRPr="7A1677BC">
        <w:fldChar w:fldCharType="separate"/>
      </w:r>
      <w:r w:rsidRPr="00B06562">
        <w:t>(65)</w:t>
      </w:r>
      <w:r w:rsidRPr="7A1677BC">
        <w:fldChar w:fldCharType="end"/>
      </w:r>
      <w:r w:rsidRPr="7A1677BC">
        <w:t>. Lesions may also appear in the oral cavity</w:t>
      </w:r>
      <w:r>
        <w:t>, or inside the vagina</w:t>
      </w:r>
      <w:r w:rsidRPr="7A1677BC">
        <w:t xml:space="preserve"> </w:t>
      </w:r>
      <w:r w:rsidRPr="7A1677BC">
        <w:fldChar w:fldCharType="begin"/>
      </w:r>
      <w:r w:rsidRPr="7A1677BC">
        <w:instrText xml:space="preserve"> ADDIN ZOTERO_ITEM CSL_CITATION {"citationID":"XuSwEi1n","properties":{"formattedCitation":"(66)","plainCitation":"(66)","noteIndex":0},"citationItems":[{"id":136,"uris":["http://zotero.org/users/local/eE57gvz8/items/6TMDENVR"],"itemData":{"id":136,"type":"article-journal","abstract":"OBJECTIVES: To describe the clinical features and location of oral lesions in patients with human monkeypox.\nMETHODS: A systematic scoping review was accomplished by implementing the Preferred Reporting Items for Systematic Reviews and Meta-analyses extension for scoping reviews. The analysis incorporated varied databases and the gray literature. Keywords were implemented to search publications in all languages until July 2022.\nRESULTS: The initial electronic exploration included 889 reports, of which 843 studies were eliminated. Reading the full text occasioned the omission of 27 additional investigations. Finally, 19 publications were included. These reports analyzed 1256 patients with monkeypox, mostly described in Europe. Most of them were men who have sex with men. The study population consisted mainly of adults but children were also infected. The oral lesions of monkeypox patients were observed in different parts of the oral mucosa, including lips and tongue, but mainly in the tonsils (15 cases). The oral lesions manifested as papules, vesicles, pustules, and ulcers. Erythema, edema, enanthema, and severe pain were also observed, accompanied by tonsillar enlargement. Sore throat was also reported. Monkeypox is accompanied by a significant number of systemic manifestations, mainly including multiple skin lesions throughout the body, as well as lymphadenopathy, fever, headache, myalgia, and fatigue, among others. The symptoms associated with monkeypox were managed with different antiretroviral and antimicrobial therapies and medications to control pain and fever principally. Seventeen deaths were informed.\nCONCLUSION: Most monkeypox-associated oral lesions are seen in different parts of the oral mucosa, mainly in the tonsils manifested as papules, vesicles, pustules, and ulcers.","container-title":"Journal of Oral Pathology &amp; Medicine: Official Publication of the International Association of Oral Pathologists and the American Academy of Oral Pathology","DOI":"10.1111/jop.13375","ISSN":"1600-0714","issue":"6","journalAbbreviation":"J Oral Pathol Med","language":"eng","note":"PMID: 36263594","page":"459-467","source":"PubMed","title":"Oral lesions in patients with human monkeypox: A systematic scoping review","title-short":"Oral lesions in patients with human monkeypox","volume":"52","author":[{"family":"Ardila","given":"Carlos M."},{"family":"Arrubla-Escobar","given":"Daniel Esteban"},{"family":"Vivares-Builes","given":"Annie Marcela"}],"issued":{"date-parts":[["2023",7]]}}}],"schema":"https://github.com/citation-style-language/schema/raw/master/csl-citation.json"} </w:instrText>
      </w:r>
      <w:r w:rsidRPr="7A1677BC">
        <w:fldChar w:fldCharType="separate"/>
      </w:r>
      <w:r w:rsidRPr="00B06562">
        <w:t>(66)</w:t>
      </w:r>
      <w:r w:rsidRPr="7A1677BC">
        <w:fldChar w:fldCharType="end"/>
      </w:r>
      <w:r>
        <w:t xml:space="preserve"> (</w:t>
      </w:r>
      <w:hyperlink r:id="rId15" w:history="1">
        <w:r w:rsidRPr="00917AC5">
          <w:rPr>
            <w:rStyle w:val="Hyperlink"/>
          </w:rPr>
          <w:t>new reference</w:t>
        </w:r>
      </w:hyperlink>
      <w:r>
        <w:t>)</w:t>
      </w:r>
      <w:r w:rsidRPr="7A1677BC">
        <w:t>.</w:t>
      </w:r>
    </w:p>
    <w:p w14:paraId="44E54E9F" w14:textId="77777777" w:rsidR="007D6E7B" w:rsidRDefault="007D6E7B" w:rsidP="007D6E7B">
      <w:pPr>
        <w:pStyle w:val="ListBullet"/>
      </w:pPr>
      <w:r w:rsidRPr="7A1677BC">
        <w:t xml:space="preserve">Rashes and lesions commonly appearing before the onset of fever, malaise and other constitutional symptoms (prodromal period) </w:t>
      </w:r>
      <w:r w:rsidRPr="7A1677BC">
        <w:fldChar w:fldCharType="begin"/>
      </w:r>
      <w:r w:rsidRPr="7A1677BC">
        <w:instrText xml:space="preserve"> ADDIN ZOTERO_ITEM CSL_CITATION {"citationID":"qRjpUVTd","properties":{"formattedCitation":"(13)","plainCitation":"(13)","noteIndex":0},"citationItems":[{"id":11,"uris":["http://zotero.org/users/local/eE57gvz8/items/TSNXHYMD"],"itemData":{"id":11,"type":"article-journal","abstract":"BACKGROUND: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rsidRPr="7A1677BC">
        <w:fldChar w:fldCharType="separate"/>
      </w:r>
      <w:r w:rsidRPr="00B06562">
        <w:t>(13)</w:t>
      </w:r>
      <w:r w:rsidRPr="7A1677BC">
        <w:fldChar w:fldCharType="end"/>
      </w:r>
      <w:r w:rsidRPr="7A1677BC">
        <w:t>.</w:t>
      </w:r>
    </w:p>
    <w:p w14:paraId="2C060088" w14:textId="77777777" w:rsidR="007D6E7B" w:rsidRDefault="007D6E7B" w:rsidP="007D6E7B">
      <w:pPr>
        <w:pStyle w:val="ListBullet"/>
      </w:pPr>
      <w:r w:rsidRPr="005E15C8">
        <w:t xml:space="preserve">Concomitant sexually transmitted infections were reported in 29% of mpox patients </w:t>
      </w:r>
      <w:r w:rsidRPr="005E15C8">
        <w:fldChar w:fldCharType="begin"/>
      </w:r>
      <w:r>
        <w:instrText xml:space="preserve"> ADDIN ZOTERO_ITEM CSL_CITATION {"citationID":"gwqQOu06","properties":{"formattedCitation":"(13)","plainCitation":"(13)","noteIndex":0},"citationItems":[{"id":11,"uris":["http://zotero.org/users/local/eE57gvz8/items/TSNXHYMD"],"itemData":{"id":11,"type":"article-journal","abstract":"BACKGROUND: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Group"}],"issued":{"date-parts":[["2022",8,25]]}}}],"schema":"https://github.com/citation-style-language/schema/raw/master/csl-citation.json"} </w:instrText>
      </w:r>
      <w:r w:rsidRPr="005E15C8">
        <w:fldChar w:fldCharType="separate"/>
      </w:r>
      <w:r w:rsidRPr="00B06562">
        <w:t>(13)</w:t>
      </w:r>
      <w:r w:rsidRPr="005E15C8">
        <w:fldChar w:fldCharType="end"/>
      </w:r>
      <w:r w:rsidRPr="005E15C8">
        <w:t>.</w:t>
      </w:r>
    </w:p>
    <w:p w14:paraId="7D4F21EB" w14:textId="77777777" w:rsidR="007D6E7B" w:rsidRPr="005420E9" w:rsidRDefault="007D6E7B" w:rsidP="007D6E7B">
      <w:pPr>
        <w:pStyle w:val="ListBullet"/>
      </w:pPr>
      <w:r w:rsidRPr="005420E9">
        <w:lastRenderedPageBreak/>
        <w:t xml:space="preserve">Lymphadenopathy, present in </w:t>
      </w:r>
      <w:r>
        <w:t>20-60</w:t>
      </w:r>
      <w:r w:rsidRPr="005420E9">
        <w:t xml:space="preserve">% of cases </w:t>
      </w:r>
      <w:r>
        <w:fldChar w:fldCharType="begin"/>
      </w:r>
      <w:r>
        <w:instrText xml:space="preserve"> ADDIN ZOTERO_ITEM CSL_CITATION {"citationID":"8BY3OhL6","properties":{"formattedCitation":"(8,13,64)","plainCitation":"(8,13,64)","noteIndex":0},"citationItems":[{"id":2,"uris":["http://zotero.org/users/local/eE57gvz8/items/IL3G54KI"],"itemData":{"id":2,"type":"webpage","title":"Global Mpox Trends","URL":"https://worldhealthorg.shinyapps.io/mpx_global/#key-figures","author":[{"family":"World Health Organization","given":""}]}},{"id":11,"uris":["http://zotero.org/users/local/eE57gvz8/items/TSNXHYMD"],"itemData":{"id":11,"type":"article-journal","abstract":"BACKGROUND: Before April 2022, monkeypox virus infection in humans was seldom reported outside African regions where it is endemic. Currently, cases are occurring worldwide. Transmission, risk factors, clinical presentation, and outcomes of infection are poorly defined.\nMETHODS: We formed an international collaborative group of clinicians who contributed to an international case series to describe the presentation, clinical course, and outcomes of polymerase-chain-reaction-confirmed monkeypox virus infections.\nRESULTS: We report 528 infections diagnosed between April 27 and June 24, 2022, at 43 sites in 16 countries. Overall, 98% of the persons with infection were gay or bisexual men, 75% were White, and 41% had human immunodeficiency virus infection; the median age was 38 years. Transmission was suspected to have occurred through sexual activity in 95% of the persons with infection. In this case series, 95% of the persons presented with a rash (with 64% having ≤10 lesions), 73% had anogenital lesions, and 41% had mucosal lesions (with 54 having a single genital lesion). Common systemic features preceding the rash included fever (62%), lethargy (41%), myalgia (31%), and headache (27%); lymphadenopathy was also common (reported in 56%). Concomitant sexually transmitted infections were reported in 109 of 377 persons (29%) who were tested. Among the 23 persons with a clear exposure history, the median incubation period was 7 days (range, 3 to 20). Monkeypox virus DNA was detected in 29 of the 32 persons in whom seminal fluid was analyzed. Antiviral treatment was given to 5% of the persons overall, and 70 (13%) were hospitalized; the reasons for hospitalization were pain management, mostly for severe anorectal pain (21 persons); soft-tissue superinfection (18); pharyngitis limiting oral intake (5); eye lesions (2); acute kidney injury (2); myocarditis (2); and infection-control purposes (13). No deaths were reported.\nCONCLUSIONS: In this case series, monkeypox manifested with a variety of dermatologic and systemic clinical findings. The simultaneous identification of cases outside areas where monkeypox has traditionally been endemic highlights the need for rapid identification and diagnosis of cases to contain further community spread.","container-title":"The New England Journal of Medicine","DOI":"10.1056/NEJMoa2207323","ISSN":"1533-4406","issue":"8","journalAbbreviation":"N Engl J Med","language":"eng","note":"PMID: 35866746","page":"679-691","source":"PubMed","title":"Monkeypox Virus Infection in Humans across 16 Countries - April-June 2022","volume":"387","author":[{"family":"Thornhill","given":"John P."},{"family":"Barkati","given":"Sapha"},{"family":"Walmsley","given":"Sharon"},{"family":"Rockstroh","given":"Juergen"},{"family":"Antinori","given":"Andrea"},{"family":"Harrison","given":"Luke B."},{"family":"Palich","given":"Romain"},{"family":"Nori","given":"Achyuta"},{"family":"Reeves","given":"Iain"},{"family":"Habibi","given":"Maximillian S."},{"family":"Apea","given":"Vanessa"},{"family":"Boesecke","given":"Christoph"},{"family":"Vandekerckhove","given":"Linos"},{"family":"Yakubovsky","given":"Michal"},{"family":"Sendagorta","given":"Elena"},{"family":"Blanco","given":"Jose L."},{"family":"Florence","given":"Eric"},{"family":"Moschese","given":"Davide"},{"family":"Maltez","given":"Fernando M."},{"family":"Goorhuis","given":"Abraham"},{"family":"Pourcher","given":"Valerie"},{"family":"Migaud","given":"Pascal"},{"family":"Noe","given":"Sebastian"},{"family":"Pintado","given":"Claire"},{"family":"Maggi","given":"Fabrizio"},{"family":"Hansen","given":"Ann-Brit E."},{"family":"Hoffmann","given":"Christian"},{"family":"Lezama","given":"Jezer I."},{"family":"Mussini","given":"Cristina"},{"family":"Cattelan","given":"AnnaMaria"},{"family":"Makofane","given":"Keletso"},{"family":"Tan","given":"Darrell"},{"family":"Nozza","given":"Silvia"},{"family":"Nemeth","given":"Johannes"},{"family":"Klein","given":"Marina B."},{"family":"Orkin","given":"Chloe M."},{"literal":"SHARE-net Clinical Group"}],"issued":{"date-parts":[["2022",8,25]]}}},{"id":134,"uris":["http://zotero.org/users/local/eE57gvz8/items/HUISQ3U9"],"itemData":{"id":134,"type":"article-journal","abstract":"Little is known about the ongoing monkeypox (mpox) outbreak, and the clinical features of mpox in patients worldwide have not been rigorously analysed. Thus, we aimed to investigate the clinical features associated with mpox infection and understand the pathophysiology and characteristics of the disease. For this systematic review and meta-analysis, we searched PubMed/MEDLINE, Embase, CINAHL, Google Scholar, and the Cochrane Database of Systematic Reviews for articles published till 16 September 2022. We used a random effects model to calculate the pooled prevalence and 95% confidence interval (CI). We used the I2 statistic to assess heterogeneity, Egger's test to assess publication bias, 95% prediction interval to determine the level of uncertainty, and the Newcastle-Ottawa Scale and Joanna Briggs Institute quality assessment tool to assess the risk of bias. Twenty-six relevant articles from 19 countries across 5 continents were included, and data on 5472 mpox patients with 18 unique features were analysed. The pooled prevalence of clinical features of mpox were rash (85.7%, 95% CI: 68.3-94.3; k = 21), chills (77.8%, 95% CI: 70.5-83.7; k = 3), and fever (62.3%, 95% CI: 51.3-71.6; k = 25), lymphadenopathy (58.6%, 95% CI: 47.2-69.2; k = 21), lethargy or exhaustion (46.8%, 95% CI: 30.7-63.5; k = 14), pruritus (40.6%, 95% CI: 28.5-54.0; k = 5), myalgia (36.0%, 95% CI: 24.3-49.7; k = 16), headache (34.6%, 95% CI: 23.4-47.8; k = 17), skin ulcer (31.1%, 95% CI: 18.6-47.1; k = 7), abdomen symptom (24.2%, 95% CI: 17.9-31.9; k = 11), pharyngitis (23.0%, 95% CI: 12.7-37.9; k = 14), respiratory symptom (19.5%, 95% CI: 6.8-44.6; k = 6), nausea or vomiting (13.0%, 95% CI: 4.6-31.9; k = 3), scrotal or penile oedema (10.7%, 95% CI: 6.3-17.7; k = 4), conjunctivitis (7.1%, 95% CI: 2.4-18.9; k = 6), and death (0.9%, 95% CI: 0.4-2.0; k = 26). This is the first international and comprehensive study to examine all clinical presentations of human mpox infection. Our systematic review proposes a comprehensive understanding of the current mpox outbreak and may serve as key data for future studies on the pathological mechanisms and epidemiology of mpox infections.","container-title":"Reviews in Medical Virology","DOI":"10.1002/rmv.2446","ISSN":"1099-1654","issue":"4","journalAbbreviation":"Rev Med Virol","language":"eng","note":"PMID: 37056203","page":"e2446","source":"PubMed","title":"Clinical manifestations of human Mpox infection: A systematic review and meta-analysis","title-short":"Clinical manifestations of human Mpox infection","volume":"33","author":[{"family":"Yon","given":"Hyunju"},{"family":"Shin","given":"Hyoin"},{"family":"Shin","given":"Jae Il"},{"family":"Shin","given":"Jung U."},{"family":"Shin","given":"Youn Ho"},{"family":"Lee","given":"Jinseok"},{"family":"Rhee","given":"Sang Youl"},{"family":"Koyanagi","given":"Ai"},{"family":"Jacob","given":"Louis"},{"family":"Smith","given":"Lee"},{"family":"Lee","given":"Seung Won"},{"family":"Rahmati","given":"Masoud"},{"family":"Ahmad","given":"Suhana"},{"family":"Cho","given":"Wonyoung"},{"family":"Yon","given":"Dong Keon"}],"issued":{"date-parts":[["2023",7]]}}}],"schema":"https://github.com/citation-style-language/schema/raw/master/csl-citation.json"} </w:instrText>
      </w:r>
      <w:r>
        <w:fldChar w:fldCharType="separate"/>
      </w:r>
      <w:r w:rsidRPr="00B06562">
        <w:t>(8,13,64)</w:t>
      </w:r>
      <w:r>
        <w:fldChar w:fldCharType="end"/>
      </w:r>
      <w:r w:rsidRPr="005420E9">
        <w:t>.</w:t>
      </w:r>
    </w:p>
    <w:p w14:paraId="0DD0C54C" w14:textId="77777777" w:rsidR="007D6E7B" w:rsidRDefault="007D6E7B" w:rsidP="007D6E7B">
      <w:pPr>
        <w:pStyle w:val="BodyText"/>
      </w:pPr>
      <w:r w:rsidRPr="00054A8C">
        <w:t xml:space="preserve">Clinical data from mpox cases in the DRC indicate distinct presentations </w:t>
      </w:r>
      <w:r>
        <w:t xml:space="preserve">for clade Ia and Ib, </w:t>
      </w:r>
      <w:r w:rsidRPr="00054A8C">
        <w:t>with higher proportions of respiratory symptoms (around 50%) and higher lesion counts (median count</w:t>
      </w:r>
      <w:r>
        <w:t>s:</w:t>
      </w:r>
      <w:r w:rsidRPr="00054A8C">
        <w:t xml:space="preserve"> 91 </w:t>
      </w:r>
      <w:r>
        <w:t>for clade Ib cases;</w:t>
      </w:r>
      <w:r w:rsidRPr="00054A8C">
        <w:t xml:space="preserve"> 163</w:t>
      </w:r>
      <w:r>
        <w:t xml:space="preserve"> for clade Ia cases</w:t>
      </w:r>
      <w:r w:rsidRPr="00054A8C">
        <w:t>), compared with clade IIb outbreaks</w:t>
      </w:r>
      <w:r>
        <w:t xml:space="preserve"> </w:t>
      </w:r>
      <w:r>
        <w:fldChar w:fldCharType="begin"/>
      </w:r>
      <w:r>
        <w:instrText xml:space="preserve"> ADDIN ZOTERO_ITEM CSL_CITATION {"citationID":"cCW1dJRX","properties":{"formattedCitation":"(14)","plainCitation":"(14)","noteIndex":0},"citationItems":[{"id":3,"uris":["http://zotero.org/users/local/eE57gvz8/items/G7ZZWSNQ"],"itemData":{"id":3,"type":"article-journal","abstract":"BACKGROUND: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fldChar w:fldCharType="separate"/>
      </w:r>
      <w:r w:rsidRPr="00B06562">
        <w:t>(14)</w:t>
      </w:r>
      <w:r>
        <w:fldChar w:fldCharType="end"/>
      </w:r>
      <w:r w:rsidRPr="00054A8C">
        <w:t>.</w:t>
      </w:r>
      <w:r>
        <w:t xml:space="preserve"> This difference likely reflects the greater virulence and systemic dissemination of clade I viruses. Additionally, e</w:t>
      </w:r>
      <w:r w:rsidRPr="006B1A3C">
        <w:t xml:space="preserve">nvironmental factors such as </w:t>
      </w:r>
      <w:r w:rsidRPr="00E867FF">
        <w:t>biomass smoke from wood</w:t>
      </w:r>
      <w:r>
        <w:t xml:space="preserve"> and charcoal</w:t>
      </w:r>
      <w:r w:rsidRPr="00E867FF">
        <w:t xml:space="preserve"> burning</w:t>
      </w:r>
      <w:r>
        <w:t xml:space="preserve"> for cooking</w:t>
      </w:r>
      <w:r w:rsidRPr="006B1A3C">
        <w:t xml:space="preserve">, common in </w:t>
      </w:r>
      <w:r>
        <w:t xml:space="preserve">the DRC </w:t>
      </w:r>
      <w:r>
        <w:fldChar w:fldCharType="begin"/>
      </w:r>
      <w:r>
        <w:instrText xml:space="preserve"> ADDIN ZOTERO_ITEM CSL_CITATION {"citationID":"RQYwjPlH","properties":{"formattedCitation":"(67)","plainCitation":"(67)","noteIndex":0},"citationItems":[{"id":202,"uris":["http://zotero.org/users/local/eE57gvz8/items/TBBPEVXY"],"itemData":{"id":202,"type":"webpage","title":"Opportunities for Transition to Clean Household Energy in Democratic Republic of the Congo","URL":"https://www.ccacoalition.org/resources/opportunities-transition-clean-household-energy-democratic-republic-congo","author":[{"family":"Climate and Clean Air Coalition","given":""}]}}],"schema":"https://github.com/citation-style-language/schema/raw/master/csl-citation.json"} </w:instrText>
      </w:r>
      <w:r>
        <w:fldChar w:fldCharType="separate"/>
      </w:r>
      <w:r w:rsidRPr="00B06562">
        <w:t>(67)</w:t>
      </w:r>
      <w:r>
        <w:fldChar w:fldCharType="end"/>
      </w:r>
      <w:r w:rsidRPr="006B1A3C">
        <w:t>, could plausibly exacerbate respiratory symptoms</w:t>
      </w:r>
      <w:r>
        <w:t xml:space="preserve"> among mpox patients.</w:t>
      </w:r>
    </w:p>
    <w:p w14:paraId="1D2DB74C" w14:textId="77777777" w:rsidR="007D6E7B" w:rsidRDefault="007D6E7B" w:rsidP="007D6E7B">
      <w:pPr>
        <w:pStyle w:val="BodyText"/>
      </w:pPr>
      <w:r w:rsidRPr="00C4783D">
        <w:t xml:space="preserve">Imported clade Ib cases reported in Sweden </w:t>
      </w:r>
      <w:r w:rsidRPr="00C4783D">
        <w:fldChar w:fldCharType="begin"/>
      </w:r>
      <w:r>
        <w:instrText xml:space="preserve"> ADDIN ZOTERO_ITEM CSL_CITATION {"citationID":"uOfJACdf","properties":{"formattedCitation":"(48)","plainCitation":"(48)","noteIndex":0},"citationItems":[{"id":152,"uris":["http://zotero.org/users/local/eE57gvz8/items/DA5AUBIE"],"itemData":{"id":152,"type":"article-journal","abstract":"An unprecedented upsurge in mpox, caused by clade I of the monkeypox virus (MPXV) was noted in Central Africa in 2024. The first mpox case with MPXV clade Ib outside Africa was reported in Sweden in mid-August. The case experienced a mild disease course after travelling to an affected country. No additional cases of this clade have been detected in Sweden. Strengthened public health measures and surveillance including whole genome sequencing are crucial to prevent establishment of novel MPXV clades.","container-title":"Euro Surveillance: Bulletin Europeen Sur Les Maladies Transmissibles = European Communicable Disease Bulletin","DOI":"10.2807/1560-7917.ES.2024.29.48.2400740","ISSN":"1560-7917","issue":"48","journalAbbreviation":"Euro Surveill","language":"eng","note":"PMID: 39611206\nPMCID: PMC11605805","page":"2400740","source":"PubMed","title":"First case of mpox with monkeypox virus clade Ib outside Africa in a returning traveller, Sweden, August 2024: public health measures","title-short":"First case of mpox with monkeypox virus clade Ib outside Africa in a returning traveller, Sweden, August 2024","volume":"29","author":[{"family":"Treutiger","given":"Carl-Johan"},{"family":"Filén","given":"Finn"},{"family":"Rehn","given":"Moa"},{"family":"Aarum","given":"Johan"},{"family":"Jacks","given":"Andreas"},{"family":"Gisslén","given":"Magnus"},{"family":"Sturegård","given":"Erik"},{"family":"Karlberg","given":"Maria Lind"},{"family":"Karlsson Lindsjö","given":"Oskar"},{"family":"Sondén","given":"Klara"}],"issued":{"date-parts":[["2024",11]]}}}],"schema":"https://github.com/citation-style-language/schema/raw/master/csl-citation.json"} </w:instrText>
      </w:r>
      <w:r w:rsidRPr="00C4783D">
        <w:fldChar w:fldCharType="separate"/>
      </w:r>
      <w:r w:rsidRPr="00B06562">
        <w:t>(48)</w:t>
      </w:r>
      <w:r w:rsidRPr="00C4783D">
        <w:fldChar w:fldCharType="end"/>
      </w:r>
      <w:r w:rsidRPr="00C4783D">
        <w:t xml:space="preserve">, the UK </w:t>
      </w:r>
      <w:r w:rsidRPr="00C4783D">
        <w:fldChar w:fldCharType="begin"/>
      </w:r>
      <w:r>
        <w:instrText xml:space="preserve"> ADDIN ZOTERO_ITEM CSL_CITATION {"citationID":"t9fWkDZb","properties":{"formattedCitation":"(49)","plainCitation":"(49)","noteIndex":0},"citationItems":[{"id":150,"uris":["http://zotero.org/users/local/eE57gvz8/items/NM5VM85C"],"itemData":{"id":150,"type":"article-journal","abstract":"We report two importations of monkeypox virus clade Ib infection to the United Kingdom in 2024. The first was a traveller returning from Tanzania, Rwanda and Uganda, the second from Uganda. Both presented with fever and typical skin lesions; 147 contacts were followed up, 19 vaccinated with MVA-BN. Three household contacts of the first individual, including two children, became infected. These are the first reported autochthonous transmissions of clade Ib in Europe, and first paediatric cases outside the African continent.","container-title":"Euro Surveillance: Bulletin Europeen Sur Les Maladies Transmissibles = European Communicable Disease Bulletin","DOI":"10.2807/1560-7917.ES.2025.30.10.2500131","ISSN":"1560-7917","issue":"10","journalAbbreviation":"Euro Surveill","language":"eng","note":"PMID: 40084422\nPMCID: PMC11912141","page":"2500131","source":"PubMed","title":"Case series of the first five human infections with monkeypox virus clade Ib and report on the public health response, United Kingdom, October to November 2024","volume":"30","author":[{"family":"Alvi","given":"Muhammad Ibaad"},{"family":"Kliner","given":"Merav"},{"family":"Welfare","given":"William"},{"family":"Gordon","given":"N. Claire"},{"family":"Thomas","given":"Sherine"},{"family":"Padfield","given":"Simon"},{"family":"Emmett","given":"Hannah E."},{"family":"Heinsbroek","given":"Ellen"},{"family":"Hughes","given":"Gareth J."},{"family":"Groves","given":"Natalie"},{"family":"Gallagher","given":"Eileen"},{"family":"Pullan","given":"Steven"},{"family":"Belfield","given":"Amy"},{"family":"Houlihan","given":"Catherine F."},{"family":"Rampling","given":"Tommy"},{"family":"O'Hara","given":"Geraldine"},{"family":"Tunbridge","given":"Anne"},{"family":"Dunning","given":"Jake"},{"family":"Whittaker","given":"Elizabeth"},{"family":"Alonso","given":"Alejandra"},{"family":"Beadsworth","given":"Mike"},{"family":"Payne","given":"Brendan Ai"},{"family":"Chand","given":"Meera"},{"family":"Hopkins","given":"Susan"},{"family":"Armstrong","given":"Gillian"}],"issued":{"date-parts":[["2025",3]]}}}],"schema":"https://github.com/citation-style-language/schema/raw/master/csl-citation.json"} </w:instrText>
      </w:r>
      <w:r w:rsidRPr="00C4783D">
        <w:fldChar w:fldCharType="separate"/>
      </w:r>
      <w:r w:rsidRPr="00B06562">
        <w:t>(49)</w:t>
      </w:r>
      <w:r w:rsidRPr="00C4783D">
        <w:fldChar w:fldCharType="end"/>
      </w:r>
      <w:r w:rsidRPr="00C4783D">
        <w:t xml:space="preserve"> and other European countries </w:t>
      </w:r>
      <w:r w:rsidRPr="00C4783D">
        <w:fldChar w:fldCharType="begin"/>
      </w:r>
      <w:r>
        <w:instrText xml:space="preserve"> ADDIN ZOTERO_ITEM CSL_CITATION {"citationID":"RTnwS8wY","properties":{"formattedCitation":"(68)","plainCitation":"(68)","noteIndex":0},"citationItems":[{"id":154,"uris":["http://zotero.org/users/local/eE57gvz8/items/Z7F2NGS3"],"itemData":{"id":154,"type":"webpage","title":"Transmission of monkeypox virus clade I: overall risk remains low in the EU/EEA","URL":"https://www.ecdc.europa.eu/en/news-events/transmission-monkeypox-virus-clade-i-overall-risk-remains-low-eueea","author":[{"family":"European Centre for Disease Prevention and Control","given":""}]}}],"schema":"https://github.com/citation-style-language/schema/raw/master/csl-citation.json"} </w:instrText>
      </w:r>
      <w:r w:rsidRPr="00C4783D">
        <w:fldChar w:fldCharType="separate"/>
      </w:r>
      <w:r w:rsidRPr="00B06562">
        <w:t>(68)</w:t>
      </w:r>
      <w:r w:rsidRPr="00C4783D">
        <w:fldChar w:fldCharType="end"/>
      </w:r>
      <w:r w:rsidRPr="00C4783D">
        <w:t xml:space="preserve"> have shown mild to moderate illness characterised mainly by fever, localised vesiculopustular rash, and lymphadenopathy.</w:t>
      </w:r>
    </w:p>
    <w:p w14:paraId="27708F1D" w14:textId="77777777" w:rsidR="00AD6802" w:rsidRPr="00917AC5" w:rsidRDefault="00AD6802" w:rsidP="00917AC5">
      <w:pPr>
        <w:pStyle w:val="Heading3"/>
      </w:pPr>
      <w:bookmarkStart w:id="41" w:name="_Toc230260160"/>
      <w:r w:rsidRPr="00917AC5">
        <w:t>Complications and outcomes</w:t>
      </w:r>
      <w:bookmarkEnd w:id="41"/>
    </w:p>
    <w:p w14:paraId="740D9781" w14:textId="77777777" w:rsidR="00AA7F4B" w:rsidRDefault="00AA7F4B" w:rsidP="00AA7F4B">
      <w:pPr>
        <w:pStyle w:val="BodyText"/>
      </w:pPr>
      <w:r w:rsidRPr="00A02ABC">
        <w:t>Symptomatic manifestations of mpox can cause severe pain and affect vulnerable anatomic sites</w:t>
      </w:r>
      <w:r>
        <w:t xml:space="preserve"> (such as the mouth, genitals, or anorectal area)</w:t>
      </w:r>
      <w:r w:rsidRPr="00A02ABC">
        <w:t>. More severe complications of</w:t>
      </w:r>
      <w:r>
        <w:t xml:space="preserve"> mpox</w:t>
      </w:r>
      <w:r w:rsidRPr="00A02ABC">
        <w:t xml:space="preserve"> include secondary infections </w:t>
      </w:r>
      <w:r w:rsidRPr="77D25C7D">
        <w:t>such as</w:t>
      </w:r>
      <w:r w:rsidRPr="00A02ABC">
        <w:t xml:space="preserve"> cellulitis, bronchopneumonia, sepsis, encephalitis</w:t>
      </w:r>
      <w:r>
        <w:t>,</w:t>
      </w:r>
      <w:r w:rsidRPr="00A02ABC">
        <w:t xml:space="preserve"> and infection of the cornea with subsequent scarring and loss of vision. Severe dehydration may occur, secondary to vomiting, diarrhoea and oral lesions preventing adequate hydration </w:t>
      </w:r>
      <w:r>
        <w:fldChar w:fldCharType="begin"/>
      </w:r>
      <w:r>
        <w:instrText xml:space="preserve"> ADDIN ZOTERO_ITEM CSL_CITATION {"citationID":"mW6d69pw","properties":{"formattedCitation":"(41)","plainCitation":"(41)","noteIndex":0},"citationItems":[{"id":94,"uris":["http://zotero.org/users/local/eE57gvz8/items/7DB94XIA"],"itemData":{"id":94,"type":"article-journal","abstract":"Monkeypox virus (MPXV), which causes disease in humans, has for many years been restricted to the African continent, with only a handful of sporadic cases in other parts of the world. However, unprecedented outbreaks of monkeypox in non-endemic regions have recently taken the world by surprise. In less than 4 months, the number of detected MPXV infections has soared to more than 48,000 cases, recording a total of 13 deaths. In this Review, we discuss the clinical, epidemiological and immunological features of MPXV infections. We also highlight important research questions and new opportunities to tackle the ongoing monkeypox outbreak.","container-title":"Nature Reviews. Immunology","DOI":"10.1038/s41577-022-00775-4","ISSN":"1474-1741","issue":"10","journalAbbreviation":"Nat Rev Immunol","language":"eng","note":"PMID: 36064780\nPMCID: PMC9443635","page":"597-613","source":"PubMed","title":"Monkeypox: disease epidemiology, host immunity and clinical interventions","title-short":"Monkeypox","volume":"22","author":[{"family":"Lum","given":"Fok-Moon"},{"family":"Torres-Ruesta","given":"Anthony"},{"family":"Tay","given":"Matthew Z."},{"family":"Lin","given":"Raymond T. P."},{"family":"Lye","given":"David C."},{"family":"Rénia","given":"Laurent"},{"family":"Ng","given":"Lisa F. P."}],"issued":{"date-parts":[["2022",10]]}}}],"schema":"https://github.com/citation-style-language/schema/raw/master/csl-citation.json"} </w:instrText>
      </w:r>
      <w:r>
        <w:fldChar w:fldCharType="separate"/>
      </w:r>
      <w:r w:rsidRPr="00B06562">
        <w:t>(41)</w:t>
      </w:r>
      <w:r>
        <w:fldChar w:fldCharType="end"/>
      </w:r>
      <w:r w:rsidRPr="00A02ABC">
        <w:t>.</w:t>
      </w:r>
    </w:p>
    <w:p w14:paraId="487A1311" w14:textId="77777777" w:rsidR="00AA7F4B" w:rsidRDefault="00AA7F4B" w:rsidP="00AA7F4B">
      <w:pPr>
        <w:pStyle w:val="BodyText"/>
      </w:pPr>
      <w:r w:rsidRPr="7A1677BC">
        <w:t xml:space="preserve">During the global MPXV clade IIb outbreaks, 9% of cases were hospitalised, 0.4% admitted to an intensive care unit (ICU), and the case-fatality rate was 0.3% </w:t>
      </w:r>
      <w:r w:rsidRPr="7A1677BC">
        <w:fldChar w:fldCharType="begin"/>
      </w:r>
      <w:r w:rsidRPr="7A1677BC">
        <w:instrText xml:space="preserve"> ADDIN ZOTERO_ITEM CSL_CITATION {"citationID":"CDX1V9je","properties":{"formattedCitation":"(8)","plainCitation":"(8)","noteIndex":0},"citationItems":[{"id":2,"uris":["http://zotero.org/users/local/eE57gvz8/items/IL3G54KI"],"itemData":{"id":2,"type":"webpage","title":"Global Mpox Trends","URL":"https://worldhealthorg.shinyapps.io/mpx_global/#key-figures","author":[{"family":"World Health Organization","given":""}]}}],"schema":"https://github.com/citation-style-language/schema/raw/master/csl-citation.json"} </w:instrText>
      </w:r>
      <w:r w:rsidRPr="7A1677BC">
        <w:fldChar w:fldCharType="separate"/>
      </w:r>
      <w:r w:rsidRPr="00B06562">
        <w:t>(8)</w:t>
      </w:r>
      <w:r w:rsidRPr="7A1677BC">
        <w:fldChar w:fldCharType="end"/>
      </w:r>
      <w:r w:rsidRPr="7A1677BC">
        <w:t xml:space="preserve">. </w:t>
      </w:r>
    </w:p>
    <w:p w14:paraId="0E3A5FE6" w14:textId="77777777" w:rsidR="00AA7F4B" w:rsidRDefault="00AA7F4B" w:rsidP="00AA7F4B">
      <w:pPr>
        <w:pStyle w:val="BodyText"/>
      </w:pPr>
      <w:r w:rsidRPr="7A1677BC">
        <w:t xml:space="preserve">Based on mpox data from the DRC, 50% of mpox clade I cases were hospitalised, and the case-fatality rate was 4.4% for clade Ia and 0.6% for clade Ib </w:t>
      </w:r>
      <w:r w:rsidRPr="7A1677BC">
        <w:fldChar w:fldCharType="begin"/>
      </w:r>
      <w:r w:rsidRPr="7A1677BC">
        <w:instrText xml:space="preserve"> ADDIN ZOTERO_ITEM CSL_CITATION {"citationID":"fgVxLk9e","properties":{"formattedCitation":"(14)","plainCitation":"(14)","noteIndex":0},"citationItems":[{"id":3,"uris":["http://zotero.org/users/local/eE57gvz8/items/G7ZZWSNQ"],"itemData":{"id":3,"type":"article-journal","abstract":"BACKGROUND: Mpox, caused by the monkeypox virus, is a serious public health threat in Africa, especially in DR Congo. Previously limited to endemic areas with clade 1a, monkeypox virus has recently spread to non-endemic regions, where clade 1b has emerged. This study provides a clinical comparison of mpox cases in DR Congo regions where clade 1a and clade 1b are prevalent.\nMETHODS: We conducted a retrospective observational study, analysing PCR-confirmed mpox cases reported from sentinel health zones in seven provinces between Oct 1, 2023, and Sept 31, 2024. Cases from the newly affected provinces (South-Kivu and Kinshasa) were described along with those from four endemic provinces (Mai-Ndombe, Tshuapa, Tshopo, South-Ubangi, and Équateur). Surveillance data, including type of exposure, demographic details, clinical presentation, complications, and outcomes were collected from national surveillance systems and local health facilities, with laboratory confirmation using quantitative PCR. All analyses were restricted to descriptive statistics.\nFINDINGS: Of 17 927 suspected cases identified, 10 986 were investigated, 5948 were PCR-positive, and 4895 met the inclusion criteria based on data completeness: 4436 in newly affected and 459 in endemic regions. In newly affected provinces, median age was 20 years (IQR 8-28), 2119 (47·8%) participants were female, and 2310 (52·1%) were male. In endemic provinces, median age was 15 years (7-26), 179 (39·0%) participants were female, and 277 (60·3%) were male. Direct or intimate human contact was reported by 1951 (44·0%) individuals in newly affected provinces versus 25 (5·4%) in endemic provinces, and zoonotic exposure in 11 (0·2%) and 99 (21·6%), respectively. The proportions of partcipants with systemic symptoms (3828 [86·3%] in newly affected provinces and 427 [93·0%] in endemic provinces) and respiratory symptoms (2450 [55·2%] and 219 [47·7%]), and median skin lesion counts (91 [IQR 37-200] and 163 [95-345]) were similar between newly affected and endemic regions. Complications included skin infections (2041 [46·0%] in newly affected provinces and 201 [43·8%] in endemic provinces), respiratory distress (82 [1·8%] and 29 [6·3%]), vision impairment (7 [0·2%] and 28 [6·1%]), and prostration (695 [15·7%] and 51 [11·1%]). The case-fatality rate was 0·7% (95% CI 0·4-1·3; 14 of 1924) in children and 0·6% (0·3-1·0; 14 of 2483) in adults in newly affected areas, compared with 5·9% (3·4-10·0; 14 of 236) in children and 2·7% (1·1-6·1; six of 222) in adults in endemic regions. Content note: this Article and its appendix contain graphic images of mpox lesions affecting various sites including the face and genitals.\nINTERPRETATION: Our study indicates concurrent mpox outbreaks in DR Congo, involving younger individuals, a higher proportion of women and girls, and distinct presentations with higher lesion counts and respiratory symptoms compared with clade 2b lineage B.1 outbreaks. The high proportion of infectious complications and case-fatality rates, especially in endemic regions, emphasise the need for timely antibiotic therapy and targeted vaccination to reduce morbidity and mortality.\nFUNDING: Skin NTDs and STI Research Unit, Fight Infections Foundation.","container-title":"Lancet (London, England)","DOI":"10.1016/S0140-6736(25)00152-7","ISSN":"1474-547X","issue":"10490","journalAbbreviation":"Lancet","language":"eng","note":"PMID: 40222380","page":"1666-1675","source":"PubMed","title":"Clinical presentation and epidemiological assessment of confirmed human mpox cases in DR Congo: a surveillance-based observational study","title-short":"Clinical presentation and epidemiological assessment of confirmed human mpox cases in DR Congo","volume":"405","author":[{"family":"Malembi","given":"Emile"},{"family":"Escrig-Sarreta","given":"Roser"},{"family":"Ntumba","given":"Jackie"},{"family":"Beiras","given":"Camila G."},{"family":"Shongo","given":"Robert"},{"family":"Bengehya","given":"Justin"},{"family":"Nselaka","given":"Charles"},{"family":"Pukuta","given":"Elisabeth"},{"family":"Mukadi-Bamuleka","given":"Daniel"},{"family":"Mulopo-Mukanya","given":"Noëlla"},{"family":"Leng","given":"Xinying"},{"family":"Pérez-Mañá","given":"Clara"},{"family":"Galván-Casas","given":"Cristina"},{"family":"Muñoz","given":"Susana"},{"family":"Bilembo-Kitwanda","given":"Steeven"},{"family":"Kitha","given":"Pierre"},{"family":"Maketa","given":"Vivi"},{"family":"Mitashi","given":"Patrick"},{"family":"Abedi","given":"Aruna"},{"family":"Nsio","given":"Justus"},{"family":"Ahuka-Mundeke","given":"Steve"},{"family":"Mbala-Kingebeni","given":"Placide"},{"family":"Muyembe","given":"Jean-Jacques"},{"family":"Marks","given":"Michael"},{"family":"Muhindo-Mavoko","given":"Hypolite"},{"family":"Mitjà","given":"Oriol"},{"literal":"MOTION-DRC Working Group"}],"issued":{"date-parts":[["2025",5,10]]}}}],"schema":"https://github.com/citation-style-language/schema/raw/master/csl-citation.json"} </w:instrText>
      </w:r>
      <w:r w:rsidRPr="7A1677BC">
        <w:fldChar w:fldCharType="separate"/>
      </w:r>
      <w:r w:rsidRPr="00B06562">
        <w:t>(14)</w:t>
      </w:r>
      <w:r w:rsidRPr="7A1677BC">
        <w:fldChar w:fldCharType="end"/>
      </w:r>
      <w:r w:rsidRPr="7A1677BC">
        <w:t xml:space="preserve">. The high case-fatality rate for clade Ia is likely influenced by multiple factors, including varying diagnostic methods, co-existing medical conditions such as HIV, malaria and tuberculosis, treatment availability, and potentially higher virulence </w:t>
      </w:r>
      <w:r w:rsidRPr="7A1677BC">
        <w:fldChar w:fldCharType="begin"/>
      </w:r>
      <w:r w:rsidRPr="7A1677BC">
        <w:instrText xml:space="preserve"> ADDIN ZOTERO_ITEM CSL_CITATION {"citationID":"fxU2Vcwg","properties":{"formattedCitation":"(69)","plainCitation":"(69)","noteIndex":0},"citationItems":[{"id":15,"uris":["http://zotero.org/users/local/eE57gvz8/items/LGGIJX69"],"itemData":{"id":15,"type":"article-journal","abstract":"Clade 1b of the MPox virus has emerged as a highly virulent strain, causing significant public health challenges globally. Initially endemic to Central Africa, this strain has spread to nonendemic regions, including Europe, Asia, and the Americas. With its high transmission rate and severe outcomes, especially among vulnerable populations like children, Clade 1b has raised global concerns. The Africa Center for Disease Control and Prevention (CDC) has declared it a public health emergency of international concern. Clade 1b MPox shows a higher case fatality rate and increased transmissibility compared to other strains. It has moved beyond traditional zoonotic transmission to widespread human-to-human transmission. The variant's spread to countries such as Sweden and Thailand demonstrates its global reach. Public health efforts, including cross-border coordination, rapid response teams, and awareness campaigns, have been essential in containing the outbreaks. However, barriers such as limited resources, vaccine shortages, and logistical challenges in conflict-affected areas have hindered effective control, particularly in low-resource regions. The spread and severity of Clade 1b MPox highlight the need for global cooperation to strengthen surveillance, improve diagnostic capabilities, and expand healthcare infrastructure in affected areas. Enhancing access to vaccines and treatments, along with educating the public on preventive measures, will be key to controlling transmission. Ongoing research and monitoring are essential to mitigate future outbreaks and minimize the virus's global impact.","container-title":"Global Health, Epidemiology and Genomics","DOI":"10.1155/ghe3/8845911","ISSN":"2054-4200","journalAbbreviation":"Glob Health Epidemiol Genom","language":"eng","note":"PMID: 40406501\nPMCID: PMC12097866","page":"8845911","source":"PubMed","title":"Genomic Evolution and Epidemiological Impact of Ongoing Clade Ib MPox Disease: A Narrative Review","title-short":"Genomic Evolution and Epidemiological Impact of Ongoing Clade Ib MPox Disease","volume":"2025","author":[{"family":"Akingbola","given":"Adewunmi"},{"family":"Abiodun","given":"Adegbesan"},{"family":"Idahor","given":"Courage"},{"family":"Peters","given":"Favour"},{"family":"Ojo","given":"Olajide"},{"family":"Jessica","given":"Otumara Urowoli"},{"family":"Alao","given":"Uthman Hassan"},{"family":"Adewole","given":"Olajumoke"},{"family":"Owolabi","given":"Abdullahi"},{"family":"Chuku","given":"Joel"}],"issued":{"date-parts":[["2025"]]}}}],"schema":"https://github.com/citation-style-language/schema/raw/master/csl-citation.json"} </w:instrText>
      </w:r>
      <w:r w:rsidRPr="7A1677BC">
        <w:fldChar w:fldCharType="separate"/>
      </w:r>
      <w:r w:rsidRPr="00B06562">
        <w:t>(69)</w:t>
      </w:r>
      <w:r w:rsidRPr="7A1677BC">
        <w:fldChar w:fldCharType="end"/>
      </w:r>
      <w:r w:rsidRPr="7A1677BC">
        <w:t>.</w:t>
      </w:r>
    </w:p>
    <w:p w14:paraId="707DC388" w14:textId="77777777" w:rsidR="00AA7F4B" w:rsidRDefault="00AA7F4B" w:rsidP="00AA7F4B">
      <w:pPr>
        <w:pStyle w:val="BodyText"/>
      </w:pPr>
      <w:r w:rsidRPr="4734D323">
        <w:t xml:space="preserve">Mpox clade I cases identified in countries outside of Africa have presented with milder symptoms and no deaths have been reported </w:t>
      </w:r>
      <w:r>
        <w:fldChar w:fldCharType="begin"/>
      </w:r>
      <w:r>
        <w:instrText xml:space="preserve"> ADDIN ZOTERO_ITEM CSL_CITATION {"citationID":"UCoh3shi","properties":{"formattedCitation":"(70)","plainCitation":"(70)","noteIndex":0},"citationItems":[{"id":184,"uris":["http://zotero.org/users/local/eE57gvz8/items/H79LDKKH"],"itemData":{"id":184,"type":"webpage","title":"Mpox worldwide overview","URL":"https://www.ecdc.europa.eu/en/mpox-worldwide-overview","author":[{"family":"European Centre for Disease Prevention and Control","given":""}]}}],"schema":"https://github.com/citation-style-language/schema/raw/master/csl-citation.json"} </w:instrText>
      </w:r>
      <w:r>
        <w:fldChar w:fldCharType="separate"/>
      </w:r>
      <w:r w:rsidRPr="00B06562">
        <w:t>(70)</w:t>
      </w:r>
      <w:r>
        <w:fldChar w:fldCharType="end"/>
      </w:r>
      <w:r w:rsidRPr="61F10B7D">
        <w:t>.</w:t>
      </w:r>
      <w:r w:rsidRPr="4734D323">
        <w:t xml:space="preserve"> Additionally, of the first </w:t>
      </w:r>
      <w:r>
        <w:t>16</w:t>
      </w:r>
      <w:r w:rsidRPr="4734D323">
        <w:t xml:space="preserve"> cases identified </w:t>
      </w:r>
      <w:r>
        <w:t>in the UK</w:t>
      </w:r>
      <w:r w:rsidRPr="4734D323">
        <w:t>, a case review identified high hospitalisation rates initially to manage isolation and perceived transmission risk, rather than due to disease severity, with hospitalisation decreasing over time as the transmission route was better understood</w:t>
      </w:r>
      <w:r>
        <w:t xml:space="preserve"> and clade Ib cases were managed in the community </w:t>
      </w:r>
      <w:r>
        <w:fldChar w:fldCharType="begin"/>
      </w:r>
      <w:r>
        <w:instrText xml:space="preserve"> ADDIN ZOTERO_ITEM CSL_CITATION {"citationID":"PwG92HFA","properties":{"formattedCitation":"(71)","plainCitation":"(71)","noteIndex":0},"citationItems":[{"id":206,"uris":["http://zotero.org/users/local/eE57gvz8/items/JSPY4CKF"],"itemData":{"id":206,"type":"webpage","title":"Mpox technical assessment","URL":"https://assets.publishing.service.gov.uk/media/68ff9ece394b8c2a6ddf5dc3/mpox-technical-assessment-27-october-2025.pdf","author":[{"family":"UK Health Security Agency","given":""}]}}],"schema":"https://github.com/citation-style-language/schema/raw/master/csl-citation.json"} </w:instrText>
      </w:r>
      <w:r>
        <w:fldChar w:fldCharType="separate"/>
      </w:r>
      <w:r w:rsidRPr="00B06562">
        <w:t>(71)</w:t>
      </w:r>
      <w:r>
        <w:fldChar w:fldCharType="end"/>
      </w:r>
      <w:r w:rsidRPr="4734D323">
        <w:t xml:space="preserve">. </w:t>
      </w:r>
    </w:p>
    <w:p w14:paraId="2B9080B7" w14:textId="77777777" w:rsidR="00AD6802" w:rsidRPr="00917AC5" w:rsidRDefault="00AD6802" w:rsidP="00917AC5">
      <w:pPr>
        <w:pStyle w:val="Heading3"/>
      </w:pPr>
      <w:bookmarkStart w:id="42" w:name="_Toc232174945"/>
      <w:bookmarkStart w:id="43" w:name="_Toc232181743"/>
      <w:r w:rsidRPr="00917AC5">
        <w:lastRenderedPageBreak/>
        <w:t>Reinfection</w:t>
      </w:r>
    </w:p>
    <w:p w14:paraId="2365A41E" w14:textId="78E27030" w:rsidR="001E0BC0" w:rsidRPr="001E0BC0" w:rsidRDefault="001E0BC0" w:rsidP="001E0BC0">
      <w:pPr>
        <w:pStyle w:val="BodyText"/>
      </w:pPr>
      <w:r w:rsidRPr="008815DA">
        <w:t>Mpox reinfection is very uncommon, occurring in less than 0.2% of reported cases</w:t>
      </w:r>
      <w:r>
        <w:t xml:space="preserve"> </w:t>
      </w:r>
      <w:r>
        <w:fldChar w:fldCharType="begin"/>
      </w:r>
      <w:r>
        <w:instrText xml:space="preserve"> ADDIN ZOTERO_ITEM CSL_CITATION {"citationID":"2r4web30","properties":{"formattedCitation":"(72)","plainCitation":"(72)","noteIndex":0},"citationItems":[{"id":203,"uris":["http://zotero.org/users/local/eE57gvz8/items/3LSHYNB4"],"itemData":{"id":203,"type":"webpage","title":"Breakthrough Infection, Reinfection Rare but Possible After Mpox Infection or Vaccination","URL":"https://www.mpoxed.com/news/breakthrough-infection%2C-reinfection-rare-but-possible-after-mpox-infection-or-vaccination","author":[{"family":"Mpox Tracker","given":""}]}}],"schema":"https://github.com/citation-style-language/schema/raw/master/csl-citation.json"} </w:instrText>
      </w:r>
      <w:r>
        <w:fldChar w:fldCharType="separate"/>
      </w:r>
      <w:r w:rsidRPr="00B06562">
        <w:t>(72)</w:t>
      </w:r>
      <w:r>
        <w:fldChar w:fldCharType="end"/>
      </w:r>
      <w:r>
        <w:t xml:space="preserve">. </w:t>
      </w:r>
      <w:r w:rsidRPr="008815DA">
        <w:t>Documented reinfections typically occur in high-risk populations and are generally milder than the initial illness</w:t>
      </w:r>
      <w:r>
        <w:t xml:space="preserve"> </w:t>
      </w:r>
      <w:r>
        <w:fldChar w:fldCharType="begin"/>
      </w:r>
      <w:r>
        <w:instrText xml:space="preserve"> ADDIN ZOTERO_ITEM CSL_CITATION {"citationID":"q8ftwJKp","properties":{"formattedCitation":"(73)","plainCitation":"(73)","noteIndex":0},"citationItems":[{"id":204,"uris":["http://zotero.org/users/local/eE57gvz8/items/TCZYL8W5"],"itemData":{"id":204,"type":"article-journal","container-title":"Infectious Medicine","DOI":"10.1016/j.imj.2024.100096","ISSN":"2772431X","issue":"1","journalAbbreviation":"Infectious Medicine","language":"en","page":"100096","source":"DOI.org (Crossref)","title":"Mpox reinfection: A rapid systematic review of case reports","title-short":"Mpox reinfection","volume":"3","author":[{"family":"Li","given":"Tingting"},{"family":"Li","given":"Zhijin"},{"family":"Xia","given":"Yu"},{"family":"Long","given":"Jiang"},{"family":"Qi","given":"Li"}],"issued":{"date-parts":[["2024",3]]}}}],"schema":"https://github.com/citation-style-language/schema/raw/master/csl-citation.json"} </w:instrText>
      </w:r>
      <w:r>
        <w:fldChar w:fldCharType="separate"/>
      </w:r>
      <w:r w:rsidRPr="00B06562">
        <w:t>(73)</w:t>
      </w:r>
      <w:r>
        <w:fldChar w:fldCharType="end"/>
      </w:r>
      <w:r w:rsidRPr="008815DA">
        <w:t>. Natural infection provides stronger and longer-lasting immunity than vaccination</w:t>
      </w:r>
      <w:r>
        <w:t>;</w:t>
      </w:r>
      <w:r w:rsidRPr="008815DA">
        <w:t xml:space="preserve"> about 85% of previously infected individuals remain seropositive at around two years, compared </w:t>
      </w:r>
      <w:r>
        <w:t>with approximately</w:t>
      </w:r>
      <w:r w:rsidRPr="008815DA">
        <w:t xml:space="preserve"> 32% for those vaccinated with the two-dose MVA-BN (</w:t>
      </w:r>
      <w:r>
        <w:t>JYNNEOS</w:t>
      </w:r>
      <w:r w:rsidRPr="008815DA">
        <w:t>) vaccine</w:t>
      </w:r>
      <w:r>
        <w:t xml:space="preserve"> </w:t>
      </w:r>
      <w:r>
        <w:fldChar w:fldCharType="begin"/>
      </w:r>
      <w:r>
        <w:instrText xml:space="preserve"> ADDIN ZOTERO_ITEM CSL_CITATION {"citationID":"uO80Qdn3","properties":{"formattedCitation":"(74)","plainCitation":"(74)","noteIndex":0},"citationItems":[{"id":205,"uris":["http://zotero.org/users/local/eE57gvz8/items/AIR5D29S"],"itemData":{"id":205,"type":"article-journal","abstract":"Abstract\n            \n              Background\n              Clade IIb mpox cases have declined globally, likely due to behavioral changes alongside vaccine- and infection-induced immunity. However, infections in vaccinated individuals raise concerns about immunity durability. We compared the longevity of antibody responses following mpox infection and modified vaccinia Ankara–Bavarian Nordic (MVA–BN) vaccination.\n            \n            \n              Methods\n              In a multicenter, prospective cohort, we measured plasma IgG titers to vaccinia virus (VACV) B5 antigen in adults with prior mpox, MVA–BN vaccination, and historical controls, sampled up to 2 years postexposure. Receiver operating characteristic analysis determined the seropositivity threshold. Generalized additive mixed models compared antibody kinetics, and logistic regression identified factors associated with seropositivity. The results are median (interquartile range) unless specified.\n            \n            \n              Results\n              A total of 122 vaccinated participants (100% male, aged 36 [32.5–43.5], 25% people with HIV [PWH]) were sampled at 22.0 (20.0–23.5) months post-MVA–BN vaccination, 72 of whom had a paired sample 12.5 (8.0–15.5) months prior, alongside 13 participants post-mpox (100% male, aged 32.5 [30.5–40], 23% PWH) sampled 25.0 (22.5–29.0) months postinfection, 12 with a paired sample 12.5 (8.5–15.5) months prior. At follow-up, 85% (11/13) of the post-mpox group remained seropositive, versus 32% (39/122) of the vaccinated group. Predicted geometric-mean anti-VACV-B5 titers fell below the seropositivity threshold at 15.5 (95% confidence interval [CI]: 13.0–19.5) months postvaccine. PWH had significantly lower odds of retaining seropositivity (odds ratio: 0.18; 95% CI: .04–.60; P = .01).\n            \n            \n              Conclusions\n              Antibody titers declined more rapidly postvaccination than post-mpox, with most vaccinated recipients, particularly PWH, losing seropositivity at 2 years. How these data relate to reinfection risk or the need for boosters remains to be determined.","container-title":"Open Forum Infectious Diseases","DOI":"10.1093/ofid/ofaf536","ISSN":"2328-8957","issue":"9","language":"en","license":"https://creativecommons.org/licenses/by/4.0/","page":"ofaf536","source":"DOI.org (Crossref)","title":"Antibody Responses are Sustained 2 Years Post-Mpox Infection but not Following Modified Vaccinia Ankara–Bavarian Nordic Vaccination","volume":"12","author":[{"family":"Byrne","given":"Joanne"},{"family":"Garcia-Leon","given":"Alejandro"},{"family":"Murphy","given":"Aisling"},{"family":"Saini","given":"Gurvin"},{"family":"Banik","given":"Ishan"},{"family":"Landay","given":"Alan"},{"family":"Luong Nguyen","given":"Liem Binh"},{"family":"Savinelli","given":"Stefano"},{"family":"O’Broin","given":"Cathal"},{"family":"Horgan","given":"Mary"},{"family":"Kelly","given":"Christine"},{"family":"Mejia-Chew","given":"Carlos"},{"family":"Sadlier","given":"Corinna"},{"family":"De Barra","given":"Eoghan"},{"family":"O’Halloran","given":"Jane A"},{"family":"Gautier","given":"Virginie"},{"family":"Mallon","given":"Patrick W G"},{"family":"Feeney","given":"Eoin R"}],"issued":{"date-parts":[["2025",8,29]]}}}],"schema":"https://github.com/citation-style-language/schema/raw/master/csl-citation.json"} </w:instrText>
      </w:r>
      <w:r>
        <w:fldChar w:fldCharType="separate"/>
      </w:r>
      <w:r w:rsidRPr="00B06562">
        <w:t>(74)</w:t>
      </w:r>
      <w:r>
        <w:fldChar w:fldCharType="end"/>
      </w:r>
      <w:r w:rsidRPr="008815DA">
        <w:t>.</w:t>
      </w:r>
    </w:p>
    <w:p w14:paraId="55A00EA2" w14:textId="77777777" w:rsidR="00AD6802" w:rsidRDefault="00AD6802" w:rsidP="00AD6802">
      <w:pPr>
        <w:pStyle w:val="Heading1"/>
      </w:pPr>
      <w:bookmarkStart w:id="44" w:name="_Toc238570904"/>
      <w:r>
        <w:lastRenderedPageBreak/>
        <w:t>Case classification</w:t>
      </w:r>
      <w:bookmarkEnd w:id="42"/>
      <w:bookmarkEnd w:id="43"/>
      <w:bookmarkEnd w:id="44"/>
    </w:p>
    <w:p w14:paraId="785E41A1" w14:textId="77777777" w:rsidR="00AD6802" w:rsidRDefault="00AD6802" w:rsidP="00AD6802">
      <w:pPr>
        <w:pStyle w:val="Heading2"/>
      </w:pPr>
      <w:bookmarkStart w:id="45" w:name="_Surveillance_case_definition"/>
      <w:bookmarkStart w:id="46" w:name="_Toc232181744"/>
      <w:bookmarkEnd w:id="45"/>
      <w:r>
        <w:t>Surveillance case definition</w:t>
      </w:r>
      <w:bookmarkEnd w:id="46"/>
    </w:p>
    <w:p w14:paraId="2B8B9D23" w14:textId="3D469BB5" w:rsidR="00D5706A" w:rsidRPr="00E53D8F" w:rsidRDefault="00D5706A" w:rsidP="00D5706A">
      <w:pPr>
        <w:pStyle w:val="Boxgreentext"/>
      </w:pPr>
      <w:bookmarkStart w:id="47" w:name="_Testing"/>
      <w:bookmarkStart w:id="48" w:name="_Toc232181745"/>
      <w:bookmarkStart w:id="49" w:name="_Toc230260164"/>
      <w:bookmarkStart w:id="50" w:name="_Toc232174948"/>
      <w:bookmarkEnd w:id="47"/>
      <w:r>
        <w:t>S</w:t>
      </w:r>
      <w:r w:rsidRPr="00231414">
        <w:t>e</w:t>
      </w:r>
      <w:r>
        <w:t xml:space="preserve">e the CDNA </w:t>
      </w:r>
      <w:hyperlink r:id="rId16" w:history="1">
        <w:r>
          <w:rPr>
            <w:rStyle w:val="Hyperlink"/>
          </w:rPr>
          <w:t>Monkeypox virus infection – Surveillance case definitions</w:t>
        </w:r>
      </w:hyperlink>
      <w:r>
        <w:t>.</w:t>
      </w:r>
    </w:p>
    <w:p w14:paraId="5FA8DDF4" w14:textId="77777777" w:rsidR="00416F0B" w:rsidRPr="002C1BEF" w:rsidRDefault="00416F0B" w:rsidP="00416F0B">
      <w:pPr>
        <w:pStyle w:val="BodyText"/>
      </w:pPr>
      <w:r>
        <w:t xml:space="preserve">Both </w:t>
      </w:r>
      <w:r w:rsidRPr="00B06562">
        <w:rPr>
          <w:rStyle w:val="Strong"/>
        </w:rPr>
        <w:t>confirmed cases</w:t>
      </w:r>
      <w:r>
        <w:t xml:space="preserve"> and </w:t>
      </w:r>
      <w:r w:rsidRPr="00B06562">
        <w:rPr>
          <w:rStyle w:val="Strong"/>
        </w:rPr>
        <w:t>probable cases</w:t>
      </w:r>
      <w:r>
        <w:t xml:space="preserve"> should be notified. </w:t>
      </w:r>
    </w:p>
    <w:p w14:paraId="6C57B354" w14:textId="77777777" w:rsidR="00416F0B" w:rsidRPr="002C1BEF" w:rsidRDefault="00416F0B" w:rsidP="00416F0B">
      <w:pPr>
        <w:pStyle w:val="BodyText"/>
      </w:pPr>
      <w:r>
        <w:t xml:space="preserve">A suspected case definition has been developed in response to current multi-country outbreaks of mpox in non-endemic countries and may be discontinued as the outbreaks evolve. Suspected cases should not be notified to the National Notifiable Disease Surveillance System (NNDSS). </w:t>
      </w:r>
    </w:p>
    <w:p w14:paraId="203B133F" w14:textId="7AFA4E17" w:rsidR="00416F0B" w:rsidRDefault="00416F0B" w:rsidP="00416F0B">
      <w:pPr>
        <w:pStyle w:val="BodyText"/>
      </w:pPr>
      <w:r>
        <w:t>Clinicians and laboratories should notify cases to state and territory health departments in accordance with jurisdictional legislation and local guidance.</w:t>
      </w:r>
    </w:p>
    <w:p w14:paraId="0D658EE3" w14:textId="0C4723F5" w:rsidR="00AD6802" w:rsidRDefault="00AD6802" w:rsidP="00AD6802">
      <w:pPr>
        <w:pStyle w:val="Heading2"/>
      </w:pPr>
      <w:r>
        <w:t>Laboratory case definition</w:t>
      </w:r>
    </w:p>
    <w:p w14:paraId="5B9B0013" w14:textId="638188A4" w:rsidR="00AD6802" w:rsidRPr="00CC64D2" w:rsidRDefault="00C00512" w:rsidP="00AD6802">
      <w:pPr>
        <w:pStyle w:val="Boxgreentext"/>
      </w:pPr>
      <w:r w:rsidRPr="00C00512">
        <w:t xml:space="preserve">See the </w:t>
      </w:r>
      <w:hyperlink r:id="rId17" w:history="1">
        <w:r w:rsidRPr="00C00512">
          <w:rPr>
            <w:rStyle w:val="Hyperlink"/>
          </w:rPr>
          <w:t>Public Health Laboratory Network (PHLN) laboratory case definitions</w:t>
        </w:r>
      </w:hyperlink>
      <w:r w:rsidRPr="00C00512">
        <w:t>.</w:t>
      </w:r>
    </w:p>
    <w:p w14:paraId="645EBB35" w14:textId="77777777" w:rsidR="00AD6802" w:rsidRDefault="00AD6802" w:rsidP="00AD6802">
      <w:pPr>
        <w:pStyle w:val="Heading2"/>
      </w:pPr>
      <w:r>
        <w:t>Testing</w:t>
      </w:r>
    </w:p>
    <w:bookmarkEnd w:id="48"/>
    <w:bookmarkEnd w:id="49"/>
    <w:bookmarkEnd w:id="50"/>
    <w:p w14:paraId="678AAAC1" w14:textId="77777777" w:rsidR="003A10CC" w:rsidRPr="002D7A91" w:rsidRDefault="003A10CC" w:rsidP="003A10CC">
      <w:pPr>
        <w:pStyle w:val="BodyText"/>
      </w:pPr>
      <w:r w:rsidRPr="552DFC98">
        <w:t>Patients</w:t>
      </w:r>
      <w:r w:rsidRPr="00A02ABC">
        <w:t xml:space="preserve"> with symptoms who present with a history suggestive of exposure to </w:t>
      </w:r>
      <w:r>
        <w:t>MPXV</w:t>
      </w:r>
      <w:r w:rsidRPr="00A02ABC">
        <w:t xml:space="preserve"> should have a specimen collected and be referred for laboratory testing. </w:t>
      </w:r>
      <w:r w:rsidRPr="2940E093">
        <w:t xml:space="preserve">Testing of </w:t>
      </w:r>
      <w:r w:rsidRPr="4BD65A61">
        <w:t>asymptomatic</w:t>
      </w:r>
      <w:r w:rsidRPr="2940E093">
        <w:t xml:space="preserve"> persons is not </w:t>
      </w:r>
      <w:r w:rsidRPr="3A448A26">
        <w:t>recommended, although treating</w:t>
      </w:r>
      <w:r w:rsidRPr="3E3FA74F">
        <w:t xml:space="preserve"> clinicians may choose to </w:t>
      </w:r>
      <w:r>
        <w:t xml:space="preserve">arrange </w:t>
      </w:r>
      <w:r w:rsidRPr="3E3FA74F">
        <w:t>test</w:t>
      </w:r>
      <w:r>
        <w:t>ing for</w:t>
      </w:r>
      <w:r w:rsidRPr="3E3FA74F">
        <w:t xml:space="preserve"> asymptomatic high-risk contacts based on individual clinical risk</w:t>
      </w:r>
      <w:r>
        <w:t xml:space="preserve"> </w:t>
      </w:r>
      <w:r>
        <w:fldChar w:fldCharType="begin"/>
      </w:r>
      <w:r>
        <w:instrText xml:space="preserve"> ADDIN ZOTERO_ITEM CSL_CITATION {"citationID":"FQ9XfEFy","properties":{"formattedCitation":"(75)","plainCitation":"(75)","noteIndex":0},"citationItems":[{"id":140,"uris":["http://zotero.org/users/local/eE57gvz8/items/T4FZXXE3"],"itemData":{"id":140,"type":"article-journal","abstract":"After community transmission of monkeypox virus was identified in Europe, interviews of 45 case-patients from England indicated transmission in international sexual networks of gay and bisexual men since April 2022. Interventions targeting sex-on-premises venues, geospatial dating applications, and sexual health services are likely to be critical for outbreak control.","container-title":"Emerging Infectious Diseases","DOI":"10.3201/eid2810.220960","ISSN":"1080-6059","issue":"10","journalAbbreviation":"Emerg Infect Dis","language":"eng","note":"PMID: 35960543\nPMCID: PMC9514371","page":"2082-2086","source":"PubMed","title":"Epidemiology of Early Monkeypox Virus Transmission in Sexual Networks of Gay and Bisexual Men, England, 2022","volume":"28","author":[{"family":"Vusirikala","given":"Amoolya"},{"family":"Charles","given":"Hannah"},{"family":"Balasegaram","given":"Sooria"},{"family":"Macdonald","given":"Neil"},{"family":"Kumar","given":"Deepti"},{"family":"Barker-Burnside","given":"Ceri"},{"family":"Cumiskey","given":"Kerry"},{"family":"Dickinson","given":"Michelle"},{"family":"Watson","given":"Michelle"},{"family":"Olufon","given":"Oluwakemi"},{"family":"Thorley","given":"Katie"},{"family":"Blomquist","given":"Paula"},{"family":"Anderson","given":"Charlotte"},{"family":"Ma","given":"Thomas"},{"family":"Mohammed","given":"Hamish"},{"family":"Perkins","given":"Samantha"},{"family":"Paranthaman","given":"Karthik"},{"family":"Manley","given":"Petra"},{"family":"Edeghere","given":"Obaghe"},{"family":"Sinka","given":"Katy"},{"family":"Prochazka","given":"Mateo"}],"issued":{"date-parts":[["2022",10]]}}}],"schema":"https://github.com/citation-style-language/schema/raw/master/csl-citation.json"} </w:instrText>
      </w:r>
      <w:r>
        <w:fldChar w:fldCharType="separate"/>
      </w:r>
      <w:r w:rsidRPr="00B06562">
        <w:t>(75)</w:t>
      </w:r>
      <w:r>
        <w:fldChar w:fldCharType="end"/>
      </w:r>
      <w:r w:rsidRPr="3E3FA74F">
        <w:t>.</w:t>
      </w:r>
    </w:p>
    <w:p w14:paraId="4DC5918B" w14:textId="77777777" w:rsidR="003A10CC" w:rsidRPr="00A02ABC" w:rsidRDefault="003A10CC" w:rsidP="003A10CC">
      <w:pPr>
        <w:pStyle w:val="BodyText"/>
      </w:pPr>
      <w:r>
        <w:t>T</w:t>
      </w:r>
      <w:r w:rsidRPr="52C4ED9E">
        <w:t>esting</w:t>
      </w:r>
      <w:r w:rsidRPr="1D9A5536">
        <w:t xml:space="preserve"> </w:t>
      </w:r>
      <w:r w:rsidRPr="00A02ABC">
        <w:t xml:space="preserve">is performed </w:t>
      </w:r>
      <w:r>
        <w:t>in</w:t>
      </w:r>
      <w:r w:rsidRPr="00A02ABC">
        <w:t xml:space="preserve"> jurisdictional public </w:t>
      </w:r>
      <w:r>
        <w:t xml:space="preserve">or private medical </w:t>
      </w:r>
      <w:r w:rsidRPr="00A02ABC">
        <w:t xml:space="preserve">laboratories. </w:t>
      </w:r>
      <w:r w:rsidRPr="1D9A5536">
        <w:t>For further information on recommendations for laboratory testing please refer to</w:t>
      </w:r>
      <w:r>
        <w:t xml:space="preserve"> the </w:t>
      </w:r>
      <w:hyperlink r:id="rId18" w:history="1">
        <w:r w:rsidRPr="00917AC5">
          <w:rPr>
            <w:rStyle w:val="Hyperlink"/>
          </w:rPr>
          <w:t xml:space="preserve">Public Health Laboratory Network </w:t>
        </w:r>
        <w:r w:rsidRPr="00B60377">
          <w:rPr>
            <w:rStyle w:val="Hyperlink"/>
          </w:rPr>
          <w:t>Mpox Laboratory Case Definition</w:t>
        </w:r>
      </w:hyperlink>
      <w:r w:rsidRPr="0067401C">
        <w:t>.</w:t>
      </w:r>
      <w:r w:rsidRPr="552DFC98">
        <w:t xml:space="preserve"> Specific advice from the </w:t>
      </w:r>
      <w:r w:rsidRPr="4143FEE1">
        <w:t>specialist</w:t>
      </w:r>
      <w:r w:rsidRPr="552DFC98">
        <w:t xml:space="preserve"> microbiologist at the testing laboratory may be sought to obtain advice on specimen collection, safe packaging</w:t>
      </w:r>
      <w:r>
        <w:t>,</w:t>
      </w:r>
      <w:r w:rsidRPr="552DFC98">
        <w:t xml:space="preserve"> and transport.</w:t>
      </w:r>
    </w:p>
    <w:p w14:paraId="2F6D5CC3" w14:textId="77777777" w:rsidR="003A10CC" w:rsidRPr="00917AC5" w:rsidRDefault="003A10CC" w:rsidP="00917AC5">
      <w:pPr>
        <w:pStyle w:val="Heading3"/>
      </w:pPr>
      <w:bookmarkStart w:id="51" w:name="_Toc108536055"/>
      <w:bookmarkStart w:id="52" w:name="_Toc122504418"/>
      <w:bookmarkStart w:id="53" w:name="_Toc179789907"/>
      <w:r w:rsidRPr="00917AC5">
        <w:t>Specimen collection and handling</w:t>
      </w:r>
      <w:bookmarkEnd w:id="51"/>
      <w:bookmarkEnd w:id="52"/>
      <w:bookmarkEnd w:id="53"/>
    </w:p>
    <w:p w14:paraId="118C6176" w14:textId="77777777" w:rsidR="003A10CC" w:rsidRPr="00A02ABC" w:rsidRDefault="003A10CC" w:rsidP="003A10CC">
      <w:pPr>
        <w:pStyle w:val="BodyText"/>
      </w:pPr>
      <w:r w:rsidRPr="00A02ABC">
        <w:t>General advice</w:t>
      </w:r>
      <w:r>
        <w:t xml:space="preserve"> on specimen collection and handling</w:t>
      </w:r>
      <w:r w:rsidRPr="00A02ABC">
        <w:t xml:space="preserve"> is outlined in the </w:t>
      </w:r>
      <w:hyperlink r:id="rId19">
        <w:r w:rsidRPr="00917AC5">
          <w:rPr>
            <w:rStyle w:val="Hyperlink"/>
          </w:rPr>
          <w:t>Public Health Laboratory Network Guidance on Monkeypox patient referral, specimen collection and test requesting for general practitioners and sexual health physicians</w:t>
        </w:r>
      </w:hyperlink>
      <w:r w:rsidRPr="00917AC5">
        <w:rPr>
          <w:rStyle w:val="Hyperlink"/>
        </w:rPr>
        <w:t>.</w:t>
      </w:r>
    </w:p>
    <w:p w14:paraId="51839D52" w14:textId="77777777" w:rsidR="003A10CC" w:rsidRPr="00A02ABC" w:rsidRDefault="003A10CC" w:rsidP="003A10CC">
      <w:pPr>
        <w:pStyle w:val="BodyText"/>
      </w:pPr>
      <w:r w:rsidRPr="6DDB75F9">
        <w:lastRenderedPageBreak/>
        <w:t>It is advisable to collect samples from more than one lesion where possible</w:t>
      </w:r>
      <w:r>
        <w:t>. H</w:t>
      </w:r>
      <w:r w:rsidRPr="6DDB75F9">
        <w:t>owever</w:t>
      </w:r>
      <w:r>
        <w:t>,</w:t>
      </w:r>
      <w:r w:rsidRPr="6DDB75F9">
        <w:t xml:space="preserve"> excessive sample collection should be discouraged to minimise </w:t>
      </w:r>
      <w:r>
        <w:t xml:space="preserve">the </w:t>
      </w:r>
      <w:r w:rsidRPr="6DDB75F9">
        <w:t>risk to healthcare workers or laboratory personnel.</w:t>
      </w:r>
    </w:p>
    <w:p w14:paraId="41372822" w14:textId="77777777" w:rsidR="003A10CC" w:rsidRDefault="003A10CC" w:rsidP="003A10CC">
      <w:pPr>
        <w:pStyle w:val="BodyText"/>
      </w:pPr>
      <w:r>
        <w:t>While l</w:t>
      </w:r>
      <w:r w:rsidRPr="5F991821">
        <w:t>esion specimens are preferred</w:t>
      </w:r>
      <w:r>
        <w:t>,</w:t>
      </w:r>
      <w:r w:rsidRPr="5F991821">
        <w:t xml:space="preserve"> rectal,</w:t>
      </w:r>
      <w:r>
        <w:t xml:space="preserve"> vaginal, vulval,</w:t>
      </w:r>
      <w:r w:rsidRPr="5F991821">
        <w:t xml:space="preserve"> throat or nasopharyngeal swabs are also suitable. Such specimens may be collected in </w:t>
      </w:r>
      <w:r>
        <w:t>people</w:t>
      </w:r>
      <w:r w:rsidRPr="5F991821">
        <w:t xml:space="preserve"> with prodromal symptoms who present with no </w:t>
      </w:r>
      <w:r w:rsidRPr="005050DD">
        <w:t>lesions (e.g., a contact who develops symptoms).</w:t>
      </w:r>
      <w:r w:rsidRPr="5F991821">
        <w:t xml:space="preserve"> </w:t>
      </w:r>
    </w:p>
    <w:p w14:paraId="7C0B75EB" w14:textId="77777777" w:rsidR="003A10CC" w:rsidRPr="00A02ABC" w:rsidRDefault="003A10CC" w:rsidP="003A10CC">
      <w:pPr>
        <w:pStyle w:val="BodyText"/>
      </w:pPr>
      <w:r w:rsidRPr="74E4479C">
        <w:t xml:space="preserve">For further advice, including on appropriate </w:t>
      </w:r>
      <w:r>
        <w:t>personal protective equipment (</w:t>
      </w:r>
      <w:r w:rsidRPr="74E4479C">
        <w:t>PPE</w:t>
      </w:r>
      <w:r>
        <w:t>)</w:t>
      </w:r>
      <w:r w:rsidRPr="74E4479C">
        <w:t xml:space="preserve"> and safe handling and transport of specimens, </w:t>
      </w:r>
      <w:r>
        <w:t>see</w:t>
      </w:r>
      <w:r w:rsidRPr="74E4479C">
        <w:t xml:space="preserve"> the </w:t>
      </w:r>
      <w:hyperlink r:id="rId20">
        <w:r w:rsidRPr="00917AC5">
          <w:rPr>
            <w:rStyle w:val="Hyperlink"/>
          </w:rPr>
          <w:t xml:space="preserve">Public Health Laboratory Network </w:t>
        </w:r>
        <w:r w:rsidRPr="74E4479C">
          <w:rPr>
            <w:rStyle w:val="Hyperlink"/>
          </w:rPr>
          <w:t>Mpox Laboratory Case Definition</w:t>
        </w:r>
      </w:hyperlink>
      <w:r w:rsidRPr="74E4479C">
        <w:t xml:space="preserve">. </w:t>
      </w:r>
    </w:p>
    <w:p w14:paraId="5EB7A2D8" w14:textId="77777777" w:rsidR="003A10CC" w:rsidRPr="00917AC5" w:rsidRDefault="003A10CC" w:rsidP="00917AC5">
      <w:pPr>
        <w:pStyle w:val="Heading3"/>
      </w:pPr>
      <w:bookmarkStart w:id="54" w:name="_Toc179789908"/>
      <w:r w:rsidRPr="00917AC5">
        <w:t>Characterisation of clades, subclades, and lineages</w:t>
      </w:r>
      <w:bookmarkEnd w:id="54"/>
    </w:p>
    <w:p w14:paraId="45EF16A7" w14:textId="77777777" w:rsidR="003A10CC" w:rsidRPr="006C0F37" w:rsidRDefault="003A10CC" w:rsidP="003A10CC">
      <w:pPr>
        <w:pStyle w:val="BodyText"/>
      </w:pPr>
      <w:r w:rsidRPr="236F995D">
        <w:t xml:space="preserve">MPXV nucleic acid amplification (NAA) tests may be used to distinguish between MPXV clade I and MPXV clade II infections. </w:t>
      </w:r>
    </w:p>
    <w:p w14:paraId="0044EAE0" w14:textId="77777777" w:rsidR="003A10CC" w:rsidRPr="006C0F37" w:rsidRDefault="003A10CC" w:rsidP="003A10CC">
      <w:pPr>
        <w:pStyle w:val="BodyText"/>
      </w:pPr>
      <w:r w:rsidRPr="69BF10E4">
        <w:t>Public health reference laboratories may also conduct whole genome sequencing (WGS) of MPXV-positive samples to:</w:t>
      </w:r>
    </w:p>
    <w:p w14:paraId="6EF33D8F" w14:textId="77777777" w:rsidR="003A10CC" w:rsidRDefault="003A10CC" w:rsidP="00C72961">
      <w:pPr>
        <w:pStyle w:val="ListBullet"/>
      </w:pPr>
      <w:r>
        <w:t>detect recombinant strains</w:t>
      </w:r>
    </w:p>
    <w:p w14:paraId="048D7AE9" w14:textId="77777777" w:rsidR="003A10CC" w:rsidRDefault="003A10CC" w:rsidP="00C72961">
      <w:pPr>
        <w:pStyle w:val="ListBullet"/>
      </w:pPr>
      <w:r w:rsidRPr="005420E9">
        <w:t>differentiate clades, subclades, and lineages</w:t>
      </w:r>
    </w:p>
    <w:p w14:paraId="42B0E3FB" w14:textId="77777777" w:rsidR="003A10CC" w:rsidRDefault="003A10CC" w:rsidP="00C72961">
      <w:pPr>
        <w:pStyle w:val="ListBullet"/>
      </w:pPr>
      <w:r w:rsidRPr="00495150">
        <w:t xml:space="preserve">monitor mutations to ensure routine </w:t>
      </w:r>
      <w:r w:rsidRPr="00022228">
        <w:t>NAA</w:t>
      </w:r>
      <w:r w:rsidRPr="00495150">
        <w:t xml:space="preserve"> tests are fit for purpose</w:t>
      </w:r>
    </w:p>
    <w:p w14:paraId="1726FBE3" w14:textId="77777777" w:rsidR="003A10CC" w:rsidRDefault="003A10CC" w:rsidP="00C72961">
      <w:pPr>
        <w:pStyle w:val="ListBullet"/>
      </w:pPr>
      <w:r w:rsidRPr="69BF10E4">
        <w:t>assist, in combination with epidemiologic information, with the identification of transmission links and/or clusters, where these are not already clear</w:t>
      </w:r>
    </w:p>
    <w:p w14:paraId="4D99F5ED" w14:textId="77777777" w:rsidR="003A10CC" w:rsidRPr="00495150" w:rsidRDefault="003A10CC" w:rsidP="00C72961">
      <w:pPr>
        <w:pStyle w:val="ListBullet"/>
      </w:pPr>
      <w:r w:rsidRPr="00022228">
        <w:t xml:space="preserve">monitor </w:t>
      </w:r>
      <w:r w:rsidRPr="00B06562">
        <w:rPr>
          <w:rStyle w:val="Emphasis"/>
        </w:rPr>
        <w:t>in silico</w:t>
      </w:r>
      <w:r w:rsidRPr="00022228">
        <w:t xml:space="preserve"> antiviral resistance patterns </w:t>
      </w:r>
      <w:r w:rsidRPr="00022228">
        <w:fldChar w:fldCharType="begin"/>
      </w:r>
      <w:r w:rsidRPr="00022228">
        <w:instrText xml:space="preserve"> ADDIN ZOTERO_ITEM CSL_CITATION {"citationID":"quncQZMd","properties":{"formattedCitation":"(76)","plainCitation":"(76)","noteIndex":0},"citationItems":[{"id":143,"uris":["http://zotero.org/users/local/eE57gvz8/items/FQY8W2P6"],"itemData":{"id":143,"type":"article-journal","abstract":"Background: Monkeypox is a global public health concern, given the recent outbreaks in non-endemic countries where little scientific evidence exists on the disease. Specifically, there is a lack of data on asymptomatic monkeypox virus infection. This study aims to evaluate the overall prevalence of asymptomatic monkeypox virus infection. Methods: In this systematic review and meta-analysis, we performed an extensive literature search in PubMed, Scopus, Web of Science, ProQuest, EMBASE, EBSCOHost, Cochrane, and preprint servers (medRxiv, arXiv, bioRxiv, BioRN, ChiRxiv, ChiRN, and SSRN) and assessed all published articles till September 2022. Primary studies reporting monkeypox infections among asymptomatic participants were included after quality assessment. The characteristics of the study and information on the number of cases and symptomatic status were extracted from the included studies. The heterogeneity between studies was assessed using the I2 statistic. Publication bias was analyzed using funnel plots and Egger regression tests. The primary outcome was the pooled prevalence of asymptomatic infections within the examined population. Results: A total of 16 studies were included for qualitative synthesis, while five studies, including 645 individuals, were included for quantitative synthesis. There was substantial heterogeneity between studies (I2 = 94.86%; p &lt; 0.01), with a pooled percentage of asymptomatic infections in the studied population of 10.2% (95%CI, 2.5−17.9%). Conclusion: This meta-analysis suggests that many people infected with the monkeypox virus are asymptomatic and difficult to detect. Therefore, prompt detection of these cases of monkeypox virus and appropriate subsequent management is of utmost importance to global public health.","container-title":"Vaccines","DOI":"10.3390/vaccines10122083","ISSN":"2076-393X","issue":"12","journalAbbreviation":"Vaccines (Basel)","language":"eng","note":"PMID: 36560493\nPMCID: PMC9784491","page":"2083","source":"PubMed","title":"Potentially Asymptomatic Infection of Monkeypox Virus: A Systematic Review and Meta-Analysis","title-short":"Potentially Asymptomatic Infection of Monkeypox Virus","volume":"10","author":[{"family":"Satapathy","given":"Prakasini"},{"family":"Mohanty","given":"Parimala"},{"family":"Manna","given":"Subhanwita"},{"family":"Shamim","given":"Muhammad A."},{"family":"Rao","given":"Priyanka Prasad"},{"family":"Aggarwal","given":"Arun Kumar"},{"family":"Khubchandani","given":"Jagdish"},{"family":"Mohanty","given":"Aroop"},{"family":"Nowrouzi-Kia","given":"Behdin"},{"family":"Chattu","given":"Vijay Kumar"},{"family":"Padhi","given":"Bijaya Kumar"},{"family":"Rodriguez-Morales","given":"Alfonso J."},{"family":"Sah","given":"Ranjit"}],"issued":{"date-parts":[["2022",12,6]]}}}],"schema":"https://github.com/citation-style-language/schema/raw/master/csl-citation.json"} </w:instrText>
      </w:r>
      <w:r w:rsidRPr="00022228">
        <w:fldChar w:fldCharType="separate"/>
      </w:r>
      <w:r w:rsidRPr="00B06562">
        <w:t>(76)</w:t>
      </w:r>
      <w:r w:rsidRPr="00022228">
        <w:fldChar w:fldCharType="end"/>
      </w:r>
      <w:r w:rsidRPr="00022228">
        <w:t>.</w:t>
      </w:r>
    </w:p>
    <w:p w14:paraId="267C635C" w14:textId="3D69E363" w:rsidR="003A10CC" w:rsidRDefault="003A10CC" w:rsidP="003A10CC">
      <w:pPr>
        <w:pStyle w:val="BodyText"/>
      </w:pPr>
      <w:r w:rsidRPr="4E512D68">
        <w:t>Decisions about WGS are made by individual states and territories after agreement between laboratory and public health professionals. Jurisdictions may choose to sequence MPXV-positive samples where:</w:t>
      </w:r>
    </w:p>
    <w:p w14:paraId="0CFC873C" w14:textId="77777777" w:rsidR="003A10CC" w:rsidRDefault="003A10CC" w:rsidP="00C72961">
      <w:pPr>
        <w:pStyle w:val="ListBullet"/>
      </w:pPr>
      <w:r w:rsidRPr="7A1677BC">
        <w:t>there is a reasonable suspicion that the person is infected with MPXV clade I in the absence of clade and subclade specific NAA tests</w:t>
      </w:r>
    </w:p>
    <w:p w14:paraId="4EDCAEDC" w14:textId="77777777" w:rsidR="003A10CC" w:rsidRDefault="003A10CC" w:rsidP="00C72961">
      <w:pPr>
        <w:pStyle w:val="ListBullet"/>
      </w:pPr>
      <w:r w:rsidRPr="00495150">
        <w:t>cases do not have epidemiological links and/or are atypical (</w:t>
      </w:r>
      <w:r>
        <w:t>e.g</w:t>
      </w:r>
      <w:r w:rsidRPr="00495150">
        <w:t xml:space="preserve">., </w:t>
      </w:r>
      <w:r>
        <w:t>a cis female</w:t>
      </w:r>
      <w:r w:rsidRPr="00495150">
        <w:t xml:space="preserve"> with no</w:t>
      </w:r>
      <w:r>
        <w:t xml:space="preserve"> </w:t>
      </w:r>
      <w:r w:rsidRPr="00495150">
        <w:t>MSM contact)</w:t>
      </w:r>
    </w:p>
    <w:p w14:paraId="5B40FF30" w14:textId="21EDCBF1" w:rsidR="003A10CC" w:rsidRPr="003A10CC" w:rsidRDefault="003A10CC" w:rsidP="00C72961">
      <w:pPr>
        <w:pStyle w:val="ListBullet"/>
      </w:pPr>
      <w:r w:rsidRPr="4E512D68">
        <w:t xml:space="preserve">an mpox outbreak is emerging and there is a need to better understand the circulating viral population and potential transmission dynamics </w:t>
      </w:r>
      <w:r w:rsidRPr="00D427AF">
        <w:t xml:space="preserve">jurisdictions have capacity </w:t>
      </w:r>
      <w:r>
        <w:t xml:space="preserve">and </w:t>
      </w:r>
      <w:r w:rsidRPr="00D427AF">
        <w:t xml:space="preserve">resources </w:t>
      </w:r>
      <w:r>
        <w:t xml:space="preserve">available </w:t>
      </w:r>
      <w:r w:rsidRPr="00D427AF">
        <w:t>for WGS.</w:t>
      </w:r>
    </w:p>
    <w:p w14:paraId="03B301D6" w14:textId="2886ED0E" w:rsidR="00AD6802" w:rsidRPr="00D3630B" w:rsidRDefault="00AD6802" w:rsidP="00D3630B">
      <w:pPr>
        <w:pStyle w:val="BodyText"/>
      </w:pPr>
      <w:r w:rsidRPr="00D3630B">
        <w:br w:type="page"/>
      </w:r>
    </w:p>
    <w:p w14:paraId="055A1E8D" w14:textId="77777777" w:rsidR="00AD6802" w:rsidRDefault="00AD6802" w:rsidP="00AD6802">
      <w:pPr>
        <w:pStyle w:val="Heading1"/>
      </w:pPr>
      <w:bookmarkStart w:id="55" w:name="_Toc232174949"/>
      <w:bookmarkStart w:id="56" w:name="_Toc232181747"/>
      <w:bookmarkStart w:id="57" w:name="_Toc238570905"/>
      <w:r>
        <w:lastRenderedPageBreak/>
        <w:t>Case management</w:t>
      </w:r>
      <w:bookmarkEnd w:id="55"/>
      <w:bookmarkEnd w:id="56"/>
      <w:bookmarkEnd w:id="57"/>
    </w:p>
    <w:p w14:paraId="0E384CC3" w14:textId="64B81FBD" w:rsidR="00AD6802" w:rsidRDefault="00AD6802" w:rsidP="00AD6802">
      <w:pPr>
        <w:pStyle w:val="Heading2"/>
      </w:pPr>
      <w:bookmarkStart w:id="58" w:name="_Toc230260166"/>
      <w:bookmarkStart w:id="59" w:name="_Toc232174950"/>
      <w:bookmarkStart w:id="60" w:name="_Toc232181748"/>
      <w:r>
        <w:t>Response procedure</w:t>
      </w:r>
      <w:bookmarkEnd w:id="58"/>
      <w:bookmarkEnd w:id="59"/>
      <w:bookmarkEnd w:id="60"/>
    </w:p>
    <w:p w14:paraId="3DD8421B" w14:textId="77777777" w:rsidR="00F03C78" w:rsidRPr="002838F3" w:rsidDel="00F207F1" w:rsidRDefault="00F03C78" w:rsidP="00F03C78">
      <w:pPr>
        <w:pStyle w:val="BodyText"/>
      </w:pPr>
      <w:r w:rsidRPr="00A02ABC">
        <w:t>PHUs should begin follow</w:t>
      </w:r>
      <w:r>
        <w:t xml:space="preserve"> </w:t>
      </w:r>
      <w:r w:rsidRPr="00A02ABC">
        <w:t xml:space="preserve">up investigation for all </w:t>
      </w:r>
      <w:r w:rsidRPr="552DFC98">
        <w:t xml:space="preserve">suspected, </w:t>
      </w:r>
      <w:r w:rsidRPr="00A02ABC">
        <w:t>probable</w:t>
      </w:r>
      <w:r>
        <w:t>,</w:t>
      </w:r>
      <w:r w:rsidRPr="00A02ABC">
        <w:t xml:space="preserve"> and confirmed cases on the day of notification</w:t>
      </w:r>
      <w:r>
        <w:t>,</w:t>
      </w:r>
      <w:r w:rsidRPr="00A02ABC">
        <w:t xml:space="preserve"> to identify the source of exposure and contacts. </w:t>
      </w:r>
    </w:p>
    <w:p w14:paraId="2C6CEABD" w14:textId="77777777" w:rsidR="00F03C78" w:rsidRPr="00430C76" w:rsidRDefault="00F03C78" w:rsidP="00F03C78">
      <w:pPr>
        <w:pStyle w:val="BodyText"/>
      </w:pPr>
      <w:r w:rsidRPr="00430C76">
        <w:t xml:space="preserve">The jurisdictional communicable diseases unit should notify the National Focal Point within 3 working days via email to </w:t>
      </w:r>
      <w:hyperlink r:id="rId21" w:history="1">
        <w:r w:rsidRPr="00917AC5">
          <w:rPr>
            <w:rStyle w:val="Hyperlink"/>
          </w:rPr>
          <w:t>health.ops@health.gov.a</w:t>
        </w:r>
        <w:r w:rsidRPr="00DA10B3">
          <w:rPr>
            <w:rStyle w:val="Hyperlink"/>
          </w:rPr>
          <w:t>u</w:t>
        </w:r>
      </w:hyperlink>
      <w:r>
        <w:t xml:space="preserve"> </w:t>
      </w:r>
      <w:r w:rsidRPr="000D7CA9">
        <w:t>if:</w:t>
      </w:r>
    </w:p>
    <w:p w14:paraId="697621D6" w14:textId="77777777" w:rsidR="00F03C78" w:rsidRPr="00430C76" w:rsidRDefault="00F03C78" w:rsidP="00F03C78">
      <w:pPr>
        <w:pStyle w:val="ListBullet"/>
      </w:pPr>
      <w:r w:rsidRPr="00430C76">
        <w:t>there is concern regarding the potential for a mass transmission event or multi-jurisdictional outbreak</w:t>
      </w:r>
    </w:p>
    <w:p w14:paraId="73FCEC06" w14:textId="77777777" w:rsidR="00F03C78" w:rsidRPr="00430C76" w:rsidRDefault="00F03C78" w:rsidP="00F03C78">
      <w:pPr>
        <w:pStyle w:val="ListBullet"/>
      </w:pPr>
      <w:r w:rsidRPr="00430C76">
        <w:t>the infection appears to have been acquired on a cruise ship or plane</w:t>
      </w:r>
    </w:p>
    <w:p w14:paraId="48F7A7DA" w14:textId="77777777" w:rsidR="00F03C78" w:rsidRPr="00430C76" w:rsidRDefault="00F03C78" w:rsidP="00F03C78">
      <w:pPr>
        <w:pStyle w:val="ListBullet"/>
      </w:pPr>
      <w:r w:rsidRPr="00430C76">
        <w:t>the infection appears to have been acquired via an unusual transmission pathway.</w:t>
      </w:r>
    </w:p>
    <w:p w14:paraId="5FEF31D5" w14:textId="77777777" w:rsidR="00F03C78" w:rsidRPr="00A767A2" w:rsidRDefault="00F03C78" w:rsidP="00F03C78">
      <w:pPr>
        <w:pStyle w:val="BodyText"/>
      </w:pPr>
      <w:r>
        <w:t>A risk-based approach is advised to inform case management and should be guided by the characteristics of case presentation and contact with those at risk of severe disease. Factors to inform a risk-based approach may include:</w:t>
      </w:r>
    </w:p>
    <w:p w14:paraId="765797D6" w14:textId="77777777" w:rsidR="00F03C78" w:rsidRDefault="00F03C78" w:rsidP="00F03C78">
      <w:pPr>
        <w:pStyle w:val="ListBullet"/>
      </w:pPr>
      <w:r>
        <w:t xml:space="preserve">disease severity or epidemiological links to a person with disseminated disease </w:t>
      </w:r>
    </w:p>
    <w:p w14:paraId="1968D652" w14:textId="77777777" w:rsidR="00F03C78" w:rsidRDefault="00F03C78" w:rsidP="00F03C78">
      <w:pPr>
        <w:pStyle w:val="ListBullet"/>
      </w:pPr>
      <w:r>
        <w:t>factors that may increase the risk of onward transmission, including disseminated rash/lesions, respiratory symptoms, aerosol generating procedures (AGPs), and higher-risk activities or exposures during the infectious period</w:t>
      </w:r>
    </w:p>
    <w:p w14:paraId="65F2B8B7" w14:textId="77777777" w:rsidR="00F03C78" w:rsidRPr="00B06562" w:rsidRDefault="00F03C78" w:rsidP="00B06562">
      <w:pPr>
        <w:pStyle w:val="ListBullet"/>
      </w:pPr>
      <w:r w:rsidRPr="00B06562">
        <w:t>work or attendance at high-risk settings including healthcare, daycare/childcare, residential care facilities, events involving skin-to-skin or intimate contact, and SOPV</w:t>
      </w:r>
    </w:p>
    <w:p w14:paraId="2BA535C6" w14:textId="77777777" w:rsidR="00F03C78" w:rsidRPr="00B06562" w:rsidRDefault="00F03C78" w:rsidP="00B06562">
      <w:pPr>
        <w:pStyle w:val="ListBullet"/>
      </w:pPr>
      <w:r w:rsidRPr="00B06562" w:rsidDel="00ED6AE0">
        <w:t xml:space="preserve">cases among </w:t>
      </w:r>
      <w:r w:rsidRPr="00B06562">
        <w:t xml:space="preserve">individuals living or working in remote communities (including </w:t>
      </w:r>
      <w:hyperlink w:anchor="_Aboriginal_and_Torres_2" w:history="1">
        <w:r w:rsidRPr="00917AC5">
          <w:rPr>
            <w:rStyle w:val="Hyperlink"/>
          </w:rPr>
          <w:t>Aboriginal and Torres Strait Islander communities</w:t>
        </w:r>
      </w:hyperlink>
      <w:r w:rsidRPr="00B06562">
        <w:t>) where timely clinical assessment and intervention may be limited</w:t>
      </w:r>
    </w:p>
    <w:p w14:paraId="7C0CB8FB" w14:textId="77777777" w:rsidR="00F03C78" w:rsidRPr="00B06562" w:rsidRDefault="00F03C78" w:rsidP="00F03C78">
      <w:pPr>
        <w:pStyle w:val="ListBullet"/>
      </w:pPr>
      <w:r>
        <w:t>potential difficulties</w:t>
      </w:r>
      <w:r w:rsidRPr="6C24A778">
        <w:t xml:space="preserve"> follow</w:t>
      </w:r>
      <w:r>
        <w:t>ing</w:t>
      </w:r>
      <w:r w:rsidRPr="6C24A778">
        <w:t xml:space="preserve"> exclusion and restriction criteria </w:t>
      </w:r>
      <w:r>
        <w:t xml:space="preserve">due to the social determinants of health, </w:t>
      </w:r>
      <w:r w:rsidRPr="6C24A778">
        <w:t>such as those experiencing homelessness, overcrowding or other social issues</w:t>
      </w:r>
      <w:r>
        <w:t>.</w:t>
      </w:r>
    </w:p>
    <w:p w14:paraId="216BF46F" w14:textId="77777777" w:rsidR="00AD6802" w:rsidRDefault="00AD6802" w:rsidP="00AD6802">
      <w:pPr>
        <w:pStyle w:val="Heading2"/>
      </w:pPr>
      <w:bookmarkStart w:id="61" w:name="_Toc230260167"/>
      <w:bookmarkStart w:id="62" w:name="_Toc232174951"/>
      <w:bookmarkStart w:id="63" w:name="_Toc232181749"/>
      <w:r>
        <w:lastRenderedPageBreak/>
        <w:t>Case investigation</w:t>
      </w:r>
      <w:bookmarkEnd w:id="61"/>
      <w:bookmarkEnd w:id="62"/>
      <w:bookmarkEnd w:id="63"/>
    </w:p>
    <w:p w14:paraId="0A565771" w14:textId="77777777" w:rsidR="00316EFF" w:rsidRPr="00A02ABC" w:rsidRDefault="00316EFF" w:rsidP="00316EFF">
      <w:pPr>
        <w:pStyle w:val="BodyText"/>
      </w:pPr>
      <w:r w:rsidRPr="552DFC98">
        <w:t xml:space="preserve">PHUs should respond to a case in collaboration with the treating clinician </w:t>
      </w:r>
      <w:r>
        <w:t>and/</w:t>
      </w:r>
      <w:r w:rsidRPr="552DFC98">
        <w:t>or local health service</w:t>
      </w:r>
      <w:r w:rsidRPr="3690E4F6">
        <w:t>,</w:t>
      </w:r>
      <w:r w:rsidRPr="552DFC98">
        <w:t xml:space="preserve"> and ensure that the following action</w:t>
      </w:r>
      <w:r>
        <w:t>s</w:t>
      </w:r>
      <w:r w:rsidRPr="552DFC98">
        <w:t xml:space="preserve"> are taken: </w:t>
      </w:r>
    </w:p>
    <w:p w14:paraId="2D653D9A" w14:textId="77777777" w:rsidR="00316EFF" w:rsidRPr="004C024F" w:rsidRDefault="00316EFF" w:rsidP="00316EFF">
      <w:pPr>
        <w:pStyle w:val="ListBullet"/>
      </w:pPr>
      <w:r w:rsidRPr="004C024F">
        <w:t>Samples for relevant pathology tests are collected and results are confirmed.</w:t>
      </w:r>
    </w:p>
    <w:p w14:paraId="1FF91596" w14:textId="77777777" w:rsidR="00316EFF" w:rsidRPr="004C024F" w:rsidRDefault="00316EFF" w:rsidP="00316EFF">
      <w:pPr>
        <w:pStyle w:val="ListBullet"/>
      </w:pPr>
      <w:r w:rsidRPr="004C024F">
        <w:t xml:space="preserve">Where possible, contact the treating doctor to ensure they have discussed the diagnosis with </w:t>
      </w:r>
      <w:r w:rsidRPr="009F3EBD">
        <w:t>the person</w:t>
      </w:r>
      <w:r w:rsidRPr="004C024F">
        <w:t xml:space="preserve"> (or caregiver) and advise the need for the PHU to interview the case (or caregiver) for public health purposes.</w:t>
      </w:r>
    </w:p>
    <w:p w14:paraId="31BDF0C3" w14:textId="77777777" w:rsidR="00316EFF" w:rsidRPr="00B06562" w:rsidRDefault="00316EFF" w:rsidP="00316EFF">
      <w:pPr>
        <w:pStyle w:val="ListBullet"/>
      </w:pPr>
      <w:r w:rsidRPr="7A1677BC">
        <w:t xml:space="preserve">Interview the case (or caregiver) to ascertain symptom onset date and obtain the following information for the exposure period (from 21 days prior to symptom onset) and the </w:t>
      </w:r>
      <w:hyperlink w:anchor="_Infectious_period" w:history="1">
        <w:r w:rsidRPr="00917AC5">
          <w:rPr>
            <w:rStyle w:val="Hyperlink"/>
          </w:rPr>
          <w:t>infectious period</w:t>
        </w:r>
      </w:hyperlink>
      <w:r w:rsidRPr="7A1677BC">
        <w:t xml:space="preserve"> (for duration of symptoms, or up to 4 days pre-symptom onset in some instances):</w:t>
      </w:r>
    </w:p>
    <w:p w14:paraId="5ECA3770" w14:textId="77777777" w:rsidR="00316EFF" w:rsidRPr="00B06562" w:rsidRDefault="00316EFF" w:rsidP="00B06562">
      <w:pPr>
        <w:pStyle w:val="ListBullet2"/>
      </w:pPr>
      <w:r w:rsidRPr="00B06562">
        <w:t>Symptoms and healthcare presentations.</w:t>
      </w:r>
    </w:p>
    <w:p w14:paraId="0EBDB249" w14:textId="77777777" w:rsidR="00316EFF" w:rsidRPr="00B06562" w:rsidRDefault="00316EFF" w:rsidP="00B06562">
      <w:pPr>
        <w:pStyle w:val="ListBullet2"/>
      </w:pPr>
      <w:r w:rsidRPr="00B06562">
        <w:t>Travel history.</w:t>
      </w:r>
    </w:p>
    <w:p w14:paraId="1E6D51E5" w14:textId="77777777" w:rsidR="00316EFF" w:rsidRPr="00B06562" w:rsidRDefault="00316EFF" w:rsidP="00B06562">
      <w:pPr>
        <w:pStyle w:val="ListBullet2"/>
      </w:pPr>
      <w:r w:rsidRPr="00B06562">
        <w:t>Attendance at any high-risk settings or activities.</w:t>
      </w:r>
    </w:p>
    <w:p w14:paraId="62EB7A95" w14:textId="77777777" w:rsidR="00316EFF" w:rsidRPr="00B06562" w:rsidRDefault="00316EFF" w:rsidP="00B06562">
      <w:pPr>
        <w:pStyle w:val="ListBullet2"/>
      </w:pPr>
      <w:r w:rsidRPr="00B06562">
        <w:t>Any exposure with a confirmed or probable case and nature of the contact.</w:t>
      </w:r>
    </w:p>
    <w:p w14:paraId="7ECA8F66" w14:textId="77777777" w:rsidR="00316EFF" w:rsidRPr="00B06562" w:rsidRDefault="00316EFF" w:rsidP="00B06562">
      <w:pPr>
        <w:pStyle w:val="ListBullet2"/>
      </w:pPr>
      <w:r w:rsidRPr="00B06562">
        <w:t xml:space="preserve">Details of sexual contacts and intimate partners, including recent travel history. </w:t>
      </w:r>
    </w:p>
    <w:p w14:paraId="3BEC4420" w14:textId="77777777" w:rsidR="00316EFF" w:rsidRPr="00B06562" w:rsidRDefault="00316EFF" w:rsidP="00B06562">
      <w:pPr>
        <w:pStyle w:val="ListBullet2"/>
      </w:pPr>
      <w:r w:rsidRPr="00B06562">
        <w:t>Details of living circumstances.</w:t>
      </w:r>
    </w:p>
    <w:p w14:paraId="71FE5411" w14:textId="77777777" w:rsidR="00316EFF" w:rsidRPr="00B06562" w:rsidRDefault="00316EFF" w:rsidP="00B06562">
      <w:pPr>
        <w:pStyle w:val="ListBullet2"/>
      </w:pPr>
      <w:r w:rsidRPr="00B06562">
        <w:t>Smallpox and mpox vaccination status.</w:t>
      </w:r>
    </w:p>
    <w:p w14:paraId="44EC0537" w14:textId="77777777" w:rsidR="00316EFF" w:rsidRPr="004C024F" w:rsidRDefault="00316EFF" w:rsidP="00316EFF">
      <w:pPr>
        <w:pStyle w:val="ListBullet"/>
      </w:pPr>
      <w:r w:rsidRPr="74E4479C">
        <w:t>Prioritise identification of contacts</w:t>
      </w:r>
      <w:r>
        <w:t>:</w:t>
      </w:r>
      <w:r w:rsidRPr="74E4479C">
        <w:t xml:space="preserve"> In instances where sexual encounters are anonymous, or where people are unwilling or unable to provide details of contacts, consider whether the case can provide information to contacts</w:t>
      </w:r>
      <w:r>
        <w:t xml:space="preserve"> either</w:t>
      </w:r>
      <w:r w:rsidRPr="74E4479C">
        <w:t xml:space="preserve"> directly or via private messages on the dating/hook up apps on which they met. </w:t>
      </w:r>
    </w:p>
    <w:p w14:paraId="2D90DE55" w14:textId="77777777" w:rsidR="00316EFF" w:rsidRPr="00B06562" w:rsidRDefault="00316EFF" w:rsidP="00B06562">
      <w:pPr>
        <w:pStyle w:val="ListBullet"/>
      </w:pPr>
      <w:r w:rsidRPr="00B06562">
        <w:t>Identify the likely source of infection.</w:t>
      </w:r>
    </w:p>
    <w:p w14:paraId="29AE2411" w14:textId="77777777" w:rsidR="00316EFF" w:rsidRPr="00B06562" w:rsidRDefault="00316EFF" w:rsidP="00B06562">
      <w:pPr>
        <w:pStyle w:val="ListBullet"/>
      </w:pPr>
      <w:r w:rsidRPr="00B06562">
        <w:t>Implement public health management of confirmed and probable cases, and their contacts. This includes providing advice around transmission prevention and arrangements for access to vaccination as post exposure prophylaxis (PEP) for contacts.</w:t>
      </w:r>
    </w:p>
    <w:p w14:paraId="18AA7B11" w14:textId="77777777" w:rsidR="00316EFF" w:rsidRPr="00F53C0E" w:rsidRDefault="00316EFF" w:rsidP="00316EFF">
      <w:pPr>
        <w:pStyle w:val="ListBullet"/>
      </w:pPr>
      <w:r w:rsidRPr="00B06562">
        <w:t xml:space="preserve">Ensure people with mpox have access to contact numbers for the PHU and counselling services, to seek advice or support where required. See the </w:t>
      </w:r>
      <w:hyperlink r:id="rId22">
        <w:r w:rsidRPr="00917AC5">
          <w:rPr>
            <w:rStyle w:val="Hyperlink"/>
          </w:rPr>
          <w:t>Department of Health, Disability and Ageing website</w:t>
        </w:r>
      </w:hyperlink>
      <w:r w:rsidRPr="00B06562">
        <w:t xml:space="preserve"> for a list of mental health and suicide prevention services.</w:t>
      </w:r>
    </w:p>
    <w:p w14:paraId="323EEC13" w14:textId="77777777" w:rsidR="00AD6802" w:rsidRPr="00917AC5" w:rsidRDefault="00AD6802" w:rsidP="00917AC5">
      <w:pPr>
        <w:pStyle w:val="Heading3"/>
      </w:pPr>
      <w:bookmarkStart w:id="64" w:name="_Exposure_investigation"/>
      <w:bookmarkStart w:id="65" w:name="_Toc230260168"/>
      <w:bookmarkEnd w:id="64"/>
      <w:r w:rsidRPr="00917AC5">
        <w:t>Exposure investigation</w:t>
      </w:r>
      <w:bookmarkEnd w:id="65"/>
    </w:p>
    <w:p w14:paraId="0A38BAC3" w14:textId="77777777" w:rsidR="00FD573A" w:rsidRDefault="00FD573A" w:rsidP="00FD573A">
      <w:pPr>
        <w:pStyle w:val="BodyText"/>
      </w:pPr>
      <w:r>
        <w:t>PHUs should do the following:</w:t>
      </w:r>
    </w:p>
    <w:p w14:paraId="3D6187D5" w14:textId="77777777" w:rsidR="00FD573A" w:rsidRPr="00DA6E14" w:rsidRDefault="00FD573A" w:rsidP="00FD573A">
      <w:pPr>
        <w:pStyle w:val="ListBullet"/>
      </w:pPr>
      <w:r>
        <w:lastRenderedPageBreak/>
        <w:t>Aim to identify the source of infection from the information obtained during the case investigation.</w:t>
      </w:r>
    </w:p>
    <w:p w14:paraId="61A4CAAC" w14:textId="77777777" w:rsidR="00FD573A" w:rsidRDefault="00FD573A" w:rsidP="00FD573A">
      <w:pPr>
        <w:pStyle w:val="ListBullet"/>
      </w:pPr>
      <w:r>
        <w:t>U</w:t>
      </w:r>
      <w:r w:rsidRPr="74E4479C">
        <w:t>ndertake upstream testing of suspected cases, if</w:t>
      </w:r>
      <w:r w:rsidRPr="74E4479C" w:rsidDel="1829CE05">
        <w:t xml:space="preserve"> </w:t>
      </w:r>
      <w:r w:rsidRPr="74E4479C">
        <w:t>appropriate, to identify the source, understand transmission pathways and risk factors, and inform public health action.</w:t>
      </w:r>
    </w:p>
    <w:p w14:paraId="0A000F97" w14:textId="77777777" w:rsidR="00FD573A" w:rsidRPr="00ED3E01" w:rsidRDefault="00FD573A" w:rsidP="00FD573A">
      <w:pPr>
        <w:pStyle w:val="ListBullet2"/>
      </w:pPr>
      <w:r w:rsidRPr="74E4479C">
        <w:t>Discuss upstream testing with a clinical microbiologist to determine most appropriate method. This may not be feasible during high case numbers, during which broader public health messaging and mechanisms to increase vaccination may be more effective.</w:t>
      </w:r>
    </w:p>
    <w:p w14:paraId="3F62C4EF" w14:textId="77777777" w:rsidR="00FD573A" w:rsidRPr="00ED3E01" w:rsidRDefault="00FD573A" w:rsidP="00FD573A">
      <w:pPr>
        <w:pStyle w:val="ListBullet"/>
      </w:pPr>
      <w:r>
        <w:t>I</w:t>
      </w:r>
      <w:r w:rsidRPr="39408227">
        <w:t>nvestigate other plausible sources, such as the household or workplace</w:t>
      </w:r>
      <w:r>
        <w:t>, if the person has no identified sexual source of infection</w:t>
      </w:r>
      <w:r w:rsidRPr="39408227">
        <w:t>.</w:t>
      </w:r>
    </w:p>
    <w:p w14:paraId="3B3E7FF4" w14:textId="77777777" w:rsidR="00AD6802" w:rsidRDefault="00AD6802" w:rsidP="00AD6802">
      <w:pPr>
        <w:pStyle w:val="Heading2"/>
      </w:pPr>
      <w:bookmarkStart w:id="66" w:name="_Toc230260172"/>
      <w:bookmarkStart w:id="67" w:name="_Toc232174954"/>
      <w:bookmarkStart w:id="68" w:name="_Toc232181752"/>
      <w:r>
        <w:t>Exclusions and restrictions</w:t>
      </w:r>
      <w:bookmarkEnd w:id="66"/>
      <w:bookmarkEnd w:id="67"/>
      <w:bookmarkEnd w:id="68"/>
    </w:p>
    <w:p w14:paraId="5B760E88" w14:textId="77777777" w:rsidR="00FB6601" w:rsidRPr="00A02ABC" w:rsidDel="00881EC4" w:rsidRDefault="00FB6601" w:rsidP="00FB6601">
      <w:pPr>
        <w:pStyle w:val="BodyText"/>
      </w:pPr>
      <w:r w:rsidRPr="552DFC98">
        <w:t>PHU</w:t>
      </w:r>
      <w:r>
        <w:t>s</w:t>
      </w:r>
      <w:r w:rsidRPr="552DFC98">
        <w:t xml:space="preserve"> should advise cases to</w:t>
      </w:r>
      <w:r w:rsidRPr="00A02ABC">
        <w:t xml:space="preserve"> </w:t>
      </w:r>
      <w:r w:rsidRPr="552DFC98">
        <w:t>undertake the following exclusions and restrictions</w:t>
      </w:r>
      <w:r w:rsidRPr="00A02ABC">
        <w:t xml:space="preserve"> during </w:t>
      </w:r>
      <w:r w:rsidRPr="552DFC98">
        <w:t>their</w:t>
      </w:r>
      <w:r w:rsidRPr="00A02ABC">
        <w:t xml:space="preserve"> infectious period, including the prodromal and rash stages of the illness. </w:t>
      </w:r>
    </w:p>
    <w:p w14:paraId="5B18712A" w14:textId="77777777" w:rsidR="00FB6601" w:rsidRPr="00B06562" w:rsidRDefault="00FB6601" w:rsidP="00FB6601">
      <w:pPr>
        <w:pStyle w:val="BodyText"/>
      </w:pPr>
      <w:r w:rsidRPr="74E4479C">
        <w:t xml:space="preserve">Until they meet </w:t>
      </w:r>
      <w:r w:rsidRPr="00B06562">
        <w:t xml:space="preserve">the clearance criteria, cases are </w:t>
      </w:r>
      <w:r w:rsidRPr="00B06562">
        <w:rPr>
          <w:rStyle w:val="Strong"/>
        </w:rPr>
        <w:t>recommended to do</w:t>
      </w:r>
      <w:r w:rsidRPr="00B06562">
        <w:t xml:space="preserve"> the following: </w:t>
      </w:r>
    </w:p>
    <w:p w14:paraId="53BA3877" w14:textId="77777777" w:rsidR="00FB6601" w:rsidRDefault="00FB6601" w:rsidP="00FB6601">
      <w:pPr>
        <w:pStyle w:val="ListBullet"/>
      </w:pPr>
      <w:r w:rsidRPr="00CF6133">
        <w:t>Keep lesions covered when around other people or animals—use a waterproof dressing or bandage and then cover with clothing.</w:t>
      </w:r>
    </w:p>
    <w:p w14:paraId="2A150FC3" w14:textId="77777777" w:rsidR="00FB6601" w:rsidRDefault="00FB6601" w:rsidP="00FB6601">
      <w:pPr>
        <w:pStyle w:val="ListBullet"/>
      </w:pPr>
      <w:r>
        <w:t>D</w:t>
      </w:r>
      <w:r w:rsidRPr="74E4479C">
        <w:t>o their own laundry.</w:t>
      </w:r>
    </w:p>
    <w:p w14:paraId="050A8037" w14:textId="77777777" w:rsidR="00FB6601" w:rsidRPr="002A2740" w:rsidRDefault="00FB6601" w:rsidP="00FB6601">
      <w:pPr>
        <w:pStyle w:val="ListBullet"/>
      </w:pPr>
      <w:r w:rsidRPr="002A2740">
        <w:t>Always practice careful hand and respiratory hygiene</w:t>
      </w:r>
      <w:r w:rsidRPr="5A9706EA">
        <w:t>.</w:t>
      </w:r>
    </w:p>
    <w:p w14:paraId="7EE55F52" w14:textId="77777777" w:rsidR="00FB6601" w:rsidRPr="002A2740" w:rsidRDefault="00FB6601" w:rsidP="00FB6601">
      <w:pPr>
        <w:pStyle w:val="ListBullet"/>
      </w:pPr>
      <w:r w:rsidRPr="002A2740">
        <w:t>Limit close contact with household members</w:t>
      </w:r>
      <w:r>
        <w:t xml:space="preserve"> and pets</w:t>
      </w:r>
      <w:r w:rsidRPr="002A2740">
        <w:t xml:space="preserve"> where possible, by sleeping in a separate room and/or using a separate or ensuite bathroom.</w:t>
      </w:r>
    </w:p>
    <w:p w14:paraId="4086C679" w14:textId="77777777" w:rsidR="00FB6601" w:rsidRPr="002A2740" w:rsidRDefault="00FB6601" w:rsidP="00FB6601">
      <w:pPr>
        <w:pStyle w:val="ListBullet"/>
      </w:pPr>
      <w:r w:rsidRPr="74E4479C">
        <w:t>Work from home, if possible, unless risk is assessed by PHU as suitable to attend the workplace</w:t>
      </w:r>
      <w:r w:rsidRPr="7EB4F7AE">
        <w:t>*.</w:t>
      </w:r>
      <w:r w:rsidRPr="74E4479C">
        <w:t xml:space="preserve"> </w:t>
      </w:r>
    </w:p>
    <w:p w14:paraId="0D78E933" w14:textId="77777777" w:rsidR="00FB6601" w:rsidRDefault="00FB6601" w:rsidP="00FB6601">
      <w:pPr>
        <w:pStyle w:val="ListBullet"/>
      </w:pPr>
      <w:r w:rsidRPr="002A2740">
        <w:t>Clean and disinfect any shared spaces (including bathrooms), appliances or items</w:t>
      </w:r>
      <w:r>
        <w:t xml:space="preserve"> i</w:t>
      </w:r>
      <w:r w:rsidRPr="002A2740">
        <w:t>mmediately after use</w:t>
      </w:r>
      <w:r>
        <w:t>.</w:t>
      </w:r>
    </w:p>
    <w:p w14:paraId="729709D0" w14:textId="77777777" w:rsidR="00FB6601" w:rsidRPr="00E7505E" w:rsidRDefault="00FB6601" w:rsidP="00FB6601">
      <w:pPr>
        <w:pStyle w:val="ListBullet"/>
      </w:pPr>
      <w:r>
        <w:t xml:space="preserve">Avoid sharing sex toys and ensure they are thoroughly cleaned and disinfected between partners (or individuals) and before and after use. </w:t>
      </w:r>
    </w:p>
    <w:p w14:paraId="27606AEC" w14:textId="77777777" w:rsidR="00FB6601" w:rsidRDefault="00FB6601" w:rsidP="00FB6601">
      <w:pPr>
        <w:pStyle w:val="BodyText"/>
      </w:pPr>
      <w:r>
        <w:t>I</w:t>
      </w:r>
      <w:r w:rsidRPr="000E1A29">
        <w:t>f the case is unable to cover their lesions due to disseminated disease or there is potential generation of infectious droplets due to oral lesions, pharyngitis, or respiratory symptoms, the case should isolate (at home or in hospital) and wear a surgical mask when around other people or animals. PHU</w:t>
      </w:r>
      <w:r>
        <w:t>s</w:t>
      </w:r>
      <w:r w:rsidRPr="000E1A29">
        <w:t xml:space="preserve"> may undertake a risk assessment to determine whether a person with lesions that can be covered up and respiratory involvement (e.g.</w:t>
      </w:r>
      <w:r>
        <w:t>,</w:t>
      </w:r>
      <w:r w:rsidRPr="000E1A29">
        <w:t xml:space="preserve"> oral lesions or sore throat only) does not need to isolate and may be permitted to resume usual activities with general case exclusion guidance</w:t>
      </w:r>
      <w:r>
        <w:t>,</w:t>
      </w:r>
      <w:r w:rsidRPr="000E1A29">
        <w:t xml:space="preserve"> including wearing a mask when around other peopl</w:t>
      </w:r>
      <w:r>
        <w:t>e</w:t>
      </w:r>
      <w:r w:rsidRPr="000E1A29">
        <w:t>.</w:t>
      </w:r>
    </w:p>
    <w:p w14:paraId="38F2AB0A" w14:textId="77777777" w:rsidR="00FB6601" w:rsidRPr="00B06562" w:rsidRDefault="00FB6601" w:rsidP="00FB6601">
      <w:pPr>
        <w:pStyle w:val="BodyText"/>
      </w:pPr>
      <w:r w:rsidRPr="00B06562">
        <w:lastRenderedPageBreak/>
        <w:t xml:space="preserve">Cases are </w:t>
      </w:r>
      <w:r w:rsidRPr="00B06562">
        <w:rPr>
          <w:rStyle w:val="Strong"/>
        </w:rPr>
        <w:t>recommended to avoid</w:t>
      </w:r>
      <w:r w:rsidRPr="00B06562">
        <w:t xml:space="preserve"> the following while infectious:</w:t>
      </w:r>
    </w:p>
    <w:p w14:paraId="5098672A" w14:textId="77777777" w:rsidR="00FB6601" w:rsidRPr="00B61D7C" w:rsidRDefault="00FB6601" w:rsidP="00FB6601">
      <w:pPr>
        <w:pStyle w:val="ListBullet"/>
      </w:pPr>
      <w:r>
        <w:t>C</w:t>
      </w:r>
      <w:r w:rsidRPr="74E4479C">
        <w:t>lose or intimate contact with others, including all sexual activity</w:t>
      </w:r>
      <w:r>
        <w:t xml:space="preserve"> and the sharing of sex toys</w:t>
      </w:r>
      <w:r w:rsidRPr="74E4479C">
        <w:t>.</w:t>
      </w:r>
    </w:p>
    <w:p w14:paraId="01BA8982" w14:textId="77777777" w:rsidR="00FB6601" w:rsidRDefault="00FB6601" w:rsidP="00FB6601">
      <w:pPr>
        <w:pStyle w:val="ListBullet"/>
      </w:pPr>
      <w:r>
        <w:t>S</w:t>
      </w:r>
      <w:r w:rsidRPr="74E4479C">
        <w:t>har</w:t>
      </w:r>
      <w:r>
        <w:t>ing</w:t>
      </w:r>
      <w:r w:rsidRPr="74E4479C">
        <w:t xml:space="preserve"> clothing, bedding</w:t>
      </w:r>
      <w:r>
        <w:t>,</w:t>
      </w:r>
      <w:r w:rsidRPr="74E4479C">
        <w:t xml:space="preserve"> towel</w:t>
      </w:r>
      <w:r>
        <w:t>s, or unwashed cutlery and crockery with others</w:t>
      </w:r>
      <w:r w:rsidRPr="74E4479C">
        <w:t>.</w:t>
      </w:r>
    </w:p>
    <w:p w14:paraId="6C39EC22" w14:textId="77777777" w:rsidR="00FB6601" w:rsidRDefault="00FB6601" w:rsidP="00FB6601">
      <w:pPr>
        <w:pStyle w:val="ListBullet"/>
      </w:pPr>
      <w:r w:rsidRPr="74E4479C">
        <w:t>Touching their face or rubbing their eyes, especially if blisters are present on or near their eyes or hands.</w:t>
      </w:r>
    </w:p>
    <w:p w14:paraId="0524BF21" w14:textId="77777777" w:rsidR="00FB6601" w:rsidRPr="00B06562" w:rsidRDefault="00FB6601" w:rsidP="00B06562">
      <w:pPr>
        <w:pStyle w:val="ListBullet"/>
      </w:pPr>
      <w:r w:rsidRPr="00B06562">
        <w:t>Entering high-risk settings such as early childhood education and care services, aged care, healthcare settings, and settings with young children and those at higher risk of severe disease, including for work, unless seeking medical attention or on the advice of the PHU after a risk assessment has been undertaken</w:t>
      </w:r>
      <w:r w:rsidRPr="00B06562">
        <w:rPr>
          <w:rStyle w:val="SuperscriptChar"/>
        </w:rPr>
        <w:t>*</w:t>
      </w:r>
      <w:r w:rsidRPr="00B06562">
        <w:t>.</w:t>
      </w:r>
    </w:p>
    <w:p w14:paraId="6DC5193F" w14:textId="77777777" w:rsidR="00FB6601" w:rsidRPr="00F53C0E" w:rsidRDefault="00FB6601" w:rsidP="00B06562">
      <w:pPr>
        <w:pStyle w:val="ListBullet"/>
      </w:pPr>
      <w:r w:rsidRPr="00B06562">
        <w:t>Contact with people who are at higher risk of severe disease, including immunosuppressed people, pregnant people, and young children.</w:t>
      </w:r>
    </w:p>
    <w:p w14:paraId="3D6671EF" w14:textId="77777777" w:rsidR="00FB6601" w:rsidRPr="00F53C0E" w:rsidRDefault="00FB6601" w:rsidP="00FB6601">
      <w:pPr>
        <w:pStyle w:val="ListBullet"/>
      </w:pPr>
      <w:r w:rsidRPr="00B06562">
        <w:t xml:space="preserve">Donating any human tissue, including blood, cells, tissue, breast milk, semen, or organs (see </w:t>
      </w:r>
      <w:hyperlink w:anchor="_Case_clearance" w:history="1">
        <w:r w:rsidRPr="00917AC5">
          <w:rPr>
            <w:rStyle w:val="Hyperlink"/>
          </w:rPr>
          <w:t>Case clearance</w:t>
        </w:r>
      </w:hyperlink>
      <w:r w:rsidRPr="00B06562">
        <w:t xml:space="preserve"> for additional restriction periods). </w:t>
      </w:r>
    </w:p>
    <w:p w14:paraId="1E2DB4F8" w14:textId="77777777" w:rsidR="00FB6601" w:rsidRPr="00B06562" w:rsidRDefault="00FB6601" w:rsidP="00B06562">
      <w:pPr>
        <w:pStyle w:val="ListBullet"/>
      </w:pPr>
      <w:r w:rsidRPr="00B06562">
        <w:t>Travel domestically or internationally without prior discussion with the PHU.</w:t>
      </w:r>
    </w:p>
    <w:p w14:paraId="20415F4A" w14:textId="77777777" w:rsidR="00FB6601" w:rsidRPr="006F59F0" w:rsidRDefault="00FB6601" w:rsidP="00FB6601">
      <w:pPr>
        <w:pStyle w:val="BodyText"/>
      </w:pPr>
      <w:r w:rsidRPr="006F59F0">
        <w:t xml:space="preserve">Cases may be able to attend secondary/higher educational settings if preventative measures can be followed independently. </w:t>
      </w:r>
    </w:p>
    <w:p w14:paraId="06F15AA0" w14:textId="77777777" w:rsidR="00FB6601" w:rsidRDefault="00FB6601" w:rsidP="00FB6601">
      <w:pPr>
        <w:pStyle w:val="BodyText"/>
      </w:pPr>
      <w:r w:rsidRPr="74E4479C">
        <w:t xml:space="preserve">The PHU should conduct an assessment of the case’s </w:t>
      </w:r>
      <w:r>
        <w:t>living situation</w:t>
      </w:r>
      <w:r w:rsidRPr="74E4479C">
        <w:t xml:space="preserve">, the ability of the case and their household members to follow the above advice, and whether they live with any </w:t>
      </w:r>
      <w:r>
        <w:t>people</w:t>
      </w:r>
      <w:r w:rsidRPr="74E4479C">
        <w:t xml:space="preserve"> at increased risk of severe disease. Based on this assessment, the PHU may need to consider providing additional advice and support to mitigate risk. </w:t>
      </w:r>
    </w:p>
    <w:p w14:paraId="742E5D33" w14:textId="77777777" w:rsidR="00FB6601" w:rsidRPr="00875F61" w:rsidRDefault="00FB6601" w:rsidP="00A11EA5">
      <w:pPr>
        <w:pStyle w:val="Smalltext"/>
      </w:pPr>
      <w:r w:rsidRPr="00875F61">
        <w:t>*PHUs may conduct a risk assessment for cases who work in or visit high-risk settings and cannot work from home. The risk assessment should consider: the disease severity, the type and nature of work, number and location of lesions, the presence or absence of respiratory symptoms, and whether the person works with particularly susceptible populations. Cases must cover all lesions and may be advised to wear a surgical mask when in high-risk settings.</w:t>
      </w:r>
    </w:p>
    <w:p w14:paraId="2663BDD3" w14:textId="507C8FE5" w:rsidR="00FB6601" w:rsidRPr="00875F61" w:rsidRDefault="00FB6601" w:rsidP="00A11EA5">
      <w:pPr>
        <w:pStyle w:val="Smalltext"/>
      </w:pPr>
      <w:r w:rsidRPr="00875F61">
        <w:t>**Cases who are advised to isolate at home should stay at home unless they need to leave for essential reasons (such as seeking medical care).</w:t>
      </w:r>
    </w:p>
    <w:p w14:paraId="3C8C235F" w14:textId="77777777" w:rsidR="00AD6802" w:rsidRPr="00917AC5" w:rsidRDefault="00AD6802" w:rsidP="00917AC5">
      <w:pPr>
        <w:pStyle w:val="Heading3"/>
      </w:pPr>
      <w:r w:rsidRPr="00917AC5">
        <w:t>Case clearance</w:t>
      </w:r>
    </w:p>
    <w:p w14:paraId="3CD00061" w14:textId="77777777" w:rsidR="00D143C0" w:rsidRPr="00A02ABC" w:rsidRDefault="00D143C0" w:rsidP="00D143C0">
      <w:pPr>
        <w:pStyle w:val="BodyText"/>
      </w:pPr>
      <w:bookmarkStart w:id="69" w:name="_Toc179789915"/>
      <w:r w:rsidRPr="74E4479C">
        <w:t>Cases can resume most normal activities when all lesions have crusted, scabs have fallen off</w:t>
      </w:r>
      <w:r>
        <w:t xml:space="preserve">, </w:t>
      </w:r>
      <w:r w:rsidRPr="74E4479C">
        <w:t xml:space="preserve">and a fresh layer of skin has formed underneath. </w:t>
      </w:r>
    </w:p>
    <w:p w14:paraId="12AB6C39" w14:textId="77777777" w:rsidR="00D143C0" w:rsidRPr="00A02ABC" w:rsidRDefault="00D143C0" w:rsidP="00D143C0">
      <w:pPr>
        <w:pStyle w:val="BodyText"/>
      </w:pPr>
      <w:r w:rsidRPr="74E4479C">
        <w:t>The PHU</w:t>
      </w:r>
      <w:r>
        <w:t xml:space="preserve"> or</w:t>
      </w:r>
      <w:r w:rsidRPr="74E4479C">
        <w:t xml:space="preserve"> managing clinician </w:t>
      </w:r>
      <w:r>
        <w:t>(</w:t>
      </w:r>
      <w:r w:rsidRPr="74E4479C">
        <w:t>where appropriate</w:t>
      </w:r>
      <w:r>
        <w:t>)</w:t>
      </w:r>
      <w:r w:rsidRPr="74E4479C">
        <w:t>, will advise on clearance of a case.</w:t>
      </w:r>
    </w:p>
    <w:p w14:paraId="55637829" w14:textId="77777777" w:rsidR="00D143C0" w:rsidRPr="00652C42" w:rsidRDefault="00D143C0" w:rsidP="00D143C0">
      <w:pPr>
        <w:pStyle w:val="BodyText"/>
      </w:pPr>
      <w:r w:rsidRPr="00652C42">
        <w:lastRenderedPageBreak/>
        <w:t>For</w:t>
      </w:r>
      <w:r w:rsidRPr="00B06562">
        <w:t xml:space="preserve"> </w:t>
      </w:r>
      <w:r w:rsidRPr="00B06562">
        <w:rPr>
          <w:rStyle w:val="Strong"/>
        </w:rPr>
        <w:t>12 weeks following clearance</w:t>
      </w:r>
      <w:r w:rsidRPr="00652C42">
        <w:t xml:space="preserve">, cases should: </w:t>
      </w:r>
    </w:p>
    <w:p w14:paraId="6405923C" w14:textId="25BC6DD1" w:rsidR="00D143C0" w:rsidRPr="00B06562" w:rsidRDefault="00D143C0" w:rsidP="00D143C0">
      <w:pPr>
        <w:pStyle w:val="ListBullet"/>
      </w:pPr>
      <w:r w:rsidRPr="00652C42">
        <w:t>use a condom</w:t>
      </w:r>
      <w:r>
        <w:t xml:space="preserve"> or other impermeable barrier protection</w:t>
      </w:r>
      <w:r w:rsidRPr="00652C42">
        <w:t xml:space="preserve"> during sexual activity (receptive and insertive oral/anal/vaginal sex) </w:t>
      </w:r>
      <w:r w:rsidRPr="00652C42">
        <w:fldChar w:fldCharType="begin"/>
      </w:r>
      <w:r>
        <w:instrText xml:space="preserve"> ADDIN ZOTERO_ITEM CSL_CITATION {"citationID":"hg6Ctmzd","properties":{"formattedCitation":"(42,44)","plainCitation":"(42,44)","noteIndex":0},"citationItems":[{"id":97,"uris":["http://zotero.org/users/local/eE57gvz8/items/YCYEB6JN"],"itemData":{"id":97,"type":"webpage","title":"Multi-country monkeypox outbreak: situation update","URL":"https://www.who.int/emergencies/disease-outbreak-news/item/2022-DON396","author":[{"family":"World Health Organization","given":""}],"issued":{"date-parts":[["2022",6,27]]}}},{"id":101,"uris":["http://zotero.org/users/local/eE57gvz8/items/CNQCY24G"],"itemData":{"id":101,"type":"article-journal","container-title":"The Lancet. Infectious Diseases","DOI":"10.1016/S1473-3099(22)00513-8","ISSN":"1474-4457","issue":"9","journalAbbreviation":"Lancet Infect Dis","language":"eng","note":"PMID: 35931095\nPMCID: PMC9629691","page":"1267-1269","source":"PubMed","title":"Monkeypox virus isolation from a semen sample collected in the early phase of infection in a patient with prolonged seminal viral shedding","volume":"22","author":[{"family":"Lapa","given":"Daniele"},{"family":"Carletti","given":"Fabrizio"},{"family":"Mazzotta","given":"Valentina"},{"family":"Matusali","given":"Giulia"},{"family":"Pinnetti","given":"Carmela"},{"family":"Meschi","given":"Silvia"},{"family":"Gagliardini","given":"Roberta"},{"family":"Colavita","given":"Francesca"},{"family":"Mondi","given":"Annalisa"},{"family":"Minosse","given":"Claudia"},{"family":"Scorzolini","given":"Laura"},{"family":"Cicalini","given":"Stefania"},{"family":"Maffongelli","given":"Gaetano"},{"family":"Specchiarello","given":"Eliana"},{"family":"Camici","given":"Marta"},{"family":"Bettini","given":"Aurora"},{"family":"Baldini","given":"Francesco"},{"family":"Francalancia","given":"Massimo"},{"family":"Mizzoni","given":"Klizia"},{"family":"Garbuglia","given":"Anna Rosa"},{"family":"Nicastri","given":"Emanuele"},{"family":"Girardi","given":"Enrico"},{"family":"Antinori","given":"Andrea"},{"family":"Vaia","given":"Francesco"},{"family":"Maggi","given":"Fabrizio"},{"literal":"INMI Monkeypox Study Group"}],"issued":{"date-parts":[["2022",9]]}}}],"schema":"https://github.com/citation-style-language/schema/raw/master/csl-citation.json"} </w:instrText>
      </w:r>
      <w:r w:rsidRPr="00652C42">
        <w:fldChar w:fldCharType="separate"/>
      </w:r>
      <w:r w:rsidRPr="00B06562">
        <w:t>(42,44)</w:t>
      </w:r>
      <w:r w:rsidRPr="00652C42">
        <w:fldChar w:fldCharType="end"/>
      </w:r>
    </w:p>
    <w:p w14:paraId="44C803BA" w14:textId="2048D913" w:rsidR="00D143C0" w:rsidRPr="00B06562" w:rsidRDefault="00D143C0" w:rsidP="00B06562">
      <w:pPr>
        <w:pStyle w:val="ListBullet"/>
      </w:pPr>
      <w:r>
        <w:t>avoid sharing sex toys, and ensure thorough cleaning between partners (or individuals) and before and after use</w:t>
      </w:r>
    </w:p>
    <w:p w14:paraId="4843E10B" w14:textId="07AA032F" w:rsidR="00D143C0" w:rsidRPr="00B06562" w:rsidRDefault="00D143C0" w:rsidP="00B06562">
      <w:pPr>
        <w:pStyle w:val="ListBullet"/>
      </w:pPr>
      <w:r w:rsidRPr="00B06562">
        <w:t>not donate semen.</w:t>
      </w:r>
    </w:p>
    <w:p w14:paraId="6F1D411A" w14:textId="77777777" w:rsidR="00D143C0" w:rsidRPr="00B06562" w:rsidRDefault="00D143C0" w:rsidP="00B06562">
      <w:pPr>
        <w:pStyle w:val="BodyText"/>
      </w:pPr>
      <w:r w:rsidRPr="7A1677BC">
        <w:t xml:space="preserve">Cases should </w:t>
      </w:r>
      <w:r w:rsidRPr="00B06562">
        <w:t xml:space="preserve">not donate blood until 4 weeks after they have fully recovered. Refer to </w:t>
      </w:r>
      <w:hyperlink r:id="rId23">
        <w:r w:rsidRPr="00917AC5">
          <w:rPr>
            <w:rStyle w:val="Hyperlink"/>
          </w:rPr>
          <w:t>Lifeblood</w:t>
        </w:r>
      </w:hyperlink>
      <w:r w:rsidRPr="00B06562">
        <w:t xml:space="preserve"> guidance.</w:t>
      </w:r>
    </w:p>
    <w:p w14:paraId="5057880B" w14:textId="77777777" w:rsidR="00D143C0" w:rsidRPr="00B06562" w:rsidRDefault="00D143C0" w:rsidP="00B06562">
      <w:pPr>
        <w:pStyle w:val="BodyText"/>
      </w:pPr>
      <w:r w:rsidRPr="00B06562">
        <w:t>Longer periods may apply for the donation of breast milk, organs, tissues, cells, and other biological products, as advised by the relevant tissue collection authority.</w:t>
      </w:r>
    </w:p>
    <w:p w14:paraId="490AE2BD" w14:textId="5E4E9F4E" w:rsidR="00D143C0" w:rsidRDefault="00D143C0" w:rsidP="00D143C0">
      <w:pPr>
        <w:pStyle w:val="Heading4"/>
      </w:pPr>
      <w:bookmarkStart w:id="70" w:name="_Guidance_for_cases"/>
      <w:bookmarkStart w:id="71" w:name="_Toc179789919"/>
      <w:bookmarkEnd w:id="70"/>
      <w:r w:rsidRPr="00917AC5">
        <w:t>Guidance for cases without</w:t>
      </w:r>
      <w:r>
        <w:t xml:space="preserve"> visible skin lesions</w:t>
      </w:r>
      <w:bookmarkEnd w:id="71"/>
    </w:p>
    <w:p w14:paraId="41A95735" w14:textId="77777777" w:rsidR="00D143C0" w:rsidRPr="00B06562" w:rsidRDefault="00D143C0" w:rsidP="007614EC">
      <w:pPr>
        <w:pStyle w:val="BodyText"/>
      </w:pPr>
      <w:r w:rsidRPr="00B06562">
        <w:t>For symptomatic cases (e.g., with proctitis) without visible skin lesions</w:t>
      </w:r>
      <w:r w:rsidRPr="00B06562" w:rsidDel="44271FB1">
        <w:t>,</w:t>
      </w:r>
      <w:r w:rsidRPr="00B06562">
        <w:t xml:space="preserve"> PHUs should recommend that they follow the same </w:t>
      </w:r>
      <w:r>
        <w:t>exclusion and restriction requirements as cases with visible lesions as above, until complete resolution of all symptoms, or after 21 days post symptom onset, whichever is longer.</w:t>
      </w:r>
    </w:p>
    <w:p w14:paraId="18837156" w14:textId="094265E8" w:rsidR="00D143C0" w:rsidRDefault="00D143C0" w:rsidP="00D143C0">
      <w:pPr>
        <w:pStyle w:val="Heading4"/>
      </w:pPr>
      <w:bookmarkStart w:id="72" w:name="_Guidance_for_asymptomatic"/>
      <w:bookmarkStart w:id="73" w:name="_Toc179789920"/>
      <w:bookmarkEnd w:id="72"/>
      <w:r>
        <w:t>Guidance for asymptomatic cases</w:t>
      </w:r>
      <w:bookmarkEnd w:id="73"/>
    </w:p>
    <w:p w14:paraId="7D017AC6" w14:textId="21C2C04F" w:rsidR="00D143C0" w:rsidRPr="00D143C0" w:rsidRDefault="00D143C0" w:rsidP="007614EC">
      <w:pPr>
        <w:pStyle w:val="BodyText"/>
      </w:pPr>
      <w:r w:rsidRPr="00A02ABC">
        <w:t xml:space="preserve">International reports of asymptomatic </w:t>
      </w:r>
      <w:r>
        <w:t>MPXV</w:t>
      </w:r>
      <w:r w:rsidRPr="00A02ABC">
        <w:t xml:space="preserve"> infection in </w:t>
      </w:r>
      <w:r>
        <w:t>cases associated with the ongoing</w:t>
      </w:r>
      <w:r w:rsidRPr="00A02ABC">
        <w:t xml:space="preserve"> </w:t>
      </w:r>
      <w:r>
        <w:t xml:space="preserve">clade </w:t>
      </w:r>
      <w:r w:rsidRPr="00A02ABC">
        <w:t xml:space="preserve">IIb outbreak are rare and generally only detected and described in research studies. </w:t>
      </w:r>
      <w:r w:rsidRPr="1E7CE06A">
        <w:t xml:space="preserve">There is limited evidence available to determine whether asymptomatic cases are infectious </w:t>
      </w:r>
      <w:r>
        <w:fldChar w:fldCharType="begin"/>
      </w:r>
      <w:r>
        <w:instrText xml:space="preserve"> ADDIN ZOTERO_ITEM CSL_CITATION {"citationID":"XMY3dBoH","properties":{"formattedCitation":"(75,77)","plainCitation":"(75,77)","noteIndex":0},"citationItems":[{"id":140,"uris":["http://zotero.org/users/local/eE57gvz8/items/T4FZXXE3"],"itemData":{"id":140,"type":"article-journal","abstract":"After community transmission of monkeypox virus was identified in Europe, interviews of 45 case-patients from England indicated transmission in international sexual networks of gay and bisexual men since April 2022. Interventions targeting sex-on-premises venues, geospatial dating applications, and sexual health services are likely to be critical for outbreak control.","container-title":"Emerging Infectious Diseases","DOI":"10.3201/eid2810.220960","ISSN":"1080-6059","issue":"10","journalAbbreviation":"Emerg Infect Dis","language":"eng","note":"PMID: 35960543\nPMCID: PMC9514371","page":"2082-2086","source":"PubMed","title":"Epidemiology of Early Monkeypox Virus Transmission in Sexual Networks of Gay and Bisexual Men, England, 2022","volume":"28","author":[{"family":"Vusirikala","given":"Amoolya"},{"family":"Charles","given":"Hannah"},{"family":"Balasegaram","given":"Sooria"},{"family":"Macdonald","given":"Neil"},{"family":"Kumar","given":"Deepti"},{"family":"Barker-Burnside","given":"Ceri"},{"family":"Cumiskey","given":"Kerry"},{"family":"Dickinson","given":"Michelle"},{"family":"Watson","given":"Michelle"},{"family":"Olufon","given":"Oluwakemi"},{"family":"Thorley","given":"Katie"},{"family":"Blomquist","given":"Paula"},{"family":"Anderson","given":"Charlotte"},{"family":"Ma","given":"Thomas"},{"family":"Mohammed","given":"Hamish"},{"family":"Perkins","given":"Samantha"},{"family":"Paranthaman","given":"Karthik"},{"family":"Manley","given":"Petra"},{"family":"Edeghere","given":"Obaghe"},{"family":"Sinka","given":"Katy"},{"family":"Prochazka","given":"Mateo"}],"issued":{"date-parts":[["2022",10]]}}},{"id":146,"uris":["http://zotero.org/users/local/eE57gvz8/items/NFKG2SNI"],"itemData":{"id":146,"type":"article-journal","container-title":"The New England Journal of Medicine","DOI":"10.1056/NEJMp2410045","ISSN":"1533-4406","issue":"14","journalAbbreviation":"N Engl J Med","language":"eng","note":"PMID: 39197097","page":"1267-1270","source":"PubMed","title":"Mpox in Pregnancy - Risks, Vertical Transmission, Prevention, and Treatment","volume":"391","author":[{"family":"Nachega","given":"Jean B."},{"family":"Mohr","given":"Emma L."},{"family":"Dashraath","given":"Pradip"},{"family":"Mbala-Kingebeni","given":"Placide"},{"family":"Anderson","given":"Jean R."},{"family":"Myer","given":"Landon"},{"family":"Gandhi","given":"Monica"},{"family":"Baud","given":"David"},{"family":"Mofenson","given":"Lynne M."},{"family":"Muyembe-Tamfum","given":"Jean-Jacques"},{"literal":"Mpox Research Consortium (MpoxReC)"}],"issued":{"date-parts":[["2024",10,10]]}}}],"schema":"https://github.com/citation-style-language/schema/raw/master/csl-citation.json"} </w:instrText>
      </w:r>
      <w:r>
        <w:fldChar w:fldCharType="separate"/>
      </w:r>
      <w:r w:rsidRPr="00E513BA">
        <w:t>(75,77)</w:t>
      </w:r>
      <w:r>
        <w:fldChar w:fldCharType="end"/>
      </w:r>
      <w:r>
        <w:t>. In the event an asymptomatic case is detected, they should be managed as per other confirmed cases and can be considered cleared 21 days after their positive test</w:t>
      </w:r>
      <w:r w:rsidRPr="74E4479C">
        <w:t>.</w:t>
      </w:r>
      <w:bookmarkEnd w:id="69"/>
    </w:p>
    <w:p w14:paraId="1481597A" w14:textId="77777777" w:rsidR="00AD6802" w:rsidRDefault="00AD6802" w:rsidP="00AD6802">
      <w:pPr>
        <w:pStyle w:val="Heading2"/>
      </w:pPr>
      <w:r>
        <w:t>Case education</w:t>
      </w:r>
    </w:p>
    <w:p w14:paraId="00EDBF39" w14:textId="77777777" w:rsidR="006E7E97" w:rsidRDefault="006E7E97" w:rsidP="006E7E97">
      <w:pPr>
        <w:pStyle w:val="BodyText"/>
      </w:pPr>
      <w:r>
        <w:t xml:space="preserve">PHUs </w:t>
      </w:r>
      <w:r w:rsidRPr="00C96329">
        <w:t xml:space="preserve">should </w:t>
      </w:r>
      <w:r>
        <w:t xml:space="preserve">ensure people with mpox have been </w:t>
      </w:r>
      <w:r w:rsidRPr="00C96329">
        <w:t>advise</w:t>
      </w:r>
      <w:r>
        <w:t>d</w:t>
      </w:r>
      <w:r w:rsidRPr="00C96329">
        <w:t xml:space="preserve"> </w:t>
      </w:r>
      <w:r>
        <w:t>about:</w:t>
      </w:r>
      <w:r w:rsidRPr="00C96329">
        <w:t xml:space="preserve"> </w:t>
      </w:r>
    </w:p>
    <w:p w14:paraId="3BCDA514" w14:textId="77777777" w:rsidR="006E7E97" w:rsidRDefault="006E7E97" w:rsidP="006E7E97">
      <w:pPr>
        <w:pStyle w:val="ListBullet"/>
      </w:pPr>
      <w:r w:rsidRPr="00C96329">
        <w:t xml:space="preserve">mpox symptoms, transmission and duration of infectivity </w:t>
      </w:r>
    </w:p>
    <w:p w14:paraId="5B42D305" w14:textId="77777777" w:rsidR="006E7E97" w:rsidRDefault="006E7E97" w:rsidP="006E7E97">
      <w:pPr>
        <w:pStyle w:val="ListBullet"/>
      </w:pPr>
      <w:r w:rsidRPr="00C96329">
        <w:t>how to prevent passing on mpox to others</w:t>
      </w:r>
      <w:r>
        <w:t>,</w:t>
      </w:r>
      <w:r w:rsidRPr="00C96329">
        <w:t xml:space="preserve"> including personal hygiene and infection prevention and control measures </w:t>
      </w:r>
    </w:p>
    <w:p w14:paraId="2DA65B8E" w14:textId="77777777" w:rsidR="006E7E97" w:rsidRDefault="006E7E97" w:rsidP="006E7E97">
      <w:pPr>
        <w:pStyle w:val="ListBullet"/>
      </w:pPr>
      <w:r w:rsidRPr="00C96329">
        <w:t xml:space="preserve">seeking treatment or medical assistance if required </w:t>
      </w:r>
    </w:p>
    <w:p w14:paraId="62133046" w14:textId="77777777" w:rsidR="006E7E97" w:rsidRDefault="006E7E97" w:rsidP="006E7E97">
      <w:pPr>
        <w:pStyle w:val="ListBullet"/>
      </w:pPr>
      <w:r w:rsidRPr="00C96329">
        <w:t xml:space="preserve">the importance of contact tracing to notify close contacts </w:t>
      </w:r>
      <w:r>
        <w:t>of their</w:t>
      </w:r>
      <w:r w:rsidRPr="00C96329">
        <w:t xml:space="preserve"> risk.  </w:t>
      </w:r>
    </w:p>
    <w:p w14:paraId="152FD788" w14:textId="77777777" w:rsidR="006E7E97" w:rsidRPr="00C96329" w:rsidRDefault="006E7E97" w:rsidP="006E7E97">
      <w:pPr>
        <w:pStyle w:val="BodyText"/>
      </w:pPr>
      <w:r>
        <w:t>PHUs should provide information about appropriate social services available to support people with mpox at risk of complex social situations.</w:t>
      </w:r>
    </w:p>
    <w:p w14:paraId="50E1C920" w14:textId="4B24CF3B" w:rsidR="006E7E97" w:rsidRDefault="006E7E97" w:rsidP="006E7E97">
      <w:pPr>
        <w:pStyle w:val="BodyText"/>
      </w:pPr>
      <w:r w:rsidRPr="00C96329">
        <w:t xml:space="preserve">Refer to </w:t>
      </w:r>
      <w:hyperlink w:anchor="_Information_for_cases" w:history="1">
        <w:r w:rsidRPr="00013411">
          <w:rPr>
            <w:rStyle w:val="Hyperlink"/>
          </w:rPr>
          <w:t>information for cases</w:t>
        </w:r>
      </w:hyperlink>
      <w:r w:rsidRPr="00C96329">
        <w:t xml:space="preserve"> for more information.</w:t>
      </w:r>
    </w:p>
    <w:p w14:paraId="49534783" w14:textId="77777777" w:rsidR="001D20D3" w:rsidRPr="00170218" w:rsidRDefault="001D20D3" w:rsidP="001D20D3">
      <w:pPr>
        <w:pStyle w:val="Heading2"/>
      </w:pPr>
      <w:r w:rsidRPr="00170218">
        <w:lastRenderedPageBreak/>
        <w:t>Treatment</w:t>
      </w:r>
    </w:p>
    <w:p w14:paraId="1AEB58DD" w14:textId="77777777" w:rsidR="001D20D3" w:rsidRPr="00CE6805" w:rsidRDefault="001D20D3" w:rsidP="001D20D3">
      <w:pPr>
        <w:pStyle w:val="BodyText"/>
      </w:pPr>
      <w:r w:rsidRPr="00E019D4">
        <w:t>The clinical management of</w:t>
      </w:r>
      <w:r w:rsidRPr="007842C0">
        <w:t xml:space="preserve"> mpox </w:t>
      </w:r>
      <w:r w:rsidRPr="00E019D4">
        <w:t xml:space="preserve">is the responsibility of the treating </w:t>
      </w:r>
      <w:r>
        <w:t>clinician</w:t>
      </w:r>
      <w:r w:rsidRPr="00E019D4">
        <w:t>.</w:t>
      </w:r>
    </w:p>
    <w:p w14:paraId="51BCE748" w14:textId="77777777" w:rsidR="001D20D3" w:rsidRPr="00B06562" w:rsidRDefault="001D20D3" w:rsidP="00B06562">
      <w:pPr>
        <w:pStyle w:val="BodyText"/>
      </w:pPr>
      <w:r w:rsidRPr="00B06562">
        <w:t>Mpox is generally self-limiting. Most cases will not require specific treatment, other than supportive management of symptoms or treatment of complications (e.g., antibiotics for secondary cellulitis).</w:t>
      </w:r>
    </w:p>
    <w:p w14:paraId="57019C8E" w14:textId="21DF9A2F" w:rsidR="001D20D3" w:rsidRPr="00B06562" w:rsidRDefault="001D20D3" w:rsidP="00B06562">
      <w:pPr>
        <w:pStyle w:val="BodyText"/>
      </w:pPr>
      <w:r w:rsidRPr="00B06562">
        <w:t xml:space="preserve">Advice on clinical management can </w:t>
      </w:r>
      <w:r w:rsidRPr="00B06562" w:rsidDel="150913BB">
        <w:t>b</w:t>
      </w:r>
      <w:r w:rsidRPr="00B06562">
        <w:t>e sought from an infectious diseases physician and/or sexual health physician, particularly in persons with, or at risk of, severe disease. If antiviral treatment is indicated, it should be initiated in consultation with an infectious diseases physician and/or sexual health physician.</w:t>
      </w:r>
    </w:p>
    <w:p w14:paraId="73DFE6E6" w14:textId="77777777" w:rsidR="001D20D3" w:rsidRPr="00A02ABC" w:rsidRDefault="001D20D3" w:rsidP="00B06562">
      <w:pPr>
        <w:pStyle w:val="BodyText"/>
      </w:pPr>
      <w:r w:rsidRPr="00B06562">
        <w:t xml:space="preserve">For further advice, refer to the </w:t>
      </w:r>
      <w:hyperlink r:id="rId24" w:history="1">
        <w:r w:rsidRPr="00917AC5">
          <w:rPr>
            <w:rStyle w:val="Hyperlink"/>
          </w:rPr>
          <w:t>Australian Human Mpox Treatment Guidelines</w:t>
        </w:r>
      </w:hyperlink>
      <w:r w:rsidRPr="00B06562">
        <w:t>.</w:t>
      </w:r>
      <w:r w:rsidRPr="00A02ABC">
        <w:t xml:space="preserve"> </w:t>
      </w:r>
    </w:p>
    <w:p w14:paraId="6FA9F44C" w14:textId="77777777" w:rsidR="001D20D3" w:rsidRDefault="001D20D3" w:rsidP="001D20D3">
      <w:pPr>
        <w:pStyle w:val="Heading2"/>
      </w:pPr>
      <w:r>
        <w:t>Infection prevention and control</w:t>
      </w:r>
    </w:p>
    <w:p w14:paraId="660DF36E" w14:textId="77777777" w:rsidR="001D20D3" w:rsidRPr="002B2D65" w:rsidRDefault="001D20D3" w:rsidP="001D20D3">
      <w:pPr>
        <w:pStyle w:val="BodyText"/>
      </w:pPr>
      <w:r w:rsidRPr="002B2D65">
        <w:t>Healthcare workers should use a risk-based approach to select appropriate PPE and infection prevention and control interventions when caring for individuals with suspected or confirmed mpox. The risk assessment should consider:</w:t>
      </w:r>
    </w:p>
    <w:p w14:paraId="4040AB7C" w14:textId="77777777" w:rsidR="001D20D3" w:rsidRDefault="001D20D3" w:rsidP="001D20D3">
      <w:pPr>
        <w:pStyle w:val="ListBullet"/>
      </w:pPr>
      <w:r w:rsidRPr="002B2D65">
        <w:t>the type of care or procedures to be undertaken for the individual</w:t>
      </w:r>
    </w:p>
    <w:p w14:paraId="0BFF9CCD" w14:textId="77777777" w:rsidR="001D20D3" w:rsidRDefault="001D20D3" w:rsidP="001D20D3">
      <w:pPr>
        <w:pStyle w:val="ListBullet"/>
      </w:pPr>
      <w:r w:rsidRPr="00632FA3">
        <w:t>severity of symptoms, dissemination of disease and respiratory involvement</w:t>
      </w:r>
    </w:p>
    <w:p w14:paraId="682F1566" w14:textId="0E9291C7" w:rsidR="001D20D3" w:rsidRPr="00632FA3" w:rsidRDefault="001D20D3" w:rsidP="001D20D3">
      <w:pPr>
        <w:pStyle w:val="ListBullet"/>
      </w:pPr>
      <w:r w:rsidRPr="00632FA3">
        <w:t>clinical setting (primary care or acute care), including the potential for transmission to others and ability to isolate cases.</w:t>
      </w:r>
    </w:p>
    <w:p w14:paraId="7154DB58" w14:textId="77777777" w:rsidR="001D20D3" w:rsidRPr="002B2D65" w:rsidRDefault="001D20D3" w:rsidP="001D20D3">
      <w:pPr>
        <w:pStyle w:val="BodyText"/>
      </w:pPr>
      <w:r w:rsidRPr="002B2D65">
        <w:t>Note: the mode of transmission for mpox is primarily the same, regardless of clade.</w:t>
      </w:r>
    </w:p>
    <w:p w14:paraId="5F6FB162" w14:textId="77777777" w:rsidR="001D20D3" w:rsidRPr="002B2D65" w:rsidRDefault="001D20D3" w:rsidP="001D20D3">
      <w:pPr>
        <w:pStyle w:val="BodyText"/>
      </w:pPr>
      <w:r w:rsidRPr="002B2D65">
        <w:t>In all healthcare settings, mpox cases should be managed in a single room with a dedicated ensuite.</w:t>
      </w:r>
    </w:p>
    <w:p w14:paraId="5AF4E487" w14:textId="77777777" w:rsidR="001D20D3" w:rsidRPr="002B2D65" w:rsidRDefault="001D20D3" w:rsidP="001D20D3">
      <w:pPr>
        <w:pStyle w:val="BodyText"/>
      </w:pPr>
      <w:r w:rsidRPr="002B2D65">
        <w:t xml:space="preserve">Use </w:t>
      </w:r>
      <w:r w:rsidRPr="00B06562">
        <w:rPr>
          <w:rStyle w:val="Strong"/>
        </w:rPr>
        <w:t>contact precautions</w:t>
      </w:r>
      <w:r w:rsidRPr="002B2D65">
        <w:t xml:space="preserve">, in addition to </w:t>
      </w:r>
      <w:r w:rsidRPr="00B06562">
        <w:rPr>
          <w:rStyle w:val="Strong"/>
        </w:rPr>
        <w:t>standard precautions</w:t>
      </w:r>
      <w:r w:rsidRPr="002B2D65">
        <w:t>, where the risk of onward transmission is considered low (e.g., a single lesion that can be covered completely or proctitis only).</w:t>
      </w:r>
    </w:p>
    <w:p w14:paraId="7FEFE668" w14:textId="77777777" w:rsidR="001D20D3" w:rsidRPr="002B2D65" w:rsidRDefault="001D20D3" w:rsidP="001D20D3">
      <w:pPr>
        <w:pStyle w:val="BodyText"/>
      </w:pPr>
      <w:r w:rsidRPr="002B2D65">
        <w:t xml:space="preserve">Use </w:t>
      </w:r>
      <w:r w:rsidRPr="00B06562">
        <w:rPr>
          <w:rStyle w:val="Strong"/>
        </w:rPr>
        <w:t>droplet precautions</w:t>
      </w:r>
      <w:r w:rsidRPr="002B2D65">
        <w:t xml:space="preserve">, in addition to </w:t>
      </w:r>
      <w:r w:rsidRPr="00B06562">
        <w:rPr>
          <w:rStyle w:val="Strong"/>
        </w:rPr>
        <w:t>contact and standard precautions</w:t>
      </w:r>
      <w:r w:rsidRPr="002B2D65">
        <w:t>, if there is disseminated disease or respiratory symptoms/involvement.</w:t>
      </w:r>
    </w:p>
    <w:p w14:paraId="31671C0B" w14:textId="77777777" w:rsidR="001D20D3" w:rsidRPr="002B2D65" w:rsidRDefault="001D20D3" w:rsidP="001D20D3">
      <w:pPr>
        <w:pStyle w:val="BodyText"/>
      </w:pPr>
      <w:r w:rsidRPr="002B2D65">
        <w:t xml:space="preserve">PPE for combined droplet and contact precautions includes the use of a gown or apron, gloves, surgical mask, and eye protection. </w:t>
      </w:r>
    </w:p>
    <w:p w14:paraId="5BAB9A00" w14:textId="77777777" w:rsidR="001D20D3" w:rsidRPr="002B2D65" w:rsidRDefault="001D20D3" w:rsidP="001D20D3">
      <w:pPr>
        <w:pStyle w:val="BodyText"/>
      </w:pPr>
      <w:r w:rsidRPr="002B2D65">
        <w:t xml:space="preserve">A risk assessment should be undertaken to inform the use of a particulate filtration respirator, considering the level of exposure and nature of activity, when performing </w:t>
      </w:r>
      <w:r w:rsidRPr="002B2D65">
        <w:lastRenderedPageBreak/>
        <w:t>AGPs (including airway management), or for providing care to patients admitted to a healthcare facility with disseminated disease or respiratory symptoms/involvement.</w:t>
      </w:r>
    </w:p>
    <w:p w14:paraId="613FE131" w14:textId="77777777" w:rsidR="001D20D3" w:rsidRPr="002B2D65" w:rsidRDefault="001D20D3" w:rsidP="001D20D3">
      <w:pPr>
        <w:pStyle w:val="BodyText"/>
      </w:pPr>
      <w:r w:rsidRPr="002B2D65">
        <w:t xml:space="preserve">Deroofing lesions and throat swabs are not considered to be AGPs in this context, although they may generate droplets </w:t>
      </w:r>
      <w:r w:rsidRPr="7A1677BC">
        <w:fldChar w:fldCharType="begin"/>
      </w:r>
      <w:r w:rsidRPr="7A1677BC">
        <w:instrText xml:space="preserve"> ADDIN ZOTERO_ITEM CSL_CITATION {"citationID":"8QiHcLRe","properties":{"formattedCitation":"(78)","plainCitation":"(78)","noteIndex":0},"citationItems":[{"id":185,"uris":["http://zotero.org/users/local/eE57gvz8/items/FV33N573"],"itemData":{"id":185,"type":"webpage","title":"Mpox: scenarios and technical  elements of preparedness and  response for clade I","URL":"https://assets.publishing.service.gov.uk/media/66e83b367f20ecc7ec3aa1db/mpox-technical-briefing-9.pdf","author":[{"family":"UK Health Security Agency","given":""}]}}],"schema":"https://github.com/citation-style-language/schema/raw/master/csl-citation.json"} </w:instrText>
      </w:r>
      <w:r w:rsidRPr="7A1677BC">
        <w:fldChar w:fldCharType="separate"/>
      </w:r>
      <w:r w:rsidRPr="002B2D65">
        <w:t>(78)</w:t>
      </w:r>
      <w:r w:rsidRPr="7A1677BC">
        <w:fldChar w:fldCharType="end"/>
      </w:r>
      <w:r w:rsidRPr="002B2D65">
        <w:t>. Healthcare workers should wear PPE for combined droplet and contact precautions when performing these procedures.</w:t>
      </w:r>
    </w:p>
    <w:p w14:paraId="01698D02" w14:textId="41DD2EFF" w:rsidR="001D20D3" w:rsidRPr="00AD5F7C" w:rsidRDefault="001D20D3" w:rsidP="001D20D3">
      <w:pPr>
        <w:pStyle w:val="BodyText"/>
      </w:pPr>
      <w:r>
        <w:t xml:space="preserve">See the </w:t>
      </w:r>
      <w:hyperlink r:id="rId25" w:anchor=":~:text=The%20Australian%20Guidelines%20for%20the%20Prevention%20and%20Control,on%20core%20principles%20and%20priority%20areas%20for%20action.">
        <w:r w:rsidRPr="74E4479C">
          <w:rPr>
            <w:rStyle w:val="Hyperlink"/>
          </w:rPr>
          <w:t>Australian Guidelines for the Prevention and Control of Infection in Healthcare</w:t>
        </w:r>
      </w:hyperlink>
      <w:bookmarkStart w:id="74" w:name="_Case_education"/>
      <w:bookmarkEnd w:id="74"/>
      <w:r>
        <w:t xml:space="preserve">. </w:t>
      </w:r>
    </w:p>
    <w:p w14:paraId="6C4BEAAE" w14:textId="77777777" w:rsidR="008C75B4" w:rsidRDefault="00AD6802" w:rsidP="008C75B4">
      <w:pPr>
        <w:pStyle w:val="Heading2"/>
      </w:pPr>
      <w:r>
        <w:t>Active case finding</w:t>
      </w:r>
    </w:p>
    <w:p w14:paraId="43B240DD" w14:textId="77777777" w:rsidR="008C75B4" w:rsidRDefault="008C75B4" w:rsidP="008C75B4">
      <w:pPr>
        <w:pStyle w:val="BodyText"/>
      </w:pPr>
      <w:r w:rsidRPr="00C96329">
        <w:t xml:space="preserve">In the event of a large exposure event or outbreak, active case finding should be </w:t>
      </w:r>
      <w:r>
        <w:t>considered</w:t>
      </w:r>
      <w:r w:rsidRPr="00C96329">
        <w:t>.</w:t>
      </w:r>
      <w:r>
        <w:t xml:space="preserve"> The extent to which this is taken should be proportionate to the risk. The avenues used may depend on the severity of disease, including information about the clade (if available), public sentiment and fatigue relating to public health messaging, and risk groups affected. Targeted public communications may be preferential compared to general communications.</w:t>
      </w:r>
      <w:r w:rsidRPr="00C96329">
        <w:t xml:space="preserve"> </w:t>
      </w:r>
    </w:p>
    <w:p w14:paraId="286F386D" w14:textId="77777777" w:rsidR="008C75B4" w:rsidRDefault="008C75B4" w:rsidP="008C75B4">
      <w:pPr>
        <w:pStyle w:val="BodyText"/>
      </w:pPr>
      <w:r w:rsidRPr="00C96329">
        <w:t xml:space="preserve">PHUs should consider the </w:t>
      </w:r>
      <w:r>
        <w:t>following:</w:t>
      </w:r>
      <w:r w:rsidRPr="00C96329">
        <w:t xml:space="preserve"> </w:t>
      </w:r>
    </w:p>
    <w:p w14:paraId="4DD474C7" w14:textId="77777777" w:rsidR="008C75B4" w:rsidRDefault="008C75B4" w:rsidP="008C75B4">
      <w:pPr>
        <w:pStyle w:val="ListBullet"/>
      </w:pPr>
      <w:r>
        <w:t>A</w:t>
      </w:r>
      <w:r w:rsidRPr="00C96329">
        <w:t xml:space="preserve">lerting clinicians </w:t>
      </w:r>
      <w:r>
        <w:t xml:space="preserve">(local doctors, sexual health clinics, emergency departments and laboratories) in the area </w:t>
      </w:r>
      <w:r w:rsidRPr="00C96329">
        <w:t>via clinician alerts or targeted clinician communications, with an emphasis on diagnosis</w:t>
      </w:r>
      <w:r>
        <w:t>, testing and notification to the local PHU. This may be done by clinician alert or other means.</w:t>
      </w:r>
    </w:p>
    <w:p w14:paraId="6A90E58F" w14:textId="77777777" w:rsidR="008C75B4" w:rsidRDefault="008C75B4" w:rsidP="008C75B4">
      <w:pPr>
        <w:pStyle w:val="ListBullet"/>
      </w:pPr>
      <w:r>
        <w:t xml:space="preserve">Targeted communications to at-risk groups, including via relevant non-government and peer-based organisations, specific venues such as SOPV. </w:t>
      </w:r>
    </w:p>
    <w:p w14:paraId="53C39509" w14:textId="77777777" w:rsidR="008C75B4" w:rsidRDefault="008C75B4" w:rsidP="008C75B4">
      <w:pPr>
        <w:pStyle w:val="ListBullet"/>
      </w:pPr>
      <w:r>
        <w:t>Broader p</w:t>
      </w:r>
      <w:r w:rsidRPr="00C96329">
        <w:t xml:space="preserve">ublic communications </w:t>
      </w:r>
      <w:r>
        <w:t>regarding increasing mpox risk, vaccination for at-risk populations, high risk activities, symptoms to monitor for, and where to seek testing.</w:t>
      </w:r>
    </w:p>
    <w:p w14:paraId="33A12E55" w14:textId="77777777" w:rsidR="00AD6802" w:rsidRDefault="00AD6802" w:rsidP="00AD6802">
      <w:pPr>
        <w:pStyle w:val="Heading1"/>
      </w:pPr>
      <w:bookmarkStart w:id="75" w:name="_Contact_classification"/>
      <w:bookmarkStart w:id="76" w:name="_Toc232174956"/>
      <w:bookmarkStart w:id="77" w:name="_Toc232181754"/>
      <w:bookmarkStart w:id="78" w:name="_Toc238570906"/>
      <w:bookmarkEnd w:id="75"/>
      <w:r>
        <w:lastRenderedPageBreak/>
        <w:t>Contact classification</w:t>
      </w:r>
      <w:bookmarkEnd w:id="76"/>
      <w:bookmarkEnd w:id="77"/>
      <w:bookmarkEnd w:id="78"/>
    </w:p>
    <w:p w14:paraId="050A3E90" w14:textId="77777777" w:rsidR="00FA3DF2" w:rsidRDefault="00FA3DF2" w:rsidP="00FA3DF2">
      <w:pPr>
        <w:pStyle w:val="Heading2"/>
      </w:pPr>
      <w:bookmarkStart w:id="79" w:name="_Toc187068583"/>
      <w:r>
        <w:t>Contact identification</w:t>
      </w:r>
      <w:bookmarkEnd w:id="79"/>
    </w:p>
    <w:p w14:paraId="750EC0E6" w14:textId="77777777" w:rsidR="00FA3DF2" w:rsidRDefault="00FA3DF2" w:rsidP="00FA3DF2">
      <w:r>
        <w:t>PHU staff should directly follow up, or provide information to, all medium and high-risk contacts.</w:t>
      </w:r>
    </w:p>
    <w:p w14:paraId="520B264C" w14:textId="77777777" w:rsidR="00FA3DF2" w:rsidRDefault="00FA3DF2" w:rsidP="00FA3DF2">
      <w:r w:rsidRPr="552DFC98">
        <w:t xml:space="preserve">Where </w:t>
      </w:r>
      <w:r>
        <w:t>direct follow up by PHUs is not</w:t>
      </w:r>
      <w:r w:rsidRPr="552DFC98">
        <w:t xml:space="preserve"> possible</w:t>
      </w:r>
      <w:r>
        <w:t>,</w:t>
      </w:r>
      <w:r w:rsidRPr="552DFC98">
        <w:t xml:space="preserve"> </w:t>
      </w:r>
      <w:r>
        <w:t xml:space="preserve">or where the case is not willing or able to provide details of contacts to the PHU for follow up, </w:t>
      </w:r>
      <w:r w:rsidRPr="552DFC98">
        <w:t xml:space="preserve">other strategies should be used to help ensure </w:t>
      </w:r>
      <w:r>
        <w:t>potential contacts</w:t>
      </w:r>
      <w:r w:rsidRPr="552DFC98">
        <w:t xml:space="preserve"> </w:t>
      </w:r>
      <w:r w:rsidRPr="0EED8725">
        <w:t>receive</w:t>
      </w:r>
      <w:r w:rsidRPr="552DFC98">
        <w:t xml:space="preserve"> public health </w:t>
      </w:r>
      <w:r>
        <w:t>advice</w:t>
      </w:r>
      <w:r w:rsidRPr="552DFC98">
        <w:t xml:space="preserve">. </w:t>
      </w:r>
      <w:r>
        <w:t xml:space="preserve">For example, </w:t>
      </w:r>
      <w:r w:rsidRPr="552DFC98">
        <w:t xml:space="preserve">PHUs may provide written </w:t>
      </w:r>
      <w:r>
        <w:t>information</w:t>
      </w:r>
      <w:r w:rsidRPr="552DFC98">
        <w:t xml:space="preserve"> for the case to pass onto </w:t>
      </w:r>
      <w:r>
        <w:t>potential contacts</w:t>
      </w:r>
      <w:r w:rsidRPr="552DFC98">
        <w:t xml:space="preserve">, which could include </w:t>
      </w:r>
      <w:r>
        <w:t>the case messaging their sexual partner/s via</w:t>
      </w:r>
      <w:r w:rsidRPr="552DFC98">
        <w:t xml:space="preserve"> direct messaging through social media or ‘hook up’ </w:t>
      </w:r>
      <w:r w:rsidRPr="00614A8E">
        <w:t>apps</w:t>
      </w:r>
      <w:r>
        <w:t>.</w:t>
      </w:r>
    </w:p>
    <w:p w14:paraId="10C91D6F" w14:textId="77777777" w:rsidR="00FA3DF2" w:rsidRDefault="00FA3DF2" w:rsidP="00FA3DF2">
      <w:r w:rsidRPr="00492E29">
        <w:t xml:space="preserve">See </w:t>
      </w:r>
      <w:hyperlink w:anchor="_Response_procedure">
        <w:r w:rsidRPr="5A9706EA">
          <w:rPr>
            <w:rStyle w:val="Hyperlink"/>
          </w:rPr>
          <w:t>Case Management – Response Procedure.</w:t>
        </w:r>
      </w:hyperlink>
      <w:r>
        <w:t xml:space="preserve"> </w:t>
      </w:r>
    </w:p>
    <w:p w14:paraId="0E7AED6A" w14:textId="77777777" w:rsidR="00FA3DF2" w:rsidRDefault="00FA3DF2" w:rsidP="00FA3DF2">
      <w:pPr>
        <w:pStyle w:val="Heading2"/>
      </w:pPr>
      <w:bookmarkStart w:id="80" w:name="_Contact_definitions"/>
      <w:bookmarkStart w:id="81" w:name="_Toc187068584"/>
      <w:bookmarkEnd w:id="80"/>
      <w:r>
        <w:t>Contact definitions</w:t>
      </w:r>
      <w:bookmarkEnd w:id="81"/>
    </w:p>
    <w:p w14:paraId="1CF2B6EE" w14:textId="77777777" w:rsidR="00FA3DF2" w:rsidRPr="007471B5" w:rsidRDefault="00FA3DF2" w:rsidP="00B02375">
      <w:pPr>
        <w:pStyle w:val="Tabletitle"/>
        <w:rPr>
          <w:lang w:eastAsia="en-AU"/>
        </w:rPr>
      </w:pPr>
      <w:bookmarkStart w:id="82" w:name="_Toc179789931"/>
      <w:r>
        <w:t>Mpox contact</w:t>
      </w:r>
      <w:r w:rsidRPr="00A02ABC">
        <w:t xml:space="preserve"> definitions</w:t>
      </w:r>
      <w:bookmarkEnd w:id="82"/>
    </w:p>
    <w:tbl>
      <w:tblPr>
        <w:tblStyle w:val="CDCTable4"/>
        <w:tblW w:w="8647" w:type="dxa"/>
        <w:tblLayout w:type="fixed"/>
        <w:tblCellMar>
          <w:top w:w="57" w:type="dxa"/>
          <w:left w:w="57" w:type="dxa"/>
          <w:bottom w:w="57" w:type="dxa"/>
          <w:right w:w="57" w:type="dxa"/>
        </w:tblCellMar>
        <w:tblLook w:val="04A0" w:firstRow="1" w:lastRow="0" w:firstColumn="1" w:lastColumn="0" w:noHBand="0" w:noVBand="1"/>
      </w:tblPr>
      <w:tblGrid>
        <w:gridCol w:w="1276"/>
        <w:gridCol w:w="3584"/>
        <w:gridCol w:w="3787"/>
      </w:tblGrid>
      <w:tr w:rsidR="00FA3DF2" w:rsidRPr="00A767A2" w14:paraId="22F5BB8C" w14:textId="77777777" w:rsidTr="00701D4B">
        <w:trPr>
          <w:cnfStyle w:val="100000000000" w:firstRow="1" w:lastRow="0" w:firstColumn="0" w:lastColumn="0" w:oddVBand="0" w:evenVBand="0" w:oddHBand="0" w:evenHBand="0" w:firstRowFirstColumn="0" w:firstRowLastColumn="0" w:lastRowFirstColumn="0" w:lastRowLastColumn="0"/>
          <w:trHeight w:val="545"/>
          <w:tblHeader/>
        </w:trPr>
        <w:tc>
          <w:tcPr>
            <w:cnfStyle w:val="001000000000" w:firstRow="0" w:lastRow="0" w:firstColumn="1" w:lastColumn="0" w:oddVBand="0" w:evenVBand="0" w:oddHBand="0" w:evenHBand="0" w:firstRowFirstColumn="0" w:firstRowLastColumn="0" w:lastRowFirstColumn="0" w:lastRowLastColumn="0"/>
            <w:tcW w:w="1276" w:type="dxa"/>
            <w:vAlign w:val="top"/>
          </w:tcPr>
          <w:p w14:paraId="26607D83" w14:textId="77777777" w:rsidR="00FA3DF2" w:rsidRPr="006769C8" w:rsidRDefault="00FA3DF2" w:rsidP="006769C8">
            <w:pPr>
              <w:pStyle w:val="Tableheaderrowblack"/>
            </w:pPr>
            <w:bookmarkStart w:id="83" w:name="_Toc180579682"/>
            <w:r w:rsidRPr="006769C8">
              <w:t>Contact type</w:t>
            </w:r>
          </w:p>
        </w:tc>
        <w:tc>
          <w:tcPr>
            <w:tcW w:w="3584" w:type="dxa"/>
            <w:vAlign w:val="top"/>
          </w:tcPr>
          <w:p w14:paraId="5EBBD524" w14:textId="77777777" w:rsidR="00FA3DF2" w:rsidRPr="006769C8" w:rsidRDefault="00FA3DF2" w:rsidP="006769C8">
            <w:pPr>
              <w:pStyle w:val="Tableheaderrowblack"/>
              <w:cnfStyle w:val="100000000000" w:firstRow="1" w:lastRow="0" w:firstColumn="0" w:lastColumn="0" w:oddVBand="0" w:evenVBand="0" w:oddHBand="0" w:evenHBand="0" w:firstRowFirstColumn="0" w:firstRowLastColumn="0" w:lastRowFirstColumn="0" w:lastRowLastColumn="0"/>
            </w:pPr>
            <w:r w:rsidRPr="006769C8">
              <w:t>Definition of exposure during the case’s infectious period</w:t>
            </w:r>
          </w:p>
        </w:tc>
        <w:tc>
          <w:tcPr>
            <w:tcW w:w="3787" w:type="dxa"/>
            <w:vAlign w:val="top"/>
          </w:tcPr>
          <w:p w14:paraId="66ECBC03" w14:textId="77777777" w:rsidR="00FA3DF2" w:rsidRPr="006769C8" w:rsidRDefault="00FA3DF2" w:rsidP="006769C8">
            <w:pPr>
              <w:pStyle w:val="Tableheaderrowblack"/>
              <w:cnfStyle w:val="100000000000" w:firstRow="1" w:lastRow="0" w:firstColumn="0" w:lastColumn="0" w:oddVBand="0" w:evenVBand="0" w:oddHBand="0" w:evenHBand="0" w:firstRowFirstColumn="0" w:firstRowLastColumn="0" w:lastRowFirstColumn="0" w:lastRowLastColumn="0"/>
            </w:pPr>
            <w:r w:rsidRPr="006769C8">
              <w:t>Examples</w:t>
            </w:r>
          </w:p>
        </w:tc>
      </w:tr>
      <w:tr w:rsidR="00FA3DF2" w:rsidRPr="00A767A2" w14:paraId="0C3C5488" w14:textId="77777777" w:rsidTr="00FA3DF2">
        <w:trPr>
          <w:trHeight w:val="43"/>
        </w:trPr>
        <w:tc>
          <w:tcPr>
            <w:cnfStyle w:val="001000000000" w:firstRow="0" w:lastRow="0" w:firstColumn="1" w:lastColumn="0" w:oddVBand="0" w:evenVBand="0" w:oddHBand="0" w:evenHBand="0" w:firstRowFirstColumn="0" w:firstRowLastColumn="0" w:lastRowFirstColumn="0" w:lastRowLastColumn="0"/>
            <w:tcW w:w="1276" w:type="dxa"/>
          </w:tcPr>
          <w:p w14:paraId="4828B862" w14:textId="77777777" w:rsidR="00FA3DF2" w:rsidRPr="002C0835" w:rsidRDefault="00FA3DF2" w:rsidP="002C0835">
            <w:pPr>
              <w:pStyle w:val="Tableheaderrowblack"/>
            </w:pPr>
            <w:r w:rsidRPr="002C0835">
              <w:t>High risk</w:t>
            </w:r>
          </w:p>
        </w:tc>
        <w:tc>
          <w:tcPr>
            <w:tcW w:w="3584" w:type="dxa"/>
          </w:tcPr>
          <w:p w14:paraId="5D366F3A" w14:textId="77777777" w:rsidR="00FA3DF2" w:rsidRPr="001D5B51" w:rsidRDefault="00FA3DF2" w:rsidP="00854DD1">
            <w:pPr>
              <w:pStyle w:val="Tablelistbullet"/>
              <w:cnfStyle w:val="000000000000" w:firstRow="0" w:lastRow="0" w:firstColumn="0" w:lastColumn="0" w:oddVBand="0" w:evenVBand="0" w:oddHBand="0" w:evenHBand="0" w:firstRowFirstColumn="0" w:firstRowLastColumn="0" w:lastRowFirstColumn="0" w:lastRowLastColumn="0"/>
            </w:pPr>
            <w:r w:rsidRPr="001D5B51">
              <w:t>Contact via broken skin or mucous membranes with an mpox case (while infectious), potentially contaminated materials (including soiled bed linens and healthcare equipment), crusts, or bodily fluids.</w:t>
            </w:r>
          </w:p>
          <w:p w14:paraId="0C55E5EE" w14:textId="77777777" w:rsidR="00FA3DF2" w:rsidRPr="006769C8" w:rsidRDefault="00FA3DF2" w:rsidP="006769C8">
            <w:pPr>
              <w:pStyle w:val="Tabletext"/>
              <w:cnfStyle w:val="000000000000" w:firstRow="0" w:lastRow="0" w:firstColumn="0" w:lastColumn="0" w:oddVBand="0" w:evenVBand="0" w:oddHBand="0" w:evenHBand="0" w:firstRowFirstColumn="0" w:firstRowLastColumn="0" w:lastRowFirstColumn="0" w:lastRowLastColumn="0"/>
              <w:rPr>
                <w:rStyle w:val="Strong"/>
              </w:rPr>
            </w:pPr>
            <w:r w:rsidRPr="006769C8">
              <w:rPr>
                <w:rStyle w:val="Strong"/>
              </w:rPr>
              <w:t>OR</w:t>
            </w:r>
          </w:p>
          <w:p w14:paraId="5662977A" w14:textId="77777777" w:rsidR="00FA3DF2" w:rsidRPr="004202C0" w:rsidRDefault="00FA3DF2" w:rsidP="00854DD1">
            <w:pPr>
              <w:pStyle w:val="Tablelistbullet"/>
              <w:cnfStyle w:val="000000000000" w:firstRow="0" w:lastRow="0" w:firstColumn="0" w:lastColumn="0" w:oddVBand="0" w:evenVBand="0" w:oddHBand="0" w:evenHBand="0" w:firstRowFirstColumn="0" w:firstRowLastColumn="0" w:lastRowFirstColumn="0" w:lastRowLastColumn="0"/>
              <w:rPr>
                <w:b/>
              </w:rPr>
            </w:pPr>
            <w:r w:rsidRPr="001D5B51">
              <w:t xml:space="preserve">Exposure to aerosols from an mpox case undergoing an aerosol-generating procedure </w:t>
            </w:r>
            <w:r w:rsidRPr="001D5B51" w:rsidDel="00AD1D84">
              <w:t xml:space="preserve">in </w:t>
            </w:r>
            <w:r w:rsidRPr="001D5B51">
              <w:t xml:space="preserve">an enclosed room while the contact was not wearing appropriate PPE1. </w:t>
            </w:r>
          </w:p>
        </w:tc>
        <w:tc>
          <w:tcPr>
            <w:tcW w:w="3787" w:type="dxa"/>
          </w:tcPr>
          <w:p w14:paraId="1F5A101E" w14:textId="77777777"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Sexual or intimate partners, including at sex parties or at SOPVs.</w:t>
            </w:r>
          </w:p>
          <w:p w14:paraId="5D291ED8" w14:textId="77777777"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Carer is a case with disseminated or uncovered lesions who has provided physical personal care to young children (contact) such as assistance with dressing, toileting, bathing and feeding, and where close contact through sharing a bed, hugging and/or kissing occurs</w:t>
            </w:r>
            <w:r w:rsidRPr="00B06562" w:rsidDel="791D9043">
              <w:t>.</w:t>
            </w:r>
          </w:p>
          <w:p w14:paraId="0D913D68" w14:textId="77777777"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 xml:space="preserve">Someone whose eyes, nose, mouth, orifice, or exposed wound has had contact with bodily fluid from a case. </w:t>
            </w:r>
          </w:p>
          <w:p w14:paraId="17ED78B4" w14:textId="77777777" w:rsidR="00FA3DF2" w:rsidRPr="00B43929"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Healthcare workers present in an enclosed space during an aerosol-generating procedure without wearing appropriate PPE</w:t>
            </w:r>
            <w:r w:rsidRPr="00D02485">
              <w:rPr>
                <w:rStyle w:val="SuperscriptChar"/>
              </w:rPr>
              <w:t>1</w:t>
            </w:r>
            <w:r w:rsidRPr="00B06562">
              <w:t>. This may be in a patient’s room, or in a curtained area, e.g. in an emergency department.</w:t>
            </w:r>
          </w:p>
        </w:tc>
      </w:tr>
      <w:tr w:rsidR="00FA3DF2" w:rsidRPr="00A767A2" w14:paraId="38C3DDA7" w14:textId="77777777" w:rsidTr="00FA3DF2">
        <w:trPr>
          <w:trHeight w:val="43"/>
        </w:trPr>
        <w:tc>
          <w:tcPr>
            <w:cnfStyle w:val="001000000000" w:firstRow="0" w:lastRow="0" w:firstColumn="1" w:lastColumn="0" w:oddVBand="0" w:evenVBand="0" w:oddHBand="0" w:evenHBand="0" w:firstRowFirstColumn="0" w:firstRowLastColumn="0" w:lastRowFirstColumn="0" w:lastRowLastColumn="0"/>
            <w:tcW w:w="1276" w:type="dxa"/>
          </w:tcPr>
          <w:p w14:paraId="01838F4C" w14:textId="77777777" w:rsidR="00FA3DF2" w:rsidRPr="002C0835" w:rsidRDefault="00FA3DF2" w:rsidP="002C0835">
            <w:pPr>
              <w:pStyle w:val="Tableheaderrowblack"/>
            </w:pPr>
            <w:r w:rsidRPr="002C0835">
              <w:t>Medium risk</w:t>
            </w:r>
          </w:p>
        </w:tc>
        <w:tc>
          <w:tcPr>
            <w:tcW w:w="3584" w:type="dxa"/>
          </w:tcPr>
          <w:p w14:paraId="2F1CF854" w14:textId="77777777" w:rsidR="00FA3DF2" w:rsidRPr="00B06562" w:rsidRDefault="00FA3DF2" w:rsidP="00854DD1">
            <w:pPr>
              <w:pStyle w:val="Tablelistbullet"/>
              <w:cnfStyle w:val="000000000000" w:firstRow="0" w:lastRow="0" w:firstColumn="0" w:lastColumn="0" w:oddVBand="0" w:evenVBand="0" w:oddHBand="0" w:evenHBand="0" w:firstRowFirstColumn="0" w:firstRowLastColumn="0" w:lastRowFirstColumn="0" w:lastRowLastColumn="0"/>
            </w:pPr>
            <w:r w:rsidRPr="00B06562">
              <w:t>Contact</w:t>
            </w:r>
            <w:r w:rsidRPr="00D02485">
              <w:rPr>
                <w:rStyle w:val="SuperscriptChar"/>
              </w:rPr>
              <w:t xml:space="preserve"> </w:t>
            </w:r>
            <w:r w:rsidRPr="00B06562">
              <w:t xml:space="preserve">with an mpox case via </w:t>
            </w:r>
            <w:r w:rsidRPr="00D02485">
              <w:t>intact skin</w:t>
            </w:r>
            <w:r w:rsidRPr="00B06562">
              <w:t xml:space="preserve"> (while case is infectious), potentially contaminated materials (including </w:t>
            </w:r>
            <w:r w:rsidRPr="00B06562">
              <w:lastRenderedPageBreak/>
              <w:t>soiled bed linens and healthcare equipment), crusts, or bodily fluids, while the contact was not wearing appropriate PPE</w:t>
            </w:r>
            <w:r w:rsidRPr="00D02485">
              <w:rPr>
                <w:rStyle w:val="SuperscriptChar"/>
              </w:rPr>
              <w:t>1</w:t>
            </w:r>
            <w:r w:rsidRPr="00B06562">
              <w:t>.</w:t>
            </w:r>
          </w:p>
          <w:p w14:paraId="056F7E52" w14:textId="4247E780" w:rsidR="00FA3DF2" w:rsidRPr="00967590" w:rsidRDefault="00FA3DF2" w:rsidP="00D02485">
            <w:pPr>
              <w:pStyle w:val="Tabletext"/>
              <w:cnfStyle w:val="000000000000" w:firstRow="0" w:lastRow="0" w:firstColumn="0" w:lastColumn="0" w:oddVBand="0" w:evenVBand="0" w:oddHBand="0" w:evenHBand="0" w:firstRowFirstColumn="0" w:firstRowLastColumn="0" w:lastRowFirstColumn="0" w:lastRowLastColumn="0"/>
            </w:pPr>
            <w:r w:rsidRPr="00967590">
              <w:t>OR</w:t>
            </w:r>
          </w:p>
          <w:p w14:paraId="214DB990" w14:textId="77777777" w:rsidR="00FA3DF2" w:rsidRPr="00964C54" w:rsidRDefault="00FA3DF2" w:rsidP="00854DD1">
            <w:pPr>
              <w:pStyle w:val="Tablelistbullet"/>
              <w:cnfStyle w:val="000000000000" w:firstRow="0" w:lastRow="0" w:firstColumn="0" w:lastColumn="0" w:oddVBand="0" w:evenVBand="0" w:oddHBand="0" w:evenHBand="0" w:firstRowFirstColumn="0" w:firstRowLastColumn="0" w:lastRowFirstColumn="0" w:lastRowLastColumn="0"/>
            </w:pPr>
            <w:r w:rsidRPr="00B06562">
              <w:t>Exposure to aerosols from an mpox case, while the contact was not wearing appropriate PPE</w:t>
            </w:r>
            <w:r w:rsidRPr="00D02485">
              <w:rPr>
                <w:rStyle w:val="SuperscriptChar"/>
              </w:rPr>
              <w:t>1</w:t>
            </w:r>
            <w:r w:rsidRPr="00B06562">
              <w:t>, during an aerosol dispersing activity that may create aerosols from oral secretions, skin lesions or resuspension of dried exudates (e.g., shaking of soiled linens, showering patients, or conducting examinations or procedures involving the oropharynx).</w:t>
            </w:r>
          </w:p>
        </w:tc>
        <w:tc>
          <w:tcPr>
            <w:tcW w:w="3787" w:type="dxa"/>
          </w:tcPr>
          <w:p w14:paraId="3DD49A20" w14:textId="77777777"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D02485">
              <w:lastRenderedPageBreak/>
              <w:t xml:space="preserve">Healthcare workers providing personal care to an mpox case in a hospital setting while not wearing </w:t>
            </w:r>
            <w:r w:rsidRPr="00D02485">
              <w:lastRenderedPageBreak/>
              <w:t>appropriate PPE</w:t>
            </w:r>
            <w:r w:rsidRPr="00D02485">
              <w:rPr>
                <w:rStyle w:val="SuperscriptChar"/>
              </w:rPr>
              <w:t>1</w:t>
            </w:r>
            <w:r w:rsidRPr="00B06562">
              <w:t xml:space="preserve"> or in the case of a PPE breach.</w:t>
            </w:r>
          </w:p>
          <w:p w14:paraId="2029806D" w14:textId="6F5E070F"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bookmarkStart w:id="84" w:name="_Hlk112245910"/>
            <w:r w:rsidRPr="00B06562">
              <w:t>Cleaning or laundry staff who have changed or laundered the bedding of an mpox case who has rash/lesions without wearing appropriate PPE</w:t>
            </w:r>
            <w:r w:rsidRPr="00D02485">
              <w:rPr>
                <w:rStyle w:val="SuperscriptChar"/>
              </w:rPr>
              <w:t>1</w:t>
            </w:r>
            <w:r w:rsidRPr="00B06562">
              <w:t>.</w:t>
            </w:r>
          </w:p>
          <w:p w14:paraId="733099A1" w14:textId="77777777" w:rsidR="00FA3DF2" w:rsidRPr="00B06562"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 xml:space="preserve">Attendance at a higher risk social setting or situation </w:t>
            </w:r>
            <w:r w:rsidRPr="00B06562">
              <w:fldChar w:fldCharType="begin"/>
            </w:r>
            <w:r w:rsidRPr="00B06562">
              <w:instrText xml:space="preserve"> ADDIN ZOTERO_ITEM CSL_CITATION {"citationID":"OsZjSPsI","properties":{"formattedCitation":"(79)","plainCitation":"(79)","noteIndex":0},"citationItems":[{"id":149,"uris":["http://zotero.org/users/local/eE57gvz8/items/3JGGVDHJ"],"itemData":{"id":149,"type":"webpage","title":"About Mpox","URL":"https://www.cdc.gov/mpox/about/?CDC_AAref_Val=https://www.cdc.gov/poxvirus/mpox/about/index.html","author":[{"family":"Centers for Disease Control and Prevention","given":""}]}}],"schema":"https://github.com/citation-style-language/schema/raw/master/csl-citation.json"} </w:instrText>
            </w:r>
            <w:r w:rsidRPr="00B06562">
              <w:fldChar w:fldCharType="separate"/>
            </w:r>
            <w:r w:rsidRPr="00B06562">
              <w:t>(79)</w:t>
            </w:r>
            <w:r w:rsidRPr="00B06562">
              <w:fldChar w:fldCharType="end"/>
            </w:r>
            <w:r w:rsidRPr="00D02485">
              <w:t xml:space="preserve"> when an mpox case attended during their infectious period</w:t>
            </w:r>
            <w:r w:rsidRPr="00D02485">
              <w:rPr>
                <w:rStyle w:val="SuperscriptChar"/>
              </w:rPr>
              <w:t>2</w:t>
            </w:r>
            <w:r w:rsidRPr="00B06562">
              <w:t>.</w:t>
            </w:r>
          </w:p>
          <w:p w14:paraId="73199DB3" w14:textId="3305C3FF" w:rsidR="00FA3DF2" w:rsidRPr="00854DD1" w:rsidRDefault="00FA3DF2" w:rsidP="00B06562">
            <w:pPr>
              <w:pStyle w:val="Tablelistbullet"/>
              <w:cnfStyle w:val="000000000000" w:firstRow="0" w:lastRow="0" w:firstColumn="0" w:lastColumn="0" w:oddVBand="0" w:evenVBand="0" w:oddHBand="0" w:evenHBand="0" w:firstRowFirstColumn="0" w:firstRowLastColumn="0" w:lastRowFirstColumn="0" w:lastRowLastColumn="0"/>
            </w:pPr>
            <w:r w:rsidRPr="00B06562">
              <w:t>Household contacts, where the case has not covered their lesions while being in communal areas.</w:t>
            </w:r>
            <w:bookmarkEnd w:id="84"/>
          </w:p>
        </w:tc>
      </w:tr>
    </w:tbl>
    <w:p w14:paraId="4D1B32CC" w14:textId="77777777" w:rsidR="00FA3DF2" w:rsidRPr="00FA3DF2" w:rsidRDefault="00FA3DF2" w:rsidP="00FA3DF2">
      <w:pPr>
        <w:pStyle w:val="Tablefootnote"/>
      </w:pPr>
      <w:r w:rsidRPr="00FA3DF2">
        <w:lastRenderedPageBreak/>
        <w:t>Notes:</w:t>
      </w:r>
    </w:p>
    <w:p w14:paraId="2778A1DD" w14:textId="77777777" w:rsidR="00FA3DF2" w:rsidRPr="00A578E9" w:rsidRDefault="00FA3DF2" w:rsidP="00FA3DF2">
      <w:pPr>
        <w:pStyle w:val="Tablefootnote"/>
      </w:pPr>
      <w:r w:rsidRPr="00917AC5">
        <w:rPr>
          <w:rStyle w:val="SuperscriptChar"/>
        </w:rPr>
        <w:t xml:space="preserve">1 </w:t>
      </w:r>
      <w:r w:rsidRPr="00A578E9">
        <w:t xml:space="preserve">Appropriate PPE as determined by the PHU based on a risk assessment including the nature of contact, likely transmission pathway/s and setting type, noting the minimum standard defined in </w:t>
      </w:r>
      <w:r w:rsidRPr="00EF3DEA">
        <w:t>Case management</w:t>
      </w:r>
      <w:r w:rsidRPr="00A578E9">
        <w:t>. Refer to jurisdictional and local guidelines/policies.</w:t>
      </w:r>
    </w:p>
    <w:p w14:paraId="6F860F6A" w14:textId="5A231F33" w:rsidR="00FA3DF2" w:rsidRPr="00A578E9" w:rsidRDefault="00FA3DF2" w:rsidP="00FA3DF2">
      <w:pPr>
        <w:pStyle w:val="Tablefootnote"/>
      </w:pPr>
      <w:r w:rsidRPr="00917AC5">
        <w:rPr>
          <w:rStyle w:val="SuperscriptChar"/>
        </w:rPr>
        <w:t xml:space="preserve">2 </w:t>
      </w:r>
      <w:r w:rsidRPr="00A578E9">
        <w:t>A higher risk social setting or situation constitutes those settings where the nature of interaction may pose some risk of transmission (e.g. raves, festivals, and other mass gatherings where there is likely to be prolonged close contact). A risk assessment should consider the case’s symptoms and location of lesions. This should be limited to identifiable social contacts unless broader communications for the venue is considered necessary by the PHU.</w:t>
      </w:r>
      <w:bookmarkEnd w:id="83"/>
    </w:p>
    <w:p w14:paraId="491A8ED8" w14:textId="77777777" w:rsidR="00AD6802" w:rsidRDefault="00AD6802" w:rsidP="00AD6802">
      <w:pPr>
        <w:pStyle w:val="Heading1"/>
      </w:pPr>
      <w:bookmarkStart w:id="85" w:name="_Contact_management"/>
      <w:bookmarkStart w:id="86" w:name="_Toc232174959"/>
      <w:bookmarkStart w:id="87" w:name="_Toc232181757"/>
      <w:bookmarkStart w:id="88" w:name="_Toc238570907"/>
      <w:bookmarkEnd w:id="85"/>
      <w:r>
        <w:lastRenderedPageBreak/>
        <w:t>Contact management</w:t>
      </w:r>
      <w:bookmarkEnd w:id="86"/>
      <w:bookmarkEnd w:id="87"/>
      <w:bookmarkEnd w:id="88"/>
    </w:p>
    <w:p w14:paraId="59F0E220" w14:textId="77777777" w:rsidR="00432831" w:rsidRPr="00CD1BE8" w:rsidRDefault="00432831" w:rsidP="00432831">
      <w:pPr>
        <w:pStyle w:val="BodyText"/>
      </w:pPr>
      <w:bookmarkStart w:id="89" w:name="_Unlikely_exposure"/>
      <w:bookmarkStart w:id="90" w:name="_Blood_donation"/>
      <w:bookmarkStart w:id="91" w:name="_Toc187068586"/>
      <w:bookmarkEnd w:id="89"/>
      <w:bookmarkEnd w:id="90"/>
      <w:r>
        <w:t>PHUs should advise contacts to</w:t>
      </w:r>
      <w:r w:rsidRPr="00CD1BE8">
        <w:t xml:space="preserve"> </w:t>
      </w:r>
      <w:r w:rsidRPr="00B06562">
        <w:rPr>
          <w:rStyle w:val="Strong"/>
        </w:rPr>
        <w:t>monitor</w:t>
      </w:r>
      <w:r w:rsidRPr="00B06562">
        <w:t xml:space="preserve"> </w:t>
      </w:r>
      <w:r w:rsidRPr="00CD1BE8">
        <w:t>for signs and symptoms of mpox for 21 days after the date of their last exposure</w:t>
      </w:r>
      <w:r w:rsidRPr="552DFC98">
        <w:t xml:space="preserve"> to the case.</w:t>
      </w:r>
      <w:r w:rsidRPr="00CD1BE8">
        <w:t xml:space="preserve"> All contacts should be encouraged to practise good hand hygiene and respiratory etiquette.</w:t>
      </w:r>
    </w:p>
    <w:p w14:paraId="091FD2A6" w14:textId="77777777" w:rsidR="00432831" w:rsidRPr="00A02ABC" w:rsidRDefault="00432831" w:rsidP="00432831">
      <w:pPr>
        <w:pStyle w:val="Tabletitle"/>
      </w:pPr>
      <w:bookmarkStart w:id="92" w:name="_Toc179789933"/>
      <w:r w:rsidRPr="00A02ABC">
        <w:t>Management of mpox contacts</w:t>
      </w:r>
      <w:bookmarkEnd w:id="92"/>
    </w:p>
    <w:tbl>
      <w:tblPr>
        <w:tblStyle w:val="CDCTable4"/>
        <w:tblW w:w="9214" w:type="dxa"/>
        <w:tblLayout w:type="fixed"/>
        <w:tblCellMar>
          <w:top w:w="57" w:type="dxa"/>
          <w:left w:w="57" w:type="dxa"/>
          <w:bottom w:w="57" w:type="dxa"/>
          <w:right w:w="57" w:type="dxa"/>
        </w:tblCellMar>
        <w:tblLook w:val="04A0" w:firstRow="1" w:lastRow="0" w:firstColumn="1" w:lastColumn="0" w:noHBand="0" w:noVBand="1"/>
      </w:tblPr>
      <w:tblGrid>
        <w:gridCol w:w="1413"/>
        <w:gridCol w:w="7801"/>
      </w:tblGrid>
      <w:tr w:rsidR="00432831" w:rsidRPr="00A767A2" w14:paraId="00C624D6" w14:textId="77777777" w:rsidTr="00BB0D18">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413" w:type="dxa"/>
            <w:vAlign w:val="top"/>
          </w:tcPr>
          <w:p w14:paraId="24E0E8CC" w14:textId="77777777" w:rsidR="00432831" w:rsidRPr="00917AC5" w:rsidRDefault="00432831" w:rsidP="00917AC5">
            <w:pPr>
              <w:pStyle w:val="Tableheaderrowblack"/>
            </w:pPr>
            <w:r w:rsidRPr="00917AC5">
              <w:t>Type of contact</w:t>
            </w:r>
          </w:p>
        </w:tc>
        <w:tc>
          <w:tcPr>
            <w:tcW w:w="7801" w:type="dxa"/>
            <w:vAlign w:val="top"/>
          </w:tcPr>
          <w:p w14:paraId="634FA051" w14:textId="77777777" w:rsidR="00432831" w:rsidRPr="00917AC5" w:rsidRDefault="00432831" w:rsidP="00917AC5">
            <w:pPr>
              <w:pStyle w:val="Tableheaderrowblack"/>
              <w:cnfStyle w:val="100000000000" w:firstRow="1" w:lastRow="0" w:firstColumn="0" w:lastColumn="0" w:oddVBand="0" w:evenVBand="0" w:oddHBand="0" w:evenHBand="0" w:firstRowFirstColumn="0" w:firstRowLastColumn="0" w:lastRowFirstColumn="0" w:lastRowLastColumn="0"/>
            </w:pPr>
            <w:r w:rsidRPr="00917AC5">
              <w:t>Recommended contact management</w:t>
            </w:r>
          </w:p>
        </w:tc>
      </w:tr>
      <w:tr w:rsidR="00432831" w:rsidRPr="00A767A2" w14:paraId="6FFBC781" w14:textId="77777777" w:rsidTr="00BB0D18">
        <w:trPr>
          <w:trHeight w:val="545"/>
        </w:trPr>
        <w:tc>
          <w:tcPr>
            <w:cnfStyle w:val="001000000000" w:firstRow="0" w:lastRow="0" w:firstColumn="1" w:lastColumn="0" w:oddVBand="0" w:evenVBand="0" w:oddHBand="0" w:evenHBand="0" w:firstRowFirstColumn="0" w:firstRowLastColumn="0" w:lastRowFirstColumn="0" w:lastRowLastColumn="0"/>
            <w:tcW w:w="1413" w:type="dxa"/>
          </w:tcPr>
          <w:p w14:paraId="60808239" w14:textId="66EBD1F4" w:rsidR="00432831" w:rsidRPr="006769C8" w:rsidRDefault="00432831" w:rsidP="006769C8">
            <w:pPr>
              <w:pStyle w:val="Tabletext"/>
            </w:pPr>
            <w:r w:rsidRPr="006769C8">
              <w:t>High risk</w:t>
            </w:r>
          </w:p>
        </w:tc>
        <w:tc>
          <w:tcPr>
            <w:tcW w:w="7801" w:type="dxa"/>
          </w:tcPr>
          <w:p w14:paraId="3D109DDF" w14:textId="77777777" w:rsidR="00432831" w:rsidRPr="006769C8" w:rsidRDefault="00432831" w:rsidP="00BB0D18">
            <w:pPr>
              <w:pStyle w:val="Tabletext"/>
              <w:cnfStyle w:val="000000000000" w:firstRow="0" w:lastRow="0" w:firstColumn="0" w:lastColumn="0" w:oddVBand="0" w:evenVBand="0" w:oddHBand="0" w:evenHBand="0" w:firstRowFirstColumn="0" w:firstRowLastColumn="0" w:lastRowFirstColumn="0" w:lastRowLastColumn="0"/>
            </w:pPr>
            <w:r w:rsidRPr="00917AC5">
              <w:rPr>
                <w:rStyle w:val="Strong"/>
              </w:rPr>
              <w:t xml:space="preserve">Surveillance: </w:t>
            </w:r>
            <w:r w:rsidRPr="006769C8">
              <w:t>Active self-monitoring</w:t>
            </w:r>
            <w:r w:rsidRPr="00D02485">
              <w:rPr>
                <w:rStyle w:val="SuperscriptChar"/>
              </w:rPr>
              <w:t>1</w:t>
            </w:r>
            <w:r w:rsidRPr="006769C8">
              <w:t xml:space="preserve">. </w:t>
            </w:r>
          </w:p>
          <w:p w14:paraId="418553B2" w14:textId="77777777" w:rsidR="00432831" w:rsidRPr="006769C8" w:rsidRDefault="00432831" w:rsidP="00BB0D18">
            <w:pPr>
              <w:pStyle w:val="Tabletext"/>
              <w:cnfStyle w:val="000000000000" w:firstRow="0" w:lastRow="0" w:firstColumn="0" w:lastColumn="0" w:oddVBand="0" w:evenVBand="0" w:oddHBand="0" w:evenHBand="0" w:firstRowFirstColumn="0" w:firstRowLastColumn="0" w:lastRowFirstColumn="0" w:lastRowLastColumn="0"/>
            </w:pPr>
            <w:bookmarkStart w:id="93" w:name="_Hlk121495766"/>
            <w:r w:rsidRPr="00917AC5">
              <w:rPr>
                <w:rStyle w:val="Strong"/>
              </w:rPr>
              <w:t xml:space="preserve">Post exposure </w:t>
            </w:r>
            <w:bookmarkEnd w:id="93"/>
            <w:r w:rsidRPr="00917AC5">
              <w:rPr>
                <w:rStyle w:val="Strong"/>
              </w:rPr>
              <w:t>prophylaxis (PEP) administration</w:t>
            </w:r>
            <w:r w:rsidRPr="00D02485">
              <w:rPr>
                <w:rStyle w:val="SuperscriptChar"/>
              </w:rPr>
              <w:t>2</w:t>
            </w:r>
            <w:r w:rsidRPr="00917AC5">
              <w:rPr>
                <w:rStyle w:val="Strong"/>
              </w:rPr>
              <w:t xml:space="preserve">: </w:t>
            </w:r>
            <w:r w:rsidRPr="006769C8">
              <w:t xml:space="preserve">Vaccination should be offered if not fully vaccinated. See the </w:t>
            </w:r>
            <w:hyperlink r:id="rId26" w:anchor="recommendations">
              <w:r w:rsidRPr="00917AC5">
                <w:rPr>
                  <w:rStyle w:val="Hyperlink"/>
                </w:rPr>
                <w:t>Australian Immunisation Handbook</w:t>
              </w:r>
            </w:hyperlink>
            <w:r w:rsidRPr="001D571E">
              <w:t xml:space="preserve">. </w:t>
            </w:r>
            <w:r>
              <w:t>Antiviral PEP may be considered under specified circumstances.</w:t>
            </w:r>
            <w:r w:rsidRPr="001D571E">
              <w:t xml:space="preserve"> See</w:t>
            </w:r>
            <w:r w:rsidRPr="006769C8">
              <w:t xml:space="preserve"> the </w:t>
            </w:r>
            <w:hyperlink r:id="rId27">
              <w:r w:rsidRPr="00917AC5">
                <w:rPr>
                  <w:rStyle w:val="Hyperlink"/>
                </w:rPr>
                <w:t>Mpox Treatment Guidelines</w:t>
              </w:r>
            </w:hyperlink>
            <w:r w:rsidRPr="006769C8">
              <w:t>.</w:t>
            </w:r>
          </w:p>
          <w:p w14:paraId="32E8ABC8" w14:textId="77777777" w:rsidR="00432831" w:rsidRPr="006769C8" w:rsidRDefault="00432831" w:rsidP="00BB0D18">
            <w:pPr>
              <w:pStyle w:val="Tabletext"/>
              <w:cnfStyle w:val="000000000000" w:firstRow="0" w:lastRow="0" w:firstColumn="0" w:lastColumn="0" w:oddVBand="0" w:evenVBand="0" w:oddHBand="0" w:evenHBand="0" w:firstRowFirstColumn="0" w:firstRowLastColumn="0" w:lastRowFirstColumn="0" w:lastRowLastColumn="0"/>
            </w:pPr>
            <w:r w:rsidRPr="00917AC5">
              <w:rPr>
                <w:rStyle w:val="Strong"/>
              </w:rPr>
              <w:t>Testing priority</w:t>
            </w:r>
            <w:r w:rsidRPr="006769C8">
              <w:t>: Urgent if symptoms develop</w:t>
            </w:r>
            <w:r w:rsidRPr="00D02485">
              <w:rPr>
                <w:rStyle w:val="SuperscriptChar"/>
              </w:rPr>
              <w:t>3</w:t>
            </w:r>
            <w:r w:rsidRPr="006769C8">
              <w:t xml:space="preserve">. </w:t>
            </w:r>
          </w:p>
          <w:p w14:paraId="2312E283" w14:textId="77777777" w:rsidR="00432831" w:rsidRPr="00917AC5" w:rsidRDefault="00432831" w:rsidP="00917AC5">
            <w:pPr>
              <w:pStyle w:val="Tabletext"/>
              <w:cnfStyle w:val="000000000000" w:firstRow="0" w:lastRow="0" w:firstColumn="0" w:lastColumn="0" w:oddVBand="0" w:evenVBand="0" w:oddHBand="0" w:evenHBand="0" w:firstRowFirstColumn="0" w:firstRowLastColumn="0" w:lastRowFirstColumn="0" w:lastRowLastColumn="0"/>
              <w:rPr>
                <w:rStyle w:val="Strong"/>
              </w:rPr>
            </w:pPr>
            <w:r w:rsidRPr="00917AC5">
              <w:rPr>
                <w:rStyle w:val="Strong"/>
              </w:rPr>
              <w:t>Additional recommendations:</w:t>
            </w:r>
          </w:p>
          <w:p w14:paraId="268880AD" w14:textId="77777777" w:rsidR="00432831" w:rsidRPr="006769C8" w:rsidRDefault="00432831" w:rsidP="00BB0D18">
            <w:pPr>
              <w:pStyle w:val="Tabletext"/>
              <w:cnfStyle w:val="000000000000" w:firstRow="0" w:lastRow="0" w:firstColumn="0" w:lastColumn="0" w:oddVBand="0" w:evenVBand="0" w:oddHBand="0" w:evenHBand="0" w:firstRowFirstColumn="0" w:firstRowLastColumn="0" w:lastRowFirstColumn="0" w:lastRowLastColumn="0"/>
            </w:pPr>
            <w:r w:rsidRPr="006769C8">
              <w:t xml:space="preserve">For </w:t>
            </w:r>
            <w:r w:rsidRPr="00917AC5">
              <w:rPr>
                <w:rStyle w:val="Strong"/>
              </w:rPr>
              <w:t>21 days</w:t>
            </w:r>
            <w:r w:rsidRPr="006769C8">
              <w:t xml:space="preserve"> from last exposure:</w:t>
            </w:r>
          </w:p>
          <w:p w14:paraId="5DBD3274"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Abstain from sexual activity.</w:t>
            </w:r>
          </w:p>
          <w:p w14:paraId="3E458287"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Continue attending work as long as remain symptom free. If working in a high-risk setting4 or employment that requires close physical contact with others, attending an educational setting or a high-risk setting (e.g., healthcare, aged care, childcare settings), the PHU should conduct a case-by-case risk assessment. Generally, healthcare workers or carers in a high-risk setting may be permitted to continue working depending on their role, exposure risk, pre-exposure vaccination status and risk to others. This may include recommending wearing a surgical mask.</w:t>
            </w:r>
          </w:p>
          <w:p w14:paraId="0BAD4E96"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Outside of work, avoid:</w:t>
            </w:r>
          </w:p>
          <w:p w14:paraId="12AC864B" w14:textId="77777777" w:rsidR="00432831" w:rsidRPr="00917AC5" w:rsidRDefault="00432831" w:rsidP="00917AC5">
            <w:pPr>
              <w:pStyle w:val="Tablelistbullet2"/>
              <w:cnfStyle w:val="000000000000" w:firstRow="0" w:lastRow="0" w:firstColumn="0" w:lastColumn="0" w:oddVBand="0" w:evenVBand="0" w:oddHBand="0" w:evenHBand="0" w:firstRowFirstColumn="0" w:firstRowLastColumn="0" w:lastRowFirstColumn="0" w:lastRowLastColumn="0"/>
            </w:pPr>
            <w:r w:rsidRPr="00917AC5">
              <w:t xml:space="preserve">Childcare and aged care facilities </w:t>
            </w:r>
          </w:p>
          <w:p w14:paraId="7FA8AEC1" w14:textId="77777777" w:rsidR="00432831" w:rsidRPr="00917AC5" w:rsidRDefault="00432831" w:rsidP="00917AC5">
            <w:pPr>
              <w:pStyle w:val="Tablelistbullet2"/>
              <w:cnfStyle w:val="000000000000" w:firstRow="0" w:lastRow="0" w:firstColumn="0" w:lastColumn="0" w:oddVBand="0" w:evenVBand="0" w:oddHBand="0" w:evenHBand="0" w:firstRowFirstColumn="0" w:firstRowLastColumn="0" w:lastRowFirstColumn="0" w:lastRowLastColumn="0"/>
            </w:pPr>
            <w:r w:rsidRPr="00917AC5">
              <w:t>Healthcare facilities unless seeking medical attention.</w:t>
            </w:r>
          </w:p>
          <w:p w14:paraId="05451535"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Avoid close physical contact with those potentially at higher risk of severe infection (young children, older people, immunocompromised people, and pregnant people).</w:t>
            </w:r>
          </w:p>
          <w:p w14:paraId="464B45BB"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 xml:space="preserve">For contacts who are &lt;5 years old, the PHU should conduct a risk-assessment to determine whether exclusion from an educational or care setting or other places attended by other young children is required. This may depend on the ability for close symptom monitoring of the child, the exposure risk, and vulnerability of the setting. Children aged 5 years and over should generally be permitted to attend educational settings with careful monitoring for symptoms; PHUs should undertake a risk assessment including age, vulnerability of the setting and additional caring needs. </w:t>
            </w:r>
          </w:p>
          <w:p w14:paraId="50BEE89B"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Reconsider domestic and international travel due to reduced ability to isolate or access healthcare if symptoms develop, and requirements for strict isolation in some countries.</w:t>
            </w:r>
          </w:p>
          <w:p w14:paraId="46EE5BB3" w14:textId="77777777"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Do not donate breast milk, organs, tissues, cells or semen. Longer periods may apply as advised by the appropriate collection authority.</w:t>
            </w:r>
          </w:p>
          <w:p w14:paraId="4140B041" w14:textId="77777777" w:rsidR="00432831" w:rsidRPr="006769C8" w:rsidRDefault="00432831" w:rsidP="00BB0D18">
            <w:pPr>
              <w:pStyle w:val="Tabletext"/>
              <w:cnfStyle w:val="000000000000" w:firstRow="0" w:lastRow="0" w:firstColumn="0" w:lastColumn="0" w:oddVBand="0" w:evenVBand="0" w:oddHBand="0" w:evenHBand="0" w:firstRowFirstColumn="0" w:firstRowLastColumn="0" w:lastRowFirstColumn="0" w:lastRowLastColumn="0"/>
            </w:pPr>
            <w:r w:rsidRPr="006769C8">
              <w:t xml:space="preserve">For </w:t>
            </w:r>
            <w:r w:rsidRPr="00917AC5">
              <w:rPr>
                <w:rStyle w:val="Strong"/>
              </w:rPr>
              <w:t>28 days</w:t>
            </w:r>
            <w:r w:rsidRPr="006769C8">
              <w:t xml:space="preserve"> from last exposure:</w:t>
            </w:r>
          </w:p>
          <w:p w14:paraId="185AD721" w14:textId="783BFB12" w:rsidR="00432831" w:rsidRPr="00BB0D18" w:rsidRDefault="00432831" w:rsidP="00BB0D18">
            <w:pPr>
              <w:pStyle w:val="Tablelistbullet"/>
              <w:cnfStyle w:val="000000000000" w:firstRow="0" w:lastRow="0" w:firstColumn="0" w:lastColumn="0" w:oddVBand="0" w:evenVBand="0" w:oddHBand="0" w:evenHBand="0" w:firstRowFirstColumn="0" w:firstRowLastColumn="0" w:lastRowFirstColumn="0" w:lastRowLastColumn="0"/>
            </w:pPr>
            <w:r w:rsidRPr="00BB0D18">
              <w:t xml:space="preserve">Do not donate blood. See </w:t>
            </w:r>
            <w:hyperlink r:id="rId28">
              <w:r w:rsidRPr="00744FAE">
                <w:rPr>
                  <w:rStyle w:val="Hyperlink"/>
                </w:rPr>
                <w:t>Lifeblood</w:t>
              </w:r>
            </w:hyperlink>
            <w:r w:rsidRPr="00BB0D18">
              <w:t xml:space="preserve"> guidance.</w:t>
            </w:r>
          </w:p>
        </w:tc>
      </w:tr>
      <w:tr w:rsidR="00432831" w:rsidRPr="00A767A2" w14:paraId="0E4E0C57" w14:textId="77777777" w:rsidTr="00BB0D18">
        <w:trPr>
          <w:trHeight w:val="6804"/>
        </w:trPr>
        <w:tc>
          <w:tcPr>
            <w:cnfStyle w:val="001000000000" w:firstRow="0" w:lastRow="0" w:firstColumn="1" w:lastColumn="0" w:oddVBand="0" w:evenVBand="0" w:oddHBand="0" w:evenHBand="0" w:firstRowFirstColumn="0" w:firstRowLastColumn="0" w:lastRowFirstColumn="0" w:lastRowLastColumn="0"/>
            <w:tcW w:w="1413" w:type="dxa"/>
          </w:tcPr>
          <w:p w14:paraId="29219ABF" w14:textId="77777777" w:rsidR="00432831" w:rsidRPr="006769C8" w:rsidRDefault="00432831" w:rsidP="006769C8">
            <w:pPr>
              <w:pStyle w:val="Tabletext"/>
            </w:pPr>
            <w:r w:rsidRPr="006769C8">
              <w:lastRenderedPageBreak/>
              <w:t xml:space="preserve">Medium risk </w:t>
            </w:r>
          </w:p>
        </w:tc>
        <w:tc>
          <w:tcPr>
            <w:tcW w:w="7801" w:type="dxa"/>
          </w:tcPr>
          <w:p w14:paraId="093A6709" w14:textId="77777777" w:rsidR="00432831" w:rsidRPr="006769C8" w:rsidRDefault="00432831" w:rsidP="00D25541">
            <w:pPr>
              <w:pStyle w:val="Tabletext"/>
              <w:cnfStyle w:val="000000000000" w:firstRow="0" w:lastRow="0" w:firstColumn="0" w:lastColumn="0" w:oddVBand="0" w:evenVBand="0" w:oddHBand="0" w:evenHBand="0" w:firstRowFirstColumn="0" w:firstRowLastColumn="0" w:lastRowFirstColumn="0" w:lastRowLastColumn="0"/>
            </w:pPr>
            <w:r w:rsidRPr="00917AC5">
              <w:rPr>
                <w:rStyle w:val="Strong"/>
              </w:rPr>
              <w:t xml:space="preserve">Surveillance: </w:t>
            </w:r>
            <w:r w:rsidRPr="006769C8">
              <w:t>Active self-monitoring</w:t>
            </w:r>
            <w:r w:rsidRPr="00D02485">
              <w:rPr>
                <w:rStyle w:val="SuperscriptChar"/>
              </w:rPr>
              <w:t xml:space="preserve">1 </w:t>
            </w:r>
          </w:p>
          <w:p w14:paraId="208F68FD" w14:textId="77777777" w:rsidR="00432831" w:rsidRPr="006769C8" w:rsidRDefault="00432831" w:rsidP="00D25541">
            <w:pPr>
              <w:pStyle w:val="Tabletext"/>
              <w:cnfStyle w:val="000000000000" w:firstRow="0" w:lastRow="0" w:firstColumn="0" w:lastColumn="0" w:oddVBand="0" w:evenVBand="0" w:oddHBand="0" w:evenHBand="0" w:firstRowFirstColumn="0" w:firstRowLastColumn="0" w:lastRowFirstColumn="0" w:lastRowLastColumn="0"/>
            </w:pPr>
            <w:r w:rsidRPr="00917AC5">
              <w:rPr>
                <w:rStyle w:val="Strong"/>
              </w:rPr>
              <w:t>PEP administration</w:t>
            </w:r>
            <w:r w:rsidRPr="00D02485">
              <w:rPr>
                <w:rStyle w:val="SuperscriptChar"/>
              </w:rPr>
              <w:t>2</w:t>
            </w:r>
            <w:r w:rsidRPr="00917AC5">
              <w:rPr>
                <w:rStyle w:val="Strong"/>
              </w:rPr>
              <w:t>:</w:t>
            </w:r>
            <w:r w:rsidRPr="006769C8">
              <w:t xml:space="preserve"> Vaccination should be offered if not fully vaccinated. See the </w:t>
            </w:r>
            <w:hyperlink r:id="rId29" w:anchor="recommendations">
              <w:r w:rsidRPr="00917AC5">
                <w:rPr>
                  <w:rStyle w:val="Hyperlink"/>
                </w:rPr>
                <w:t>Australian Immunisation Handbook</w:t>
              </w:r>
            </w:hyperlink>
            <w:r w:rsidRPr="001D571E">
              <w:t xml:space="preserve">. </w:t>
            </w:r>
            <w:r>
              <w:t>Antiviral PEP may be considered under specified circumstances.</w:t>
            </w:r>
            <w:r w:rsidRPr="001D571E">
              <w:t xml:space="preserve"> See</w:t>
            </w:r>
            <w:r w:rsidRPr="006769C8">
              <w:t xml:space="preserve"> the </w:t>
            </w:r>
            <w:hyperlink r:id="rId30">
              <w:r w:rsidRPr="00917AC5">
                <w:rPr>
                  <w:rStyle w:val="Hyperlink"/>
                </w:rPr>
                <w:t>Mpox Treatment Guidelines</w:t>
              </w:r>
            </w:hyperlink>
            <w:r w:rsidRPr="006769C8">
              <w:t>.</w:t>
            </w:r>
          </w:p>
          <w:p w14:paraId="38BB6589" w14:textId="77777777" w:rsidR="00432831" w:rsidRPr="006769C8" w:rsidRDefault="00432831" w:rsidP="00D25541">
            <w:pPr>
              <w:pStyle w:val="Tabletext"/>
              <w:cnfStyle w:val="000000000000" w:firstRow="0" w:lastRow="0" w:firstColumn="0" w:lastColumn="0" w:oddVBand="0" w:evenVBand="0" w:oddHBand="0" w:evenHBand="0" w:firstRowFirstColumn="0" w:firstRowLastColumn="0" w:lastRowFirstColumn="0" w:lastRowLastColumn="0"/>
            </w:pPr>
            <w:r w:rsidRPr="00917AC5">
              <w:rPr>
                <w:rStyle w:val="Strong"/>
              </w:rPr>
              <w:t xml:space="preserve">Testing priority: </w:t>
            </w:r>
            <w:r w:rsidRPr="006769C8">
              <w:t>High if symptoms develop</w:t>
            </w:r>
            <w:r w:rsidRPr="00D02485">
              <w:rPr>
                <w:rStyle w:val="SuperscriptChar"/>
              </w:rPr>
              <w:t>3</w:t>
            </w:r>
          </w:p>
          <w:p w14:paraId="08331862" w14:textId="77777777" w:rsidR="00432831" w:rsidRPr="00917AC5" w:rsidRDefault="00432831" w:rsidP="00917AC5">
            <w:pPr>
              <w:pStyle w:val="Tabletext"/>
              <w:cnfStyle w:val="000000000000" w:firstRow="0" w:lastRow="0" w:firstColumn="0" w:lastColumn="0" w:oddVBand="0" w:evenVBand="0" w:oddHBand="0" w:evenHBand="0" w:firstRowFirstColumn="0" w:firstRowLastColumn="0" w:lastRowFirstColumn="0" w:lastRowLastColumn="0"/>
              <w:rPr>
                <w:rStyle w:val="Strong"/>
              </w:rPr>
            </w:pPr>
            <w:r w:rsidRPr="00917AC5">
              <w:rPr>
                <w:rStyle w:val="Strong"/>
              </w:rPr>
              <w:t>Additional recommendations:</w:t>
            </w:r>
          </w:p>
          <w:p w14:paraId="2B3B1263" w14:textId="77777777" w:rsidR="00432831" w:rsidRPr="006769C8" w:rsidRDefault="00432831" w:rsidP="00D25541">
            <w:pPr>
              <w:pStyle w:val="Tabletext"/>
              <w:cnfStyle w:val="000000000000" w:firstRow="0" w:lastRow="0" w:firstColumn="0" w:lastColumn="0" w:oddVBand="0" w:evenVBand="0" w:oddHBand="0" w:evenHBand="0" w:firstRowFirstColumn="0" w:firstRowLastColumn="0" w:lastRowFirstColumn="0" w:lastRowLastColumn="0"/>
            </w:pPr>
            <w:r w:rsidRPr="006769C8">
              <w:t xml:space="preserve">For </w:t>
            </w:r>
            <w:r w:rsidRPr="00917AC5">
              <w:rPr>
                <w:rStyle w:val="Strong"/>
              </w:rPr>
              <w:t>21 days</w:t>
            </w:r>
            <w:r w:rsidRPr="006769C8">
              <w:t xml:space="preserve"> from last exposure:</w:t>
            </w:r>
          </w:p>
          <w:p w14:paraId="143D2EF1"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bookmarkStart w:id="94" w:name="_Hlk105340757"/>
            <w:r w:rsidRPr="00D25541">
              <w:t>If working in a high-risk setting4, ensure the contact remains symptom free.  PHUs should assess and manage workers, residents, and attendees in these settings on a case-by-case basis.</w:t>
            </w:r>
          </w:p>
          <w:p w14:paraId="0A3E9843"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 xml:space="preserve">Children may attend caring and educational settings and have contact with other young children if closely monitored for symptoms. </w:t>
            </w:r>
          </w:p>
          <w:p w14:paraId="1E640B79"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Outside of work, avoid:</w:t>
            </w:r>
          </w:p>
          <w:p w14:paraId="7F18DF38" w14:textId="77777777" w:rsidR="00432831" w:rsidRPr="00917AC5" w:rsidRDefault="00432831" w:rsidP="00917AC5">
            <w:pPr>
              <w:pStyle w:val="Tablelistbullet2"/>
              <w:cnfStyle w:val="000000000000" w:firstRow="0" w:lastRow="0" w:firstColumn="0" w:lastColumn="0" w:oddVBand="0" w:evenVBand="0" w:oddHBand="0" w:evenHBand="0" w:firstRowFirstColumn="0" w:firstRowLastColumn="0" w:lastRowFirstColumn="0" w:lastRowLastColumn="0"/>
            </w:pPr>
            <w:r w:rsidRPr="00917AC5">
              <w:t>Aged care facilities</w:t>
            </w:r>
          </w:p>
          <w:p w14:paraId="7838655F" w14:textId="77777777" w:rsidR="00432831" w:rsidRPr="00917AC5" w:rsidRDefault="00432831" w:rsidP="00917AC5">
            <w:pPr>
              <w:pStyle w:val="Tablelistbullet2"/>
              <w:cnfStyle w:val="000000000000" w:firstRow="0" w:lastRow="0" w:firstColumn="0" w:lastColumn="0" w:oddVBand="0" w:evenVBand="0" w:oddHBand="0" w:evenHBand="0" w:firstRowFirstColumn="0" w:firstRowLastColumn="0" w:lastRowFirstColumn="0" w:lastRowLastColumn="0"/>
            </w:pPr>
            <w:r w:rsidRPr="00917AC5">
              <w:t>Healthcare settings unless seeking medical attention.</w:t>
            </w:r>
          </w:p>
          <w:p w14:paraId="2695DB6F"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Avoid close contact with those at potential higher risk of severe infection (young children, older people, immunocompromised people, and pregnant people), where possible.</w:t>
            </w:r>
          </w:p>
          <w:p w14:paraId="5E0FF6C8"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 xml:space="preserve">Use a condom or other impermeable barrier protection during sexual activity (receptive and insertive oral/anal/vaginal sex). </w:t>
            </w:r>
          </w:p>
          <w:p w14:paraId="257B3F1C"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 xml:space="preserve">Clean sex toys thoroughly before and after use, and between partners. </w:t>
            </w:r>
          </w:p>
          <w:p w14:paraId="0430D098" w14:textId="77777777" w:rsidR="00432831" w:rsidRPr="00D25541" w:rsidDel="006B61B2"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rsidDel="006B61B2">
              <w:t xml:space="preserve">Do not donate </w:t>
            </w:r>
            <w:r w:rsidRPr="00D25541">
              <w:t xml:space="preserve">breast milk, </w:t>
            </w:r>
            <w:r w:rsidRPr="00D25541" w:rsidDel="006B61B2">
              <w:t>organs, tissues, cells or semen. Longer periods may apply as advised by the appropriate collection authority.</w:t>
            </w:r>
          </w:p>
          <w:p w14:paraId="5FBF0C44" w14:textId="77777777" w:rsidR="00432831" w:rsidRPr="006769C8" w:rsidRDefault="00432831" w:rsidP="00D25541">
            <w:pPr>
              <w:pStyle w:val="Tabletext"/>
              <w:cnfStyle w:val="000000000000" w:firstRow="0" w:lastRow="0" w:firstColumn="0" w:lastColumn="0" w:oddVBand="0" w:evenVBand="0" w:oddHBand="0" w:evenHBand="0" w:firstRowFirstColumn="0" w:firstRowLastColumn="0" w:lastRowFirstColumn="0" w:lastRowLastColumn="0"/>
            </w:pPr>
            <w:r w:rsidRPr="006769C8">
              <w:t xml:space="preserve">For </w:t>
            </w:r>
            <w:r w:rsidRPr="00917AC5">
              <w:rPr>
                <w:rStyle w:val="Strong"/>
              </w:rPr>
              <w:t>28 days</w:t>
            </w:r>
            <w:r w:rsidRPr="006769C8">
              <w:t xml:space="preserve"> from last exposure:</w:t>
            </w:r>
          </w:p>
          <w:p w14:paraId="3F467D9F" w14:textId="77777777" w:rsidR="00432831" w:rsidRPr="00D25541" w:rsidRDefault="00432831" w:rsidP="00D25541">
            <w:pPr>
              <w:pStyle w:val="Tablelistbullet"/>
              <w:cnfStyle w:val="000000000000" w:firstRow="0" w:lastRow="0" w:firstColumn="0" w:lastColumn="0" w:oddVBand="0" w:evenVBand="0" w:oddHBand="0" w:evenHBand="0" w:firstRowFirstColumn="0" w:firstRowLastColumn="0" w:lastRowFirstColumn="0" w:lastRowLastColumn="0"/>
            </w:pPr>
            <w:r w:rsidRPr="00D25541">
              <w:t xml:space="preserve">Do not donate blood. See </w:t>
            </w:r>
            <w:hyperlink r:id="rId31" w:history="1">
              <w:r w:rsidRPr="00744FAE">
                <w:rPr>
                  <w:rStyle w:val="Hyperlink"/>
                </w:rPr>
                <w:t>Lifeblood</w:t>
              </w:r>
            </w:hyperlink>
            <w:r w:rsidRPr="00D25541">
              <w:t xml:space="preserve"> guidance.</w:t>
            </w:r>
            <w:bookmarkEnd w:id="94"/>
          </w:p>
        </w:tc>
      </w:tr>
    </w:tbl>
    <w:p w14:paraId="633C1555" w14:textId="77777777" w:rsidR="00432831" w:rsidRPr="00A2004E" w:rsidRDefault="00432831" w:rsidP="00A2004E">
      <w:pPr>
        <w:pStyle w:val="Tablefootnote"/>
      </w:pPr>
      <w:r w:rsidRPr="00A2004E">
        <w:t>Notes:</w:t>
      </w:r>
    </w:p>
    <w:p w14:paraId="130B52C5" w14:textId="77777777" w:rsidR="00432831" w:rsidRPr="00A2004E" w:rsidRDefault="00432831" w:rsidP="00A2004E">
      <w:pPr>
        <w:pStyle w:val="Tablefootnote"/>
      </w:pPr>
      <w:r w:rsidRPr="00B06562">
        <w:rPr>
          <w:rStyle w:val="SuperscriptChar"/>
        </w:rPr>
        <w:t>1</w:t>
      </w:r>
      <w:r w:rsidRPr="00A2004E">
        <w:t xml:space="preserve"> </w:t>
      </w:r>
      <w:r w:rsidRPr="00EF3DEA">
        <w:t>Active self-monitoring is the contact watching for signs or symptoms compatible with mpox infection; if they appear, follow case exclusion and restriction criteria and seek medical review. If the contact is facing difficulty accessing medical review call the PHU for assistance. During the incubation period the PHU may choose to regularly monitor high and medium risk contacts (by phone, email, text) to check for the emergence of any signs or symptoms at intervals if there are concerns about the contact's health literacy, self-efficacy, or if other supports are needed.</w:t>
      </w:r>
    </w:p>
    <w:p w14:paraId="347310D4" w14:textId="77777777" w:rsidR="00432831" w:rsidRPr="00EF3DEA" w:rsidRDefault="00432831" w:rsidP="00A2004E">
      <w:pPr>
        <w:pStyle w:val="Tablefootnote"/>
      </w:pPr>
      <w:r w:rsidRPr="00B06562">
        <w:rPr>
          <w:rStyle w:val="SuperscriptChar"/>
        </w:rPr>
        <w:t>2</w:t>
      </w:r>
      <w:r w:rsidRPr="00A2004E">
        <w:t xml:space="preserve"> </w:t>
      </w:r>
      <w:r w:rsidRPr="00E7023C">
        <w:t xml:space="preserve">For current ATAGI recommendations and the latest evidence for mpox vaccines, please see the </w:t>
      </w:r>
      <w:hyperlink r:id="rId32" w:anchor="recommendations" w:history="1">
        <w:r w:rsidRPr="00E7023C">
          <w:rPr>
            <w:rStyle w:val="Hyperlink"/>
          </w:rPr>
          <w:t>Australian Immunisation Handbook</w:t>
        </w:r>
      </w:hyperlink>
      <w:r w:rsidRPr="00E7023C">
        <w:t>.</w:t>
      </w:r>
    </w:p>
    <w:p w14:paraId="3D5976DF" w14:textId="3AAA0E0A" w:rsidR="00432831" w:rsidRPr="00EF3DEA" w:rsidRDefault="00432831" w:rsidP="00A2004E">
      <w:pPr>
        <w:pStyle w:val="Tablefootnote"/>
      </w:pPr>
      <w:r w:rsidRPr="00B06562">
        <w:rPr>
          <w:rStyle w:val="SuperscriptChar"/>
        </w:rPr>
        <w:t>3</w:t>
      </w:r>
      <w:r w:rsidRPr="00EF3DEA">
        <w:t xml:space="preserve"> Treating clinicians may choose to test asymptomatic high-risk contacts based on an assessment of individual clinical risk, e.g. if the patient is immunocompromised. This should not delay PEP administration if appropriate.</w:t>
      </w:r>
    </w:p>
    <w:p w14:paraId="2C322B65" w14:textId="77777777" w:rsidR="00432831" w:rsidRPr="00A2004E" w:rsidRDefault="00432831" w:rsidP="00432831">
      <w:pPr>
        <w:pStyle w:val="Tablefootnote"/>
      </w:pPr>
      <w:r w:rsidRPr="00B06562">
        <w:rPr>
          <w:rStyle w:val="SuperscriptChar"/>
        </w:rPr>
        <w:t xml:space="preserve">4 </w:t>
      </w:r>
      <w:r w:rsidRPr="00A2004E">
        <w:t>High-risk settings are defined as childcare, aged care and disability facilities, and healthcare environments.</w:t>
      </w:r>
    </w:p>
    <w:bookmarkEnd w:id="91"/>
    <w:p w14:paraId="1BB78820" w14:textId="0D2CFB92" w:rsidR="00432831" w:rsidRPr="00B02375" w:rsidRDefault="00432831" w:rsidP="00E7023C">
      <w:pPr>
        <w:pStyle w:val="Heading2"/>
        <w:pageBreakBefore/>
      </w:pPr>
      <w:r w:rsidRPr="00B02375">
        <w:lastRenderedPageBreak/>
        <w:t>Contact education</w:t>
      </w:r>
    </w:p>
    <w:p w14:paraId="6AEE0392" w14:textId="77777777" w:rsidR="00432831" w:rsidRPr="00855BFD" w:rsidRDefault="00432831" w:rsidP="00D25541">
      <w:pPr>
        <w:pStyle w:val="BodyText"/>
      </w:pPr>
      <w:r>
        <w:t xml:space="preserve">PHUs should, at a minimum, provide the following information to contacts: </w:t>
      </w:r>
    </w:p>
    <w:p w14:paraId="480BF0F9" w14:textId="77777777" w:rsidR="00432831" w:rsidRPr="00855BFD" w:rsidRDefault="00432831" w:rsidP="00D25541">
      <w:pPr>
        <w:pStyle w:val="ListBullet"/>
      </w:pPr>
      <w:r>
        <w:t xml:space="preserve">Mpox symptoms, transmission routes and likely risk of developing mpox. </w:t>
      </w:r>
    </w:p>
    <w:p w14:paraId="0D2860E5" w14:textId="77777777" w:rsidR="00432831" w:rsidRPr="00855BFD" w:rsidRDefault="00432831" w:rsidP="00D25541">
      <w:pPr>
        <w:pStyle w:val="ListBullet"/>
      </w:pPr>
      <w:r>
        <w:t>How to seek testing if symptoms develop.</w:t>
      </w:r>
    </w:p>
    <w:p w14:paraId="6119DBE6" w14:textId="77777777" w:rsidR="00432831" w:rsidRDefault="00432831" w:rsidP="00D25541">
      <w:pPr>
        <w:pStyle w:val="ListBullet"/>
      </w:pPr>
      <w:r>
        <w:t>A contact phone number for the PHU.</w:t>
      </w:r>
    </w:p>
    <w:p w14:paraId="3815F4ED" w14:textId="77777777" w:rsidR="00432831" w:rsidRPr="00855BFD" w:rsidRDefault="00432831" w:rsidP="00D25541">
      <w:pPr>
        <w:pStyle w:val="BodyText"/>
      </w:pPr>
      <w:r>
        <w:t>If a large number of contacts is identified in a facility or institution, information to residents, workers or attendees may be distributed via the facility or institution manager.</w:t>
      </w:r>
    </w:p>
    <w:p w14:paraId="21587799" w14:textId="64A9FB58" w:rsidR="00432831" w:rsidRDefault="00432831" w:rsidP="00D25541">
      <w:pPr>
        <w:pStyle w:val="BodyText"/>
      </w:pPr>
      <w:r w:rsidRPr="00B80A47">
        <w:t xml:space="preserve">Refer to the </w:t>
      </w:r>
      <w:hyperlink w:anchor="_Information_for_contacts" w:history="1">
        <w:r w:rsidRPr="00744FAE">
          <w:rPr>
            <w:rStyle w:val="Hyperlink"/>
          </w:rPr>
          <w:t>information for contacts</w:t>
        </w:r>
      </w:hyperlink>
      <w:r w:rsidRPr="00B80A47">
        <w:t xml:space="preserve"> section below for further information.</w:t>
      </w:r>
    </w:p>
    <w:p w14:paraId="7B256749" w14:textId="77777777" w:rsidR="00AD6802" w:rsidRDefault="00AD6802" w:rsidP="00AD6802">
      <w:pPr>
        <w:pStyle w:val="Heading1"/>
      </w:pPr>
      <w:bookmarkStart w:id="95" w:name="_Toc232174964"/>
      <w:bookmarkStart w:id="96" w:name="_Toc232181764"/>
      <w:bookmarkStart w:id="97" w:name="_Toc238570909"/>
      <w:r>
        <w:lastRenderedPageBreak/>
        <w:t>Population level prevention</w:t>
      </w:r>
      <w:bookmarkEnd w:id="95"/>
      <w:bookmarkEnd w:id="96"/>
      <w:bookmarkEnd w:id="97"/>
    </w:p>
    <w:p w14:paraId="05725831" w14:textId="77777777" w:rsidR="006A0C0C" w:rsidRPr="00492E29" w:rsidRDefault="006A0C0C" w:rsidP="006A0C0C">
      <w:pPr>
        <w:pStyle w:val="BodyText"/>
      </w:pPr>
      <w:r w:rsidRPr="00492E29">
        <w:t>PHUs may consider undertaking the following measures to prevent sustained transmission of mpox in the community:</w:t>
      </w:r>
    </w:p>
    <w:p w14:paraId="0EADFD83" w14:textId="77777777" w:rsidR="006A0C0C" w:rsidRPr="00B31588" w:rsidRDefault="006A0C0C" w:rsidP="006A0C0C">
      <w:pPr>
        <w:pStyle w:val="ListBullet"/>
      </w:pPr>
      <w:r w:rsidRPr="00B31588">
        <w:t xml:space="preserve">Develop and disseminate mpox educational material to groups at higher risk of infection and severe disease (see </w:t>
      </w:r>
      <w:r w:rsidRPr="00B31588">
        <w:rPr>
          <w:rStyle w:val="Hyperlink"/>
        </w:rPr>
        <w:t>Priority populations</w:t>
      </w:r>
      <w:r w:rsidRPr="0002712A">
        <w:t xml:space="preserve">). </w:t>
      </w:r>
      <w:r w:rsidRPr="74E4479C">
        <w:t>Establish partnerships with local sexual health clinics,</w:t>
      </w:r>
      <w:r w:rsidRPr="74E4479C" w:rsidDel="2EB5904C">
        <w:t xml:space="preserve"> </w:t>
      </w:r>
      <w:r w:rsidRPr="0002712A">
        <w:t>primary</w:t>
      </w:r>
      <w:r w:rsidRPr="74E4479C">
        <w:t xml:space="preserve"> health care services, primary health networks, and Aboriginal community</w:t>
      </w:r>
      <w:r w:rsidRPr="0002712A">
        <w:t>-</w:t>
      </w:r>
      <w:r w:rsidRPr="74E4479C">
        <w:t>controlled organisations, to facilitate testing and clinician awareness and education, and connect cases and contacts with relevant community support organisations. GPs and primary care facilities play a vital role in testing for mpox</w:t>
      </w:r>
      <w:r w:rsidRPr="58A6854C" w:rsidDel="3DF75767">
        <w:t>.</w:t>
      </w:r>
    </w:p>
    <w:p w14:paraId="43E3366C" w14:textId="77777777" w:rsidR="006A0C0C" w:rsidRPr="005420E9" w:rsidRDefault="006A0C0C" w:rsidP="006A0C0C">
      <w:pPr>
        <w:pStyle w:val="ListBullet"/>
      </w:pPr>
      <w:r w:rsidRPr="005420E9">
        <w:t>Engage with local community-controlled organisations for the LGBTQIA+ community, people living with HIV, SOPVs, sex workers,</w:t>
      </w:r>
      <w:r>
        <w:t xml:space="preserve"> and </w:t>
      </w:r>
      <w:hyperlink w:anchor="_Aboriginal_and_Torres_2" w:history="1">
        <w:r w:rsidRPr="00917AC5">
          <w:rPr>
            <w:rStyle w:val="Hyperlink"/>
          </w:rPr>
          <w:t>Aboriginal and/or Torres Strait Islander people</w:t>
        </w:r>
      </w:hyperlink>
      <w:r w:rsidRPr="005420E9">
        <w:t xml:space="preserve"> to assist with targeted communications on universal prevention measures and importance of vaccination. </w:t>
      </w:r>
    </w:p>
    <w:p w14:paraId="7EABB109" w14:textId="77777777" w:rsidR="006A0C0C" w:rsidRPr="00A02ABC" w:rsidRDefault="006A0C0C" w:rsidP="006A0C0C">
      <w:pPr>
        <w:pStyle w:val="BodyText"/>
      </w:pPr>
      <w:r>
        <w:t xml:space="preserve">PHUs should take steps to promote community awareness by making guidance publicly available for at risk people (and the wider community where necessary), to </w:t>
      </w:r>
      <w:r w:rsidRPr="00A02ABC">
        <w:t xml:space="preserve">minimise their risk of </w:t>
      </w:r>
      <w:r>
        <w:t>infection, including the following advice:</w:t>
      </w:r>
    </w:p>
    <w:p w14:paraId="1BB3A460" w14:textId="77777777" w:rsidR="006A0C0C" w:rsidRPr="005420E9" w:rsidRDefault="006A0C0C" w:rsidP="006A0C0C">
      <w:pPr>
        <w:pStyle w:val="ListBullet"/>
      </w:pPr>
      <w:r w:rsidRPr="005420E9">
        <w:t xml:space="preserve">Exchange contact information with any new sexual partner(s) during periods of local mpox transmission to facilitate contact tracing if required (see </w:t>
      </w:r>
      <w:hyperlink w:anchor="_Response_procedure" w:history="1">
        <w:r w:rsidRPr="005420E9">
          <w:rPr>
            <w:rStyle w:val="Hyperlink"/>
          </w:rPr>
          <w:t>Response Procedure</w:t>
        </w:r>
      </w:hyperlink>
      <w:r w:rsidRPr="005420E9">
        <w:t>).</w:t>
      </w:r>
    </w:p>
    <w:p w14:paraId="55B5C553" w14:textId="77777777" w:rsidR="006A0C0C" w:rsidRPr="005420E9" w:rsidRDefault="006A0C0C" w:rsidP="006A0C0C">
      <w:pPr>
        <w:pStyle w:val="ListBullet"/>
      </w:pPr>
      <w:r w:rsidRPr="005420E9">
        <w:t xml:space="preserve">Use condoms </w:t>
      </w:r>
      <w:r>
        <w:t xml:space="preserve">or other impermeable barrier protection </w:t>
      </w:r>
      <w:r w:rsidRPr="005420E9">
        <w:t xml:space="preserve">and perform hand hygiene after condom use, particularly if: </w:t>
      </w:r>
    </w:p>
    <w:p w14:paraId="395FE1D0" w14:textId="77777777" w:rsidR="006A0C0C" w:rsidRPr="005420E9" w:rsidRDefault="006A0C0C" w:rsidP="006A0C0C">
      <w:pPr>
        <w:pStyle w:val="ListBullet2"/>
      </w:pPr>
      <w:r w:rsidRPr="005420E9">
        <w:t>having sex while travelling</w:t>
      </w:r>
    </w:p>
    <w:p w14:paraId="2E66A82E" w14:textId="77777777" w:rsidR="006A0C0C" w:rsidRPr="005420E9" w:rsidRDefault="006A0C0C" w:rsidP="006A0C0C">
      <w:pPr>
        <w:pStyle w:val="ListBullet2"/>
      </w:pPr>
      <w:r w:rsidRPr="005420E9">
        <w:t xml:space="preserve">attending SOPVs or events where intimate contact with a large number of people occurs (noting that condoms may not be sufficient to stop transmission from uncovered lesions, and MXPV may still transmit in these settings via </w:t>
      </w:r>
      <w:r w:rsidRPr="5A9706EA">
        <w:t>close contact or</w:t>
      </w:r>
      <w:r w:rsidRPr="005420E9">
        <w:t xml:space="preserve"> fomites, such as</w:t>
      </w:r>
      <w:r w:rsidRPr="5A9706EA">
        <w:t xml:space="preserve"> through</w:t>
      </w:r>
      <w:r w:rsidRPr="005420E9">
        <w:t xml:space="preserve"> </w:t>
      </w:r>
      <w:r w:rsidRPr="508E298B">
        <w:t>contact with contaminated</w:t>
      </w:r>
      <w:r w:rsidRPr="005420E9">
        <w:t xml:space="preserve"> clothes/linen).</w:t>
      </w:r>
    </w:p>
    <w:p w14:paraId="334EA85B" w14:textId="77777777" w:rsidR="006A0C0C" w:rsidRDefault="006A0C0C" w:rsidP="006A0C0C">
      <w:pPr>
        <w:pStyle w:val="ListBullet"/>
      </w:pPr>
      <w:r>
        <w:t>Sex toys should be thoroughly cleaned and disinfected before and after each use, and between sexual partners.</w:t>
      </w:r>
    </w:p>
    <w:p w14:paraId="6B9D7503" w14:textId="77777777" w:rsidR="006A0C0C" w:rsidRPr="005420E9" w:rsidRDefault="006A0C0C" w:rsidP="006A0C0C">
      <w:pPr>
        <w:pStyle w:val="ListBullet"/>
      </w:pPr>
      <w:r w:rsidRPr="005420E9">
        <w:t xml:space="preserve">Check </w:t>
      </w:r>
      <w:hyperlink r:id="rId33">
        <w:r w:rsidRPr="00917AC5">
          <w:rPr>
            <w:rStyle w:val="Hyperlink"/>
          </w:rPr>
          <w:t>Smart Traveller guidance</w:t>
        </w:r>
      </w:hyperlink>
      <w:r w:rsidRPr="005420E9">
        <w:t xml:space="preserve"> prior to departure if travelling to countries where mpox is endemic (particularly Central and West Africa). </w:t>
      </w:r>
    </w:p>
    <w:p w14:paraId="129ED8A6" w14:textId="77777777" w:rsidR="006A0C0C" w:rsidRPr="00EF007A" w:rsidRDefault="006A0C0C" w:rsidP="006A0C0C">
      <w:pPr>
        <w:pStyle w:val="Heading2"/>
      </w:pPr>
      <w:r>
        <w:lastRenderedPageBreak/>
        <w:t>V</w:t>
      </w:r>
      <w:r w:rsidRPr="53BB5749">
        <w:t>accination</w:t>
      </w:r>
    </w:p>
    <w:p w14:paraId="72EA02C9" w14:textId="77777777" w:rsidR="006A0C0C" w:rsidRPr="00A02ABC" w:rsidRDefault="006A0C0C" w:rsidP="006A0C0C">
      <w:pPr>
        <w:pStyle w:val="BodyText"/>
      </w:pPr>
      <w:bookmarkStart w:id="98" w:name="_Aboriginal_and_Torres_1"/>
      <w:bookmarkEnd w:id="98"/>
      <w:r>
        <w:t xml:space="preserve">Vaccines to prevent or reduce mpox infection and severity are available </w:t>
      </w:r>
      <w:r>
        <w:fldChar w:fldCharType="begin"/>
      </w:r>
      <w:r>
        <w:instrText xml:space="preserve"> ADDIN ZOTERO_ITEM CSL_CITATION {"citationID":"TJBYjz7p","properties":{"formattedCitation":"(80)","plainCitation":"(80)","noteIndex":0},"citationItems":[{"id":170,"uris":["http://zotero.org/users/local/eE57gvz8/items/3RKKD6ZH"],"itemData":{"id":170,"type":"article-journal","container-title":"New England Journal of Medicine","DOI":"10.1056/NEJMoa2215201","ISSN":"0028-4793, 1533-4406","issue":"26","journalAbbreviation":"N Engl J Med","language":"en","page":"2434-2443","source":"DOI.org (Crossref)","title":"Vaccine Effectiveness of JYNNEOS against Mpox Disease in the United States","volume":"388","author":[{"family":"Deputy","given":"Nicholas P."},{"family":"Deckert","given":"Joseph"},{"family":"Chard","given":"Anna N."},{"family":"Sandberg","given":"Neil"},{"family":"Moulia","given":"Danielle L."},{"family":"Barkley","given":"Eric"},{"family":"Dalton","given":"Alexandra F."},{"family":"Sweet","given":"Cory"},{"family":"Cohn","given":"Amanda C."},{"family":"Little","given":"David R."},{"family":"Cohen","given":"Adam L."},{"family":"Sandmann","given":"Danessa"},{"family":"Payne","given":"Daniel C."},{"family":"Gerhart","given":"Jacqueline L."},{"family":"Feldstein","given":"Leora R."}],"issued":{"date-parts":[["2023",6,29]]}}}],"schema":"https://github.com/citation-style-language/schema/raw/master/csl-citation.json"} </w:instrText>
      </w:r>
      <w:r>
        <w:fldChar w:fldCharType="separate"/>
      </w:r>
      <w:r w:rsidRPr="00B06562">
        <w:t>(80)</w:t>
      </w:r>
      <w:r>
        <w:fldChar w:fldCharType="end"/>
      </w:r>
      <w:r>
        <w:t>.</w:t>
      </w:r>
      <w:r w:rsidRPr="00A02ABC">
        <w:t xml:space="preserve"> Both </w:t>
      </w:r>
      <w:r>
        <w:t xml:space="preserve">primary vaccination and </w:t>
      </w:r>
      <w:r w:rsidRPr="00303582">
        <w:t>post exposure prophylaxis (PEP)</w:t>
      </w:r>
      <w:r w:rsidRPr="00A02ABC">
        <w:t xml:space="preserve"> can reduce the likelihood of widespread community transmission</w:t>
      </w:r>
      <w:r>
        <w:t xml:space="preserve"> and should be promoted to high-risk groups</w:t>
      </w:r>
      <w:r w:rsidRPr="00A02ABC">
        <w:t>.</w:t>
      </w:r>
    </w:p>
    <w:p w14:paraId="1679D8DA" w14:textId="77777777" w:rsidR="006A0C0C" w:rsidRDefault="006A0C0C" w:rsidP="006A0C0C">
      <w:pPr>
        <w:pStyle w:val="BodyText"/>
      </w:pPr>
      <w:r>
        <w:t>Refer to:</w:t>
      </w:r>
    </w:p>
    <w:p w14:paraId="5B80D22D" w14:textId="77777777" w:rsidR="006A0C0C" w:rsidRPr="005420E9" w:rsidRDefault="006A0C0C" w:rsidP="006A0C0C">
      <w:pPr>
        <w:pStyle w:val="ListBullet"/>
      </w:pPr>
      <w:r w:rsidRPr="00B06562">
        <w:t xml:space="preserve">the </w:t>
      </w:r>
      <w:hyperlink r:id="rId34" w:history="1">
        <w:r w:rsidRPr="00917AC5">
          <w:rPr>
            <w:rStyle w:val="Hyperlink"/>
          </w:rPr>
          <w:t>Australian Immunisation Handbook mpox page</w:t>
        </w:r>
      </w:hyperlink>
      <w:r w:rsidRPr="005420E9">
        <w:t xml:space="preserve"> </w:t>
      </w:r>
      <w:r w:rsidRPr="00B06562">
        <w:t xml:space="preserve">for advice specific to available vaccines </w:t>
      </w:r>
      <w:r w:rsidRPr="005420E9">
        <w:t xml:space="preserve">and their use for </w:t>
      </w:r>
      <w:r>
        <w:t>primary vaccination</w:t>
      </w:r>
      <w:r w:rsidRPr="005420E9">
        <w:t xml:space="preserve"> and </w:t>
      </w:r>
      <w:r>
        <w:t>PEP</w:t>
      </w:r>
      <w:r w:rsidRPr="005420E9">
        <w:t xml:space="preserve"> </w:t>
      </w:r>
    </w:p>
    <w:p w14:paraId="541688C0" w14:textId="16162FEF" w:rsidR="006A0C0C" w:rsidRPr="00CA74F9" w:rsidRDefault="006A0C0C" w:rsidP="006A0C0C">
      <w:pPr>
        <w:pStyle w:val="ListBullet"/>
        <w:rPr>
          <w:rStyle w:val="BodyTextChar"/>
        </w:rPr>
      </w:pPr>
      <w:r w:rsidRPr="005420E9">
        <w:t xml:space="preserve">The </w:t>
      </w:r>
      <w:hyperlink r:id="rId35">
        <w:r w:rsidRPr="00917AC5">
          <w:rPr>
            <w:rStyle w:val="Hyperlink"/>
          </w:rPr>
          <w:t>Australian mpox treatment guidelines</w:t>
        </w:r>
      </w:hyperlink>
      <w:r w:rsidRPr="005420E9">
        <w:t xml:space="preserve"> for advice on therapeutic options and prevention and management of vaccine</w:t>
      </w:r>
      <w:r>
        <w:t>-</w:t>
      </w:r>
      <w:r w:rsidRPr="005420E9">
        <w:t xml:space="preserve">related complications relating to the second-generation vaccine. </w:t>
      </w:r>
    </w:p>
    <w:p w14:paraId="17C1BE3D" w14:textId="77777777" w:rsidR="00AD6802" w:rsidRDefault="00AD6802" w:rsidP="00AD6802">
      <w:pPr>
        <w:pStyle w:val="Heading1"/>
      </w:pPr>
      <w:bookmarkStart w:id="99" w:name="_Toc238570910"/>
      <w:r>
        <w:lastRenderedPageBreak/>
        <w:t>Aboriginal and Torres Strait Islander Peoples and communities</w:t>
      </w:r>
      <w:bookmarkEnd w:id="99"/>
    </w:p>
    <w:p w14:paraId="10E9A1BB" w14:textId="051D71F8" w:rsidR="00673239" w:rsidRPr="00673239" w:rsidRDefault="00673239" w:rsidP="00673239">
      <w:pPr>
        <w:pStyle w:val="BodyText"/>
      </w:pPr>
      <w:r>
        <w:t>Identification of mpox in an Aboriginal and Torres Strait Islander community should prompt active case and contact management by the PHU, undertaken in partnership with the affected community.</w:t>
      </w:r>
    </w:p>
    <w:p w14:paraId="6DEE4D56" w14:textId="55A9E0AE" w:rsidR="00673239" w:rsidRDefault="00673239" w:rsidP="00673239">
      <w:pPr>
        <w:pStyle w:val="BodyText"/>
      </w:pPr>
      <w:r w:rsidRPr="00874FBD">
        <w:t>A small number of mpox clade II cases have been reported among Aboriginal and Torres Strait Islander people in Australia. To date, there have been no documented outbreaks in Aboriginal or Torres Strait Islander communities. It is important to note that limitations in surveillance and reporting may under</w:t>
      </w:r>
      <w:r>
        <w:t xml:space="preserve"> </w:t>
      </w:r>
      <w:r w:rsidRPr="00874FBD">
        <w:t>detect the true burden of disease in Aboriginal and or Torres Strait Islander people.</w:t>
      </w:r>
    </w:p>
    <w:p w14:paraId="6A19C43E" w14:textId="711D45C7" w:rsidR="00673239" w:rsidRDefault="00673239" w:rsidP="00673239">
      <w:pPr>
        <w:pStyle w:val="BodyText"/>
      </w:pPr>
      <w:r w:rsidRPr="00874FBD">
        <w:t>The risk of severe disease in Aboriginal and/or Torres Strait Islander people and communities remains uncertain and warrants close monitoring and early action to reduce the risk of transmission</w:t>
      </w:r>
      <w:r>
        <w:t>.</w:t>
      </w:r>
    </w:p>
    <w:p w14:paraId="798A5CDB" w14:textId="77777777" w:rsidR="00673239" w:rsidRDefault="00673239" w:rsidP="00673239">
      <w:pPr>
        <w:pStyle w:val="BodyText"/>
      </w:pPr>
      <w:r>
        <w:t>Communications with the community regarding targeted action may be undertaken in partnership with the local Aboriginal Community Controlled Health organisation (ACCHO) and other relevant community-led organisations, as appropriate. Community and local stakeholder engagement should be central to any community-based response and should continue throughout implementation to ensure actions are culturally appropriate.</w:t>
      </w:r>
    </w:p>
    <w:p w14:paraId="2D5AD6A7" w14:textId="4C1931B2" w:rsidR="00673239" w:rsidRDefault="00673239" w:rsidP="00673239">
      <w:pPr>
        <w:pStyle w:val="BodyText"/>
      </w:pPr>
      <w:r>
        <w:t>PHUs must remain cognisant and responsive to the intersection of stigma and discrimination that an Aboriginal and Torres Strait Islander community member may face if diagnosed with mpox. The PHU should work with the person to determine their preferred services to access, including cultural sensitivities related to gender.</w:t>
      </w:r>
    </w:p>
    <w:p w14:paraId="3922B481" w14:textId="5B9990F4" w:rsidR="00AD6802" w:rsidRPr="00726DED" w:rsidRDefault="00AD6802" w:rsidP="00D3630B">
      <w:pPr>
        <w:pStyle w:val="BodyText"/>
      </w:pPr>
      <w:r w:rsidRPr="00726DED">
        <w:br w:type="page"/>
      </w:r>
    </w:p>
    <w:p w14:paraId="0373812C" w14:textId="77777777" w:rsidR="00AD6802" w:rsidRDefault="00AD6802" w:rsidP="00AD6802">
      <w:pPr>
        <w:pStyle w:val="Heading1"/>
      </w:pPr>
      <w:bookmarkStart w:id="100" w:name="_Special_situations"/>
      <w:bookmarkStart w:id="101" w:name="_Toc232174967"/>
      <w:bookmarkStart w:id="102" w:name="_Toc232181767"/>
      <w:bookmarkStart w:id="103" w:name="_Toc238570911"/>
      <w:bookmarkEnd w:id="100"/>
      <w:r>
        <w:lastRenderedPageBreak/>
        <w:t>Special situations</w:t>
      </w:r>
      <w:bookmarkEnd w:id="101"/>
      <w:bookmarkEnd w:id="102"/>
      <w:bookmarkEnd w:id="103"/>
    </w:p>
    <w:p w14:paraId="66C6AD55" w14:textId="77777777" w:rsidR="00E748EA" w:rsidRPr="00917AC5" w:rsidRDefault="00E748EA" w:rsidP="00917AC5">
      <w:pPr>
        <w:pStyle w:val="Heading2"/>
      </w:pPr>
      <w:bookmarkStart w:id="104" w:name="_Toc122504430"/>
      <w:bookmarkStart w:id="105" w:name="_Toc179789925"/>
      <w:r w:rsidRPr="00917AC5">
        <w:t>Sex on premises venues</w:t>
      </w:r>
      <w:bookmarkEnd w:id="104"/>
      <w:bookmarkEnd w:id="105"/>
      <w:r w:rsidRPr="00917AC5">
        <w:t xml:space="preserve"> (SOPV)</w:t>
      </w:r>
    </w:p>
    <w:p w14:paraId="6EF47B8E" w14:textId="77777777" w:rsidR="00E748EA" w:rsidRPr="00A02ABC" w:rsidRDefault="00E748EA" w:rsidP="00E748EA">
      <w:pPr>
        <w:pStyle w:val="BodyText"/>
      </w:pPr>
      <w:r w:rsidRPr="2050FE1A">
        <w:t>To minimise the risk of an outbreak occurring at an SOPV, PHU</w:t>
      </w:r>
      <w:r>
        <w:t>s</w:t>
      </w:r>
      <w:r w:rsidRPr="2050FE1A">
        <w:t xml:space="preserve"> should encourage venues to</w:t>
      </w:r>
      <w:r>
        <w:t xml:space="preserve"> do the following</w:t>
      </w:r>
      <w:r w:rsidRPr="2050FE1A">
        <w:t>:</w:t>
      </w:r>
    </w:p>
    <w:p w14:paraId="3434E315" w14:textId="6A968430" w:rsidR="00E748EA" w:rsidRPr="00C549F3" w:rsidRDefault="00E748EA" w:rsidP="0038218F">
      <w:pPr>
        <w:pStyle w:val="ListBullet"/>
      </w:pPr>
      <w:r w:rsidRPr="00C549F3">
        <w:t>Display informative posters and provide clear information about</w:t>
      </w:r>
      <w:r>
        <w:t xml:space="preserve"> mpox</w:t>
      </w:r>
      <w:r w:rsidR="00767317">
        <w:t xml:space="preserve"> including</w:t>
      </w:r>
      <w:r w:rsidRPr="00C549F3">
        <w:t>:</w:t>
      </w:r>
    </w:p>
    <w:p w14:paraId="6BF87711" w14:textId="77777777" w:rsidR="00E748EA" w:rsidRPr="00B06562" w:rsidRDefault="00E748EA" w:rsidP="00B06562">
      <w:pPr>
        <w:pStyle w:val="ListBullet2"/>
      </w:pPr>
      <w:r w:rsidRPr="00B06562">
        <w:t>symptoms and the need for patrons to seek medical assessment and testing if symptoms develop</w:t>
      </w:r>
    </w:p>
    <w:p w14:paraId="35FCAA3B" w14:textId="77777777" w:rsidR="00E748EA" w:rsidRPr="00B06562" w:rsidRDefault="00E748EA" w:rsidP="00B06562">
      <w:pPr>
        <w:pStyle w:val="ListBullet2"/>
      </w:pPr>
      <w:r w:rsidRPr="00B06562">
        <w:t>transmission (primarily through sexual and close contact)</w:t>
      </w:r>
    </w:p>
    <w:p w14:paraId="391B785E" w14:textId="1B11A85F" w:rsidR="00E748EA" w:rsidRPr="00B06562" w:rsidRDefault="00E748EA" w:rsidP="00B06562">
      <w:pPr>
        <w:pStyle w:val="ListBullet2"/>
      </w:pPr>
      <w:r w:rsidRPr="00B06562">
        <w:t>prevention and risk reduction strategies, including primary vaccination and PEP.</w:t>
      </w:r>
    </w:p>
    <w:p w14:paraId="6DE58D4E" w14:textId="77777777" w:rsidR="00E748EA" w:rsidRDefault="00E748EA" w:rsidP="0038218F">
      <w:pPr>
        <w:pStyle w:val="ListBullet"/>
      </w:pPr>
      <w:r w:rsidRPr="00C549F3">
        <w:t>Ensure appropriate infection prevention and control measures are taken to prevent the spread of mpox including</w:t>
      </w:r>
      <w:r>
        <w:t>:</w:t>
      </w:r>
    </w:p>
    <w:p w14:paraId="1A6ADD67" w14:textId="77777777" w:rsidR="00E748EA" w:rsidRPr="00B06562" w:rsidRDefault="00E748EA" w:rsidP="00B06562">
      <w:pPr>
        <w:pStyle w:val="ListBullet2"/>
      </w:pPr>
      <w:r w:rsidRPr="00B06562">
        <w:t>routine cleaning and disinfection</w:t>
      </w:r>
    </w:p>
    <w:p w14:paraId="10BC79D5" w14:textId="77777777" w:rsidR="00E748EA" w:rsidRPr="00B06562" w:rsidRDefault="00E748EA" w:rsidP="00B06562">
      <w:pPr>
        <w:pStyle w:val="ListBullet2"/>
      </w:pPr>
      <w:r w:rsidRPr="00B06562">
        <w:t>waste disposal.</w:t>
      </w:r>
    </w:p>
    <w:p w14:paraId="299AA9CF" w14:textId="0F74F2E5" w:rsidR="00E748EA" w:rsidRPr="00A02ABC" w:rsidRDefault="00E748EA" w:rsidP="00E748EA">
      <w:pPr>
        <w:pStyle w:val="BodyText"/>
      </w:pPr>
      <w:r w:rsidRPr="00A02ABC">
        <w:t>In the event a case</w:t>
      </w:r>
      <w:r>
        <w:t xml:space="preserve"> or cases</w:t>
      </w:r>
      <w:r w:rsidRPr="00A02ABC">
        <w:t xml:space="preserve"> </w:t>
      </w:r>
      <w:r>
        <w:t xml:space="preserve">are </w:t>
      </w:r>
      <w:r w:rsidRPr="00A02ABC">
        <w:t xml:space="preserve">reported to have attended </w:t>
      </w:r>
      <w:r w:rsidRPr="3DB9AEDE">
        <w:t>an</w:t>
      </w:r>
      <w:r>
        <w:t xml:space="preserve"> </w:t>
      </w:r>
      <w:r w:rsidRPr="00A02ABC">
        <w:t>SOPV whilst infectious, a PHU may consider the following outbreak management strategies</w:t>
      </w:r>
      <w:r>
        <w:t>:</w:t>
      </w:r>
    </w:p>
    <w:p w14:paraId="2D714457" w14:textId="77777777" w:rsidR="00E748EA" w:rsidRPr="00D56F6B" w:rsidRDefault="00E748EA" w:rsidP="00E748EA">
      <w:pPr>
        <w:pStyle w:val="ListBullet"/>
      </w:pPr>
      <w:r w:rsidRPr="00D56F6B">
        <w:t xml:space="preserve">Encourage SOPV owners and/or proprietors to notify the PHU if they become aware of a mpox case attending their venue. </w:t>
      </w:r>
    </w:p>
    <w:p w14:paraId="6D5784C9" w14:textId="77777777" w:rsidR="00E748EA" w:rsidRPr="00D56F6B" w:rsidRDefault="00E748EA" w:rsidP="00E748EA">
      <w:pPr>
        <w:pStyle w:val="ListBullet"/>
      </w:pPr>
      <w:r w:rsidRPr="00D56F6B">
        <w:t>Distribute messages to patrons of the venue, through venue owners and/or proprietors, advising date and time of attendance of the mpox case.</w:t>
      </w:r>
    </w:p>
    <w:p w14:paraId="518E024A" w14:textId="77777777" w:rsidR="00E748EA" w:rsidRPr="00D56F6B" w:rsidRDefault="00E748EA" w:rsidP="00E748EA">
      <w:pPr>
        <w:pStyle w:val="ListBullet"/>
      </w:pPr>
      <w:r w:rsidRPr="00D56F6B">
        <w:t>Advise patrons and staff to monitor for symptoms and to seek medical advice as soon as possible if they develop symptoms.</w:t>
      </w:r>
    </w:p>
    <w:p w14:paraId="4FFAA0AE" w14:textId="77777777" w:rsidR="00E748EA" w:rsidRPr="00D56F6B" w:rsidRDefault="00E748EA" w:rsidP="00E748EA">
      <w:pPr>
        <w:pStyle w:val="ListBullet"/>
      </w:pPr>
      <w:r w:rsidRPr="00D56F6B">
        <w:t>Provide advice to venues regarding:</w:t>
      </w:r>
    </w:p>
    <w:p w14:paraId="5CF31E35" w14:textId="1FF23EBF" w:rsidR="00E748EA" w:rsidRPr="00B06562" w:rsidRDefault="00E748EA" w:rsidP="00B06562">
      <w:pPr>
        <w:pStyle w:val="ListBullet2"/>
      </w:pPr>
      <w:r w:rsidRPr="00B06562">
        <w:t>cleaning and disinfection, including increasing frequency of cleaning for surfaces or objects (such as sex toys) that may contact people’s skin, areas soiled with bodily fluids or lubricant, and frequently touched objects/surfaces</w:t>
      </w:r>
    </w:p>
    <w:p w14:paraId="75DABFC7" w14:textId="2B5DF663" w:rsidR="00E748EA" w:rsidRPr="00B06562" w:rsidRDefault="00E748EA" w:rsidP="00B06562">
      <w:pPr>
        <w:pStyle w:val="ListBullet2"/>
      </w:pPr>
      <w:r w:rsidRPr="00B06562">
        <w:t>not undertaking activities that may cause particulate dispersal, such as sweeping (wet cleaning methods are preferred), and shaking used linen, clothing, or towels before laundering</w:t>
      </w:r>
    </w:p>
    <w:p w14:paraId="63FC1E0A" w14:textId="289B70B6" w:rsidR="00E748EA" w:rsidRPr="00B06562" w:rsidRDefault="00E748EA" w:rsidP="00B06562">
      <w:pPr>
        <w:pStyle w:val="ListBullet2"/>
      </w:pPr>
      <w:r w:rsidRPr="00B06562">
        <w:lastRenderedPageBreak/>
        <w:t>waste management (i.e., waste [paper towels, tissues, condoms] should be double bagged before being disposed through standard waste management)</w:t>
      </w:r>
      <w:r w:rsidR="0038218F" w:rsidRPr="00B06562">
        <w:t>.</w:t>
      </w:r>
    </w:p>
    <w:p w14:paraId="5A196370" w14:textId="77777777" w:rsidR="00E748EA" w:rsidRPr="00D56F6B" w:rsidRDefault="00E748EA" w:rsidP="00E748EA">
      <w:pPr>
        <w:pStyle w:val="ListBullet"/>
      </w:pPr>
      <w:r w:rsidRPr="00D56F6B">
        <w:t>The PPE that should be worn by staff undertaking cleaning, waste disposal and laundering, which at a minimum should include a fluid resistant surgical mask, non-sterile disposable gloves, a disposable apron</w:t>
      </w:r>
      <w:r>
        <w:t xml:space="preserve">, and protective eyewear where there is a risk of splashes </w:t>
      </w:r>
      <w:r w:rsidRPr="00B56DA3">
        <w:t xml:space="preserve">or sprays of </w:t>
      </w:r>
      <w:r>
        <w:t>fluids</w:t>
      </w:r>
      <w:r w:rsidRPr="00B56DA3">
        <w:t xml:space="preserve"> into the face and eyes</w:t>
      </w:r>
      <w:r w:rsidRPr="00D56F6B">
        <w:t>.</w:t>
      </w:r>
    </w:p>
    <w:p w14:paraId="1B08988E" w14:textId="77777777" w:rsidR="00E748EA" w:rsidRPr="00D56F6B" w:rsidRDefault="00E748EA" w:rsidP="00E748EA">
      <w:pPr>
        <w:pStyle w:val="ListBullet"/>
      </w:pPr>
      <w:r w:rsidRPr="00D56F6B">
        <w:t xml:space="preserve">Consider offering SOPV outreach vaccination programs. </w:t>
      </w:r>
    </w:p>
    <w:p w14:paraId="33D14366" w14:textId="77777777" w:rsidR="00E748EA" w:rsidRPr="00A02ABC" w:rsidRDefault="00E748EA" w:rsidP="00E748EA">
      <w:pPr>
        <w:pStyle w:val="BodyText"/>
      </w:pPr>
      <w:r w:rsidRPr="00A02ABC">
        <w:t xml:space="preserve">Methods of messaging and the ability to contact trace may be limited due to the willingness of patrons to provide contact information. </w:t>
      </w:r>
      <w:r w:rsidRPr="42F4AB2A">
        <w:t xml:space="preserve">Messaging through mainstream media may </w:t>
      </w:r>
      <w:r w:rsidRPr="50865B91">
        <w:t>not have adequate reach</w:t>
      </w:r>
      <w:r w:rsidRPr="67D1599E">
        <w:t>,</w:t>
      </w:r>
      <w:r w:rsidRPr="4ADE16CB">
        <w:t xml:space="preserve"> and avenues</w:t>
      </w:r>
      <w:r w:rsidRPr="4DE88CE8">
        <w:t xml:space="preserve"> to provide messaging through partnerships with non-government organisations </w:t>
      </w:r>
      <w:r w:rsidRPr="186B1147">
        <w:t>should be explored.</w:t>
      </w:r>
      <w:r w:rsidRPr="00A02ABC">
        <w:t xml:space="preserve"> Best practice may require assessment on a case-by-case basis. </w:t>
      </w:r>
    </w:p>
    <w:p w14:paraId="7E13624A" w14:textId="387EF937" w:rsidR="00E748EA" w:rsidRPr="00917AC5" w:rsidRDefault="00E748EA" w:rsidP="00917AC5">
      <w:pPr>
        <w:pStyle w:val="Heading2"/>
      </w:pPr>
      <w:bookmarkStart w:id="106" w:name="_Toc122504431"/>
      <w:bookmarkStart w:id="107" w:name="_Toc179789926"/>
      <w:r w:rsidRPr="00917AC5">
        <w:t>Congregate living settings</w:t>
      </w:r>
      <w:bookmarkEnd w:id="106"/>
      <w:bookmarkEnd w:id="107"/>
    </w:p>
    <w:p w14:paraId="48AEA09A" w14:textId="77777777" w:rsidR="00E748EA" w:rsidRPr="00A02ABC" w:rsidRDefault="00E748EA" w:rsidP="00E748EA">
      <w:pPr>
        <w:pStyle w:val="BodyText"/>
      </w:pPr>
      <w:r w:rsidRPr="2050FE1A">
        <w:t>Congregate living settings are facilities or other housing where people who are not related reside in close proximity and share at least one common room (e.g.</w:t>
      </w:r>
      <w:r>
        <w:t>,</w:t>
      </w:r>
      <w:r w:rsidRPr="2050FE1A">
        <w:t xml:space="preserve"> sleeping room, kitchen, bathroom, living room). </w:t>
      </w:r>
      <w:r>
        <w:t>This</w:t>
      </w:r>
      <w:r w:rsidRPr="2050FE1A">
        <w:t xml:space="preserve"> can include correctional and detention facilities, shelters for people experiencing homelessness</w:t>
      </w:r>
      <w:r>
        <w:t xml:space="preserve"> or family violence</w:t>
      </w:r>
      <w:r w:rsidRPr="2050FE1A">
        <w:t>, group homes, dormitories at institutes of higher education, boarding schools, seasonal worker housing, residential substance use treatment facilities and other similar settings</w:t>
      </w:r>
      <w:r>
        <w:t>—</w:t>
      </w:r>
      <w:r w:rsidRPr="2050FE1A">
        <w:t xml:space="preserve">but </w:t>
      </w:r>
      <w:r w:rsidRPr="00B06562">
        <w:rPr>
          <w:rStyle w:val="Emphasis"/>
        </w:rPr>
        <w:t>not</w:t>
      </w:r>
      <w:r w:rsidRPr="2050FE1A">
        <w:t xml:space="preserve"> healthcare settings. </w:t>
      </w:r>
    </w:p>
    <w:p w14:paraId="6E540730" w14:textId="77777777" w:rsidR="00E748EA" w:rsidRPr="00A02ABC" w:rsidRDefault="00E748EA" w:rsidP="00E748EA">
      <w:pPr>
        <w:pStyle w:val="BodyText"/>
      </w:pPr>
      <w:r w:rsidRPr="00A02ABC">
        <w:t>In the event of a case in a congregate living setting, PHUs may consider the following outbreak management strategies:</w:t>
      </w:r>
    </w:p>
    <w:p w14:paraId="28A4B513" w14:textId="77777777" w:rsidR="00E748EA" w:rsidRDefault="00E748EA" w:rsidP="00806314">
      <w:pPr>
        <w:pStyle w:val="ListBullet"/>
      </w:pPr>
      <w:r w:rsidRPr="00C96D88">
        <w:t>Undertake contact tracing to identify staff, volunteers or residents who may have been exposed to a mpox case.</w:t>
      </w:r>
    </w:p>
    <w:p w14:paraId="51C35E76" w14:textId="77777777" w:rsidR="00E748EA" w:rsidRPr="004F4B90" w:rsidRDefault="00E748EA" w:rsidP="00806314">
      <w:pPr>
        <w:pStyle w:val="ListBullet"/>
      </w:pPr>
      <w:r w:rsidRPr="004F4B90">
        <w:t xml:space="preserve">Ensure appropriate infection prevention and control measures are undertaken including the cleaning and disinfection of areas where people with mpox spent time while infectious, waste and laundry management, the accessibility of handwashing facilities and provision of and training in the use of appropriate </w:t>
      </w:r>
      <w:r>
        <w:t>PPE</w:t>
      </w:r>
      <w:r w:rsidRPr="004F4B90">
        <w:t>.</w:t>
      </w:r>
    </w:p>
    <w:p w14:paraId="4F0BB66C" w14:textId="734330FA" w:rsidR="00E748EA" w:rsidRDefault="00E748EA" w:rsidP="00806314">
      <w:pPr>
        <w:pStyle w:val="ListBullet"/>
      </w:pPr>
      <w:r w:rsidRPr="00C96D88">
        <w:t>Distribute messaging to staff, volunteers and residents providing information about mpox and advising a case has been detected.</w:t>
      </w:r>
    </w:p>
    <w:p w14:paraId="0F623A1C" w14:textId="77777777" w:rsidR="00E748EA" w:rsidRPr="00B06562" w:rsidRDefault="00E748EA" w:rsidP="00B06562">
      <w:pPr>
        <w:pStyle w:val="ListBullet2"/>
      </w:pPr>
      <w:r w:rsidRPr="00B06562">
        <w:t>Clearly communicate and provide information about mpox prevention, including the potential for transmission through close, sustained physical contact, including sexual activity.</w:t>
      </w:r>
    </w:p>
    <w:p w14:paraId="465BF4BA" w14:textId="77777777" w:rsidR="00E748EA" w:rsidRPr="00C96D88" w:rsidRDefault="00E748EA" w:rsidP="00806314">
      <w:pPr>
        <w:pStyle w:val="ListBullet"/>
      </w:pPr>
      <w:r w:rsidRPr="00C96D88">
        <w:lastRenderedPageBreak/>
        <w:t xml:space="preserve">Advise staff, volunteers, and residents who </w:t>
      </w:r>
      <w:r w:rsidRPr="1DA939C9">
        <w:t xml:space="preserve">develop </w:t>
      </w:r>
      <w:r w:rsidRPr="091DE2F7">
        <w:t>mpox symptoms</w:t>
      </w:r>
      <w:r w:rsidRPr="00C96D88">
        <w:t xml:space="preserve"> to seek testing and medical evaluation and facilitate this if required.</w:t>
      </w:r>
    </w:p>
    <w:p w14:paraId="50C85205" w14:textId="5AC488A2" w:rsidR="00E748EA" w:rsidRPr="00C96D88" w:rsidRDefault="00E748EA" w:rsidP="00806314">
      <w:pPr>
        <w:pStyle w:val="ListBullet"/>
      </w:pPr>
      <w:r>
        <w:t xml:space="preserve">Recommend that </w:t>
      </w:r>
      <w:r w:rsidRPr="00C96D88">
        <w:t xml:space="preserve">people identified to have mpox should have their own bedroom and bathroom facilities; where this is not possible, cohorting of cases may be </w:t>
      </w:r>
      <w:r>
        <w:t>recommended:</w:t>
      </w:r>
    </w:p>
    <w:p w14:paraId="2FFF6A7A" w14:textId="27AF8901" w:rsidR="00E748EA" w:rsidRPr="00B06562" w:rsidRDefault="00E748EA" w:rsidP="00B06562">
      <w:pPr>
        <w:pStyle w:val="ListBullet2"/>
      </w:pPr>
      <w:r w:rsidRPr="00B06562">
        <w:t>If cohorting is not possible, ensure residents with mpox maintain physical distancing from others, cover any skin lesions with clothing, bandages, or a sheet or gown and wear a well-fitting disposable mask over their nose and mouth in situations where they are unable to physically distance.</w:t>
      </w:r>
    </w:p>
    <w:p w14:paraId="74A489EE" w14:textId="1427C20F" w:rsidR="00E748EA" w:rsidRPr="00C96D88" w:rsidRDefault="00E748EA" w:rsidP="00806314">
      <w:pPr>
        <w:pStyle w:val="ListBullet"/>
      </w:pPr>
      <w:r w:rsidRPr="00806314">
        <w:t>Recommend that a dedicated laundry space should be identified for residents in isolation, and that anyone handling laundry should wear appropriate PPE (as per</w:t>
      </w:r>
      <w:r w:rsidRPr="00C96D88">
        <w:t xml:space="preserve"> advice in </w:t>
      </w:r>
      <w:hyperlink w:anchor="_Outbreak_management" w:history="1">
        <w:r w:rsidRPr="00917AC5">
          <w:rPr>
            <w:rStyle w:val="Hyperlink"/>
          </w:rPr>
          <w:t>SOPV section</w:t>
        </w:r>
      </w:hyperlink>
      <w:r w:rsidRPr="00C96D88">
        <w:t xml:space="preserve"> above) and </w:t>
      </w:r>
      <w:r>
        <w:t xml:space="preserve">that </w:t>
      </w:r>
      <w:r w:rsidRPr="00C96D88">
        <w:t xml:space="preserve">the </w:t>
      </w:r>
      <w:r>
        <w:t>below</w:t>
      </w:r>
      <w:r w:rsidRPr="00C96D88">
        <w:t xml:space="preserve"> procedure for waste management </w:t>
      </w:r>
      <w:r>
        <w:t xml:space="preserve">be </w:t>
      </w:r>
      <w:r w:rsidRPr="00C96D88">
        <w:t>followed:</w:t>
      </w:r>
    </w:p>
    <w:p w14:paraId="674C77D4" w14:textId="544C72FE" w:rsidR="00E748EA" w:rsidRPr="00B06562" w:rsidRDefault="00E748EA" w:rsidP="00B06562">
      <w:pPr>
        <w:pStyle w:val="ListBullet2"/>
      </w:pPr>
      <w:r w:rsidRPr="00B06562">
        <w:t>Use a plastic bag to contain all the waste in the infected person’s area, then tie the bag off and directly dispose of it into the general waste stream (not recycling).</w:t>
      </w:r>
    </w:p>
    <w:p w14:paraId="7B9DF054" w14:textId="77777777" w:rsidR="00E748EA" w:rsidRPr="00B06562" w:rsidRDefault="00E748EA" w:rsidP="00B06562">
      <w:pPr>
        <w:pStyle w:val="ListBullet2"/>
      </w:pPr>
      <w:r w:rsidRPr="00B06562">
        <w:t>Perform hand hygiene immediately after disposing of waste.</w:t>
      </w:r>
    </w:p>
    <w:p w14:paraId="7519D16E" w14:textId="77777777" w:rsidR="00E748EA" w:rsidRPr="00C96D88" w:rsidRDefault="00E748EA" w:rsidP="00806314">
      <w:pPr>
        <w:pStyle w:val="ListBullet"/>
      </w:pPr>
      <w:r>
        <w:t>Recommend that</w:t>
      </w:r>
      <w:r w:rsidRPr="00C96D88">
        <w:t xml:space="preserve"> the number of staff engaging with cases is reduced to those essential for operations or care.</w:t>
      </w:r>
    </w:p>
    <w:p w14:paraId="7A84602B" w14:textId="480C5251" w:rsidR="00E748EA" w:rsidRPr="00C96D88" w:rsidRDefault="00E748EA" w:rsidP="00806314">
      <w:pPr>
        <w:pStyle w:val="ListBullet"/>
      </w:pPr>
      <w:r>
        <w:t>Direct s</w:t>
      </w:r>
      <w:r w:rsidRPr="00C96D88">
        <w:t xml:space="preserve">taff and volunteers who test positive </w:t>
      </w:r>
      <w:r>
        <w:t>to follow the same</w:t>
      </w:r>
      <w:r w:rsidRPr="00C96D88">
        <w:t xml:space="preserve"> advice for</w:t>
      </w:r>
      <w:r>
        <w:t xml:space="preserve"> existing</w:t>
      </w:r>
      <w:r w:rsidRPr="00C96D88">
        <w:t xml:space="preserve"> cases. If there are workforce shortage concerns, a risk assessment for workplace attendance may be undertaken by a PHU on case-by-case basis.</w:t>
      </w:r>
    </w:p>
    <w:p w14:paraId="436A5186" w14:textId="77777777" w:rsidR="00E748EA" w:rsidRDefault="00E748EA" w:rsidP="00806314">
      <w:pPr>
        <w:pStyle w:val="ListBullet"/>
      </w:pPr>
      <w:r>
        <w:t>Consider recommending v</w:t>
      </w:r>
      <w:r w:rsidRPr="00C96D88">
        <w:t>accination on a case-by-case basis</w:t>
      </w:r>
      <w:r>
        <w:t>,</w:t>
      </w:r>
      <w:r w:rsidRPr="00C96D88">
        <w:t xml:space="preserve"> including </w:t>
      </w:r>
      <w:r>
        <w:t>PEP</w:t>
      </w:r>
      <w:r w:rsidRPr="00C96D88">
        <w:t xml:space="preserve"> and targeted </w:t>
      </w:r>
      <w:r>
        <w:t>primary vaccination</w:t>
      </w:r>
      <w:r w:rsidRPr="00C96D88">
        <w:t xml:space="preserve"> for certain groups within the facility.</w:t>
      </w:r>
    </w:p>
    <w:p w14:paraId="227628BC" w14:textId="48F728DD" w:rsidR="00AD6802" w:rsidRPr="00B4556E" w:rsidRDefault="00AD6802" w:rsidP="00B4556E">
      <w:pPr>
        <w:pStyle w:val="BodyText"/>
      </w:pPr>
      <w:r w:rsidRPr="00B4556E">
        <w:br w:type="page"/>
      </w:r>
    </w:p>
    <w:p w14:paraId="2A057FAD" w14:textId="77777777" w:rsidR="00AD6802" w:rsidRDefault="00AD6802" w:rsidP="00AD6802">
      <w:pPr>
        <w:pStyle w:val="Heading1"/>
      </w:pPr>
      <w:bookmarkStart w:id="108" w:name="_Toc232174971"/>
      <w:bookmarkStart w:id="109" w:name="_Toc232181771"/>
      <w:bookmarkStart w:id="110" w:name="_Toc238570912"/>
      <w:r>
        <w:lastRenderedPageBreak/>
        <w:t>References</w:t>
      </w:r>
      <w:bookmarkEnd w:id="108"/>
      <w:bookmarkEnd w:id="109"/>
      <w:bookmarkEnd w:id="110"/>
    </w:p>
    <w:p w14:paraId="0DA0F5F9" w14:textId="77777777" w:rsidR="00855A92" w:rsidRPr="00207F3B" w:rsidRDefault="00855A92" w:rsidP="005C1429">
      <w:pPr>
        <w:pStyle w:val="Bibliography"/>
      </w:pPr>
      <w:r w:rsidRPr="00765E35">
        <w:fldChar w:fldCharType="begin"/>
      </w:r>
      <w:r w:rsidRPr="00765E35">
        <w:instrText xml:space="preserve"> ADDIN ZOTERO_BIBL {"uncited":[],"omitted":[],"custom":[]} CSL_BIBLIOGRAPHY </w:instrText>
      </w:r>
      <w:r w:rsidRPr="00765E35">
        <w:fldChar w:fldCharType="separate"/>
      </w:r>
      <w:r w:rsidRPr="00207F3B">
        <w:t>1.</w:t>
      </w:r>
      <w:r w:rsidRPr="00207F3B">
        <w:tab/>
        <w:t xml:space="preserve">Sah R, Padhi BK, Siddiq A, Abdelaal A, Reda A, Ismail Lashin B, et al. Public Health Emergency of International Concern declared by the World Health Organization for Monkeypox. Global Security: Health, Science and Policy. 2022 Dec 31;7(1):51–6. </w:t>
      </w:r>
    </w:p>
    <w:p w14:paraId="7308F74B" w14:textId="77777777" w:rsidR="00855A92" w:rsidRPr="00207F3B" w:rsidRDefault="00855A92" w:rsidP="005C1429">
      <w:pPr>
        <w:pStyle w:val="Bibliography"/>
      </w:pPr>
      <w:r w:rsidRPr="00207F3B">
        <w:t>2.</w:t>
      </w:r>
      <w:r w:rsidRPr="00207F3B">
        <w:tab/>
        <w:t xml:space="preserve">Alakunle E, Moens U, Nchinda G, Okeke MI. Monkeypox Virus in Nigeria: Infection Biology, Epidemiology, and Evolution. Viruses. 2020 Nov 5;12(11):1257. </w:t>
      </w:r>
    </w:p>
    <w:p w14:paraId="3A03EE09" w14:textId="77777777" w:rsidR="00855A92" w:rsidRPr="00207F3B" w:rsidRDefault="00855A92" w:rsidP="005C1429">
      <w:pPr>
        <w:pStyle w:val="Bibliography"/>
      </w:pPr>
      <w:r w:rsidRPr="00207F3B">
        <w:t>3.</w:t>
      </w:r>
      <w:r w:rsidRPr="00207F3B">
        <w:tab/>
        <w:t xml:space="preserve">Durski KN, McCollum AM, Nakazawa Y, Petersen BW, Reynolds MG, Briand S, et al. Emergence of Monkeypox - West and Central Africa, 1970-2017. MMWR Morb Mortal Wkly Rep. 2018 Mar 16;67(10):306–10. </w:t>
      </w:r>
    </w:p>
    <w:p w14:paraId="43CF976D" w14:textId="77777777" w:rsidR="00855A92" w:rsidRPr="00207F3B" w:rsidRDefault="00855A92" w:rsidP="005C1429">
      <w:pPr>
        <w:pStyle w:val="Bibliography"/>
      </w:pPr>
      <w:r w:rsidRPr="00207F3B">
        <w:t>4.</w:t>
      </w:r>
      <w:r w:rsidRPr="00207F3B">
        <w:tab/>
        <w:t xml:space="preserve">Heymann, D. Control of Communicable Diseases Manual. In Alpha Press; 2015. p. 565–8. </w:t>
      </w:r>
    </w:p>
    <w:p w14:paraId="0DF1075E" w14:textId="77777777" w:rsidR="00855A92" w:rsidRPr="00207F3B" w:rsidRDefault="00855A92" w:rsidP="005C1429">
      <w:pPr>
        <w:pStyle w:val="Bibliography"/>
      </w:pPr>
      <w:r w:rsidRPr="00207F3B">
        <w:t>5.</w:t>
      </w:r>
      <w:r w:rsidRPr="00207F3B">
        <w:tab/>
        <w:t xml:space="preserve">Ligon BL. Monkeypox: a review of the history and emergence in the Western hemisphere. Semin Pediatr Infect Dis. 2004 Oct;15(4):280–7. </w:t>
      </w:r>
    </w:p>
    <w:p w14:paraId="72B461A9" w14:textId="77777777" w:rsidR="00855A92" w:rsidRPr="00207F3B" w:rsidRDefault="00855A92" w:rsidP="005C1429">
      <w:pPr>
        <w:pStyle w:val="Bibliography"/>
      </w:pPr>
      <w:r w:rsidRPr="00207F3B">
        <w:t>6.</w:t>
      </w:r>
      <w:r w:rsidRPr="00207F3B">
        <w:tab/>
        <w:t>Centers for Disease Control and Prevention. Update: Multistate Outbreak of Monkeypox --- Illinois, Indiana, Kansas, Missouri, Ohoi, and Wisconsin, 2003 [Internet]. Available from: https://www.cdc.gov/mmwr/preview/mmwrhtml/mm5227a5.htm</w:t>
      </w:r>
    </w:p>
    <w:p w14:paraId="0D13794C" w14:textId="35D0B39C" w:rsidR="00855A92" w:rsidRPr="00207F3B" w:rsidRDefault="00855A92" w:rsidP="005C1429">
      <w:pPr>
        <w:pStyle w:val="Bibliography"/>
      </w:pPr>
      <w:r w:rsidRPr="00207F3B">
        <w:t>7.</w:t>
      </w:r>
      <w:r w:rsidRPr="00207F3B">
        <w:tab/>
        <w:t>Australian Government Department of Health Disability and Ageing. Mpox [Internet]. [cited 2025 Aug 3]. Available from: https://www.health.gov.au/diseases/monkeypox-mpox</w:t>
      </w:r>
    </w:p>
    <w:p w14:paraId="3F211779" w14:textId="77777777" w:rsidR="00855A92" w:rsidRPr="00207F3B" w:rsidRDefault="00855A92" w:rsidP="005C1429">
      <w:pPr>
        <w:pStyle w:val="Bibliography"/>
      </w:pPr>
      <w:r w:rsidRPr="00207F3B">
        <w:t>8.</w:t>
      </w:r>
      <w:r w:rsidRPr="00207F3B">
        <w:tab/>
        <w:t>World Health Organization. Global Mpox Trends [Internet]. Available from: https://worldhealthorg.shinyapps.io/mpx_global/#key-figures</w:t>
      </w:r>
    </w:p>
    <w:p w14:paraId="738E6601" w14:textId="77777777" w:rsidR="00855A92" w:rsidRPr="00207F3B" w:rsidRDefault="00855A92" w:rsidP="005C1429">
      <w:pPr>
        <w:pStyle w:val="Bibliography"/>
      </w:pPr>
      <w:r w:rsidRPr="00207F3B">
        <w:t>9.</w:t>
      </w:r>
      <w:r w:rsidRPr="00207F3B">
        <w:tab/>
        <w:t>Australian Government Department of Health Disability and Ageing. National Notifiable Disease Surveillance System [Internet]. Available from: https://nindss.health.gov.au/pbi-dashboard/</w:t>
      </w:r>
    </w:p>
    <w:p w14:paraId="38EC2787" w14:textId="77777777" w:rsidR="00855A92" w:rsidRPr="00207F3B" w:rsidRDefault="00855A92" w:rsidP="005C1429">
      <w:pPr>
        <w:pStyle w:val="Bibliography"/>
      </w:pPr>
      <w:r w:rsidRPr="00207F3B">
        <w:t>10.</w:t>
      </w:r>
      <w:r w:rsidRPr="00207F3B">
        <w:tab/>
        <w:t>World Health Organization. WHO Director-General declares mpox outbreak a public health emergency of international concern [Internet]. Available from: https://www.who.int/news/item/14-08-2024-who-director-general-declares-mpox-outbreak-a-public-health-emergency-of-international-concern</w:t>
      </w:r>
    </w:p>
    <w:p w14:paraId="56B546ED" w14:textId="77777777" w:rsidR="00855A92" w:rsidRPr="00207F3B" w:rsidRDefault="00855A92" w:rsidP="005C1429">
      <w:pPr>
        <w:pStyle w:val="Bibliography"/>
      </w:pPr>
      <w:r w:rsidRPr="00207F3B">
        <w:t>11.</w:t>
      </w:r>
      <w:r w:rsidRPr="00207F3B">
        <w:tab/>
        <w:t>World Health Organization. WHO Director-General’s opening remarks at the media briefing – 5 September 2025 [Internet]. Available from: https://www.who.int/news-room/speeches/item/who-director-general-s-opening-remarks-at-the-media-briefing---5-september-2025</w:t>
      </w:r>
    </w:p>
    <w:p w14:paraId="036EC69F" w14:textId="77777777" w:rsidR="00855A92" w:rsidRPr="00207F3B" w:rsidRDefault="00855A92" w:rsidP="005C1429">
      <w:pPr>
        <w:pStyle w:val="Bibliography"/>
      </w:pPr>
      <w:r w:rsidRPr="00207F3B">
        <w:lastRenderedPageBreak/>
        <w:t>12.</w:t>
      </w:r>
      <w:r w:rsidRPr="00207F3B">
        <w:tab/>
        <w:t>European Centre for Disease Prevention and Control. Local transmission of clade 1b mpox cases detected in EU/EEA, ECDC urges renewed vigilance [Internet]. Available from: https://www.ecdc.europa.eu/en/news-events/local-transmission-clade-1b-mpox-cases-detected-eueea-ecdc-urges-renewed-vigilance</w:t>
      </w:r>
    </w:p>
    <w:p w14:paraId="4BC6710B" w14:textId="77777777" w:rsidR="00855A92" w:rsidRPr="00207F3B" w:rsidRDefault="00855A92" w:rsidP="005C1429">
      <w:pPr>
        <w:pStyle w:val="Bibliography"/>
      </w:pPr>
      <w:r w:rsidRPr="00207F3B">
        <w:t>13.</w:t>
      </w:r>
      <w:r w:rsidRPr="00207F3B">
        <w:tab/>
        <w:t xml:space="preserve">Thornhill JP, Barkati S, Walmsley S, Rockstroh J, Antinori A, Harrison LB, et al. Monkeypox Virus Infection in Humans across 16 Countries - April-June 2022. N Engl J Med. 2022 Aug 25;387(8):679–91. </w:t>
      </w:r>
    </w:p>
    <w:p w14:paraId="16EB7E14" w14:textId="77777777" w:rsidR="00855A92" w:rsidRPr="00207F3B" w:rsidRDefault="00855A92" w:rsidP="005C1429">
      <w:pPr>
        <w:pStyle w:val="Bibliography"/>
      </w:pPr>
      <w:r w:rsidRPr="00207F3B">
        <w:t>14.</w:t>
      </w:r>
      <w:r w:rsidRPr="00207F3B">
        <w:tab/>
        <w:t xml:space="preserve">Malembi E, Escrig-Sarreta R, Ntumba J, Beiras CG, Shongo R, Bengehya J, et al. Clinical presentation and epidemiological assessment of confirmed human mpox cases in DR Congo: a surveillance-based observational study. Lancet. 2025 May 10;405(10490):1666–75. </w:t>
      </w:r>
    </w:p>
    <w:p w14:paraId="635078E4" w14:textId="77777777" w:rsidR="00855A92" w:rsidRPr="00207F3B" w:rsidRDefault="00855A92" w:rsidP="005C1429">
      <w:pPr>
        <w:pStyle w:val="Bibliography"/>
      </w:pPr>
      <w:r w:rsidRPr="00207F3B">
        <w:t>15.</w:t>
      </w:r>
      <w:r w:rsidRPr="00207F3B">
        <w:tab/>
        <w:t>World Health Organization. Monkeypox - Questions and Answers [Internet]. Available from: https://www.who.int/news-room/questions-and-answers/item/monkeypox</w:t>
      </w:r>
    </w:p>
    <w:p w14:paraId="213AA270" w14:textId="77777777" w:rsidR="00855A92" w:rsidRPr="00207F3B" w:rsidRDefault="00855A92" w:rsidP="005C1429">
      <w:pPr>
        <w:pStyle w:val="Bibliography"/>
      </w:pPr>
      <w:r w:rsidRPr="00207F3B">
        <w:t>16.</w:t>
      </w:r>
      <w:r w:rsidRPr="00207F3B">
        <w:tab/>
        <w:t>Centers for Disease Control and Prevention. Social Gatherings, Safer Sex, and Monkeypox [Internet]. Available from: https://www.cdc.gov/poxvirus/monkeypox/specific-settings/social-gatherings.html</w:t>
      </w:r>
    </w:p>
    <w:p w14:paraId="617673D5" w14:textId="77777777" w:rsidR="00855A92" w:rsidRPr="00207F3B" w:rsidRDefault="00855A92" w:rsidP="005C1429">
      <w:pPr>
        <w:pStyle w:val="Bibliography"/>
      </w:pPr>
      <w:r w:rsidRPr="00207F3B">
        <w:t>17.</w:t>
      </w:r>
      <w:r w:rsidRPr="00207F3B">
        <w:tab/>
        <w:t>World Health Organization. Monkeypox in the European Region: what we know so far and how we need to respond [Internet]. Available from: https://www.who.int/europe/news/item/30-05-2022-monkeypox-in-the-european-region--what-we-know-so-far-and-how-we-need-to-respond</w:t>
      </w:r>
    </w:p>
    <w:p w14:paraId="1846A7B8" w14:textId="77777777" w:rsidR="00855A92" w:rsidRPr="00207F3B" w:rsidRDefault="00855A92" w:rsidP="005C1429">
      <w:pPr>
        <w:pStyle w:val="Bibliography"/>
      </w:pPr>
      <w:r w:rsidRPr="00207F3B">
        <w:t>18.</w:t>
      </w:r>
      <w:r w:rsidRPr="00207F3B">
        <w:tab/>
        <w:t xml:space="preserve">Kröger ST, Lehmann MC, Treutlein M, Fiethe A, Kossow A, Küfer-Weiß A, et al. Mpox outbreak 2022: an overview of all cases reported to the Cologne Health Department. Infection. 2023 Oct;51(5):1369–81. </w:t>
      </w:r>
    </w:p>
    <w:p w14:paraId="699D028D" w14:textId="77777777" w:rsidR="00855A92" w:rsidRPr="00207F3B" w:rsidRDefault="00855A92" w:rsidP="005C1429">
      <w:pPr>
        <w:pStyle w:val="Bibliography"/>
      </w:pPr>
      <w:r w:rsidRPr="00207F3B">
        <w:t>19.</w:t>
      </w:r>
      <w:r w:rsidRPr="00207F3B">
        <w:tab/>
        <w:t xml:space="preserve">Amer F, Khalil HES, Elahmady M, ElBadawy NE, Zahran WA, Abdelnasser M, et al. Mpox: Risks and approaches to prevention. J Infect Public Health. 2023 June;16(6):901–10. </w:t>
      </w:r>
    </w:p>
    <w:p w14:paraId="4777CAB7" w14:textId="77777777" w:rsidR="00855A92" w:rsidRPr="00207F3B" w:rsidRDefault="00855A92" w:rsidP="005C1429">
      <w:pPr>
        <w:pStyle w:val="Bibliography"/>
      </w:pPr>
      <w:r w:rsidRPr="00207F3B">
        <w:t>20.</w:t>
      </w:r>
      <w:r w:rsidRPr="00207F3B">
        <w:tab/>
        <w:t xml:space="preserve">Pinto P, Costa MA, Gonçalves MFM, Rodrigues AG, Lisboa C. Mpox Person-to-Person Transmission-Where Have We Got So Far? A Systematic Review. Viruses. 2023 Apr 28;15(5):1074. </w:t>
      </w:r>
    </w:p>
    <w:p w14:paraId="59A8B31C" w14:textId="77777777" w:rsidR="00855A92" w:rsidRPr="00207F3B" w:rsidRDefault="00855A92" w:rsidP="005C1429">
      <w:pPr>
        <w:pStyle w:val="Bibliography"/>
      </w:pPr>
      <w:r w:rsidRPr="00207F3B">
        <w:t>21.</w:t>
      </w:r>
      <w:r w:rsidRPr="00207F3B">
        <w:tab/>
        <w:t xml:space="preserve">Nemechek K, Stefanos R, Miller EL, Riser A, Kebede B, Galang RR, et al. Notes from the Field: Exposures to Mpox Among Cases in Children Aged ≤12 Years - United States, September 25-December 31, 2022. MMWR Morb Mortal Wkly Rep. 2023 June 9;72(23):633–5. </w:t>
      </w:r>
    </w:p>
    <w:p w14:paraId="37EC10D7" w14:textId="77777777" w:rsidR="00855A92" w:rsidRPr="00207F3B" w:rsidRDefault="00855A92" w:rsidP="005C1429">
      <w:pPr>
        <w:pStyle w:val="Bibliography"/>
      </w:pPr>
      <w:r w:rsidRPr="00207F3B">
        <w:lastRenderedPageBreak/>
        <w:t>22.</w:t>
      </w:r>
      <w:r w:rsidRPr="00207F3B">
        <w:tab/>
        <w:t>European Centre for Disease Prevention and Control. Joint ECDC-WHO Regional Office for Europe Monkeypox Surveillance Bulletin [Internet]. Available from: https://monkeypoxreport.ecdc.europa.eu/</w:t>
      </w:r>
    </w:p>
    <w:p w14:paraId="764ECF82" w14:textId="77777777" w:rsidR="00855A92" w:rsidRPr="00207F3B" w:rsidRDefault="00855A92" w:rsidP="005C1429">
      <w:pPr>
        <w:pStyle w:val="Bibliography"/>
      </w:pPr>
      <w:r w:rsidRPr="00207F3B">
        <w:t>23.</w:t>
      </w:r>
      <w:r w:rsidRPr="00207F3B">
        <w:tab/>
        <w:t xml:space="preserve">Iñigo Martínez J, Gil Montalbán E, Jiménez Bueno S, Martín Martínez F, Nieto Juliá A, Sánchez Díaz J, et al. Monkeypox outbreak predominantly affecting men who have sex with men, Madrid, Spain, 26 April to 16 June 2022. Euro Surveill. 2022 July;27(27):2200471. </w:t>
      </w:r>
    </w:p>
    <w:p w14:paraId="487BB266" w14:textId="77777777" w:rsidR="00855A92" w:rsidRPr="00207F3B" w:rsidRDefault="00855A92" w:rsidP="005C1429">
      <w:pPr>
        <w:pStyle w:val="Bibliography"/>
      </w:pPr>
      <w:r w:rsidRPr="00207F3B">
        <w:t>24.</w:t>
      </w:r>
      <w:r w:rsidRPr="00207F3B">
        <w:tab/>
        <w:t xml:space="preserve">Perez Duque M, Ribeiro S, Martins JV, Casaca P, Leite PP, Tavares M, et al. Ongoing monkeypox virus outbreak, Portugal, 29 April to 23 May 2022. Euro Surveill. 2022 June;27(22):2200424. </w:t>
      </w:r>
    </w:p>
    <w:p w14:paraId="4C77DCC7" w14:textId="77777777" w:rsidR="00855A92" w:rsidRPr="00207F3B" w:rsidRDefault="00855A92" w:rsidP="005C1429">
      <w:pPr>
        <w:pStyle w:val="Bibliography"/>
      </w:pPr>
      <w:r w:rsidRPr="00207F3B">
        <w:t>25.</w:t>
      </w:r>
      <w:r w:rsidRPr="00207F3B">
        <w:tab/>
        <w:t xml:space="preserve">Laurenson-Schafer H, Sklenovská N, Hoxha A, Kerr SM, Ndumbi P, Fitzner J, et al. Description of the first global outbreak of mpox: an analysis of global surveillance data. Lancet Glob Health. 2023 July;11(7):e1012–23. </w:t>
      </w:r>
    </w:p>
    <w:p w14:paraId="2D5DA373" w14:textId="77777777" w:rsidR="00855A92" w:rsidRPr="00207F3B" w:rsidRDefault="00855A92" w:rsidP="005C1429">
      <w:pPr>
        <w:pStyle w:val="Bibliography"/>
      </w:pPr>
      <w:r w:rsidRPr="00207F3B">
        <w:t>26.</w:t>
      </w:r>
      <w:r w:rsidRPr="00207F3B">
        <w:tab/>
        <w:t>World Health Organization. Clinical management and infection prevention and control for mpox: living guideline, May 2025 [Internet]. Available from: https://www.who.int/publications/i/item/B09434</w:t>
      </w:r>
    </w:p>
    <w:p w14:paraId="7C542E7E" w14:textId="77777777" w:rsidR="00855A92" w:rsidRPr="00207F3B" w:rsidRDefault="00855A92" w:rsidP="005C1429">
      <w:pPr>
        <w:pStyle w:val="Bibliography"/>
      </w:pPr>
      <w:r w:rsidRPr="00207F3B">
        <w:t>27.</w:t>
      </w:r>
      <w:r w:rsidRPr="00207F3B">
        <w:tab/>
        <w:t xml:space="preserve">Mbala PK, Huggins JW, Riu-Rovira T, Ahuka SM, Mulembakani P, Rimoin AW, et al. Maternal and Fetal Outcomes Among Pregnant Women With Human Monkeypox Infection in the Democratic Republic of Congo. J Infect Dis. 2017 Oct 17;216(7):824–8. </w:t>
      </w:r>
    </w:p>
    <w:p w14:paraId="44888F0F" w14:textId="77777777" w:rsidR="00855A92" w:rsidRPr="00207F3B" w:rsidRDefault="00855A92" w:rsidP="005C1429">
      <w:pPr>
        <w:pStyle w:val="Bibliography"/>
      </w:pPr>
      <w:r w:rsidRPr="00207F3B">
        <w:t>28.</w:t>
      </w:r>
      <w:r w:rsidRPr="00207F3B">
        <w:tab/>
        <w:t>Royal College of Obstetricians &amp; Gynaecologists. Mpox (Monkeypox) in Pregnancy [Internet]. Available from: https://www.rcog.org.uk/media/mrpktraf/2023-11-mpox-monkeypox-in-pregnancy.pdf</w:t>
      </w:r>
    </w:p>
    <w:p w14:paraId="45E512E2" w14:textId="77777777" w:rsidR="00855A92" w:rsidRPr="00207F3B" w:rsidRDefault="00855A92" w:rsidP="005C1429">
      <w:pPr>
        <w:pStyle w:val="Bibliography"/>
      </w:pPr>
      <w:r w:rsidRPr="00207F3B">
        <w:t>29.</w:t>
      </w:r>
      <w:r w:rsidRPr="00207F3B">
        <w:tab/>
        <w:t xml:space="preserve">Dashraath P, Nielsen-Saines K, Mattar C, Musso D, Tambyah P, Baud D. Guidelines for pregnant individuals with monkeypox virus exposure. Lancet. 2022 July 2;400(10345):21–2. </w:t>
      </w:r>
    </w:p>
    <w:p w14:paraId="0012392E" w14:textId="77777777" w:rsidR="00855A92" w:rsidRPr="00207F3B" w:rsidRDefault="00855A92" w:rsidP="005C1429">
      <w:pPr>
        <w:pStyle w:val="Bibliography"/>
      </w:pPr>
      <w:r w:rsidRPr="00207F3B">
        <w:t>30.</w:t>
      </w:r>
      <w:r w:rsidRPr="00207F3B">
        <w:tab/>
        <w:t xml:space="preserve">Velázquez-Cervantes MA, Ulloa-Aguilar JM, León-Juárez M. Mpox and pregnancy: A neglected disease and its impact on perinatal health. Rev Clin Esp (Barc). 2023 Jan;223(1):32–9. </w:t>
      </w:r>
    </w:p>
    <w:p w14:paraId="56283B5A" w14:textId="77777777" w:rsidR="00855A92" w:rsidRPr="00207F3B" w:rsidRDefault="00855A92" w:rsidP="005C1429">
      <w:pPr>
        <w:pStyle w:val="Bibliography"/>
      </w:pPr>
      <w:r w:rsidRPr="00207F3B">
        <w:t>31.</w:t>
      </w:r>
      <w:r w:rsidRPr="00207F3B">
        <w:tab/>
        <w:t xml:space="preserve">Vakaniaki EH, Kuispond NRS, Hirata Y, Bangwen E, Brosius I, Kinganda-Lusamaki E, et al. Three Cases of Vertical Transmission of Clade Ib Mpox Virus. N Engl J Med. 2025 June 19;392(23):2385–7. </w:t>
      </w:r>
    </w:p>
    <w:p w14:paraId="6079DAE3" w14:textId="77777777" w:rsidR="00855A92" w:rsidRPr="00207F3B" w:rsidRDefault="00855A92" w:rsidP="005C1429">
      <w:pPr>
        <w:pStyle w:val="Bibliography"/>
      </w:pPr>
      <w:r w:rsidRPr="00207F3B">
        <w:t>32.</w:t>
      </w:r>
      <w:r w:rsidRPr="00207F3B">
        <w:tab/>
        <w:t xml:space="preserve">Bunge EM, Hoet B, Chen L, Lienert F, Weidenthaler H, Baer LR, et al. The changing epidemiology of human monkeypox-A potential threat? A systematic review. PLoS Negl Trop Dis. 2022 Feb;16(2):e0010141. </w:t>
      </w:r>
    </w:p>
    <w:p w14:paraId="3DCF3339" w14:textId="77777777" w:rsidR="00855A92" w:rsidRPr="00207F3B" w:rsidRDefault="00855A92" w:rsidP="005C1429">
      <w:pPr>
        <w:pStyle w:val="Bibliography"/>
      </w:pPr>
      <w:r w:rsidRPr="00207F3B">
        <w:lastRenderedPageBreak/>
        <w:t>33.</w:t>
      </w:r>
      <w:r w:rsidRPr="00207F3B">
        <w:tab/>
        <w:t>Centers for Disease Control and Prevention. Monkeypox in the United States: What Clinicians Need to Know June 2022 [Internet]. Available from: https://stacks.cdc.gov/view/cdc/119786</w:t>
      </w:r>
    </w:p>
    <w:p w14:paraId="50ECD5BE" w14:textId="77777777" w:rsidR="00855A92" w:rsidRPr="00207F3B" w:rsidRDefault="00855A92" w:rsidP="005C1429">
      <w:pPr>
        <w:pStyle w:val="Bibliography"/>
      </w:pPr>
      <w:r w:rsidRPr="00207F3B">
        <w:t>34.</w:t>
      </w:r>
      <w:r w:rsidRPr="00207F3B">
        <w:tab/>
        <w:t xml:space="preserve">Estep RD, Messaoudi I, O’Connor MA, Li H, Sprague J, Barron A, et al. Deletion of the monkeypox virus inhibitor of complement enzymes locus impacts the adaptive immune response to monkeypox virus in a nonhuman primate model of infection. J Virol. 2011 Sept;85(18):9527–42. </w:t>
      </w:r>
    </w:p>
    <w:p w14:paraId="28D0B12B" w14:textId="77777777" w:rsidR="00855A92" w:rsidRPr="00207F3B" w:rsidRDefault="00855A92" w:rsidP="005C1429">
      <w:pPr>
        <w:pStyle w:val="Bibliography"/>
      </w:pPr>
      <w:r w:rsidRPr="00207F3B">
        <w:t>35.</w:t>
      </w:r>
      <w:r w:rsidRPr="00207F3B">
        <w:tab/>
        <w:t xml:space="preserve">Morgan CN, Whitehill F, Doty JB, Schulte J, Matheny A, Stringer J, et al. Environmental Persistence of Monkeypox Virus on Surfaces in Household of Person with Travel-Associated Infection, Dallas, Texas, USA, 2021. Emerg Infect Dis. 2022 Oct;28(10):1982–9. </w:t>
      </w:r>
    </w:p>
    <w:p w14:paraId="69297B9C" w14:textId="77777777" w:rsidR="00855A92" w:rsidRPr="00207F3B" w:rsidRDefault="00855A92" w:rsidP="005C1429">
      <w:pPr>
        <w:pStyle w:val="Bibliography"/>
      </w:pPr>
      <w:r w:rsidRPr="00207F3B">
        <w:t>36.</w:t>
      </w:r>
      <w:r w:rsidRPr="00207F3B">
        <w:tab/>
        <w:t xml:space="preserve">Pan D, Nazareth J, Sze S, Martin CA, Decker J, Fletcher E, et al. Transmission of monkeypox/mpox virus: A narrative review of environmental, viral, host, and population factors in relation to the 2022 international outbreak. J Med Virol. 2023 Feb;95(2):e28534. </w:t>
      </w:r>
    </w:p>
    <w:p w14:paraId="77780A54" w14:textId="77777777" w:rsidR="00855A92" w:rsidRPr="00207F3B" w:rsidRDefault="00855A92" w:rsidP="005C1429">
      <w:pPr>
        <w:pStyle w:val="Bibliography"/>
      </w:pPr>
      <w:r w:rsidRPr="00207F3B">
        <w:t>37.</w:t>
      </w:r>
      <w:r w:rsidRPr="00207F3B">
        <w:tab/>
        <w:t>BMJ Best Practice. Mpox [Internet]. Available from: https://bestpractice.bmj.com/topics/en-gb/1611/pdf/1611/Mpox.pdf</w:t>
      </w:r>
    </w:p>
    <w:p w14:paraId="53311F9E" w14:textId="77777777" w:rsidR="00855A92" w:rsidRPr="00207F3B" w:rsidRDefault="00855A92" w:rsidP="005C1429">
      <w:pPr>
        <w:pStyle w:val="Bibliography"/>
      </w:pPr>
      <w:r w:rsidRPr="00207F3B">
        <w:t>38.</w:t>
      </w:r>
      <w:r w:rsidRPr="00207F3B">
        <w:tab/>
        <w:t xml:space="preserve">Araf Y, Nipa JF, Naher S, Maliha ST, Rahman H, Arafat KI, et al. Insights into the Transmission, Host Range, Genomics, Vaccination, and Current Epidemiology of the Monkeypox Virus. Vet Med Int. 2024;2024:8839830. </w:t>
      </w:r>
    </w:p>
    <w:p w14:paraId="1E96C7D8" w14:textId="77777777" w:rsidR="00855A92" w:rsidRPr="00207F3B" w:rsidRDefault="00855A92" w:rsidP="005C1429">
      <w:pPr>
        <w:pStyle w:val="Bibliography"/>
      </w:pPr>
      <w:r w:rsidRPr="00207F3B">
        <w:t>39.</w:t>
      </w:r>
      <w:r w:rsidRPr="00207F3B">
        <w:tab/>
        <w:t xml:space="preserve">Verreault D, Killeen SZ, Redmann RK, Roy CJ. Susceptibility of monkeypox virus aerosol suspensions in a rotating chamber. J Virol Methods. 2013 Feb;187(2):333–7. </w:t>
      </w:r>
    </w:p>
    <w:p w14:paraId="197D5BF9" w14:textId="77777777" w:rsidR="00855A92" w:rsidRPr="00207F3B" w:rsidRDefault="00855A92" w:rsidP="005C1429">
      <w:pPr>
        <w:pStyle w:val="Bibliography"/>
      </w:pPr>
      <w:r w:rsidRPr="00207F3B">
        <w:t>40.</w:t>
      </w:r>
      <w:r w:rsidRPr="00207F3B">
        <w:tab/>
        <w:t xml:space="preserve">Seang S, Burrel S, Todesco E, Leducq V, Monsel G, Le Pluart D, et al. Evidence of human-to-dog transmission of monkeypox virus. Lancet. 2022 Aug 27;400(10353):658–9. </w:t>
      </w:r>
    </w:p>
    <w:p w14:paraId="793E2344" w14:textId="77777777" w:rsidR="00855A92" w:rsidRPr="00207F3B" w:rsidRDefault="00855A92" w:rsidP="005C1429">
      <w:pPr>
        <w:pStyle w:val="Bibliography"/>
      </w:pPr>
      <w:r w:rsidRPr="00207F3B">
        <w:t>41.</w:t>
      </w:r>
      <w:r w:rsidRPr="00207F3B">
        <w:tab/>
        <w:t xml:space="preserve">Lum FM, Torres-Ruesta A, Tay MZ, Lin RTP, Lye DC, Rénia L, et al. Monkeypox: disease epidemiology, host immunity and clinical interventions. Nat Rev Immunol. 2022 Oct;22(10):597–613. </w:t>
      </w:r>
    </w:p>
    <w:p w14:paraId="5FDBD04D" w14:textId="77777777" w:rsidR="00855A92" w:rsidRPr="00207F3B" w:rsidRDefault="00855A92" w:rsidP="005C1429">
      <w:pPr>
        <w:pStyle w:val="Bibliography"/>
      </w:pPr>
      <w:r w:rsidRPr="00207F3B">
        <w:t>42.</w:t>
      </w:r>
      <w:r w:rsidRPr="00207F3B">
        <w:tab/>
        <w:t>World Health Organization. Multi-country monkeypox outbreak: situation update [Internet]. 2022. Available from: https://www.who.int/emergencies/disease-outbreak-news/item/2022-DON396</w:t>
      </w:r>
    </w:p>
    <w:p w14:paraId="0ED309B2" w14:textId="77777777" w:rsidR="00855A92" w:rsidRPr="00207F3B" w:rsidRDefault="00855A92" w:rsidP="005C1429">
      <w:pPr>
        <w:pStyle w:val="Bibliography"/>
      </w:pPr>
      <w:r w:rsidRPr="00207F3B">
        <w:t>43.</w:t>
      </w:r>
      <w:r w:rsidRPr="00207F3B">
        <w:tab/>
        <w:t xml:space="preserve">Peiró-Mestres A, Fuertes I, Camprubí-Ferrer D, Marcos MÁ, Vilella A, Navarro M, et al. Frequent detection of monkeypox virus DNA in saliva, semen, and other clinical samples from 12 patients, Barcelona, Spain, May to June 2022. Euro Surveill. 2022 July;27(28):2200503. </w:t>
      </w:r>
    </w:p>
    <w:p w14:paraId="51279E78" w14:textId="77777777" w:rsidR="00855A92" w:rsidRPr="00207F3B" w:rsidRDefault="00855A92" w:rsidP="005C1429">
      <w:pPr>
        <w:pStyle w:val="Bibliography"/>
      </w:pPr>
      <w:r w:rsidRPr="00207F3B">
        <w:t>44.</w:t>
      </w:r>
      <w:r w:rsidRPr="00207F3B">
        <w:tab/>
        <w:t xml:space="preserve">Lapa D, Carletti F, Mazzotta V, Matusali G, Pinnetti C, Meschi S, et al. Monkeypox virus isolation from a semen sample collected in the early phase of </w:t>
      </w:r>
      <w:r w:rsidRPr="00207F3B">
        <w:lastRenderedPageBreak/>
        <w:t xml:space="preserve">infection in a patient with prolonged seminal viral shedding. Lancet Infect Dis. 2022 Sept;22(9):1267–9. </w:t>
      </w:r>
    </w:p>
    <w:p w14:paraId="77F75342" w14:textId="77777777" w:rsidR="00855A92" w:rsidRPr="00207F3B" w:rsidRDefault="00855A92" w:rsidP="005C1429">
      <w:pPr>
        <w:pStyle w:val="Bibliography"/>
      </w:pPr>
      <w:r w:rsidRPr="00207F3B">
        <w:t>45.</w:t>
      </w:r>
      <w:r w:rsidRPr="00207F3B">
        <w:tab/>
        <w:t xml:space="preserve">Beeson A, Styczynski A, Hutson CL, Whitehill F, Angelo KM, Minhaj FS, et al. Mpox respiratory transmission: the state of the evidence. Lancet Microbe. 2023 Apr;4(4):e277–83. </w:t>
      </w:r>
    </w:p>
    <w:p w14:paraId="6641F9DE" w14:textId="77777777" w:rsidR="00855A92" w:rsidRPr="00207F3B" w:rsidRDefault="00855A92" w:rsidP="005C1429">
      <w:pPr>
        <w:pStyle w:val="Bibliography"/>
      </w:pPr>
      <w:r w:rsidRPr="00207F3B">
        <w:t>46.</w:t>
      </w:r>
      <w:r w:rsidRPr="00207F3B">
        <w:tab/>
        <w:t xml:space="preserve">Kuehn R, Fox T, Guyatt G, Lutje V, Gould S. Infection prevention and control measures to reduce the transmission of mpox: A systematic review. PLOS Glob Public Health. 2024;4(1):e0002731. </w:t>
      </w:r>
    </w:p>
    <w:p w14:paraId="0C1BB343" w14:textId="77777777" w:rsidR="00855A92" w:rsidRPr="00207F3B" w:rsidRDefault="00855A92" w:rsidP="005C1429">
      <w:pPr>
        <w:pStyle w:val="Bibliography"/>
      </w:pPr>
      <w:r w:rsidRPr="00207F3B">
        <w:t>47.</w:t>
      </w:r>
      <w:r w:rsidRPr="00207F3B">
        <w:tab/>
        <w:t xml:space="preserve">Leong FY, Ge Z, Loo LH, Fong SW, Goh YS, Xu G, et al. Aerosol transmission risk of mpox relative to COVID-19 and smallpox. Lancet Microbe. 2025 June;6(6):101082. </w:t>
      </w:r>
    </w:p>
    <w:p w14:paraId="1DB8BD40" w14:textId="77777777" w:rsidR="00855A92" w:rsidRPr="00207F3B" w:rsidRDefault="00855A92" w:rsidP="005C1429">
      <w:pPr>
        <w:pStyle w:val="Bibliography"/>
      </w:pPr>
      <w:r w:rsidRPr="00207F3B">
        <w:t>48.</w:t>
      </w:r>
      <w:r w:rsidRPr="00207F3B">
        <w:tab/>
        <w:t xml:space="preserve">Treutiger CJ, Filén F, Rehn M, Aarum J, Jacks A, Gisslén M, et al. First case of mpox with monkeypox virus clade Ib outside Africa in a returning traveller, Sweden, August 2024: public health measures. Euro Surveill. 2024 Nov;29(48):2400740. </w:t>
      </w:r>
    </w:p>
    <w:p w14:paraId="534104A9" w14:textId="77777777" w:rsidR="00855A92" w:rsidRPr="00207F3B" w:rsidRDefault="00855A92" w:rsidP="005C1429">
      <w:pPr>
        <w:pStyle w:val="Bibliography"/>
      </w:pPr>
      <w:r w:rsidRPr="00207F3B">
        <w:t>49.</w:t>
      </w:r>
      <w:r w:rsidRPr="00207F3B">
        <w:tab/>
        <w:t xml:space="preserve">Alvi MI, Kliner M, Welfare W, Gordon NC, Thomas S, Padfield S, et al. Case series of the first five human infections with monkeypox virus clade Ib and report on the public health response, United Kingdom, October to November 2024. Euro Surveill. 2025 Mar;30(10):2500131. </w:t>
      </w:r>
    </w:p>
    <w:p w14:paraId="005C9B05" w14:textId="77777777" w:rsidR="00855A92" w:rsidRPr="00207F3B" w:rsidRDefault="00855A92" w:rsidP="005C1429">
      <w:pPr>
        <w:pStyle w:val="Bibliography"/>
      </w:pPr>
      <w:r w:rsidRPr="00207F3B">
        <w:t>50.</w:t>
      </w:r>
      <w:r w:rsidRPr="00207F3B">
        <w:tab/>
        <w:t>World Health Organization. Mpox [Internet]. 2024. Available from: https://www.who.int/news-room/fact-sheets/detail/monkeypox</w:t>
      </w:r>
    </w:p>
    <w:p w14:paraId="7BB3B733" w14:textId="77777777" w:rsidR="00855A92" w:rsidRPr="00207F3B" w:rsidRDefault="00855A92" w:rsidP="005C1429">
      <w:pPr>
        <w:pStyle w:val="Bibliography"/>
      </w:pPr>
      <w:r w:rsidRPr="00207F3B">
        <w:t>51.</w:t>
      </w:r>
      <w:r w:rsidRPr="00207F3B">
        <w:tab/>
        <w:t xml:space="preserve">Nolen LD, Osadebe L, Katomba J, Likofata J, Mukadi D, Monroe B, et al. Extended Human-to-Human Transmission during a Monkeypox Outbreak in the Democratic Republic of the Congo. Emerg Infect Dis. 2016 June;22(6):1014–21. </w:t>
      </w:r>
    </w:p>
    <w:p w14:paraId="38881C0F" w14:textId="77777777" w:rsidR="00855A92" w:rsidRPr="00207F3B" w:rsidRDefault="00855A92" w:rsidP="005C1429">
      <w:pPr>
        <w:pStyle w:val="Bibliography"/>
      </w:pPr>
      <w:r w:rsidRPr="00207F3B">
        <w:t>52.</w:t>
      </w:r>
      <w:r w:rsidRPr="00207F3B">
        <w:tab/>
        <w:t xml:space="preserve">Okoli GN, Van Caeseele P, Askin N, Abou-Setta AM. Comparative evaluation of the clinical presentation and epidemiology of the 2022 and previous Mpox outbreaks: a rapid review and meta-analysis. Infect Dis (Lond). 2023 July;55(7):490–508. </w:t>
      </w:r>
    </w:p>
    <w:p w14:paraId="58A94F54" w14:textId="77777777" w:rsidR="00855A92" w:rsidRPr="00207F3B" w:rsidRDefault="00855A92" w:rsidP="005C1429">
      <w:pPr>
        <w:pStyle w:val="Bibliography"/>
      </w:pPr>
      <w:r w:rsidRPr="00207F3B">
        <w:t>53.</w:t>
      </w:r>
      <w:r w:rsidRPr="00207F3B">
        <w:tab/>
        <w:t xml:space="preserve">Miura F, van Ewijk CE, Backer JA, Xiridou M, Franz E, Op de Coul E, et al. Estimated incubation period for monkeypox cases confirmed in the Netherlands, May 2022. Euro Surveill. 2022 June;27(24):2200448. </w:t>
      </w:r>
    </w:p>
    <w:p w14:paraId="72552839" w14:textId="77777777" w:rsidR="00855A92" w:rsidRPr="00207F3B" w:rsidRDefault="00855A92" w:rsidP="005C1429">
      <w:pPr>
        <w:pStyle w:val="Bibliography"/>
      </w:pPr>
      <w:r w:rsidRPr="00207F3B">
        <w:t>54.</w:t>
      </w:r>
      <w:r w:rsidRPr="00207F3B">
        <w:tab/>
        <w:t>United Kingdom Health Security Agency. Guidance Principles for monkeypox control in the UK: 4 nations consensus statement [Internet]. Available from: https://www.gov.uk/government/publications/principles-for-monkeypox-control-in-the-uk-4-nations-consensus-statement/principles-for-monkeypox-control-in-the-uk-4-nations-consensus-statement</w:t>
      </w:r>
    </w:p>
    <w:p w14:paraId="47F50353" w14:textId="77777777" w:rsidR="00855A92" w:rsidRPr="00207F3B" w:rsidRDefault="00855A92" w:rsidP="005C1429">
      <w:pPr>
        <w:pStyle w:val="Bibliography"/>
      </w:pPr>
      <w:r w:rsidRPr="00207F3B">
        <w:t>55.</w:t>
      </w:r>
      <w:r w:rsidRPr="00207F3B">
        <w:tab/>
        <w:t xml:space="preserve">Brown K, Leggat PA. Human Monkeypox: Current State of Knowledge and Implications for the Future. Trop Med Infect Dis. 2016 Dec 20;1(1):8. </w:t>
      </w:r>
    </w:p>
    <w:p w14:paraId="1D8D614B" w14:textId="77777777" w:rsidR="00855A92" w:rsidRPr="00207F3B" w:rsidRDefault="00855A92" w:rsidP="005C1429">
      <w:pPr>
        <w:pStyle w:val="Bibliography"/>
      </w:pPr>
      <w:r w:rsidRPr="00207F3B">
        <w:lastRenderedPageBreak/>
        <w:t>56.</w:t>
      </w:r>
      <w:r w:rsidRPr="00207F3B">
        <w:tab/>
        <w:t>World Health Organization. Disease Outbreak News: Multi-country monkeypox outbreak in non-endemic countries [Internet]. Available from: https://www.who.int/emergencies/disease-outbreak-news/item/2022-DON393</w:t>
      </w:r>
    </w:p>
    <w:p w14:paraId="53DA416D" w14:textId="77777777" w:rsidR="00855A92" w:rsidRPr="00207F3B" w:rsidRDefault="00855A92" w:rsidP="005C1429">
      <w:pPr>
        <w:pStyle w:val="Bibliography"/>
      </w:pPr>
      <w:r w:rsidRPr="00207F3B">
        <w:t>57.</w:t>
      </w:r>
      <w:r w:rsidRPr="00207F3B">
        <w:tab/>
        <w:t xml:space="preserve">Pittman PR, Martin JW, Kingebeni PM, Tamfum JJM, Mwema G, Wan Q, et al. Clinical characterization and placental pathology of mpox infection in hospitalized patients in the Democratic Republic of the Congo. PLoS Negl Trop Dis. 2023 Apr;17(4):e0010384. </w:t>
      </w:r>
    </w:p>
    <w:p w14:paraId="770CE1DD" w14:textId="77777777" w:rsidR="00855A92" w:rsidRPr="00207F3B" w:rsidRDefault="00855A92" w:rsidP="005C1429">
      <w:pPr>
        <w:pStyle w:val="Bibliography"/>
      </w:pPr>
      <w:r w:rsidRPr="00207F3B">
        <w:t>58.</w:t>
      </w:r>
      <w:r w:rsidRPr="00207F3B">
        <w:tab/>
        <w:t xml:space="preserve">Ward T, Christie R, Paton RS, Cumming F, Overton CE. Transmission dynamics of monkeypox in the United Kingdom: contact tracing study. BMJ. 2022 Nov 2;e073153. </w:t>
      </w:r>
    </w:p>
    <w:p w14:paraId="4441D15F" w14:textId="77777777" w:rsidR="00855A92" w:rsidRPr="00207F3B" w:rsidRDefault="00855A92" w:rsidP="005C1429">
      <w:pPr>
        <w:pStyle w:val="Bibliography"/>
      </w:pPr>
      <w:r w:rsidRPr="00207F3B">
        <w:t>59.</w:t>
      </w:r>
      <w:r w:rsidRPr="00207F3B">
        <w:tab/>
        <w:t xml:space="preserve">Miura F, Backer JA, van Rijckevorsel G, Bavalia R, Raven S, Petrignani M, et al. Time Scales of Human Mpox Transmission in The Netherlands. J Infect Dis. 2024 Mar 14;229(3):800–4. </w:t>
      </w:r>
    </w:p>
    <w:p w14:paraId="2C0A0D8B" w14:textId="77777777" w:rsidR="00855A92" w:rsidRPr="00207F3B" w:rsidRDefault="00855A92" w:rsidP="005C1429">
      <w:pPr>
        <w:pStyle w:val="Bibliography"/>
      </w:pPr>
      <w:r w:rsidRPr="00207F3B">
        <w:t>60.</w:t>
      </w:r>
      <w:r w:rsidRPr="00207F3B">
        <w:tab/>
        <w:t xml:space="preserve">Brosius I, Van Dijck C, Coppens J, Vandenhove L, Bangwen E, Vanroye F, et al. Presymptomatic viral shedding in high-risk mpox contacts: A prospective cohort study. J Med Virol. 2023 May;95(5):e28769. </w:t>
      </w:r>
    </w:p>
    <w:p w14:paraId="18B653C8" w14:textId="77777777" w:rsidR="00855A92" w:rsidRPr="00207F3B" w:rsidRDefault="00855A92" w:rsidP="005C1429">
      <w:pPr>
        <w:pStyle w:val="Bibliography"/>
      </w:pPr>
      <w:r w:rsidRPr="00207F3B">
        <w:t>61.</w:t>
      </w:r>
      <w:r w:rsidRPr="00207F3B">
        <w:tab/>
        <w:t>Public Health England. Monkeypox: information for primary care [Internet]. Available from: https://assets.publishing.service.gov.uk/government/uploads/system/uploads/attachment_data/file/850059/Monkeypox_information_for_primary_care.pdf</w:t>
      </w:r>
    </w:p>
    <w:p w14:paraId="25B8E1AC" w14:textId="77777777" w:rsidR="00855A92" w:rsidRPr="00207F3B" w:rsidRDefault="00855A92" w:rsidP="005C1429">
      <w:pPr>
        <w:pStyle w:val="Bibliography"/>
      </w:pPr>
      <w:r w:rsidRPr="00207F3B">
        <w:t>62.</w:t>
      </w:r>
      <w:r w:rsidRPr="00207F3B">
        <w:tab/>
        <w:t xml:space="preserve">Di Giulio DB, Eckburg PB. Human monkeypox: an emerging zoonosis. Lancet Infect Dis. 2004 Jan;4(1):15–25. </w:t>
      </w:r>
    </w:p>
    <w:p w14:paraId="40B637EF" w14:textId="77777777" w:rsidR="00855A92" w:rsidRPr="00207F3B" w:rsidRDefault="00855A92" w:rsidP="005C1429">
      <w:pPr>
        <w:pStyle w:val="Bibliography"/>
      </w:pPr>
      <w:r w:rsidRPr="00207F3B">
        <w:t>63.</w:t>
      </w:r>
      <w:r w:rsidRPr="00207F3B">
        <w:tab/>
        <w:t xml:space="preserve">Cho W, Park S, Kim HJ, Lee M, Choi YS, Yeo SG, et al. Clinical characteristics and outcomes of patients with mpox during the 2022 mpox outbreak compared with those before the outbreak: A systematic review and meta-analysis. Rev Med Virol. 2024 Jan;34(1):e2508. </w:t>
      </w:r>
    </w:p>
    <w:p w14:paraId="298CAB5C" w14:textId="77777777" w:rsidR="00855A92" w:rsidRPr="00207F3B" w:rsidRDefault="00855A92" w:rsidP="005C1429">
      <w:pPr>
        <w:pStyle w:val="Bibliography"/>
      </w:pPr>
      <w:r w:rsidRPr="00207F3B">
        <w:t>64.</w:t>
      </w:r>
      <w:r w:rsidRPr="00207F3B">
        <w:tab/>
        <w:t xml:space="preserve">Yon H, Shin H, Shin JI, Shin JU, Shin YH, Lee J, et al. Clinical manifestations of human Mpox infection: A systematic review and meta-analysis. Rev Med Virol. 2023 July;33(4):e2446. </w:t>
      </w:r>
    </w:p>
    <w:p w14:paraId="1496B29B" w14:textId="77777777" w:rsidR="00855A92" w:rsidRPr="00207F3B" w:rsidRDefault="00855A92" w:rsidP="005C1429">
      <w:pPr>
        <w:pStyle w:val="Bibliography"/>
      </w:pPr>
      <w:r w:rsidRPr="00207F3B">
        <w:t>65.</w:t>
      </w:r>
      <w:r w:rsidRPr="00207F3B">
        <w:tab/>
        <w:t xml:space="preserve">Ramakrishnan R, Shenoy A, Madhavan R, Meyer D. Mpox gastrointestinal manifestations: a systematic review. BMJ Open Gastroenterol. 2024 Jan 6;11(1):e001266. </w:t>
      </w:r>
    </w:p>
    <w:p w14:paraId="744E910A" w14:textId="77777777" w:rsidR="00855A92" w:rsidRPr="00207F3B" w:rsidRDefault="00855A92" w:rsidP="005C1429">
      <w:pPr>
        <w:pStyle w:val="Bibliography"/>
      </w:pPr>
      <w:r w:rsidRPr="00207F3B">
        <w:t>66.</w:t>
      </w:r>
      <w:r w:rsidRPr="00207F3B">
        <w:tab/>
        <w:t xml:space="preserve">Ardila CM, Arrubla-Escobar DE, Vivares-Builes AM. Oral lesions in patients with human monkeypox: A systematic scoping review. J Oral Pathol Med. 2023 July;52(6):459–67. </w:t>
      </w:r>
    </w:p>
    <w:p w14:paraId="051F1756" w14:textId="77777777" w:rsidR="00855A92" w:rsidRPr="00207F3B" w:rsidRDefault="00855A92" w:rsidP="005C1429">
      <w:pPr>
        <w:pStyle w:val="Bibliography"/>
      </w:pPr>
      <w:r w:rsidRPr="00207F3B">
        <w:t>67.</w:t>
      </w:r>
      <w:r w:rsidRPr="00207F3B">
        <w:tab/>
        <w:t xml:space="preserve">Climate and Clean Air Coalition. Opportunities for Transition to Clean Household Energy in Democratic Republic of the Congo [Internet]. Available </w:t>
      </w:r>
      <w:r w:rsidRPr="00207F3B">
        <w:lastRenderedPageBreak/>
        <w:t>from: https://www.ccacoalition.org/resources/opportunities-transition-clean-household-energy-democratic-republic-congo</w:t>
      </w:r>
    </w:p>
    <w:p w14:paraId="14CEE489" w14:textId="77777777" w:rsidR="00855A92" w:rsidRPr="00207F3B" w:rsidRDefault="00855A92" w:rsidP="005C1429">
      <w:pPr>
        <w:pStyle w:val="Bibliography"/>
      </w:pPr>
      <w:r w:rsidRPr="00207F3B">
        <w:t>68.</w:t>
      </w:r>
      <w:r w:rsidRPr="00207F3B">
        <w:tab/>
        <w:t>European Centre for Disease Prevention and Control. Transmission of monkeypox virus clade I: overall risk remains low in the EU/EEA [Internet]. Available from: https://www.ecdc.europa.eu/en/news-events/transmission-monkeypox-virus-clade-i-overall-risk-remains-low-eueea</w:t>
      </w:r>
    </w:p>
    <w:p w14:paraId="60220846" w14:textId="77777777" w:rsidR="00855A92" w:rsidRPr="00207F3B" w:rsidRDefault="00855A92" w:rsidP="005C1429">
      <w:pPr>
        <w:pStyle w:val="Bibliography"/>
      </w:pPr>
      <w:r w:rsidRPr="00207F3B">
        <w:t>69.</w:t>
      </w:r>
      <w:r w:rsidRPr="00207F3B">
        <w:tab/>
        <w:t xml:space="preserve">Akingbola A, Abiodun A, Idahor C, Peters F, Ojo O, Jessica OU, et al. Genomic Evolution and Epidemiological Impact of Ongoing Clade Ib MPox Disease: A Narrative Review. Glob Health Epidemiol Genom. 2025;2025:8845911. </w:t>
      </w:r>
    </w:p>
    <w:p w14:paraId="14A46197" w14:textId="77777777" w:rsidR="00855A92" w:rsidRPr="00207F3B" w:rsidRDefault="00855A92" w:rsidP="005C1429">
      <w:pPr>
        <w:pStyle w:val="Bibliography"/>
      </w:pPr>
      <w:r w:rsidRPr="00207F3B">
        <w:t>70.</w:t>
      </w:r>
      <w:r w:rsidRPr="00207F3B">
        <w:tab/>
        <w:t>European Centre for Disease Prevention and Control. Mpox worldwide overview [Internet]. Available from: https://www.ecdc.europa.eu/en/mpox-worldwide-overview</w:t>
      </w:r>
    </w:p>
    <w:p w14:paraId="01409083" w14:textId="77777777" w:rsidR="00855A92" w:rsidRPr="00207F3B" w:rsidRDefault="00855A92" w:rsidP="005C1429">
      <w:pPr>
        <w:pStyle w:val="Bibliography"/>
      </w:pPr>
      <w:r w:rsidRPr="00207F3B">
        <w:t>71.</w:t>
      </w:r>
      <w:r w:rsidRPr="00207F3B">
        <w:tab/>
        <w:t>UK Health Security Agency. Mpox technical assessment [Internet]. Available from: https://assets.publishing.service.gov.uk/media/68ff9ece394b8c2a6ddf5dc3/mpox-technical-assessment-27-october-2025.pdf</w:t>
      </w:r>
    </w:p>
    <w:p w14:paraId="24F49CFA" w14:textId="77777777" w:rsidR="00855A92" w:rsidRPr="00207F3B" w:rsidRDefault="00855A92" w:rsidP="005C1429">
      <w:pPr>
        <w:pStyle w:val="Bibliography"/>
      </w:pPr>
      <w:r w:rsidRPr="00207F3B">
        <w:t>72.</w:t>
      </w:r>
      <w:r w:rsidRPr="00207F3B">
        <w:tab/>
        <w:t>Mpox Tracker. Breakthrough Infection, Reinfection Rare but Possible After Mpox Infection or Vaccination [Internet]. Available from: https://www.mpoxed.com/news/breakthrough-infection%2C-reinfection-rare-but-possible-after-mpox-infection-or-vaccination</w:t>
      </w:r>
    </w:p>
    <w:p w14:paraId="5736DCD1" w14:textId="77777777" w:rsidR="00855A92" w:rsidRPr="00207F3B" w:rsidRDefault="00855A92" w:rsidP="005C1429">
      <w:pPr>
        <w:pStyle w:val="Bibliography"/>
      </w:pPr>
      <w:r w:rsidRPr="00207F3B">
        <w:t>73.</w:t>
      </w:r>
      <w:r w:rsidRPr="00207F3B">
        <w:tab/>
        <w:t xml:space="preserve">Li T, Li Z, Xia Y, Long J, Qi L. Mpox reinfection: A rapid systematic review of case reports. Infectious Medicine. 2024 Mar;3(1):100096. </w:t>
      </w:r>
    </w:p>
    <w:p w14:paraId="6EC21387" w14:textId="77777777" w:rsidR="00855A92" w:rsidRPr="00207F3B" w:rsidRDefault="00855A92" w:rsidP="005C1429">
      <w:pPr>
        <w:pStyle w:val="Bibliography"/>
      </w:pPr>
      <w:r w:rsidRPr="00207F3B">
        <w:t>74.</w:t>
      </w:r>
      <w:r w:rsidRPr="00207F3B">
        <w:tab/>
        <w:t xml:space="preserve">Byrne J, Garcia-Leon A, Murphy A, Saini G, Banik I, Landay A, et al. Antibody Responses are Sustained 2 Years Post-Mpox Infection but not Following Modified Vaccinia Ankara–Bavarian Nordic Vaccination. Open Forum Infectious Diseases. 2025 Aug 29;12(9):ofaf536. </w:t>
      </w:r>
    </w:p>
    <w:p w14:paraId="26742339" w14:textId="77777777" w:rsidR="00855A92" w:rsidRPr="00207F3B" w:rsidRDefault="00855A92" w:rsidP="005C1429">
      <w:pPr>
        <w:pStyle w:val="Bibliography"/>
      </w:pPr>
      <w:r w:rsidRPr="00207F3B">
        <w:t>75.</w:t>
      </w:r>
      <w:r w:rsidRPr="00207F3B">
        <w:tab/>
        <w:t xml:space="preserve">Vusirikala A, Charles H, Balasegaram S, Macdonald N, Kumar D, Barker-Burnside C, et al. Epidemiology of Early Monkeypox Virus Transmission in Sexual Networks of Gay and Bisexual Men, England, 2022. Emerg Infect Dis. 2022 Oct;28(10):2082–6. </w:t>
      </w:r>
    </w:p>
    <w:p w14:paraId="5077FAE0" w14:textId="77777777" w:rsidR="00855A92" w:rsidRPr="00207F3B" w:rsidRDefault="00855A92" w:rsidP="005C1429">
      <w:pPr>
        <w:pStyle w:val="Bibliography"/>
      </w:pPr>
      <w:r w:rsidRPr="00207F3B">
        <w:t>76.</w:t>
      </w:r>
      <w:r w:rsidRPr="00207F3B">
        <w:tab/>
        <w:t xml:space="preserve">Satapathy P, Mohanty P, Manna S, Shamim MA, Rao PP, Aggarwal AK, et al. Potentially Asymptomatic Infection of Monkeypox Virus: A Systematic Review and Meta-Analysis. Vaccines (Basel). 2022 Dec 6;10(12):2083. </w:t>
      </w:r>
    </w:p>
    <w:p w14:paraId="25E053EB" w14:textId="77777777" w:rsidR="00855A92" w:rsidRPr="00207F3B" w:rsidRDefault="00855A92" w:rsidP="005C1429">
      <w:pPr>
        <w:pStyle w:val="Bibliography"/>
      </w:pPr>
      <w:r w:rsidRPr="00207F3B">
        <w:t>77.</w:t>
      </w:r>
      <w:r w:rsidRPr="00207F3B">
        <w:tab/>
        <w:t xml:space="preserve">Nachega JB, Mohr EL, Dashraath P, Mbala-Kingebeni P, Anderson JR, Myer L, et al. Mpox in Pregnancy - Risks, Vertical Transmission, Prevention, and Treatment. N Engl J Med. 2024 Oct 10;391(14):1267–70. </w:t>
      </w:r>
    </w:p>
    <w:p w14:paraId="2A003178" w14:textId="77777777" w:rsidR="00855A92" w:rsidRPr="00207F3B" w:rsidRDefault="00855A92" w:rsidP="005C1429">
      <w:pPr>
        <w:pStyle w:val="Bibliography"/>
      </w:pPr>
      <w:r w:rsidRPr="00207F3B">
        <w:t>78.</w:t>
      </w:r>
      <w:r w:rsidRPr="00207F3B">
        <w:tab/>
        <w:t xml:space="preserve">UK Health Security Agency. Mpox: scenarios and technical  elements of preparedness and  response for clade I [Internet]. Available from: </w:t>
      </w:r>
      <w:r w:rsidRPr="00207F3B">
        <w:lastRenderedPageBreak/>
        <w:t>https://assets.publishing.service.gov.uk/media/66e83b367f20ecc7ec3aa1db/mpox-technical-briefing-9.pdf</w:t>
      </w:r>
    </w:p>
    <w:p w14:paraId="64768CED" w14:textId="77777777" w:rsidR="00855A92" w:rsidRPr="00207F3B" w:rsidRDefault="00855A92" w:rsidP="005C1429">
      <w:pPr>
        <w:pStyle w:val="Bibliography"/>
      </w:pPr>
      <w:r w:rsidRPr="00207F3B">
        <w:t>79.</w:t>
      </w:r>
      <w:r w:rsidRPr="00207F3B">
        <w:tab/>
        <w:t>Centers for Disease Control and Prevention. About Mpox [Internet]. Available from: https://www.cdc.gov/mpox/about/?CDC_AAref_Val=https://www.cdc.gov/poxvirus/mpox/about/index.html</w:t>
      </w:r>
    </w:p>
    <w:p w14:paraId="3309531D" w14:textId="49458729" w:rsidR="00855A92" w:rsidRPr="00207F3B" w:rsidRDefault="00855A92" w:rsidP="005C1429">
      <w:pPr>
        <w:pStyle w:val="Bibliography"/>
      </w:pPr>
      <w:r w:rsidRPr="00207F3B">
        <w:t>80.</w:t>
      </w:r>
      <w:r w:rsidRPr="00207F3B">
        <w:tab/>
        <w:t>Deputy NP, Deckert J, Chard AN, Sandberg N, Moulia DL, Barkley E, et al. Vaccine Effectiveness of JYNNEOS against Mpox Disease in the United States. N Engl J Med. 2023 June 29;388(26):2434–43.</w:t>
      </w:r>
    </w:p>
    <w:p w14:paraId="3D2D4678" w14:textId="77777777" w:rsidR="00207F3B" w:rsidRPr="00207F3B" w:rsidRDefault="00207F3B" w:rsidP="00207F3B"/>
    <w:p w14:paraId="24E67A1F" w14:textId="43665E89" w:rsidR="00AB1BA8" w:rsidRPr="006422A9" w:rsidRDefault="00855A92" w:rsidP="00207F3B">
      <w:pPr>
        <w:pStyle w:val="Heading1"/>
      </w:pPr>
      <w:r w:rsidRPr="00765E35">
        <w:lastRenderedPageBreak/>
        <w:fldChar w:fldCharType="end"/>
      </w:r>
      <w:bookmarkStart w:id="111" w:name="_Toc208503885"/>
      <w:r w:rsidR="00AB1BA8">
        <w:t>Appendix 1: Information for cases and contacts</w:t>
      </w:r>
      <w:bookmarkEnd w:id="111"/>
    </w:p>
    <w:p w14:paraId="31DBB744" w14:textId="77777777" w:rsidR="00EB2CA2" w:rsidRPr="007475A9" w:rsidRDefault="00EB2CA2" w:rsidP="00EB2CA2">
      <w:pPr>
        <w:pStyle w:val="Heading2"/>
      </w:pPr>
      <w:r w:rsidRPr="007475A9">
        <w:t>About mpox</w:t>
      </w:r>
    </w:p>
    <w:p w14:paraId="55126BC4" w14:textId="7EF1AD58" w:rsidR="00EB2CA2" w:rsidRPr="008C6AF5" w:rsidRDefault="00EB2CA2" w:rsidP="008C6AF5">
      <w:pPr>
        <w:pStyle w:val="BodyText"/>
      </w:pPr>
      <w:r w:rsidRPr="008C6AF5">
        <w:t xml:space="preserve">Mpox (previously known as monkeypox) is a viral illness that was first reported in humans in 1970. Following the eradication of smallpox in 1980 and the end of smallpox vaccination worldwide, mpox steadily emerged in central, east and west Africa. </w:t>
      </w:r>
    </w:p>
    <w:p w14:paraId="3EBD23A8" w14:textId="77777777" w:rsidR="00EB2CA2" w:rsidRPr="008C6AF5" w:rsidRDefault="00EB2CA2" w:rsidP="008C6AF5">
      <w:pPr>
        <w:pStyle w:val="BodyText"/>
      </w:pPr>
      <w:r w:rsidRPr="008C6AF5">
        <w:t xml:space="preserve">Since 2022, mpox has spread across the world, including in Australia.  </w:t>
      </w:r>
    </w:p>
    <w:p w14:paraId="1EE3A991" w14:textId="77777777" w:rsidR="00EB2CA2" w:rsidRPr="008C6AF5" w:rsidRDefault="00EB2CA2" w:rsidP="008C6AF5">
      <w:pPr>
        <w:pStyle w:val="BodyText"/>
      </w:pPr>
      <w:r w:rsidRPr="008C6AF5">
        <w:t>It is usually mild and most people recover fully in 2-4 weeks, but some people can get very sick.</w:t>
      </w:r>
    </w:p>
    <w:p w14:paraId="1EECDB3F" w14:textId="77777777" w:rsidR="00EB2CA2" w:rsidRPr="008C6AF5" w:rsidRDefault="00EB2CA2" w:rsidP="008C6AF5">
      <w:pPr>
        <w:pStyle w:val="BodyText"/>
      </w:pPr>
      <w:r w:rsidRPr="008C6AF5">
        <w:t>Mpox is spread through very close contact with other people, including sex and close touch.</w:t>
      </w:r>
    </w:p>
    <w:p w14:paraId="7FA3C2DE" w14:textId="77777777" w:rsidR="00EB2CA2" w:rsidRPr="008C6AF5" w:rsidRDefault="00EB2CA2" w:rsidP="008C6AF5">
      <w:pPr>
        <w:pStyle w:val="BodyText"/>
      </w:pPr>
      <w:r w:rsidRPr="008C6AF5">
        <w:t xml:space="preserve">For more information, see: </w:t>
      </w:r>
    </w:p>
    <w:p w14:paraId="4877CDB0" w14:textId="77777777" w:rsidR="00EB2CA2" w:rsidRPr="00B06562" w:rsidRDefault="00EB2CA2" w:rsidP="008C6AF5">
      <w:pPr>
        <w:pStyle w:val="ListBullet"/>
      </w:pPr>
      <w:hyperlink r:id="rId36" w:history="1">
        <w:r w:rsidRPr="007838E0">
          <w:rPr>
            <w:rStyle w:val="Hyperlink"/>
          </w:rPr>
          <w:t>Mpox | Australian Centre for Disease Control</w:t>
        </w:r>
      </w:hyperlink>
    </w:p>
    <w:p w14:paraId="371AA956" w14:textId="7C3AA3C6" w:rsidR="00EB2CA2" w:rsidRPr="00917AC5" w:rsidRDefault="00EB2CA2" w:rsidP="008C6AF5">
      <w:pPr>
        <w:pStyle w:val="ListBullet"/>
        <w:rPr>
          <w:rStyle w:val="Hyperlink"/>
        </w:rPr>
      </w:pPr>
      <w:hyperlink r:id="rId37">
        <w:r w:rsidRPr="00917AC5">
          <w:rPr>
            <w:rStyle w:val="Hyperlink"/>
          </w:rPr>
          <w:t xml:space="preserve">Mpox (Monkeypox) </w:t>
        </w:r>
        <w:r w:rsidR="008C6AF5" w:rsidRPr="00917AC5">
          <w:rPr>
            <w:rStyle w:val="Hyperlink"/>
          </w:rPr>
          <w:t>–</w:t>
        </w:r>
        <w:r w:rsidRPr="00917AC5">
          <w:rPr>
            <w:rStyle w:val="Hyperlink"/>
          </w:rPr>
          <w:t xml:space="preserve"> symptoms, treatment and prevention | healthdirect</w:t>
        </w:r>
      </w:hyperlink>
    </w:p>
    <w:p w14:paraId="14DF1E43" w14:textId="77777777" w:rsidR="00EB2CA2" w:rsidRDefault="00EB2CA2" w:rsidP="00EB2CA2">
      <w:pPr>
        <w:pStyle w:val="Heading2"/>
      </w:pPr>
      <w:bookmarkStart w:id="112" w:name="_Information_for_cases"/>
      <w:bookmarkEnd w:id="112"/>
      <w:r>
        <w:t>Information for cases</w:t>
      </w:r>
    </w:p>
    <w:p w14:paraId="4E98B7E5" w14:textId="77777777" w:rsidR="00EB2CA2" w:rsidRPr="00917AC5" w:rsidRDefault="00EB2CA2" w:rsidP="00917AC5">
      <w:pPr>
        <w:pStyle w:val="Heading3"/>
      </w:pPr>
      <w:r w:rsidRPr="00917AC5">
        <w:t>Symptoms</w:t>
      </w:r>
    </w:p>
    <w:p w14:paraId="53D3B7F0" w14:textId="77777777" w:rsidR="00EB2CA2" w:rsidRDefault="00EB2CA2" w:rsidP="00EC729F">
      <w:pPr>
        <w:pStyle w:val="BodyText"/>
      </w:pPr>
      <w:r w:rsidRPr="00A92277">
        <w:t>Symptoms may include flu-like symptoms such as fever, swollen lymph nodes, muscle aches and pains, fatigue, headache</w:t>
      </w:r>
      <w:r>
        <w:t>,</w:t>
      </w:r>
      <w:r w:rsidRPr="00A92277">
        <w:t xml:space="preserve"> back pain, and a rash. </w:t>
      </w:r>
    </w:p>
    <w:p w14:paraId="7C4453AA" w14:textId="77777777" w:rsidR="00EB2CA2" w:rsidRDefault="00EB2CA2" w:rsidP="00EC729F">
      <w:pPr>
        <w:pStyle w:val="BodyText"/>
      </w:pPr>
      <w:hyperlink r:id="rId38" w:history="1">
        <w:r w:rsidRPr="000B02C0">
          <w:rPr>
            <w:rStyle w:val="Hyperlink"/>
          </w:rPr>
          <w:t>The rash</w:t>
        </w:r>
      </w:hyperlink>
      <w:r w:rsidRPr="00A92277">
        <w:t xml:space="preserve"> usually starts 1 to 4 days after the flu-like symptoms, </w:t>
      </w:r>
      <w:r>
        <w:t>but</w:t>
      </w:r>
      <w:r w:rsidRPr="00A92277">
        <w:t xml:space="preserve"> some people only get the rash. The rash can be very mild (</w:t>
      </w:r>
      <w:r>
        <w:t>only one or two</w:t>
      </w:r>
      <w:r w:rsidRPr="00A92277">
        <w:t xml:space="preserve"> pimples) through to being widespread (lots of bumps and pimples all over the body).</w:t>
      </w:r>
    </w:p>
    <w:p w14:paraId="644AAD06" w14:textId="77777777" w:rsidR="00EB2CA2" w:rsidRPr="00917AC5" w:rsidRDefault="00EB2CA2" w:rsidP="00EC729F">
      <w:pPr>
        <w:pStyle w:val="BodyText"/>
        <w:rPr>
          <w:rStyle w:val="Hyperlink"/>
        </w:rPr>
      </w:pPr>
      <w:r>
        <w:t xml:space="preserve">For symptoms of mpox and what to expect, refer to </w:t>
      </w:r>
      <w:hyperlink r:id="rId39" w:history="1">
        <w:r w:rsidRPr="007838E0">
          <w:rPr>
            <w:rStyle w:val="Hyperlink"/>
          </w:rPr>
          <w:t>Mpox | Australian Centre for Disease Control</w:t>
        </w:r>
      </w:hyperlink>
    </w:p>
    <w:p w14:paraId="1FDC9A38" w14:textId="77777777" w:rsidR="00EB2CA2" w:rsidRPr="00917AC5" w:rsidRDefault="00EB2CA2" w:rsidP="00917AC5">
      <w:pPr>
        <w:pStyle w:val="Heading3"/>
      </w:pPr>
      <w:r w:rsidRPr="00917AC5">
        <w:t>What do I need to do?</w:t>
      </w:r>
    </w:p>
    <w:p w14:paraId="6D15246B" w14:textId="77777777" w:rsidR="00EB2CA2" w:rsidRDefault="00EB2CA2" w:rsidP="00EC729F">
      <w:pPr>
        <w:pStyle w:val="BodyText"/>
      </w:pPr>
      <w:r w:rsidRPr="4A9645F0">
        <w:t xml:space="preserve">Public health officers may contact you </w:t>
      </w:r>
      <w:r>
        <w:t>to ask how questions to find out how you might have become infected and for contact tracing. They</w:t>
      </w:r>
      <w:r w:rsidRPr="4A9645F0">
        <w:t xml:space="preserve"> </w:t>
      </w:r>
      <w:r>
        <w:t>may</w:t>
      </w:r>
      <w:r w:rsidRPr="4A9645F0">
        <w:t xml:space="preserve"> </w:t>
      </w:r>
      <w:r>
        <w:t>contact you by phone,</w:t>
      </w:r>
      <w:r w:rsidRPr="4A9645F0">
        <w:t xml:space="preserve"> email or text message. To reduce the risk of spreading mpox to other people, </w:t>
      </w:r>
      <w:r w:rsidRPr="4A9645F0">
        <w:lastRenderedPageBreak/>
        <w:t xml:space="preserve">follow the advice </w:t>
      </w:r>
      <w:r>
        <w:t xml:space="preserve">below until </w:t>
      </w:r>
      <w:r w:rsidRPr="4A9645F0">
        <w:t xml:space="preserve">your </w:t>
      </w:r>
      <w:r>
        <w:t xml:space="preserve">doctor or </w:t>
      </w:r>
      <w:r w:rsidRPr="4A9645F0">
        <w:t>local public health unit</w:t>
      </w:r>
      <w:r>
        <w:t xml:space="preserve"> has cleared you of the infection.</w:t>
      </w:r>
    </w:p>
    <w:p w14:paraId="5F23010C" w14:textId="77777777" w:rsidR="00EB2CA2" w:rsidRDefault="00EB2CA2" w:rsidP="00EB2CA2">
      <w:pPr>
        <w:pStyle w:val="Heading4"/>
      </w:pPr>
      <w:r w:rsidRPr="4A9645F0">
        <w:t>Personal care</w:t>
      </w:r>
    </w:p>
    <w:p w14:paraId="5CEC2404" w14:textId="77777777" w:rsidR="00EB2CA2" w:rsidRDefault="00EB2CA2" w:rsidP="00C45466">
      <w:pPr>
        <w:pStyle w:val="ListBullet"/>
      </w:pPr>
      <w:r w:rsidRPr="4A9645F0">
        <w:t>Keep lesions covered when around other people</w:t>
      </w:r>
      <w:r>
        <w:t>, if you can</w:t>
      </w:r>
      <w:r w:rsidRPr="4A9645F0">
        <w:t xml:space="preserve"> – use a waterproof dressing or bandage and cover with clothing.</w:t>
      </w:r>
    </w:p>
    <w:p w14:paraId="6A2E948D" w14:textId="77777777" w:rsidR="00EB2CA2" w:rsidRDefault="00EB2CA2" w:rsidP="00C45466">
      <w:pPr>
        <w:pStyle w:val="ListBullet"/>
      </w:pPr>
      <w:r w:rsidRPr="4A9645F0">
        <w:t xml:space="preserve">Wear a surgical mask when around other people or animals if </w:t>
      </w:r>
      <w:r>
        <w:t xml:space="preserve">you have </w:t>
      </w:r>
      <w:r w:rsidRPr="4A9645F0">
        <w:t>lesions in the mouth, sore mouth or throat, or respiratory symptoms (such as cough).</w:t>
      </w:r>
    </w:p>
    <w:p w14:paraId="1805E308" w14:textId="77777777" w:rsidR="00EB2CA2" w:rsidRDefault="00EB2CA2" w:rsidP="00C45466">
      <w:pPr>
        <w:pStyle w:val="ListBullet"/>
      </w:pPr>
      <w:r w:rsidRPr="4A9645F0">
        <w:t>Wash your hands regularly with soap and warm water</w:t>
      </w:r>
      <w:r>
        <w:t xml:space="preserve">. </w:t>
      </w:r>
    </w:p>
    <w:p w14:paraId="34E35C69" w14:textId="77777777" w:rsidR="00EB2CA2" w:rsidRDefault="00EB2CA2" w:rsidP="00C45466">
      <w:pPr>
        <w:pStyle w:val="ListBullet"/>
      </w:pPr>
      <w:r>
        <w:t>C</w:t>
      </w:r>
      <w:r w:rsidRPr="4A9645F0">
        <w:t>over your mouth and nose with a tissue when coughing or sneezing</w:t>
      </w:r>
      <w:r>
        <w:t xml:space="preserve"> – d</w:t>
      </w:r>
      <w:r w:rsidRPr="4A9645F0">
        <w:t>ispose of used tissues in the waste yourself.</w:t>
      </w:r>
    </w:p>
    <w:p w14:paraId="115CEBF5" w14:textId="77777777" w:rsidR="00EB2CA2" w:rsidRDefault="00EB2CA2" w:rsidP="00C45466">
      <w:pPr>
        <w:pStyle w:val="ListBullet"/>
      </w:pPr>
      <w:r w:rsidRPr="4A9645F0">
        <w:t xml:space="preserve">Avoid touching your face or rubbing your eyes, especially if </w:t>
      </w:r>
      <w:r>
        <w:t>you have</w:t>
      </w:r>
      <w:r w:rsidRPr="4A9645F0">
        <w:t xml:space="preserve"> blisters on or near your eyes or hands.</w:t>
      </w:r>
    </w:p>
    <w:p w14:paraId="34D4D83E" w14:textId="77777777" w:rsidR="00EB2CA2" w:rsidRDefault="00EB2CA2" w:rsidP="00EB2CA2">
      <w:pPr>
        <w:pStyle w:val="Heading4"/>
      </w:pPr>
      <w:r w:rsidRPr="4A9645F0">
        <w:t>Around the house</w:t>
      </w:r>
    </w:p>
    <w:p w14:paraId="64788BE0" w14:textId="77777777" w:rsidR="00EB2CA2" w:rsidRDefault="00EB2CA2" w:rsidP="00C45466">
      <w:pPr>
        <w:pStyle w:val="ListBullet"/>
      </w:pPr>
      <w:r w:rsidRPr="4A9645F0">
        <w:t>Limit close contact with household members</w:t>
      </w:r>
      <w:r>
        <w:t>,</w:t>
      </w:r>
      <w:r w:rsidRPr="4A9645F0">
        <w:t xml:space="preserve"> where possible</w:t>
      </w:r>
      <w:r>
        <w:t>. Sleep</w:t>
      </w:r>
      <w:r w:rsidRPr="4A9645F0">
        <w:t xml:space="preserve"> in a </w:t>
      </w:r>
      <w:r>
        <w:t>separate</w:t>
      </w:r>
      <w:r w:rsidRPr="4A9645F0">
        <w:t xml:space="preserve"> room and us</w:t>
      </w:r>
      <w:r>
        <w:t>e</w:t>
      </w:r>
      <w:r w:rsidRPr="4A9645F0">
        <w:t xml:space="preserve"> a separate bathroom.</w:t>
      </w:r>
    </w:p>
    <w:p w14:paraId="7F9B09E8" w14:textId="77777777" w:rsidR="00EB2CA2" w:rsidRDefault="00EB2CA2" w:rsidP="00C45466">
      <w:pPr>
        <w:pStyle w:val="ListBullet"/>
      </w:pPr>
      <w:r w:rsidRPr="4A9645F0">
        <w:t>Do not share clothing, bedding or towels, and do your own laundry.</w:t>
      </w:r>
      <w:r>
        <w:t xml:space="preserve"> When handling these items, carers should wear appropriate protective equipment.</w:t>
      </w:r>
    </w:p>
    <w:p w14:paraId="79D7FAF2" w14:textId="77777777" w:rsidR="00EB2CA2" w:rsidRDefault="00EB2CA2" w:rsidP="00C45466">
      <w:pPr>
        <w:pStyle w:val="ListBullet"/>
      </w:pPr>
      <w:r w:rsidRPr="4A9645F0">
        <w:t>Do not share unwashed cutlery and crockery.</w:t>
      </w:r>
    </w:p>
    <w:p w14:paraId="6DC304E1" w14:textId="77777777" w:rsidR="00EB2CA2" w:rsidRDefault="00EB2CA2" w:rsidP="00C45466">
      <w:pPr>
        <w:pStyle w:val="ListBullet"/>
      </w:pPr>
      <w:r w:rsidRPr="4A9645F0">
        <w:t xml:space="preserve">Clean and disinfect </w:t>
      </w:r>
      <w:r>
        <w:t xml:space="preserve">any </w:t>
      </w:r>
      <w:r w:rsidRPr="4A9645F0">
        <w:t>shared spaces (including bathrooms)</w:t>
      </w:r>
      <w:r>
        <w:t xml:space="preserve"> and</w:t>
      </w:r>
      <w:r w:rsidRPr="4A9645F0">
        <w:t xml:space="preserve"> items immediately after use.</w:t>
      </w:r>
    </w:p>
    <w:p w14:paraId="6D9F2C63" w14:textId="77777777" w:rsidR="00EB2CA2" w:rsidRDefault="00EB2CA2" w:rsidP="00C45466">
      <w:pPr>
        <w:pStyle w:val="ListBullet"/>
      </w:pPr>
      <w:r w:rsidRPr="4A9645F0">
        <w:t xml:space="preserve">Work from home, if possible. The public health unit will </w:t>
      </w:r>
      <w:r>
        <w:t>let you know</w:t>
      </w:r>
      <w:r w:rsidRPr="4A9645F0">
        <w:t xml:space="preserve"> whether you can </w:t>
      </w:r>
      <w:r>
        <w:t>go to your</w:t>
      </w:r>
      <w:r w:rsidRPr="4A9645F0">
        <w:t xml:space="preserve"> workplace. This will depend on </w:t>
      </w:r>
      <w:r>
        <w:t>what</w:t>
      </w:r>
      <w:r w:rsidRPr="4A9645F0">
        <w:t xml:space="preserve"> work you do, your symptoms and the risk of passing mpox on to others.</w:t>
      </w:r>
    </w:p>
    <w:p w14:paraId="0E76CD86" w14:textId="77777777" w:rsidR="00EB2CA2" w:rsidRDefault="00EB2CA2" w:rsidP="00EB2CA2">
      <w:pPr>
        <w:pStyle w:val="Heading4"/>
      </w:pPr>
      <w:r w:rsidRPr="4A9645F0">
        <w:t>Avoid the following while you are infectious</w:t>
      </w:r>
      <w:r>
        <w:t xml:space="preserve"> (able to pass on the illness to others)</w:t>
      </w:r>
    </w:p>
    <w:p w14:paraId="7EB75562" w14:textId="77777777" w:rsidR="00EB2CA2" w:rsidRDefault="00EB2CA2" w:rsidP="00C45466">
      <w:pPr>
        <w:pStyle w:val="ListBullet"/>
      </w:pPr>
      <w:r w:rsidRPr="4A9645F0">
        <w:t>Avoid close or intimate contact with others, including all sexual activity.</w:t>
      </w:r>
    </w:p>
    <w:p w14:paraId="5A538A49" w14:textId="77777777" w:rsidR="00EB2CA2" w:rsidRDefault="00EB2CA2" w:rsidP="00C45466">
      <w:pPr>
        <w:pStyle w:val="ListBullet"/>
      </w:pPr>
      <w:r w:rsidRPr="4A9645F0">
        <w:t xml:space="preserve">Do not enter early childhood education and care services, aged care </w:t>
      </w:r>
      <w:r>
        <w:t>or</w:t>
      </w:r>
      <w:r w:rsidRPr="4A9645F0">
        <w:t xml:space="preserve"> healthcare facilities</w:t>
      </w:r>
      <w:r>
        <w:t xml:space="preserve"> –</w:t>
      </w:r>
      <w:r w:rsidRPr="4A9645F0">
        <w:t xml:space="preserve"> unless seeking medical attention or advised by the public health unit </w:t>
      </w:r>
      <w:r>
        <w:t xml:space="preserve">that </w:t>
      </w:r>
      <w:r w:rsidRPr="4A9645F0">
        <w:t>you can</w:t>
      </w:r>
      <w:r>
        <w:t xml:space="preserve"> attend </w:t>
      </w:r>
      <w:r w:rsidRPr="4A9645F0">
        <w:t>for work purposes.</w:t>
      </w:r>
    </w:p>
    <w:p w14:paraId="51ECEBC2" w14:textId="77777777" w:rsidR="00EB2CA2" w:rsidRDefault="00EB2CA2" w:rsidP="00C45466">
      <w:pPr>
        <w:pStyle w:val="ListBullet"/>
      </w:pPr>
      <w:r w:rsidRPr="4A9645F0">
        <w:t xml:space="preserve">Avoid places or contact with </w:t>
      </w:r>
      <w:r>
        <w:t>people who are</w:t>
      </w:r>
      <w:r w:rsidRPr="4A9645F0">
        <w:t xml:space="preserve"> at higher risk of severe disease</w:t>
      </w:r>
      <w:r>
        <w:t>. These include</w:t>
      </w:r>
      <w:r w:rsidRPr="4A9645F0">
        <w:t xml:space="preserve"> young children, older people, people with poor immunity, and pregnant </w:t>
      </w:r>
      <w:r>
        <w:t>people</w:t>
      </w:r>
      <w:r w:rsidRPr="4A9645F0">
        <w:t>.</w:t>
      </w:r>
    </w:p>
    <w:p w14:paraId="091D5822" w14:textId="77777777" w:rsidR="00EB2CA2" w:rsidRDefault="00EB2CA2" w:rsidP="00C45466">
      <w:pPr>
        <w:pStyle w:val="ListBullet"/>
      </w:pPr>
      <w:r w:rsidRPr="4A9645F0">
        <w:t>Avoid close contact with animals, particularly dogs and rodents.</w:t>
      </w:r>
    </w:p>
    <w:p w14:paraId="45CABDFC" w14:textId="77777777" w:rsidR="00EB2CA2" w:rsidRPr="00015FD1" w:rsidRDefault="00EB2CA2" w:rsidP="00C45466">
      <w:pPr>
        <w:pStyle w:val="ListBullet"/>
      </w:pPr>
      <w:r w:rsidRPr="00015FD1">
        <w:lastRenderedPageBreak/>
        <w:t>Do not donate any human tissue, including blood, cells, tissue, breast milk, semen, or organs. Longer periods may apply, depending on the biological product – check with the relevant collection authority.</w:t>
      </w:r>
    </w:p>
    <w:p w14:paraId="0DE737C7" w14:textId="77777777" w:rsidR="00EB2CA2" w:rsidRPr="00917AC5" w:rsidRDefault="00EB2CA2" w:rsidP="00917AC5">
      <w:pPr>
        <w:pStyle w:val="Heading3"/>
      </w:pPr>
      <w:r w:rsidRPr="00917AC5">
        <w:t>Do I need to stay at home?</w:t>
      </w:r>
    </w:p>
    <w:p w14:paraId="7A538EDA" w14:textId="77777777" w:rsidR="00EB2CA2" w:rsidRDefault="00EB2CA2" w:rsidP="00C45466">
      <w:pPr>
        <w:pStyle w:val="BodyText"/>
      </w:pPr>
      <w:r>
        <w:t xml:space="preserve">Your local public health unit may advise you to stay at home. This will depend on how severe your symptoms are, the type of work you do, location of rash/lesions and risk of passing mpox on to others. </w:t>
      </w:r>
    </w:p>
    <w:p w14:paraId="729C3EEC" w14:textId="77777777" w:rsidR="00EB2CA2" w:rsidRPr="00B06562" w:rsidRDefault="00EB2CA2" w:rsidP="00B06562">
      <w:pPr>
        <w:pStyle w:val="BodyText"/>
      </w:pPr>
      <w:r w:rsidRPr="00B06562">
        <w:t>It is recommended you do the following any time you leave home:</w:t>
      </w:r>
    </w:p>
    <w:p w14:paraId="6F26DC24" w14:textId="77777777" w:rsidR="00EB2CA2" w:rsidRDefault="00EB2CA2" w:rsidP="00C45466">
      <w:pPr>
        <w:pStyle w:val="ListBullet"/>
      </w:pPr>
      <w:r w:rsidRPr="4A9645F0">
        <w:t>cover any rash or lesions (e.g.</w:t>
      </w:r>
      <w:r>
        <w:t>,</w:t>
      </w:r>
      <w:r w:rsidRPr="4A9645F0">
        <w:t xml:space="preserve"> </w:t>
      </w:r>
      <w:r>
        <w:t>waterproof dressing or bandage</w:t>
      </w:r>
      <w:r w:rsidRPr="4A9645F0">
        <w:t>, long sleeves, long pants)</w:t>
      </w:r>
    </w:p>
    <w:p w14:paraId="40D84D62" w14:textId="77777777" w:rsidR="00EB2CA2" w:rsidRDefault="00EB2CA2" w:rsidP="00C45466">
      <w:pPr>
        <w:pStyle w:val="ListBullet"/>
      </w:pPr>
      <w:r w:rsidRPr="4A9645F0">
        <w:t>avoid close</w:t>
      </w:r>
      <w:r>
        <w:t xml:space="preserve"> and/or sexual</w:t>
      </w:r>
      <w:r w:rsidRPr="4A9645F0">
        <w:t xml:space="preserve"> contact with others, and </w:t>
      </w:r>
    </w:p>
    <w:p w14:paraId="451D8FA1" w14:textId="77777777" w:rsidR="00EB2CA2" w:rsidRDefault="00EB2CA2" w:rsidP="00C45466">
      <w:pPr>
        <w:pStyle w:val="ListBullet"/>
      </w:pPr>
      <w:r w:rsidRPr="4A9645F0">
        <w:t xml:space="preserve">wear a surgical mask if </w:t>
      </w:r>
      <w:r>
        <w:t xml:space="preserve">you have </w:t>
      </w:r>
      <w:r w:rsidRPr="4A9645F0">
        <w:t>respiratory symptoms (cough, sore throat) or lesions in the mouth.</w:t>
      </w:r>
    </w:p>
    <w:p w14:paraId="1A1BE3F7" w14:textId="77777777" w:rsidR="00EB2CA2" w:rsidRDefault="00EB2CA2" w:rsidP="00C45466">
      <w:pPr>
        <w:pStyle w:val="BodyText"/>
      </w:pPr>
      <w:r>
        <w:t>I</w:t>
      </w:r>
      <w:r w:rsidRPr="4A9645F0">
        <w:t xml:space="preserve">f you need to seek urgent medical attention, </w:t>
      </w:r>
      <w:r>
        <w:t>let</w:t>
      </w:r>
      <w:r w:rsidRPr="4A9645F0">
        <w:t xml:space="preserve"> the emergency department or general practice know </w:t>
      </w:r>
      <w:r>
        <w:t>beforehand</w:t>
      </w:r>
      <w:r w:rsidRPr="4A9645F0">
        <w:t xml:space="preserve"> that you have mpox. </w:t>
      </w:r>
    </w:p>
    <w:p w14:paraId="3B05315B" w14:textId="77777777" w:rsidR="00EB2CA2" w:rsidRPr="00B06562" w:rsidRDefault="00EB2CA2" w:rsidP="00B06562">
      <w:pPr>
        <w:pStyle w:val="BodyText"/>
        <w:rPr>
          <w:rStyle w:val="Strong"/>
        </w:rPr>
      </w:pPr>
      <w:r w:rsidRPr="00B06562">
        <w:rPr>
          <w:rStyle w:val="Strong"/>
        </w:rPr>
        <w:t>In a medical emergency always seek immediate health care or phone 000.</w:t>
      </w:r>
    </w:p>
    <w:p w14:paraId="5143337E" w14:textId="77777777" w:rsidR="00EB2CA2" w:rsidRPr="00917AC5" w:rsidRDefault="00EB2CA2" w:rsidP="00917AC5">
      <w:pPr>
        <w:pStyle w:val="Heading3"/>
      </w:pPr>
      <w:r w:rsidRPr="00917AC5">
        <w:t>How should I clean my house and belongings?</w:t>
      </w:r>
    </w:p>
    <w:tbl>
      <w:tblPr>
        <w:tblStyle w:val="TableGridLight"/>
        <w:tblW w:w="9067" w:type="dxa"/>
        <w:tblLayout w:type="fixed"/>
        <w:tblCellMar>
          <w:top w:w="57" w:type="dxa"/>
          <w:left w:w="57" w:type="dxa"/>
          <w:bottom w:w="57" w:type="dxa"/>
          <w:right w:w="57" w:type="dxa"/>
        </w:tblCellMar>
        <w:tblLook w:val="04A0" w:firstRow="1" w:lastRow="0" w:firstColumn="1" w:lastColumn="0" w:noHBand="0" w:noVBand="1"/>
      </w:tblPr>
      <w:tblGrid>
        <w:gridCol w:w="2689"/>
        <w:gridCol w:w="6378"/>
      </w:tblGrid>
      <w:tr w:rsidR="00EB2CA2" w14:paraId="54A9B077" w14:textId="77777777" w:rsidTr="00595E23">
        <w:trPr>
          <w:trHeight w:val="300"/>
        </w:trPr>
        <w:tc>
          <w:tcPr>
            <w:tcW w:w="2689" w:type="dxa"/>
          </w:tcPr>
          <w:p w14:paraId="1A1B54E6" w14:textId="77777777" w:rsidR="00EB2CA2" w:rsidRPr="00917AC5" w:rsidRDefault="00EB2CA2" w:rsidP="00917AC5">
            <w:pPr>
              <w:pStyle w:val="Tableheaderrowblack"/>
            </w:pPr>
            <w:r w:rsidRPr="00917AC5">
              <w:t>Bathrooms, toilets and surfaces that are frequently touched</w:t>
            </w:r>
          </w:p>
        </w:tc>
        <w:tc>
          <w:tcPr>
            <w:tcW w:w="6378" w:type="dxa"/>
          </w:tcPr>
          <w:p w14:paraId="2594B327" w14:textId="44C7D21B" w:rsidR="00EB2CA2" w:rsidRPr="006769C8" w:rsidRDefault="00EB2CA2" w:rsidP="006769C8">
            <w:pPr>
              <w:pStyle w:val="Tabletext"/>
            </w:pPr>
            <w:r w:rsidRPr="006769C8">
              <w:t>Regularly clean with a household detergent and warm water followed by a disinfectant. Alternatively, you can use a 2-in-1 cleaner and disinfectant solution. Use single-use or washable cloths/wipes.</w:t>
            </w:r>
          </w:p>
        </w:tc>
      </w:tr>
      <w:tr w:rsidR="00EB2CA2" w14:paraId="32B1B186" w14:textId="77777777" w:rsidTr="00595E23">
        <w:trPr>
          <w:trHeight w:val="300"/>
        </w:trPr>
        <w:tc>
          <w:tcPr>
            <w:tcW w:w="2689" w:type="dxa"/>
          </w:tcPr>
          <w:p w14:paraId="0CE3A225" w14:textId="22D93A29" w:rsidR="00EB2CA2" w:rsidRPr="00917AC5" w:rsidRDefault="00EB2CA2" w:rsidP="00917AC5">
            <w:pPr>
              <w:pStyle w:val="Tableheaderrowblack"/>
            </w:pPr>
            <w:r w:rsidRPr="00917AC5">
              <w:t>Dishes and eating utensils</w:t>
            </w:r>
          </w:p>
        </w:tc>
        <w:tc>
          <w:tcPr>
            <w:tcW w:w="6378" w:type="dxa"/>
          </w:tcPr>
          <w:p w14:paraId="13D021E9" w14:textId="77777777" w:rsidR="00EB2CA2" w:rsidRPr="006769C8" w:rsidRDefault="00EB2CA2" w:rsidP="006769C8">
            <w:pPr>
              <w:pStyle w:val="Tabletext"/>
            </w:pPr>
            <w:r w:rsidRPr="006769C8">
              <w:t>Wash in a dishwasher (preferably set at 60°C or above) or by hand with hot water and detergent.</w:t>
            </w:r>
          </w:p>
        </w:tc>
      </w:tr>
      <w:tr w:rsidR="00EB2CA2" w14:paraId="4DE6E08C" w14:textId="77777777" w:rsidTr="00595E23">
        <w:trPr>
          <w:trHeight w:val="300"/>
        </w:trPr>
        <w:tc>
          <w:tcPr>
            <w:tcW w:w="2689" w:type="dxa"/>
          </w:tcPr>
          <w:p w14:paraId="662BE885" w14:textId="376E705C" w:rsidR="00EB2CA2" w:rsidRPr="00917AC5" w:rsidRDefault="00EB2CA2" w:rsidP="00917AC5">
            <w:pPr>
              <w:pStyle w:val="Tableheaderrowblack"/>
            </w:pPr>
            <w:r w:rsidRPr="00917AC5">
              <w:t>Linen, towels, and clothing</w:t>
            </w:r>
          </w:p>
        </w:tc>
        <w:tc>
          <w:tcPr>
            <w:tcW w:w="6378" w:type="dxa"/>
          </w:tcPr>
          <w:p w14:paraId="3D8427D5" w14:textId="77777777" w:rsidR="00EB2CA2" w:rsidRPr="006769C8" w:rsidRDefault="00EB2CA2" w:rsidP="006769C8">
            <w:pPr>
              <w:pStyle w:val="Tabletext"/>
            </w:pPr>
            <w:r w:rsidRPr="006769C8">
              <w:t xml:space="preserve">Handle items yourself and keep separate from other people’s items. </w:t>
            </w:r>
          </w:p>
          <w:p w14:paraId="11F8F757" w14:textId="77777777" w:rsidR="00EB2CA2" w:rsidRPr="006769C8" w:rsidRDefault="00EB2CA2" w:rsidP="006769C8">
            <w:pPr>
              <w:pStyle w:val="Tabletext"/>
            </w:pPr>
            <w:r w:rsidRPr="006769C8">
              <w:t>Wash items with laundry detergent at the highest possible temperature on a regular cycle.  Dry clothes as per normal.</w:t>
            </w:r>
          </w:p>
          <w:p w14:paraId="173579BC" w14:textId="77777777" w:rsidR="00EB2CA2" w:rsidRPr="006769C8" w:rsidRDefault="00EB2CA2" w:rsidP="006769C8">
            <w:pPr>
              <w:pStyle w:val="Tabletext"/>
            </w:pPr>
            <w:r w:rsidRPr="006769C8">
              <w:t>Clean and disinfect surfaces afterwards (e.g. the lid or handle of the washing machine) and wash your hands.</w:t>
            </w:r>
          </w:p>
          <w:p w14:paraId="798BCC74" w14:textId="77777777" w:rsidR="00EB2CA2" w:rsidRPr="006769C8" w:rsidRDefault="00EB2CA2" w:rsidP="006769C8">
            <w:pPr>
              <w:pStyle w:val="Tabletext"/>
            </w:pPr>
            <w:r w:rsidRPr="006769C8">
              <w:t>Place coversheets, waterproof mattress covers or blankets over upholstered furniture and other porous materials that cannot be washed.</w:t>
            </w:r>
          </w:p>
          <w:p w14:paraId="032F6FF6" w14:textId="144800AE" w:rsidR="00EB2CA2" w:rsidRDefault="00EB2CA2" w:rsidP="006769C8">
            <w:pPr>
              <w:pStyle w:val="Tabletext"/>
            </w:pPr>
            <w:r w:rsidRPr="006769C8">
              <w:t>If you need help with linen and laundry, the person helping should wear a surgical mask, gloves and protective eyewear. They should also avoid direct contact with items.</w:t>
            </w:r>
          </w:p>
        </w:tc>
      </w:tr>
      <w:tr w:rsidR="00EB2CA2" w14:paraId="1B0D1E32" w14:textId="77777777" w:rsidTr="00595E23">
        <w:trPr>
          <w:trHeight w:val="300"/>
        </w:trPr>
        <w:tc>
          <w:tcPr>
            <w:tcW w:w="2689" w:type="dxa"/>
          </w:tcPr>
          <w:p w14:paraId="2D412CD6" w14:textId="77777777" w:rsidR="00EB2CA2" w:rsidRPr="00917AC5" w:rsidRDefault="00EB2CA2" w:rsidP="00917AC5">
            <w:pPr>
              <w:pStyle w:val="Tableheaderrowblack"/>
            </w:pPr>
            <w:r w:rsidRPr="00917AC5">
              <w:t>Sex toys</w:t>
            </w:r>
          </w:p>
        </w:tc>
        <w:tc>
          <w:tcPr>
            <w:tcW w:w="6378" w:type="dxa"/>
          </w:tcPr>
          <w:p w14:paraId="3861CD48" w14:textId="12CE6D69" w:rsidR="00EB2CA2" w:rsidRPr="006769C8" w:rsidRDefault="00EB2CA2" w:rsidP="006769C8">
            <w:pPr>
              <w:pStyle w:val="Tabletext"/>
            </w:pPr>
            <w:r w:rsidRPr="006769C8">
              <w:t xml:space="preserve">Sex toys should be cleaned and disinfected thoroughly before and after use with either warm water and soap or a water-based sex toy </w:t>
            </w:r>
            <w:r w:rsidRPr="006769C8">
              <w:lastRenderedPageBreak/>
              <w:t>cleaner. Allow toys to dry completely and then disinfected using products as per manufacturer instructions. Some toys can also be cleaned in the dishwasher or in boiling water, depending on the materials. Avoid sharing sex toys with partners, and if they are being shared, ensure they are thoroughly cleaned between partners (or individuals).</w:t>
            </w:r>
          </w:p>
        </w:tc>
      </w:tr>
      <w:tr w:rsidR="00EB2CA2" w14:paraId="6E2109C8" w14:textId="77777777" w:rsidTr="00595E23">
        <w:trPr>
          <w:trHeight w:val="300"/>
        </w:trPr>
        <w:tc>
          <w:tcPr>
            <w:tcW w:w="2689" w:type="dxa"/>
          </w:tcPr>
          <w:p w14:paraId="43303257" w14:textId="7ACB227A" w:rsidR="00EB2CA2" w:rsidRPr="00917AC5" w:rsidRDefault="00EB2CA2" w:rsidP="00917AC5">
            <w:pPr>
              <w:pStyle w:val="Tableheaderrowblack"/>
            </w:pPr>
            <w:r w:rsidRPr="00917AC5">
              <w:lastRenderedPageBreak/>
              <w:t>Waste</w:t>
            </w:r>
          </w:p>
        </w:tc>
        <w:tc>
          <w:tcPr>
            <w:tcW w:w="6378" w:type="dxa"/>
          </w:tcPr>
          <w:p w14:paraId="2B0807D4" w14:textId="57953992" w:rsidR="00EB2CA2" w:rsidRPr="006769C8" w:rsidRDefault="00EB2CA2" w:rsidP="006769C8">
            <w:pPr>
              <w:pStyle w:val="Tabletext"/>
            </w:pPr>
            <w:r w:rsidRPr="006769C8">
              <w:t>Place waste in a plastic bag at the point of use (e.g. in the bathroom). Tie off and place it directly into the general waste bin. Wash hands with soap and hot water afterwards.</w:t>
            </w:r>
          </w:p>
        </w:tc>
      </w:tr>
    </w:tbl>
    <w:p w14:paraId="6D710FC4" w14:textId="77777777" w:rsidR="00EB2CA2" w:rsidRPr="00917AC5" w:rsidRDefault="00EB2CA2" w:rsidP="00917AC5">
      <w:pPr>
        <w:pStyle w:val="Heading3"/>
      </w:pPr>
      <w:r w:rsidRPr="00917AC5">
        <w:t>Getting back to normal</w:t>
      </w:r>
    </w:p>
    <w:p w14:paraId="2576CDD6" w14:textId="77777777" w:rsidR="00EB2CA2" w:rsidRDefault="00EB2CA2" w:rsidP="00595E23">
      <w:pPr>
        <w:pStyle w:val="BodyText"/>
      </w:pPr>
      <w:r w:rsidRPr="4A9645F0">
        <w:t>Public health officers</w:t>
      </w:r>
      <w:r>
        <w:t>, or your doctor,</w:t>
      </w:r>
      <w:r w:rsidRPr="4A9645F0">
        <w:t xml:space="preserve"> will let you know when you have cleared the mpox infection and are no longer infectious. It is important to thoroughly clean and disinfect your home and wash linen after you </w:t>
      </w:r>
      <w:r>
        <w:t>are cleared</w:t>
      </w:r>
      <w:r w:rsidRPr="4A9645F0">
        <w:t xml:space="preserve">, to resume normal activities. </w:t>
      </w:r>
    </w:p>
    <w:p w14:paraId="59C3597E" w14:textId="77777777" w:rsidR="00EB2CA2" w:rsidRDefault="00EB2CA2" w:rsidP="00595E23">
      <w:pPr>
        <w:pStyle w:val="BodyText"/>
      </w:pPr>
      <w:r w:rsidRPr="4A9645F0">
        <w:t xml:space="preserve">It is not known how long the mpox virus remains in semen and other genital fluids. </w:t>
      </w:r>
    </w:p>
    <w:p w14:paraId="364D0CF1" w14:textId="77777777" w:rsidR="00EB2CA2" w:rsidRDefault="00EB2CA2" w:rsidP="00595E23">
      <w:pPr>
        <w:pStyle w:val="BodyText"/>
      </w:pPr>
      <w:r>
        <w:t>It is recommended that f</w:t>
      </w:r>
      <w:r w:rsidRPr="00015FD1">
        <w:t xml:space="preserve">or </w:t>
      </w:r>
      <w:r w:rsidRPr="00B06562">
        <w:rPr>
          <w:rStyle w:val="Strong"/>
        </w:rPr>
        <w:t>12 weeks</w:t>
      </w:r>
      <w:r w:rsidRPr="00015FD1">
        <w:t xml:space="preserve"> after </w:t>
      </w:r>
      <w:r>
        <w:t>clearance you:</w:t>
      </w:r>
    </w:p>
    <w:p w14:paraId="44F64F0B" w14:textId="77777777" w:rsidR="00EB2CA2" w:rsidRDefault="00EB2CA2" w:rsidP="00595E23">
      <w:pPr>
        <w:pStyle w:val="ListBullet"/>
      </w:pPr>
      <w:r w:rsidRPr="4A9645F0">
        <w:t xml:space="preserve">use condoms during sexual activity </w:t>
      </w:r>
      <w:r>
        <w:t xml:space="preserve">– </w:t>
      </w:r>
      <w:r w:rsidRPr="4A9645F0">
        <w:t>this is to reduce the risk of spreading the infection to sexual partners</w:t>
      </w:r>
    </w:p>
    <w:p w14:paraId="38433C80" w14:textId="77777777" w:rsidR="00EB2CA2" w:rsidRDefault="00EB2CA2" w:rsidP="00595E23">
      <w:pPr>
        <w:pStyle w:val="ListBullet"/>
      </w:pPr>
      <w:r>
        <w:t>thoroughly clean and disinfect sex toys before and after use, and between partners</w:t>
      </w:r>
    </w:p>
    <w:p w14:paraId="0674DCBC" w14:textId="77777777" w:rsidR="00EB2CA2" w:rsidRPr="00015FD1" w:rsidRDefault="00EB2CA2" w:rsidP="00595E23">
      <w:pPr>
        <w:pStyle w:val="ListBullet"/>
      </w:pPr>
      <w:r w:rsidRPr="00015FD1">
        <w:t>do not donate semen.</w:t>
      </w:r>
    </w:p>
    <w:p w14:paraId="4C44D0CB" w14:textId="77777777" w:rsidR="00EB2CA2" w:rsidRPr="00B06562" w:rsidRDefault="00EB2CA2" w:rsidP="00595E23">
      <w:pPr>
        <w:pStyle w:val="BodyText"/>
      </w:pPr>
      <w:r w:rsidRPr="00B06562">
        <w:t xml:space="preserve">For information about blood donation following mpox infection, see the </w:t>
      </w:r>
      <w:hyperlink r:id="rId40">
        <w:r w:rsidRPr="00917AC5">
          <w:rPr>
            <w:rStyle w:val="Hyperlink"/>
          </w:rPr>
          <w:t>Lifeblood</w:t>
        </w:r>
      </w:hyperlink>
      <w:r w:rsidRPr="00B06562">
        <w:t xml:space="preserve"> website.</w:t>
      </w:r>
    </w:p>
    <w:p w14:paraId="070AD3F1" w14:textId="77777777" w:rsidR="00EB2CA2" w:rsidRPr="00B06562" w:rsidRDefault="00EB2CA2" w:rsidP="00B06562">
      <w:pPr>
        <w:pStyle w:val="BodyText"/>
      </w:pPr>
      <w:r w:rsidRPr="00B06562">
        <w:t>Re-infection in the future is possible. Speak to your doctor about how to reduce your risk.</w:t>
      </w:r>
    </w:p>
    <w:p w14:paraId="45717002" w14:textId="77777777" w:rsidR="00EB2CA2" w:rsidRPr="00B258B2" w:rsidRDefault="00EB2CA2" w:rsidP="00EB2CA2">
      <w:pPr>
        <w:pStyle w:val="Heading2"/>
      </w:pPr>
      <w:r>
        <w:t>Information for contacts</w:t>
      </w:r>
    </w:p>
    <w:p w14:paraId="2BE2E40E" w14:textId="77777777" w:rsidR="00EB2CA2" w:rsidRPr="00917AC5" w:rsidRDefault="00EB2CA2" w:rsidP="00917AC5">
      <w:pPr>
        <w:pStyle w:val="Heading3"/>
      </w:pPr>
      <w:r w:rsidRPr="00917AC5">
        <w:t>Symptoms</w:t>
      </w:r>
    </w:p>
    <w:p w14:paraId="3A53B312" w14:textId="77777777" w:rsidR="00EB2CA2" w:rsidRDefault="00EB2CA2" w:rsidP="00595E23">
      <w:pPr>
        <w:pStyle w:val="BodyText"/>
      </w:pPr>
      <w:r>
        <w:t>Mpox s</w:t>
      </w:r>
      <w:r w:rsidRPr="00A92277">
        <w:t>ymptoms may include flu-like symptoms such as fever, swollen lymph nodes, muscle aches and pains, fatigue, headache</w:t>
      </w:r>
      <w:r>
        <w:t>,</w:t>
      </w:r>
      <w:r w:rsidRPr="00A92277">
        <w:t xml:space="preserve"> back pain, and a rash. </w:t>
      </w:r>
    </w:p>
    <w:p w14:paraId="3809860B" w14:textId="77777777" w:rsidR="00EB2CA2" w:rsidRDefault="00EB2CA2" w:rsidP="00595E23">
      <w:pPr>
        <w:pStyle w:val="BodyText"/>
      </w:pPr>
      <w:r w:rsidRPr="00A92277">
        <w:t xml:space="preserve">The rash usually starts 1 to 4 days after the flu-like symptoms, </w:t>
      </w:r>
      <w:r>
        <w:t>but</w:t>
      </w:r>
      <w:r w:rsidRPr="00A92277">
        <w:t xml:space="preserve"> some people only get the rash. The rash can be very mild (</w:t>
      </w:r>
      <w:r>
        <w:t>only one or two</w:t>
      </w:r>
      <w:r w:rsidRPr="00A92277">
        <w:t xml:space="preserve"> pimples) through to being widespread (lots of bumps and pimples all over the body).</w:t>
      </w:r>
    </w:p>
    <w:p w14:paraId="606818EE" w14:textId="6A6AA0F3" w:rsidR="00EB2CA2" w:rsidRPr="00917AC5" w:rsidRDefault="00EB2CA2" w:rsidP="00595E23">
      <w:pPr>
        <w:pStyle w:val="BodyText"/>
        <w:rPr>
          <w:rStyle w:val="Hyperlink"/>
        </w:rPr>
      </w:pPr>
      <w:r>
        <w:lastRenderedPageBreak/>
        <w:t xml:space="preserve">For symptoms of mpox and what to expect, refer to </w:t>
      </w:r>
      <w:hyperlink r:id="rId41" w:history="1">
        <w:r w:rsidRPr="0007751F">
          <w:rPr>
            <w:rStyle w:val="Hyperlink"/>
          </w:rPr>
          <w:t>M</w:t>
        </w:r>
        <w:r w:rsidRPr="007838E0">
          <w:rPr>
            <w:rStyle w:val="Hyperlink"/>
          </w:rPr>
          <w:t>pox | Australian Centre for Disease Control</w:t>
        </w:r>
      </w:hyperlink>
      <w:r w:rsidR="007502DE">
        <w:t>.</w:t>
      </w:r>
    </w:p>
    <w:p w14:paraId="14914080" w14:textId="77777777" w:rsidR="00EB2CA2" w:rsidRPr="00917AC5" w:rsidRDefault="00EB2CA2" w:rsidP="00917AC5">
      <w:pPr>
        <w:pStyle w:val="Heading3"/>
      </w:pPr>
      <w:r w:rsidRPr="00917AC5">
        <w:t>Why am I a contact?</w:t>
      </w:r>
    </w:p>
    <w:p w14:paraId="23642068" w14:textId="77777777" w:rsidR="00EB2CA2" w:rsidRDefault="00EB2CA2" w:rsidP="00595E23">
      <w:pPr>
        <w:pStyle w:val="BodyText"/>
      </w:pPr>
      <w:r w:rsidRPr="4A9645F0">
        <w:t xml:space="preserve">You are considered a contact because you have had close interaction with someone who has mpox, and you may be at risk of developing mpox. </w:t>
      </w:r>
    </w:p>
    <w:p w14:paraId="533BE835" w14:textId="77777777" w:rsidR="00EB2CA2" w:rsidRPr="00917AC5" w:rsidRDefault="00EB2CA2" w:rsidP="00917AC5">
      <w:pPr>
        <w:pStyle w:val="Heading3"/>
      </w:pPr>
      <w:r w:rsidRPr="00917AC5">
        <w:t>What can I do to prevent mpox?</w:t>
      </w:r>
    </w:p>
    <w:p w14:paraId="3C481C76" w14:textId="77777777" w:rsidR="00EB2CA2" w:rsidRDefault="00EB2CA2" w:rsidP="00595E23">
      <w:pPr>
        <w:pStyle w:val="BodyText"/>
      </w:pPr>
      <w:r>
        <w:t>Vaccination</w:t>
      </w:r>
      <w:r w:rsidRPr="4A9645F0">
        <w:t xml:space="preserve"> is generally recommended </w:t>
      </w:r>
      <w:r>
        <w:t xml:space="preserve">to prevent mpox in </w:t>
      </w:r>
      <w:r w:rsidRPr="4A9645F0">
        <w:t xml:space="preserve">people at higher risk of </w:t>
      </w:r>
      <w:r>
        <w:t>getting the infection</w:t>
      </w:r>
      <w:r w:rsidRPr="4A9645F0">
        <w:t xml:space="preserve"> because of </w:t>
      </w:r>
      <w:r>
        <w:t>possible exposures at work or in social settings</w:t>
      </w:r>
      <w:r w:rsidRPr="4A9645F0">
        <w:t>.</w:t>
      </w:r>
    </w:p>
    <w:p w14:paraId="3578A13A" w14:textId="77777777" w:rsidR="00EB2CA2" w:rsidRDefault="00EB2CA2" w:rsidP="00595E23">
      <w:pPr>
        <w:pStyle w:val="BodyText"/>
      </w:pPr>
      <w:r w:rsidRPr="4A9645F0">
        <w:t>Vaccination is also recommended after exposure to a person with mpox</w:t>
      </w:r>
      <w:r>
        <w:t>. It</w:t>
      </w:r>
      <w:r w:rsidRPr="4A9645F0">
        <w:t xml:space="preserve"> is most effective </w:t>
      </w:r>
      <w:r>
        <w:t xml:space="preserve">at preventing mpox infection </w:t>
      </w:r>
      <w:r w:rsidRPr="4A9645F0">
        <w:t xml:space="preserve">if given within 4 days of contact with the infected person. </w:t>
      </w:r>
      <w:r>
        <w:t>But</w:t>
      </w:r>
      <w:r w:rsidRPr="4A9645F0">
        <w:t xml:space="preserve"> it can still reduce the severity of infection if given within 5 to 14 days of contact.</w:t>
      </w:r>
    </w:p>
    <w:p w14:paraId="6FCDF70C" w14:textId="77777777" w:rsidR="00EB2CA2" w:rsidRDefault="00EB2CA2" w:rsidP="00595E23">
      <w:pPr>
        <w:pStyle w:val="BodyText"/>
      </w:pPr>
      <w:r w:rsidRPr="4A9645F0">
        <w:t>Your public health unit will discuss the risks and benefits of vaccination</w:t>
      </w:r>
      <w:r>
        <w:t>. They</w:t>
      </w:r>
      <w:r w:rsidRPr="4A9645F0">
        <w:t xml:space="preserve"> will advise whether you should be vaccinated.</w:t>
      </w:r>
    </w:p>
    <w:p w14:paraId="4B8B846A" w14:textId="77777777" w:rsidR="00EB2CA2" w:rsidRPr="00917AC5" w:rsidRDefault="00EB2CA2" w:rsidP="00917AC5">
      <w:pPr>
        <w:pStyle w:val="Heading3"/>
      </w:pPr>
      <w:r w:rsidRPr="00917AC5">
        <w:t>What do I need to do?</w:t>
      </w:r>
    </w:p>
    <w:p w14:paraId="4263B67E" w14:textId="77777777" w:rsidR="00EB2CA2" w:rsidRDefault="00EB2CA2" w:rsidP="00595E23">
      <w:pPr>
        <w:pStyle w:val="BodyText"/>
      </w:pPr>
      <w:r w:rsidRPr="4A9645F0">
        <w:t xml:space="preserve">It can take up to 21 days for people to develop mpox symptoms after having close contact with someone with mpox. </w:t>
      </w:r>
      <w:r>
        <w:t>Your p</w:t>
      </w:r>
      <w:r w:rsidRPr="4A9645F0">
        <w:t xml:space="preserve">ublic health </w:t>
      </w:r>
      <w:r>
        <w:t xml:space="preserve">unit or doctor </w:t>
      </w:r>
      <w:r w:rsidRPr="4A9645F0">
        <w:t xml:space="preserve">will advise when your monitoring period is over. </w:t>
      </w:r>
    </w:p>
    <w:p w14:paraId="065CCD67" w14:textId="6EBAA326" w:rsidR="00EB2CA2" w:rsidRDefault="00EB2CA2" w:rsidP="00595E23">
      <w:pPr>
        <w:pStyle w:val="BodyText"/>
      </w:pPr>
      <w:r w:rsidRPr="00B06562">
        <w:rPr>
          <w:rStyle w:val="Strong"/>
        </w:rPr>
        <w:t>For 21 days</w:t>
      </w:r>
      <w:r w:rsidRPr="4A9645F0">
        <w:t xml:space="preserve"> from your last contact with a person who has mpox or until advised by </w:t>
      </w:r>
      <w:r>
        <w:t xml:space="preserve">your doctor or the </w:t>
      </w:r>
      <w:r w:rsidRPr="4A9645F0">
        <w:t>public health</w:t>
      </w:r>
      <w:r>
        <w:t xml:space="preserve"> unit</w:t>
      </w:r>
      <w:r w:rsidRPr="4A9645F0">
        <w:t>:</w:t>
      </w:r>
    </w:p>
    <w:p w14:paraId="3140A2CA" w14:textId="77777777" w:rsidR="00EB2CA2" w:rsidRDefault="00EB2CA2" w:rsidP="00913BE1">
      <w:pPr>
        <w:pStyle w:val="ListBullet"/>
      </w:pPr>
      <w:r w:rsidRPr="4A9645F0">
        <w:t>Monitor for symptoms of mpox.</w:t>
      </w:r>
    </w:p>
    <w:p w14:paraId="17B1E5F8" w14:textId="77777777" w:rsidR="00EB2CA2" w:rsidRDefault="00EB2CA2" w:rsidP="00913BE1">
      <w:pPr>
        <w:pStyle w:val="ListBullet"/>
      </w:pPr>
      <w:r w:rsidRPr="4A9645F0">
        <w:t>If you develop symptoms of mpox, including a temperature of 38°C or above, stay at home</w:t>
      </w:r>
      <w:r>
        <w:t xml:space="preserve"> and</w:t>
      </w:r>
      <w:r w:rsidRPr="4A9645F0">
        <w:t xml:space="preserve"> avoid others</w:t>
      </w:r>
      <w:r>
        <w:t>. Call</w:t>
      </w:r>
      <w:r w:rsidRPr="4A9645F0">
        <w:t xml:space="preserve"> your public health unit for advice about </w:t>
      </w:r>
      <w:r>
        <w:t>getting tested</w:t>
      </w:r>
      <w:r w:rsidRPr="4A9645F0">
        <w:t xml:space="preserve"> for mpox.</w:t>
      </w:r>
    </w:p>
    <w:p w14:paraId="1ED0129E" w14:textId="77777777" w:rsidR="00EB2CA2" w:rsidRDefault="00EB2CA2" w:rsidP="00913BE1">
      <w:pPr>
        <w:pStyle w:val="ListBullet"/>
      </w:pPr>
      <w:r w:rsidRPr="4A9645F0">
        <w:t xml:space="preserve">If you need urgent medical attention, </w:t>
      </w:r>
      <w:r>
        <w:t>phone ahead and</w:t>
      </w:r>
      <w:r w:rsidRPr="4A9645F0">
        <w:t xml:space="preserve"> </w:t>
      </w:r>
      <w:r>
        <w:t>let</w:t>
      </w:r>
      <w:r w:rsidRPr="4A9645F0">
        <w:t xml:space="preserve"> the emergency department or general practice </w:t>
      </w:r>
      <w:r>
        <w:t xml:space="preserve">know </w:t>
      </w:r>
      <w:r w:rsidRPr="4A9645F0">
        <w:t>you are coming. Wear a surgical mask if you have any respiratory symptoms (</w:t>
      </w:r>
      <w:r>
        <w:t xml:space="preserve">like </w:t>
      </w:r>
      <w:r w:rsidRPr="4A9645F0">
        <w:t>cough</w:t>
      </w:r>
      <w:r>
        <w:t xml:space="preserve"> or</w:t>
      </w:r>
      <w:r w:rsidRPr="4A9645F0">
        <w:t xml:space="preserve"> sore throat) or lesions in the mouth</w:t>
      </w:r>
      <w:r>
        <w:t>. Co</w:t>
      </w:r>
      <w:r w:rsidRPr="4A9645F0">
        <w:t>ver any rash and lesions and take this fact</w:t>
      </w:r>
      <w:r>
        <w:t xml:space="preserve"> </w:t>
      </w:r>
      <w:r w:rsidRPr="4A9645F0">
        <w:t>sheet with you.</w:t>
      </w:r>
    </w:p>
    <w:p w14:paraId="2F6701BB" w14:textId="77777777" w:rsidR="00EB2CA2" w:rsidRPr="00B06562" w:rsidRDefault="00EB2CA2" w:rsidP="00B06562">
      <w:pPr>
        <w:pStyle w:val="BodyText"/>
        <w:rPr>
          <w:rStyle w:val="Strong"/>
        </w:rPr>
      </w:pPr>
      <w:r w:rsidRPr="00B06562">
        <w:rPr>
          <w:rStyle w:val="Strong"/>
        </w:rPr>
        <w:t>In a medical emergency always seek immediate health care or phone 000.</w:t>
      </w:r>
    </w:p>
    <w:p w14:paraId="1DBA1D9B" w14:textId="77777777" w:rsidR="00EB2CA2" w:rsidRPr="004B632C" w:rsidRDefault="00EB2CA2" w:rsidP="00913BE1">
      <w:pPr>
        <w:pStyle w:val="BodyText"/>
      </w:pPr>
      <w:r w:rsidRPr="004B632C">
        <w:lastRenderedPageBreak/>
        <w:t>Sometimes people</w:t>
      </w:r>
      <w:r>
        <w:t xml:space="preserve"> who are contacts of a person with mpox</w:t>
      </w:r>
      <w:r w:rsidRPr="004B632C">
        <w:t xml:space="preserve"> develop very mild symptoms or have no symptoms and </w:t>
      </w:r>
      <w:r>
        <w:t>don’t</w:t>
      </w:r>
      <w:r w:rsidRPr="004B632C">
        <w:t xml:space="preserve"> realise they have mpox </w:t>
      </w:r>
      <w:r>
        <w:t xml:space="preserve">infection </w:t>
      </w:r>
      <w:r w:rsidRPr="004B632C">
        <w:t>until later</w:t>
      </w:r>
      <w:r>
        <w:t xml:space="preserve"> in their illness</w:t>
      </w:r>
      <w:r w:rsidRPr="004B632C">
        <w:t xml:space="preserve">. </w:t>
      </w:r>
    </w:p>
    <w:p w14:paraId="080E7F68" w14:textId="7CDE1438" w:rsidR="00EB2CA2" w:rsidRDefault="00EB2CA2" w:rsidP="00913BE1">
      <w:pPr>
        <w:pStyle w:val="BodyText"/>
      </w:pPr>
      <w:r w:rsidRPr="00B06562">
        <w:rPr>
          <w:rStyle w:val="Strong"/>
        </w:rPr>
        <w:t>To reduce the risk of giving mpox to other people, for</w:t>
      </w:r>
      <w:r w:rsidRPr="4A9645F0">
        <w:t xml:space="preserve"> </w:t>
      </w:r>
      <w:r w:rsidRPr="00B06562">
        <w:rPr>
          <w:rStyle w:val="Strong"/>
        </w:rPr>
        <w:t>21 days</w:t>
      </w:r>
      <w:r w:rsidRPr="4A9645F0">
        <w:t xml:space="preserve"> from your last contact with a person who has mpox, or until advised by </w:t>
      </w:r>
      <w:r>
        <w:t xml:space="preserve">your doctor or </w:t>
      </w:r>
      <w:r w:rsidRPr="4A9645F0">
        <w:t>public health</w:t>
      </w:r>
      <w:r>
        <w:t xml:space="preserve"> unit</w:t>
      </w:r>
      <w:r w:rsidRPr="4A9645F0">
        <w:t>:</w:t>
      </w:r>
    </w:p>
    <w:p w14:paraId="2F3A5FD2" w14:textId="77777777" w:rsidR="00EB2CA2" w:rsidRDefault="00EB2CA2" w:rsidP="00913BE1">
      <w:pPr>
        <w:pStyle w:val="ListBullet"/>
      </w:pPr>
      <w:r w:rsidRPr="4A9645F0">
        <w:t>Wash your hands frequently using soap and warm water or an alcohol-based hand rub.</w:t>
      </w:r>
    </w:p>
    <w:p w14:paraId="6D7AC71D" w14:textId="77777777" w:rsidR="00EB2CA2" w:rsidRDefault="00EB2CA2" w:rsidP="00913BE1">
      <w:pPr>
        <w:pStyle w:val="ListBullet"/>
      </w:pPr>
      <w:r w:rsidRPr="4A9645F0">
        <w:t>Cover your mouth and nose when sneezing and coughing with paper tissues. Put used tissues into a rubbish bag and wash hands.</w:t>
      </w:r>
    </w:p>
    <w:p w14:paraId="1A359CD9" w14:textId="77777777" w:rsidR="00EB2CA2" w:rsidRDefault="00EB2CA2" w:rsidP="00913BE1">
      <w:pPr>
        <w:pStyle w:val="ListBullet"/>
      </w:pPr>
      <w:r w:rsidRPr="4A9645F0">
        <w:t xml:space="preserve">Your public health unit will </w:t>
      </w:r>
      <w:r>
        <w:t>advise</w:t>
      </w:r>
      <w:r w:rsidRPr="4A9645F0">
        <w:t xml:space="preserve"> about whether you can go to work</w:t>
      </w:r>
      <w:r>
        <w:t>, or in the case of children, attend school or childcare. This will</w:t>
      </w:r>
      <w:r w:rsidRPr="4A9645F0">
        <w:t xml:space="preserve"> on where you work, your risk, and </w:t>
      </w:r>
      <w:r>
        <w:t>what</w:t>
      </w:r>
      <w:r w:rsidRPr="4A9645F0">
        <w:t xml:space="preserve"> your job</w:t>
      </w:r>
      <w:r>
        <w:t xml:space="preserve"> is</w:t>
      </w:r>
      <w:r w:rsidRPr="4A9645F0">
        <w:t xml:space="preserve">. Do not </w:t>
      </w:r>
      <w:r>
        <w:t>go to</w:t>
      </w:r>
      <w:r w:rsidRPr="4A9645F0">
        <w:t xml:space="preserve"> work if you develop any symptoms until you have spoken with your </w:t>
      </w:r>
      <w:r>
        <w:t xml:space="preserve">doctor or </w:t>
      </w:r>
      <w:r w:rsidRPr="4A9645F0">
        <w:t>public health unit.</w:t>
      </w:r>
    </w:p>
    <w:p w14:paraId="15CEE74F" w14:textId="77777777" w:rsidR="00EB2CA2" w:rsidRDefault="00EB2CA2" w:rsidP="00913BE1">
      <w:pPr>
        <w:pStyle w:val="ListBullet"/>
      </w:pPr>
      <w:r w:rsidRPr="4A9645F0">
        <w:t>Do not have sex (including genital touching, vaginal, anal, and oral sex</w:t>
      </w:r>
      <w:r>
        <w:t>, and the sharing of sex toys</w:t>
      </w:r>
      <w:r w:rsidRPr="4A9645F0">
        <w:t>).</w:t>
      </w:r>
    </w:p>
    <w:p w14:paraId="3D8C7733" w14:textId="77777777" w:rsidR="00EB2CA2" w:rsidRDefault="00EB2CA2" w:rsidP="00913BE1">
      <w:pPr>
        <w:pStyle w:val="ListBullet"/>
      </w:pPr>
      <w:r w:rsidRPr="4A9645F0">
        <w:t>Avoid childcare and aged care facilities (unless you work there</w:t>
      </w:r>
      <w:r>
        <w:t xml:space="preserve"> and have been advised by your public health unit you can return to work</w:t>
      </w:r>
      <w:r w:rsidRPr="00E80BE3">
        <w:t>). Avoid</w:t>
      </w:r>
      <w:r w:rsidRPr="4A9645F0">
        <w:t xml:space="preserve"> healthcare facilities unless seeking medical attention.</w:t>
      </w:r>
    </w:p>
    <w:p w14:paraId="50C5AD87" w14:textId="77777777" w:rsidR="00EB2CA2" w:rsidRDefault="00EB2CA2" w:rsidP="00913BE1">
      <w:pPr>
        <w:pStyle w:val="ListBullet"/>
      </w:pPr>
      <w:r w:rsidRPr="4A9645F0">
        <w:t>Outside of work, avoid contact with young children, older people, people</w:t>
      </w:r>
      <w:r>
        <w:t xml:space="preserve"> with poor immunity</w:t>
      </w:r>
      <w:r w:rsidRPr="4A9645F0">
        <w:t xml:space="preserve"> and pregnant people.</w:t>
      </w:r>
    </w:p>
    <w:p w14:paraId="4A9EF141" w14:textId="77777777" w:rsidR="00EB2CA2" w:rsidRPr="00B06562" w:rsidRDefault="00EB2CA2" w:rsidP="00B06562">
      <w:pPr>
        <w:pStyle w:val="ListBullet"/>
      </w:pPr>
      <w:r w:rsidRPr="00B06562">
        <w:t>Do not donate breast milk, organs, tissues, cells or semen. Longer periods may apply – check with the relevant collection authority.</w:t>
      </w:r>
    </w:p>
    <w:p w14:paraId="0A3BCA67" w14:textId="77777777" w:rsidR="00EB2CA2" w:rsidRPr="00B06562" w:rsidRDefault="00EB2CA2" w:rsidP="00B06562">
      <w:pPr>
        <w:pStyle w:val="BodyText"/>
      </w:pPr>
      <w:r w:rsidRPr="00B06562">
        <w:rPr>
          <w:rStyle w:val="Strong"/>
        </w:rPr>
        <w:t>For</w:t>
      </w:r>
      <w:r w:rsidRPr="00B06562">
        <w:t xml:space="preserve"> </w:t>
      </w:r>
      <w:r w:rsidRPr="00B06562">
        <w:rPr>
          <w:rStyle w:val="Strong"/>
        </w:rPr>
        <w:t>28 days</w:t>
      </w:r>
      <w:r w:rsidRPr="00B06562">
        <w:t xml:space="preserve"> from your last contact with a person who has mpox, do not donate blood. For more information, see the </w:t>
      </w:r>
      <w:hyperlink r:id="rId42">
        <w:r w:rsidRPr="00E80BE3">
          <w:rPr>
            <w:rStyle w:val="Hyperlink"/>
          </w:rPr>
          <w:t>Lifeblood</w:t>
        </w:r>
      </w:hyperlink>
      <w:r w:rsidRPr="00B06562">
        <w:t xml:space="preserve"> website.</w:t>
      </w:r>
    </w:p>
    <w:p w14:paraId="32D08A24" w14:textId="77777777" w:rsidR="00EB2CA2" w:rsidRPr="00B06562" w:rsidRDefault="00EB2CA2" w:rsidP="00B06562">
      <w:pPr>
        <w:pStyle w:val="BodyText"/>
      </w:pPr>
      <w:r w:rsidRPr="00B06562">
        <w:t xml:space="preserve">Your public health unit may provide additional advice on avoiding physical contact with others, working from home or wearing a surgical mask. </w:t>
      </w:r>
    </w:p>
    <w:p w14:paraId="05504DD0" w14:textId="77777777" w:rsidR="00EB2CA2" w:rsidRPr="00917AC5" w:rsidRDefault="00EB2CA2" w:rsidP="00917AC5">
      <w:pPr>
        <w:pStyle w:val="Heading3"/>
      </w:pPr>
      <w:r w:rsidRPr="00917AC5">
        <w:t>How will I be contacted by the public health unit?</w:t>
      </w:r>
    </w:p>
    <w:p w14:paraId="74C5EA05" w14:textId="0930360B" w:rsidR="00EB2CA2" w:rsidRDefault="00EB2CA2" w:rsidP="00913BE1">
      <w:pPr>
        <w:pStyle w:val="BodyText"/>
      </w:pPr>
      <w:r w:rsidRPr="4A9645F0">
        <w:t>You may be contacted regularly by public health staff to check on your temperature and any new symptoms. This may be by phone, email, or text message.</w:t>
      </w:r>
    </w:p>
    <w:p w14:paraId="67AFAA44" w14:textId="77777777" w:rsidR="00EB2CA2" w:rsidRPr="00917AC5" w:rsidRDefault="00EB2CA2" w:rsidP="00917AC5">
      <w:pPr>
        <w:pStyle w:val="Heading3"/>
      </w:pPr>
      <w:r w:rsidRPr="00917AC5">
        <w:t>Who do I contact if I have symptoms or questions?</w:t>
      </w:r>
    </w:p>
    <w:p w14:paraId="2D134398" w14:textId="77777777" w:rsidR="00EB4BB5" w:rsidRDefault="00EB2CA2" w:rsidP="00913BE1">
      <w:pPr>
        <w:pStyle w:val="BodyText"/>
        <w:sectPr w:rsidR="00EB4BB5" w:rsidSect="00FC78C0">
          <w:headerReference w:type="even" r:id="rId43"/>
          <w:footerReference w:type="even" r:id="rId44"/>
          <w:footerReference w:type="default" r:id="rId45"/>
          <w:headerReference w:type="first" r:id="rId46"/>
          <w:type w:val="continuous"/>
          <w:pgSz w:w="11900" w:h="16840"/>
          <w:pgMar w:top="1440" w:right="1440" w:bottom="1440" w:left="1440" w:header="709" w:footer="527" w:gutter="0"/>
          <w:pgNumType w:start="0"/>
          <w:cols w:space="708"/>
          <w:titlePg/>
          <w:docGrid w:linePitch="360"/>
        </w:sectPr>
      </w:pPr>
      <w:r w:rsidRPr="4A9645F0">
        <w:t>You should contact your local public health unit.</w:t>
      </w:r>
    </w:p>
    <w:p w14:paraId="5E129EEE" w14:textId="77777777" w:rsidR="00A76C2B" w:rsidRDefault="00A76C2B" w:rsidP="00A76C2B">
      <w:pPr>
        <w:pStyle w:val="Heading1"/>
      </w:pPr>
      <w:bookmarkStart w:id="113" w:name="_Toc208503886"/>
      <w:r>
        <w:lastRenderedPageBreak/>
        <w:t>Appendix 2: Sample case investigation form</w:t>
      </w:r>
      <w:bookmarkEnd w:id="113"/>
    </w:p>
    <w:tbl>
      <w:tblPr>
        <w:tblStyle w:val="CDCTable4"/>
        <w:tblW w:w="5000" w:type="pct"/>
        <w:tblLook w:val="00A0" w:firstRow="1" w:lastRow="0" w:firstColumn="1" w:lastColumn="0" w:noHBand="0" w:noVBand="0"/>
      </w:tblPr>
      <w:tblGrid>
        <w:gridCol w:w="2207"/>
        <w:gridCol w:w="1605"/>
        <w:gridCol w:w="6"/>
        <w:gridCol w:w="521"/>
        <w:gridCol w:w="2134"/>
        <w:gridCol w:w="467"/>
        <w:gridCol w:w="65"/>
        <w:gridCol w:w="1477"/>
        <w:gridCol w:w="122"/>
        <w:gridCol w:w="2152"/>
      </w:tblGrid>
      <w:tr w:rsidR="00FC78C0" w:rsidRPr="00FC78C0" w14:paraId="359AE62C" w14:textId="77777777" w:rsidTr="002D4F0D">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5000" w:type="pct"/>
            <w:gridSpan w:val="10"/>
          </w:tcPr>
          <w:p w14:paraId="589DB7A4" w14:textId="77777777" w:rsidR="00FC78C0" w:rsidRPr="00FC78C0" w:rsidRDefault="00FC78C0" w:rsidP="00EB4BB5">
            <w:pPr>
              <w:pStyle w:val="Tableheaderrowblack"/>
            </w:pPr>
            <w:r w:rsidRPr="00FC78C0">
              <w:t>MPOX CASE INVESTIGATION FORM</w:t>
            </w:r>
          </w:p>
        </w:tc>
      </w:tr>
      <w:tr w:rsidR="00FC78C0" w:rsidRPr="00EB4BB5" w14:paraId="6831DCDE" w14:textId="77777777" w:rsidTr="002D4F0D">
        <w:trPr>
          <w:trHeight w:val="255"/>
        </w:trPr>
        <w:tc>
          <w:tcPr>
            <w:cnfStyle w:val="001000000000" w:firstRow="0" w:lastRow="0" w:firstColumn="1" w:lastColumn="0" w:oddVBand="0" w:evenVBand="0" w:oddHBand="0" w:evenHBand="0" w:firstRowFirstColumn="0" w:firstRowLastColumn="0" w:lastRowFirstColumn="0" w:lastRowLastColumn="0"/>
            <w:tcW w:w="1027" w:type="pct"/>
          </w:tcPr>
          <w:p w14:paraId="127CE66D" w14:textId="77777777" w:rsidR="00FC78C0" w:rsidRPr="00EB4BB5" w:rsidRDefault="00FC78C0" w:rsidP="00D02485">
            <w:pPr>
              <w:pStyle w:val="Tableheaderrowblack"/>
            </w:pPr>
            <w:r w:rsidRPr="00EB4BB5">
              <w:t>PHU</w:t>
            </w:r>
          </w:p>
        </w:tc>
        <w:tc>
          <w:tcPr>
            <w:tcW w:w="747" w:type="pct"/>
          </w:tcPr>
          <w:p w14:paraId="5CA09F2A"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c>
          <w:tcPr>
            <w:tcW w:w="1488" w:type="pct"/>
            <w:gridSpan w:val="5"/>
          </w:tcPr>
          <w:p w14:paraId="1906F79C"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Completed by</w:t>
            </w:r>
          </w:p>
        </w:tc>
        <w:tc>
          <w:tcPr>
            <w:tcW w:w="1738" w:type="pct"/>
            <w:gridSpan w:val="3"/>
          </w:tcPr>
          <w:p w14:paraId="3B55DDFC"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Date completed</w:t>
            </w:r>
          </w:p>
        </w:tc>
      </w:tr>
      <w:tr w:rsidR="00FC78C0" w:rsidRPr="00EB4BB5" w14:paraId="1A07FF7E" w14:textId="77777777" w:rsidTr="00917AC5">
        <w:trPr>
          <w:trHeight w:val="366"/>
        </w:trPr>
        <w:tc>
          <w:tcPr>
            <w:cnfStyle w:val="001000000000" w:firstRow="0" w:lastRow="0" w:firstColumn="1" w:lastColumn="0" w:oddVBand="0" w:evenVBand="0" w:oddHBand="0" w:evenHBand="0" w:firstRowFirstColumn="0" w:firstRowLastColumn="0" w:lastRowFirstColumn="0" w:lastRowLastColumn="0"/>
            <w:tcW w:w="5000" w:type="pct"/>
            <w:gridSpan w:val="10"/>
            <w:shd w:val="clear" w:color="auto" w:fill="BEFEE9" w:themeFill="background2"/>
          </w:tcPr>
          <w:p w14:paraId="5BF3260F" w14:textId="77777777" w:rsidR="00FC78C0" w:rsidRPr="00EB4BB5" w:rsidRDefault="00FC78C0" w:rsidP="00D02485">
            <w:pPr>
              <w:pStyle w:val="Tableheaderrowblack"/>
            </w:pPr>
            <w:r w:rsidRPr="00EB4BB5">
              <w:t>NOTIFICATION</w:t>
            </w:r>
          </w:p>
        </w:tc>
      </w:tr>
      <w:tr w:rsidR="00FC78C0" w:rsidRPr="00EB4BB5" w14:paraId="1BD9D74C" w14:textId="77777777" w:rsidTr="002D4F0D">
        <w:trPr>
          <w:trHeight w:val="320"/>
        </w:trPr>
        <w:tc>
          <w:tcPr>
            <w:cnfStyle w:val="001000000000" w:firstRow="0" w:lastRow="0" w:firstColumn="1" w:lastColumn="0" w:oddVBand="0" w:evenVBand="0" w:oddHBand="0" w:evenHBand="0" w:firstRowFirstColumn="0" w:firstRowLastColumn="0" w:lastRowFirstColumn="0" w:lastRowLastColumn="0"/>
            <w:tcW w:w="1027" w:type="pct"/>
          </w:tcPr>
          <w:p w14:paraId="3FE149C8" w14:textId="77777777" w:rsidR="00FC78C0" w:rsidRPr="00EB4BB5" w:rsidRDefault="00FC78C0" w:rsidP="00D02485">
            <w:pPr>
              <w:pStyle w:val="Tableheaderrowblack"/>
            </w:pPr>
            <w:r w:rsidRPr="00EB4BB5">
              <w:t>Date of notification</w:t>
            </w:r>
          </w:p>
        </w:tc>
        <w:tc>
          <w:tcPr>
            <w:tcW w:w="747" w:type="pct"/>
          </w:tcPr>
          <w:p w14:paraId="40D862A9" w14:textId="4C77C1FF" w:rsidR="00FC78C0"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t>_</w:t>
            </w:r>
            <w:r w:rsidR="00FC78C0" w:rsidRPr="00EB4BB5">
              <w:t>___/___/_____</w:t>
            </w:r>
          </w:p>
        </w:tc>
        <w:tc>
          <w:tcPr>
            <w:tcW w:w="1488" w:type="pct"/>
            <w:gridSpan w:val="5"/>
          </w:tcPr>
          <w:p w14:paraId="484DC18A"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Date of initiation of response</w:t>
            </w:r>
          </w:p>
        </w:tc>
        <w:tc>
          <w:tcPr>
            <w:tcW w:w="1738" w:type="pct"/>
            <w:gridSpan w:val="3"/>
          </w:tcPr>
          <w:p w14:paraId="6A06A44C" w14:textId="4B992045" w:rsidR="00FC78C0"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t>_</w:t>
            </w:r>
            <w:r w:rsidR="00FC78C0" w:rsidRPr="00EB4BB5">
              <w:t>___/___/_____</w:t>
            </w:r>
          </w:p>
        </w:tc>
      </w:tr>
      <w:tr w:rsidR="00FC78C0" w:rsidRPr="00EB4BB5" w14:paraId="53577886" w14:textId="77777777" w:rsidTr="00A06ED1">
        <w:trPr>
          <w:trHeight w:val="320"/>
        </w:trPr>
        <w:tc>
          <w:tcPr>
            <w:cnfStyle w:val="001000000000" w:firstRow="0" w:lastRow="0" w:firstColumn="1" w:lastColumn="0" w:oddVBand="0" w:evenVBand="0" w:oddHBand="0" w:evenHBand="0" w:firstRowFirstColumn="0" w:firstRowLastColumn="0" w:lastRowFirstColumn="0" w:lastRowLastColumn="0"/>
            <w:tcW w:w="1027" w:type="pct"/>
          </w:tcPr>
          <w:p w14:paraId="0F25305D" w14:textId="77777777" w:rsidR="00FC78C0" w:rsidRPr="00EB4BB5" w:rsidRDefault="00FC78C0" w:rsidP="00D02485">
            <w:pPr>
              <w:pStyle w:val="Tableheaderrowblack"/>
            </w:pPr>
            <w:r w:rsidRPr="00EB4BB5">
              <w:t>First Notifier</w:t>
            </w:r>
          </w:p>
        </w:tc>
        <w:tc>
          <w:tcPr>
            <w:tcW w:w="750" w:type="pct"/>
            <w:gridSpan w:val="2"/>
          </w:tcPr>
          <w:p w14:paraId="20BD2AA4"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c>
          <w:tcPr>
            <w:tcW w:w="1485" w:type="pct"/>
            <w:gridSpan w:val="4"/>
          </w:tcPr>
          <w:p w14:paraId="14199AAA" w14:textId="186165BF"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Telephone</w:t>
            </w:r>
          </w:p>
        </w:tc>
        <w:tc>
          <w:tcPr>
            <w:tcW w:w="687" w:type="pct"/>
          </w:tcPr>
          <w:p w14:paraId="354F315E"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Fax</w:t>
            </w:r>
          </w:p>
        </w:tc>
        <w:tc>
          <w:tcPr>
            <w:tcW w:w="1051" w:type="pct"/>
            <w:gridSpan w:val="2"/>
          </w:tcPr>
          <w:p w14:paraId="3A25B32C"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r>
      <w:tr w:rsidR="00D02485" w:rsidRPr="00EB4BB5" w14:paraId="552CF8B1" w14:textId="77777777" w:rsidTr="00D02485">
        <w:trPr>
          <w:trHeight w:val="320"/>
        </w:trPr>
        <w:tc>
          <w:tcPr>
            <w:cnfStyle w:val="001000000000" w:firstRow="0" w:lastRow="0" w:firstColumn="1" w:lastColumn="0" w:oddVBand="0" w:evenVBand="0" w:oddHBand="0" w:evenHBand="0" w:firstRowFirstColumn="0" w:firstRowLastColumn="0" w:lastRowFirstColumn="0" w:lastRowLastColumn="0"/>
            <w:tcW w:w="1027" w:type="pct"/>
          </w:tcPr>
          <w:p w14:paraId="451383B7" w14:textId="387B9D94" w:rsidR="00D02485" w:rsidRPr="00EB4BB5" w:rsidRDefault="00D02485" w:rsidP="00D02485">
            <w:pPr>
              <w:pStyle w:val="Tableheaderrowblack"/>
            </w:pPr>
            <w:r w:rsidRPr="00EB4BB5">
              <w:t>Notifier type</w:t>
            </w:r>
          </w:p>
        </w:tc>
        <w:tc>
          <w:tcPr>
            <w:tcW w:w="993" w:type="pct"/>
            <w:gridSpan w:val="3"/>
          </w:tcPr>
          <w:p w14:paraId="7FB2CA85" w14:textId="2FD69236" w:rsidR="00D02485"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rsidRPr="00EB4BB5">
              <w:fldChar w:fldCharType="begin">
                <w:ffData>
                  <w:name w:val="Check1"/>
                  <w:enabled/>
                  <w:calcOnExit w:val="0"/>
                  <w:checkBox>
                    <w:sizeAuto/>
                    <w:default w:val="0"/>
                  </w:checkBox>
                </w:ffData>
              </w:fldChar>
            </w:r>
            <w:r w:rsidRPr="00EB4BB5">
              <w:instrText xml:space="preserve"> FORMCHECKBOX </w:instrText>
            </w:r>
            <w:r w:rsidRPr="00EB4BB5">
              <w:fldChar w:fldCharType="separate"/>
            </w:r>
            <w:r w:rsidRPr="00EB4BB5">
              <w:fldChar w:fldCharType="end"/>
            </w:r>
            <w:r w:rsidRPr="00EB4BB5">
              <w:t xml:space="preserve"> Laboratory</w:t>
            </w:r>
          </w:p>
        </w:tc>
        <w:tc>
          <w:tcPr>
            <w:tcW w:w="993" w:type="pct"/>
          </w:tcPr>
          <w:p w14:paraId="09103C84" w14:textId="46F493CA" w:rsidR="00D02485"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rsidRPr="00EB4BB5">
              <w:fldChar w:fldCharType="begin">
                <w:ffData>
                  <w:name w:val="Check1"/>
                  <w:enabled/>
                  <w:calcOnExit w:val="0"/>
                  <w:checkBox>
                    <w:sizeAuto/>
                    <w:default w:val="0"/>
                  </w:checkBox>
                </w:ffData>
              </w:fldChar>
            </w:r>
            <w:r w:rsidRPr="00EB4BB5">
              <w:instrText xml:space="preserve"> FORMCHECKBOX </w:instrText>
            </w:r>
            <w:r w:rsidRPr="00EB4BB5">
              <w:fldChar w:fldCharType="separate"/>
            </w:r>
            <w:r w:rsidRPr="00EB4BB5">
              <w:fldChar w:fldCharType="end"/>
            </w:r>
            <w:r w:rsidRPr="00EB4BB5">
              <w:t xml:space="preserve"> Doctor</w:t>
            </w:r>
          </w:p>
        </w:tc>
        <w:tc>
          <w:tcPr>
            <w:tcW w:w="993" w:type="pct"/>
            <w:gridSpan w:val="4"/>
          </w:tcPr>
          <w:p w14:paraId="4EEE5285" w14:textId="0C3BA87F" w:rsidR="00D02485"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rsidRPr="00EB4BB5">
              <w:fldChar w:fldCharType="begin">
                <w:ffData>
                  <w:name w:val="Check1"/>
                  <w:enabled/>
                  <w:calcOnExit w:val="0"/>
                  <w:checkBox>
                    <w:sizeAuto/>
                    <w:default w:val="0"/>
                  </w:checkBox>
                </w:ffData>
              </w:fldChar>
            </w:r>
            <w:r w:rsidRPr="00EB4BB5">
              <w:instrText xml:space="preserve"> FORMCHECKBOX </w:instrText>
            </w:r>
            <w:r w:rsidRPr="00EB4BB5">
              <w:fldChar w:fldCharType="separate"/>
            </w:r>
            <w:r w:rsidRPr="00EB4BB5">
              <w:fldChar w:fldCharType="end"/>
            </w:r>
            <w:r w:rsidRPr="00EB4BB5">
              <w:t xml:space="preserve"> Hospital (not laboratory)</w:t>
            </w:r>
          </w:p>
        </w:tc>
        <w:tc>
          <w:tcPr>
            <w:tcW w:w="994" w:type="pct"/>
          </w:tcPr>
          <w:p w14:paraId="18B0E424" w14:textId="30E8D56B" w:rsidR="00D02485" w:rsidRPr="00EB4BB5" w:rsidRDefault="00D02485" w:rsidP="00EB4BB5">
            <w:pPr>
              <w:pStyle w:val="Tabletext"/>
              <w:cnfStyle w:val="000000000000" w:firstRow="0" w:lastRow="0" w:firstColumn="0" w:lastColumn="0" w:oddVBand="0" w:evenVBand="0" w:oddHBand="0" w:evenHBand="0" w:firstRowFirstColumn="0" w:firstRowLastColumn="0" w:lastRowFirstColumn="0" w:lastRowLastColumn="0"/>
            </w:pPr>
            <w:r w:rsidRPr="00EB4BB5">
              <w:fldChar w:fldCharType="begin">
                <w:ffData>
                  <w:name w:val="Check1"/>
                  <w:enabled/>
                  <w:calcOnExit w:val="0"/>
                  <w:checkBox>
                    <w:sizeAuto/>
                    <w:default w:val="0"/>
                  </w:checkBox>
                </w:ffData>
              </w:fldChar>
            </w:r>
            <w:r w:rsidRPr="00EB4BB5">
              <w:instrText xml:space="preserve"> FORMCHECKBOX </w:instrText>
            </w:r>
            <w:r w:rsidRPr="00EB4BB5">
              <w:fldChar w:fldCharType="separate"/>
            </w:r>
            <w:r w:rsidRPr="00EB4BB5">
              <w:fldChar w:fldCharType="end"/>
            </w:r>
            <w:r w:rsidRPr="00EB4BB5">
              <w:t xml:space="preserve"> Other – specify_____________</w:t>
            </w:r>
            <w:r w:rsidR="00F103D2">
              <w:t>___</w:t>
            </w:r>
          </w:p>
        </w:tc>
      </w:tr>
      <w:tr w:rsidR="00FC78C0" w:rsidRPr="00EB4BB5" w14:paraId="52E731EE" w14:textId="77777777" w:rsidTr="00A06ED1">
        <w:trPr>
          <w:trHeight w:val="320"/>
        </w:trPr>
        <w:tc>
          <w:tcPr>
            <w:cnfStyle w:val="001000000000" w:firstRow="0" w:lastRow="0" w:firstColumn="1" w:lastColumn="0" w:oddVBand="0" w:evenVBand="0" w:oddHBand="0" w:evenHBand="0" w:firstRowFirstColumn="0" w:firstRowLastColumn="0" w:lastRowFirstColumn="0" w:lastRowLastColumn="0"/>
            <w:tcW w:w="1027" w:type="pct"/>
            <w:vMerge w:val="restart"/>
          </w:tcPr>
          <w:p w14:paraId="0DB77A7D" w14:textId="77777777" w:rsidR="00FC78C0" w:rsidRPr="00EB4BB5" w:rsidRDefault="00FC78C0" w:rsidP="00D02485">
            <w:pPr>
              <w:pStyle w:val="Tableheaderrowblack"/>
            </w:pPr>
            <w:r w:rsidRPr="00EB4BB5">
              <w:t>Treating doctor</w:t>
            </w:r>
          </w:p>
        </w:tc>
        <w:tc>
          <w:tcPr>
            <w:tcW w:w="750" w:type="pct"/>
            <w:gridSpan w:val="2"/>
          </w:tcPr>
          <w:p w14:paraId="52E2B8B8"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Name</w:t>
            </w:r>
          </w:p>
        </w:tc>
        <w:tc>
          <w:tcPr>
            <w:tcW w:w="1454" w:type="pct"/>
            <w:gridSpan w:val="3"/>
          </w:tcPr>
          <w:p w14:paraId="5ED5443B" w14:textId="1CAF48A2"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c>
          <w:tcPr>
            <w:tcW w:w="1769" w:type="pct"/>
            <w:gridSpan w:val="4"/>
          </w:tcPr>
          <w:p w14:paraId="36A78006"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Address</w:t>
            </w:r>
          </w:p>
        </w:tc>
      </w:tr>
      <w:tr w:rsidR="00FC78C0" w:rsidRPr="00EB4BB5" w14:paraId="0DC2C33A" w14:textId="77777777" w:rsidTr="00A06ED1">
        <w:trPr>
          <w:trHeight w:val="320"/>
        </w:trPr>
        <w:tc>
          <w:tcPr>
            <w:cnfStyle w:val="001000000000" w:firstRow="0" w:lastRow="0" w:firstColumn="1" w:lastColumn="0" w:oddVBand="0" w:evenVBand="0" w:oddHBand="0" w:evenHBand="0" w:firstRowFirstColumn="0" w:firstRowLastColumn="0" w:lastRowFirstColumn="0" w:lastRowLastColumn="0"/>
            <w:tcW w:w="1027" w:type="pct"/>
            <w:vMerge/>
          </w:tcPr>
          <w:p w14:paraId="0A7369CE" w14:textId="77777777" w:rsidR="00FC78C0" w:rsidRPr="00EB4BB5" w:rsidRDefault="00FC78C0" w:rsidP="00EB4BB5">
            <w:pPr>
              <w:pStyle w:val="Tabletext"/>
            </w:pPr>
          </w:p>
        </w:tc>
        <w:tc>
          <w:tcPr>
            <w:tcW w:w="750" w:type="pct"/>
            <w:gridSpan w:val="2"/>
          </w:tcPr>
          <w:p w14:paraId="08AEBE5C"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Practice name</w:t>
            </w:r>
          </w:p>
        </w:tc>
        <w:tc>
          <w:tcPr>
            <w:tcW w:w="1454" w:type="pct"/>
            <w:gridSpan w:val="3"/>
          </w:tcPr>
          <w:p w14:paraId="32C97D94"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c>
          <w:tcPr>
            <w:tcW w:w="1769" w:type="pct"/>
            <w:gridSpan w:val="4"/>
          </w:tcPr>
          <w:p w14:paraId="76E36C68"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Fax</w:t>
            </w:r>
          </w:p>
        </w:tc>
      </w:tr>
      <w:tr w:rsidR="00FC78C0" w:rsidRPr="00EB4BB5" w14:paraId="38C59D79" w14:textId="77777777" w:rsidTr="00A06ED1">
        <w:trPr>
          <w:trHeight w:val="320"/>
        </w:trPr>
        <w:tc>
          <w:tcPr>
            <w:cnfStyle w:val="001000000000" w:firstRow="0" w:lastRow="0" w:firstColumn="1" w:lastColumn="0" w:oddVBand="0" w:evenVBand="0" w:oddHBand="0" w:evenHBand="0" w:firstRowFirstColumn="0" w:firstRowLastColumn="0" w:lastRowFirstColumn="0" w:lastRowLastColumn="0"/>
            <w:tcW w:w="1027" w:type="pct"/>
            <w:vMerge/>
          </w:tcPr>
          <w:p w14:paraId="03C83BDA" w14:textId="77777777" w:rsidR="00FC78C0" w:rsidRPr="00EB4BB5" w:rsidRDefault="00FC78C0" w:rsidP="00EB4BB5">
            <w:pPr>
              <w:pStyle w:val="Tabletext"/>
            </w:pPr>
          </w:p>
        </w:tc>
        <w:tc>
          <w:tcPr>
            <w:tcW w:w="750" w:type="pct"/>
            <w:gridSpan w:val="2"/>
          </w:tcPr>
          <w:p w14:paraId="33ACBB04" w14:textId="0760319D"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Telephone</w:t>
            </w:r>
          </w:p>
        </w:tc>
        <w:tc>
          <w:tcPr>
            <w:tcW w:w="1454" w:type="pct"/>
            <w:gridSpan w:val="3"/>
          </w:tcPr>
          <w:p w14:paraId="048F515D"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p>
        </w:tc>
        <w:tc>
          <w:tcPr>
            <w:tcW w:w="1769" w:type="pct"/>
            <w:gridSpan w:val="4"/>
          </w:tcPr>
          <w:p w14:paraId="09310626" w14:textId="77777777" w:rsidR="00FC78C0" w:rsidRPr="00EB4BB5" w:rsidRDefault="00FC78C0" w:rsidP="00EB4BB5">
            <w:pPr>
              <w:pStyle w:val="Tabletext"/>
              <w:cnfStyle w:val="000000000000" w:firstRow="0" w:lastRow="0" w:firstColumn="0" w:lastColumn="0" w:oddVBand="0" w:evenVBand="0" w:oddHBand="0" w:evenHBand="0" w:firstRowFirstColumn="0" w:firstRowLastColumn="0" w:lastRowFirstColumn="0" w:lastRowLastColumn="0"/>
            </w:pPr>
            <w:r w:rsidRPr="00EB4BB5">
              <w:t>Email</w:t>
            </w:r>
          </w:p>
        </w:tc>
      </w:tr>
    </w:tbl>
    <w:p w14:paraId="1036F13E" w14:textId="77777777" w:rsidR="00FC78C0" w:rsidRPr="00FC78C0" w:rsidRDefault="00FC78C0" w:rsidP="00434540">
      <w:pPr>
        <w:pStyle w:val="BodyText"/>
        <w:sectPr w:rsidR="00FC78C0" w:rsidRPr="00FC78C0" w:rsidSect="00556893">
          <w:headerReference w:type="first" r:id="rId47"/>
          <w:footerReference w:type="first" r:id="rId48"/>
          <w:pgSz w:w="11900" w:h="16840"/>
          <w:pgMar w:top="567" w:right="567" w:bottom="1134" w:left="567" w:header="709" w:footer="527" w:gutter="0"/>
          <w:cols w:space="708"/>
          <w:titlePg/>
          <w:docGrid w:linePitch="360"/>
        </w:sectPr>
      </w:pPr>
    </w:p>
    <w:tbl>
      <w:tblPr>
        <w:tblStyle w:val="CDCTable2"/>
        <w:tblW w:w="5000" w:type="pct"/>
        <w:tblLook w:val="00A0" w:firstRow="1" w:lastRow="0" w:firstColumn="1" w:lastColumn="0" w:noHBand="0" w:noVBand="0"/>
      </w:tblPr>
      <w:tblGrid>
        <w:gridCol w:w="1077"/>
        <w:gridCol w:w="677"/>
        <w:gridCol w:w="92"/>
        <w:gridCol w:w="66"/>
        <w:gridCol w:w="768"/>
        <w:gridCol w:w="14"/>
        <w:gridCol w:w="304"/>
        <w:gridCol w:w="366"/>
        <w:gridCol w:w="307"/>
        <w:gridCol w:w="52"/>
        <w:gridCol w:w="977"/>
        <w:gridCol w:w="231"/>
        <w:gridCol w:w="55"/>
        <w:gridCol w:w="712"/>
        <w:gridCol w:w="248"/>
        <w:gridCol w:w="308"/>
        <w:gridCol w:w="93"/>
        <w:gridCol w:w="72"/>
        <w:gridCol w:w="281"/>
        <w:gridCol w:w="153"/>
        <w:gridCol w:w="802"/>
        <w:gridCol w:w="217"/>
        <w:gridCol w:w="45"/>
        <w:gridCol w:w="462"/>
        <w:gridCol w:w="384"/>
        <w:gridCol w:w="80"/>
        <w:gridCol w:w="226"/>
        <w:gridCol w:w="50"/>
        <w:gridCol w:w="168"/>
        <w:gridCol w:w="594"/>
        <w:gridCol w:w="534"/>
        <w:gridCol w:w="351"/>
      </w:tblGrid>
      <w:tr w:rsidR="00FC78C0" w:rsidRPr="00FC78C0" w14:paraId="51FBF795" w14:textId="77777777" w:rsidTr="00D02485">
        <w:trPr>
          <w:cnfStyle w:val="100000000000" w:firstRow="1" w:lastRow="0" w:firstColumn="0" w:lastColumn="0" w:oddVBand="0" w:evenVBand="0" w:oddHBand="0" w:evenHBand="0" w:firstRowFirstColumn="0" w:firstRowLastColumn="0" w:lastRowFirstColumn="0" w:lastRowLastColumn="0"/>
          <w:trHeight w:val="320"/>
        </w:trPr>
        <w:tc>
          <w:tcPr>
            <w:tcW w:w="5000" w:type="pct"/>
            <w:gridSpan w:val="32"/>
          </w:tcPr>
          <w:p w14:paraId="26D1998A" w14:textId="77777777" w:rsidR="00FC78C0" w:rsidRPr="00FC78C0" w:rsidRDefault="00FC78C0" w:rsidP="00212DDD">
            <w:pPr>
              <w:pStyle w:val="Tableheaderrowblack"/>
            </w:pPr>
            <w:r w:rsidRPr="00FC78C0">
              <w:t>CASE FOUND BY</w:t>
            </w:r>
          </w:p>
        </w:tc>
      </w:tr>
      <w:tr w:rsidR="00E36499" w:rsidRPr="00FC78C0" w14:paraId="0636FF49" w14:textId="77777777" w:rsidTr="002E69FE">
        <w:trPr>
          <w:trHeight w:val="320"/>
        </w:trPr>
        <w:tc>
          <w:tcPr>
            <w:tcW w:w="892" w:type="pct"/>
            <w:gridSpan w:val="4"/>
          </w:tcPr>
          <w:p w14:paraId="4A55EEAA" w14:textId="35059A09" w:rsidR="00E36499" w:rsidRPr="00FC78C0" w:rsidRDefault="00E36499" w:rsidP="00D02485">
            <w:pPr>
              <w:pStyle w:val="Tableheaderrowblack"/>
            </w:pPr>
            <w:r w:rsidRPr="00FC78C0">
              <w:t>How case was identified</w:t>
            </w:r>
          </w:p>
        </w:tc>
        <w:tc>
          <w:tcPr>
            <w:tcW w:w="679" w:type="pct"/>
            <w:gridSpan w:val="4"/>
            <w:vAlign w:val="top"/>
          </w:tcPr>
          <w:p w14:paraId="31FAE497" w14:textId="28ACDD4C"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Clinical presentation</w:t>
            </w:r>
          </w:p>
        </w:tc>
        <w:tc>
          <w:tcPr>
            <w:tcW w:w="756" w:type="pct"/>
            <w:gridSpan w:val="5"/>
            <w:vAlign w:val="top"/>
          </w:tcPr>
          <w:p w14:paraId="01204DB9" w14:textId="0AB26782"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Contact tracing / epidemiological investigation</w:t>
            </w:r>
          </w:p>
        </w:tc>
        <w:tc>
          <w:tcPr>
            <w:tcW w:w="670" w:type="pct"/>
            <w:gridSpan w:val="5"/>
            <w:vAlign w:val="top"/>
          </w:tcPr>
          <w:p w14:paraId="4F527604" w14:textId="793990DC"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7C3093">
              <w:t xml:space="preserve"> </w:t>
            </w:r>
            <w:r w:rsidRPr="00FC78C0">
              <w:t>Clinical and epidemiology</w:t>
            </w:r>
          </w:p>
        </w:tc>
        <w:tc>
          <w:tcPr>
            <w:tcW w:w="665" w:type="pct"/>
            <w:gridSpan w:val="4"/>
            <w:vAlign w:val="top"/>
          </w:tcPr>
          <w:p w14:paraId="2986600E" w14:textId="72247B45"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Antenatal screening</w:t>
            </w:r>
          </w:p>
        </w:tc>
        <w:tc>
          <w:tcPr>
            <w:tcW w:w="648" w:type="pct"/>
            <w:gridSpan w:val="7"/>
            <w:vAlign w:val="top"/>
          </w:tcPr>
          <w:p w14:paraId="231FCDE8" w14:textId="7C99F675"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Screening (excluding antenatal)</w:t>
            </w:r>
          </w:p>
        </w:tc>
        <w:tc>
          <w:tcPr>
            <w:tcW w:w="691" w:type="pct"/>
            <w:gridSpan w:val="3"/>
            <w:vAlign w:val="top"/>
          </w:tcPr>
          <w:p w14:paraId="5DB1B9EF" w14:textId="3001E71E" w:rsidR="00E36499" w:rsidRPr="00FC78C0" w:rsidRDefault="00E36499" w:rsidP="00D02485">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D02485" w:rsidRPr="00FC78C0" w14:paraId="66D7E87E" w14:textId="77777777" w:rsidTr="00D02485">
        <w:trPr>
          <w:trHeight w:val="320"/>
        </w:trPr>
        <w:tc>
          <w:tcPr>
            <w:tcW w:w="5000" w:type="pct"/>
            <w:gridSpan w:val="32"/>
            <w:shd w:val="clear" w:color="auto" w:fill="BEFEE9" w:themeFill="background2"/>
          </w:tcPr>
          <w:p w14:paraId="173BA93B" w14:textId="101C8DA1" w:rsidR="00D02485" w:rsidRPr="007C3093" w:rsidRDefault="00D02485" w:rsidP="00D02485">
            <w:pPr>
              <w:pStyle w:val="Tableheaderrowblack"/>
            </w:pPr>
            <w:r w:rsidRPr="00FC78C0">
              <w:t>CASE DEMOGRAPHICS</w:t>
            </w:r>
          </w:p>
        </w:tc>
      </w:tr>
      <w:tr w:rsidR="00D02485" w:rsidRPr="00FC78C0" w14:paraId="33F33936" w14:textId="77777777" w:rsidTr="00D02485">
        <w:trPr>
          <w:trHeight w:val="320"/>
        </w:trPr>
        <w:tc>
          <w:tcPr>
            <w:tcW w:w="5000" w:type="pct"/>
            <w:gridSpan w:val="32"/>
          </w:tcPr>
          <w:p w14:paraId="06EC57DC" w14:textId="23B5E6B8" w:rsidR="00D02485" w:rsidRPr="00FC78C0" w:rsidRDefault="00D02485" w:rsidP="00212DDD">
            <w:pPr>
              <w:pStyle w:val="Tableheaderrowblack"/>
            </w:pPr>
            <w:r w:rsidRPr="00FC78C0">
              <w:t>Surname</w:t>
            </w:r>
          </w:p>
        </w:tc>
      </w:tr>
      <w:tr w:rsidR="00517242" w:rsidRPr="00FC78C0" w14:paraId="164D09FB" w14:textId="77777777" w:rsidTr="003E3009">
        <w:trPr>
          <w:trHeight w:val="320"/>
        </w:trPr>
        <w:tc>
          <w:tcPr>
            <w:tcW w:w="2774" w:type="pct"/>
            <w:gridSpan w:val="15"/>
          </w:tcPr>
          <w:p w14:paraId="6E815433" w14:textId="6ED29CEE" w:rsidR="00517242" w:rsidRPr="00FC78C0" w:rsidRDefault="00517242" w:rsidP="00517242">
            <w:pPr>
              <w:pStyle w:val="Tableheaderrowblack"/>
            </w:pPr>
            <w:r w:rsidRPr="00FC78C0">
              <w:t>Given name</w:t>
            </w:r>
          </w:p>
        </w:tc>
        <w:tc>
          <w:tcPr>
            <w:tcW w:w="1116" w:type="pct"/>
            <w:gridSpan w:val="9"/>
          </w:tcPr>
          <w:p w14:paraId="728827E7" w14:textId="45B352C6" w:rsidR="00517242" w:rsidRPr="00FC78C0" w:rsidRDefault="00517242" w:rsidP="00E53D86">
            <w:pPr>
              <w:pStyle w:val="Tabletext"/>
              <w:rPr>
                <w:sz w:val="14"/>
                <w:szCs w:val="14"/>
              </w:rPr>
            </w:pPr>
            <w:r w:rsidRPr="00FC78C0">
              <w:t>DOB ___/___/_____</w:t>
            </w:r>
          </w:p>
        </w:tc>
        <w:tc>
          <w:tcPr>
            <w:tcW w:w="1110" w:type="pct"/>
            <w:gridSpan w:val="8"/>
          </w:tcPr>
          <w:p w14:paraId="6C6FC107" w14:textId="77777777" w:rsidR="00517242" w:rsidRPr="00FC78C0" w:rsidRDefault="00517242" w:rsidP="00E53D86">
            <w:pPr>
              <w:pStyle w:val="Tabletext"/>
              <w:rPr>
                <w:sz w:val="14"/>
                <w:szCs w:val="14"/>
              </w:rPr>
            </w:pPr>
            <w:r w:rsidRPr="00FC78C0">
              <w:t>Age at onset __ yrs__ mons</w:t>
            </w:r>
          </w:p>
        </w:tc>
      </w:tr>
      <w:tr w:rsidR="00E53D86" w:rsidRPr="00FC78C0" w14:paraId="46A4ABEA" w14:textId="77777777" w:rsidTr="002E69FE">
        <w:trPr>
          <w:trHeight w:val="320"/>
        </w:trPr>
        <w:tc>
          <w:tcPr>
            <w:tcW w:w="1257" w:type="pct"/>
            <w:gridSpan w:val="6"/>
          </w:tcPr>
          <w:p w14:paraId="541869A5" w14:textId="0473A89B" w:rsidR="00E53D86" w:rsidRPr="00FC78C0" w:rsidRDefault="00E53D86" w:rsidP="00517242">
            <w:pPr>
              <w:pStyle w:val="Tableheaderrowblack"/>
            </w:pPr>
            <w:r w:rsidRPr="00FC78C0">
              <w:t>Sex at birth</w:t>
            </w:r>
          </w:p>
        </w:tc>
        <w:tc>
          <w:tcPr>
            <w:tcW w:w="936" w:type="pct"/>
            <w:gridSpan w:val="5"/>
          </w:tcPr>
          <w:p w14:paraId="708D96C4" w14:textId="1E66DBCB"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Male</w:t>
            </w:r>
          </w:p>
        </w:tc>
        <w:tc>
          <w:tcPr>
            <w:tcW w:w="936" w:type="pct"/>
            <w:gridSpan w:val="8"/>
          </w:tcPr>
          <w:p w14:paraId="4799BA5B" w14:textId="6B0AB410"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Female</w:t>
            </w:r>
          </w:p>
        </w:tc>
        <w:tc>
          <w:tcPr>
            <w:tcW w:w="936" w:type="pct"/>
            <w:gridSpan w:val="6"/>
          </w:tcPr>
          <w:p w14:paraId="6F8EFF9C" w14:textId="74DEB230"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X (another term) – specify_____________</w:t>
            </w:r>
          </w:p>
        </w:tc>
        <w:tc>
          <w:tcPr>
            <w:tcW w:w="936" w:type="pct"/>
            <w:gridSpan w:val="7"/>
          </w:tcPr>
          <w:p w14:paraId="5BF0F99C" w14:textId="55B3F5B0"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Not stated</w:t>
            </w:r>
          </w:p>
        </w:tc>
      </w:tr>
      <w:tr w:rsidR="002E69FE" w:rsidRPr="00FC78C0" w14:paraId="0C20D512" w14:textId="77777777" w:rsidTr="002E69FE">
        <w:trPr>
          <w:trHeight w:val="320"/>
        </w:trPr>
        <w:tc>
          <w:tcPr>
            <w:tcW w:w="500" w:type="pct"/>
          </w:tcPr>
          <w:p w14:paraId="177927C8" w14:textId="5D5D8A02" w:rsidR="002E69FE" w:rsidRPr="00FC78C0" w:rsidRDefault="002E69FE" w:rsidP="002E69FE">
            <w:pPr>
              <w:pStyle w:val="Tableheaderrowblack"/>
            </w:pPr>
            <w:r w:rsidRPr="00FC78C0">
              <w:t>Gender at diagnosis</w:t>
            </w:r>
          </w:p>
        </w:tc>
        <w:tc>
          <w:tcPr>
            <w:tcW w:w="900" w:type="pct"/>
            <w:gridSpan w:val="6"/>
          </w:tcPr>
          <w:p w14:paraId="533DC7F1" w14:textId="69C9069D" w:rsidR="002E69FE" w:rsidRPr="00FC78C0" w:rsidRDefault="002E69FE" w:rsidP="002E69FE">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w:t>
            </w:r>
            <w:r w:rsidR="00397A31" w:rsidRPr="00FC78C0">
              <w:t>Man,</w:t>
            </w:r>
            <w:r w:rsidRPr="00FC78C0">
              <w:t xml:space="preserve"> or male  </w:t>
            </w:r>
          </w:p>
        </w:tc>
        <w:tc>
          <w:tcPr>
            <w:tcW w:w="901" w:type="pct"/>
            <w:gridSpan w:val="5"/>
          </w:tcPr>
          <w:p w14:paraId="042C45D7" w14:textId="1E0FC72C" w:rsidR="002E69FE" w:rsidRPr="00FC78C0" w:rsidRDefault="002E69FE" w:rsidP="002E69FE">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Woman or female</w:t>
            </w:r>
          </w:p>
        </w:tc>
        <w:tc>
          <w:tcPr>
            <w:tcW w:w="900" w:type="pct"/>
            <w:gridSpan w:val="8"/>
          </w:tcPr>
          <w:p w14:paraId="31800D84" w14:textId="488FCF94" w:rsidR="002E69FE" w:rsidRPr="00FC78C0" w:rsidRDefault="002E69FE" w:rsidP="002E69FE">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Non-binary  </w:t>
            </w:r>
          </w:p>
        </w:tc>
        <w:tc>
          <w:tcPr>
            <w:tcW w:w="900" w:type="pct"/>
            <w:gridSpan w:val="6"/>
          </w:tcPr>
          <w:p w14:paraId="18935493" w14:textId="42083ACB" w:rsidR="002E69FE" w:rsidRPr="00FC78C0" w:rsidRDefault="002E69FE" w:rsidP="002E69FE">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Other – specify_______</w:t>
            </w:r>
            <w:r w:rsidR="00BC7EE8">
              <w:t>_______</w:t>
            </w:r>
          </w:p>
        </w:tc>
        <w:tc>
          <w:tcPr>
            <w:tcW w:w="900" w:type="pct"/>
            <w:gridSpan w:val="6"/>
          </w:tcPr>
          <w:p w14:paraId="24848CF8" w14:textId="53B88940" w:rsidR="002E69FE" w:rsidRPr="00FC78C0" w:rsidRDefault="002E69FE" w:rsidP="002E69FE">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Not stated</w:t>
            </w:r>
          </w:p>
        </w:tc>
      </w:tr>
      <w:tr w:rsidR="00E53D86" w:rsidRPr="00FC78C0" w14:paraId="6966D861" w14:textId="77777777" w:rsidTr="0025209D">
        <w:trPr>
          <w:trHeight w:val="320"/>
        </w:trPr>
        <w:tc>
          <w:tcPr>
            <w:tcW w:w="5000" w:type="pct"/>
            <w:gridSpan w:val="32"/>
            <w:shd w:val="clear" w:color="auto" w:fill="F2F2F2" w:themeFill="background1" w:themeFillShade="F2"/>
          </w:tcPr>
          <w:p w14:paraId="629AD83F" w14:textId="3F609DBE" w:rsidR="00E53D86" w:rsidRPr="00FC78C0" w:rsidRDefault="00E53D86" w:rsidP="00517242">
            <w:pPr>
              <w:pStyle w:val="Tableheaderrowblack"/>
            </w:pPr>
            <w:r w:rsidRPr="00FC78C0">
              <w:t xml:space="preserve">Address </w:t>
            </w:r>
          </w:p>
        </w:tc>
      </w:tr>
      <w:tr w:rsidR="00E53D86" w:rsidRPr="00FC78C0" w14:paraId="1927C371" w14:textId="77777777" w:rsidTr="002E69FE">
        <w:trPr>
          <w:trHeight w:val="320"/>
        </w:trPr>
        <w:tc>
          <w:tcPr>
            <w:tcW w:w="860" w:type="pct"/>
            <w:gridSpan w:val="3"/>
          </w:tcPr>
          <w:p w14:paraId="2987E5DE" w14:textId="55DBD68D" w:rsidR="00E53D86" w:rsidRPr="00FC78C0" w:rsidRDefault="00E53D86" w:rsidP="00E53D86">
            <w:pPr>
              <w:pStyle w:val="Tabletext"/>
              <w:rPr>
                <w:sz w:val="14"/>
                <w:szCs w:val="14"/>
              </w:rPr>
            </w:pPr>
            <w:r w:rsidRPr="00FC78C0">
              <w:t>Telephone</w:t>
            </w:r>
          </w:p>
        </w:tc>
        <w:tc>
          <w:tcPr>
            <w:tcW w:w="878" w:type="pct"/>
            <w:gridSpan w:val="7"/>
          </w:tcPr>
          <w:p w14:paraId="5D8A4D50" w14:textId="77777777" w:rsidR="00E53D86" w:rsidRPr="00FC78C0" w:rsidRDefault="00E53D86" w:rsidP="00E53D86">
            <w:pPr>
              <w:pStyle w:val="Tabletext"/>
              <w:rPr>
                <w:sz w:val="14"/>
                <w:szCs w:val="14"/>
              </w:rPr>
            </w:pPr>
          </w:p>
        </w:tc>
        <w:tc>
          <w:tcPr>
            <w:tcW w:w="1037" w:type="pct"/>
            <w:gridSpan w:val="5"/>
          </w:tcPr>
          <w:p w14:paraId="1DC4E3D6" w14:textId="77777777" w:rsidR="00E53D86" w:rsidRPr="00FC78C0" w:rsidRDefault="00E53D86" w:rsidP="00E53D86">
            <w:pPr>
              <w:pStyle w:val="Tabletext"/>
              <w:rPr>
                <w:sz w:val="14"/>
                <w:szCs w:val="14"/>
              </w:rPr>
            </w:pPr>
            <w:r w:rsidRPr="00FC78C0">
              <w:t>Suburb</w:t>
            </w:r>
          </w:p>
        </w:tc>
        <w:tc>
          <w:tcPr>
            <w:tcW w:w="907" w:type="pct"/>
            <w:gridSpan w:val="8"/>
          </w:tcPr>
          <w:p w14:paraId="25654031" w14:textId="72E0FA4B" w:rsidR="00E53D86" w:rsidRPr="00FC78C0" w:rsidRDefault="00E53D86" w:rsidP="00E53D86">
            <w:pPr>
              <w:pStyle w:val="Tabletext"/>
              <w:rPr>
                <w:sz w:val="14"/>
                <w:szCs w:val="14"/>
              </w:rPr>
            </w:pPr>
            <w:r w:rsidRPr="00FC78C0">
              <w:t>State/Territory</w:t>
            </w:r>
          </w:p>
        </w:tc>
        <w:tc>
          <w:tcPr>
            <w:tcW w:w="549" w:type="pct"/>
            <w:gridSpan w:val="5"/>
          </w:tcPr>
          <w:p w14:paraId="385C5B2A" w14:textId="77777777" w:rsidR="00E53D86" w:rsidRPr="00FC78C0" w:rsidRDefault="00E53D86" w:rsidP="00E53D86">
            <w:pPr>
              <w:pStyle w:val="Tabletext"/>
              <w:rPr>
                <w:sz w:val="14"/>
                <w:szCs w:val="14"/>
              </w:rPr>
            </w:pPr>
          </w:p>
        </w:tc>
        <w:tc>
          <w:tcPr>
            <w:tcW w:w="770" w:type="pct"/>
            <w:gridSpan w:val="4"/>
          </w:tcPr>
          <w:p w14:paraId="4A22190C" w14:textId="77777777" w:rsidR="00E53D86" w:rsidRPr="00FC78C0" w:rsidRDefault="00E53D86" w:rsidP="00E53D86">
            <w:pPr>
              <w:pStyle w:val="Tabletext"/>
              <w:rPr>
                <w:sz w:val="14"/>
                <w:szCs w:val="14"/>
              </w:rPr>
            </w:pPr>
            <w:r w:rsidRPr="00FC78C0">
              <w:t>Postcode</w:t>
            </w:r>
          </w:p>
        </w:tc>
      </w:tr>
      <w:tr w:rsidR="00E53D86" w:rsidRPr="00FC78C0" w14:paraId="27129D6E" w14:textId="77777777" w:rsidTr="002E69FE">
        <w:trPr>
          <w:trHeight w:val="320"/>
        </w:trPr>
        <w:tc>
          <w:tcPr>
            <w:tcW w:w="816" w:type="pct"/>
            <w:gridSpan w:val="2"/>
          </w:tcPr>
          <w:p w14:paraId="258196FA" w14:textId="624DEBF7" w:rsidR="00E53D86" w:rsidRPr="00FC78C0" w:rsidRDefault="00E53D86" w:rsidP="00E53D86">
            <w:pPr>
              <w:pStyle w:val="Tabletext"/>
            </w:pPr>
            <w:r w:rsidRPr="00FC78C0">
              <w:t>Other contact</w:t>
            </w:r>
          </w:p>
        </w:tc>
        <w:tc>
          <w:tcPr>
            <w:tcW w:w="898" w:type="pct"/>
            <w:gridSpan w:val="7"/>
          </w:tcPr>
          <w:p w14:paraId="7789AEE3" w14:textId="77777777" w:rsidR="00E53D86" w:rsidRPr="00FC78C0" w:rsidRDefault="00E53D86" w:rsidP="00E53D86">
            <w:pPr>
              <w:pStyle w:val="Tabletext"/>
            </w:pPr>
          </w:p>
        </w:tc>
        <w:tc>
          <w:tcPr>
            <w:tcW w:w="945" w:type="pct"/>
            <w:gridSpan w:val="5"/>
          </w:tcPr>
          <w:p w14:paraId="780731E6" w14:textId="77777777" w:rsidR="00E53D86" w:rsidRPr="00FC78C0" w:rsidRDefault="00E53D86" w:rsidP="00E53D86">
            <w:pPr>
              <w:pStyle w:val="Tabletext"/>
            </w:pPr>
            <w:r w:rsidRPr="00FC78C0">
              <w:t>Mobile</w:t>
            </w:r>
          </w:p>
        </w:tc>
        <w:tc>
          <w:tcPr>
            <w:tcW w:w="2342" w:type="pct"/>
            <w:gridSpan w:val="18"/>
          </w:tcPr>
          <w:p w14:paraId="0DC704DF" w14:textId="0BEE1897" w:rsidR="00E53D86" w:rsidRPr="00FC78C0" w:rsidRDefault="00E53D86" w:rsidP="00E53D86">
            <w:pPr>
              <w:pStyle w:val="Tabletext"/>
            </w:pPr>
            <w:r w:rsidRPr="00FC78C0">
              <w:t>Email</w:t>
            </w:r>
          </w:p>
        </w:tc>
      </w:tr>
      <w:tr w:rsidR="00E53D86" w:rsidRPr="00FC78C0" w14:paraId="11EFC69F" w14:textId="77777777" w:rsidTr="002E69FE">
        <w:trPr>
          <w:trHeight w:val="320"/>
        </w:trPr>
        <w:tc>
          <w:tcPr>
            <w:tcW w:w="816" w:type="pct"/>
            <w:gridSpan w:val="2"/>
          </w:tcPr>
          <w:p w14:paraId="12964738" w14:textId="21478DDC" w:rsidR="00E53D86" w:rsidRPr="00FC78C0" w:rsidRDefault="00E53D86" w:rsidP="00E53D86">
            <w:pPr>
              <w:pStyle w:val="Tableheaderrowblack"/>
            </w:pPr>
            <w:r w:rsidRPr="00FC78C0">
              <w:t>Indigenous status</w:t>
            </w:r>
          </w:p>
        </w:tc>
        <w:tc>
          <w:tcPr>
            <w:tcW w:w="898" w:type="pct"/>
            <w:gridSpan w:val="7"/>
          </w:tcPr>
          <w:p w14:paraId="2A36DC27" w14:textId="7C8C75E2"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Aboriginal</w:t>
            </w:r>
          </w:p>
        </w:tc>
        <w:tc>
          <w:tcPr>
            <w:tcW w:w="945" w:type="pct"/>
            <w:gridSpan w:val="5"/>
          </w:tcPr>
          <w:p w14:paraId="15A88F79" w14:textId="600E20CA"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Torres Strait Islander</w:t>
            </w:r>
          </w:p>
        </w:tc>
        <w:tc>
          <w:tcPr>
            <w:tcW w:w="905" w:type="pct"/>
            <w:gridSpan w:val="7"/>
          </w:tcPr>
          <w:p w14:paraId="7E94DD7C" w14:textId="5DE82431"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Both Aboriginal/Torres Strait Islander</w:t>
            </w:r>
          </w:p>
        </w:tc>
        <w:tc>
          <w:tcPr>
            <w:tcW w:w="643" w:type="pct"/>
            <w:gridSpan w:val="6"/>
          </w:tcPr>
          <w:p w14:paraId="3001D7A8" w14:textId="31ADAD77" w:rsidR="00E53D86" w:rsidRPr="00FC78C0" w:rsidRDefault="00E53D86" w:rsidP="00E53D86">
            <w:pPr>
              <w:pStyle w:val="Tabletext"/>
            </w:pPr>
            <w:r w:rsidRPr="00FC78C0">
              <w:fldChar w:fldCharType="begin">
                <w:ffData>
                  <w:name w:val=""/>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Not Indigenous</w:t>
            </w:r>
          </w:p>
        </w:tc>
        <w:tc>
          <w:tcPr>
            <w:tcW w:w="794" w:type="pct"/>
            <w:gridSpan w:val="5"/>
          </w:tcPr>
          <w:p w14:paraId="51BB1A60" w14:textId="20E1053E" w:rsidR="00E53D86" w:rsidRPr="00FC78C0" w:rsidRDefault="00E53D86"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Not Stated</w:t>
            </w:r>
          </w:p>
        </w:tc>
      </w:tr>
      <w:tr w:rsidR="003E3009" w:rsidRPr="00FC78C0" w14:paraId="5D36449F" w14:textId="77777777" w:rsidTr="002E69FE">
        <w:trPr>
          <w:gridAfter w:val="2"/>
          <w:wAfter w:w="414" w:type="pct"/>
          <w:trHeight w:val="320"/>
        </w:trPr>
        <w:tc>
          <w:tcPr>
            <w:tcW w:w="1250" w:type="pct"/>
            <w:gridSpan w:val="5"/>
          </w:tcPr>
          <w:p w14:paraId="3DA6241A" w14:textId="2C2F99EB" w:rsidR="003E3009" w:rsidRPr="00FC78C0" w:rsidRDefault="003E3009" w:rsidP="003E3009">
            <w:pPr>
              <w:pStyle w:val="Tableheaderrowblack"/>
            </w:pPr>
            <w:r w:rsidRPr="00FC78C0">
              <w:t>Country of birth</w:t>
            </w:r>
          </w:p>
        </w:tc>
        <w:tc>
          <w:tcPr>
            <w:tcW w:w="1669" w:type="pct"/>
            <w:gridSpan w:val="11"/>
          </w:tcPr>
          <w:p w14:paraId="29C3D96E" w14:textId="11FCC3EC"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Australia</w:t>
            </w:r>
          </w:p>
        </w:tc>
        <w:tc>
          <w:tcPr>
            <w:tcW w:w="1668" w:type="pct"/>
            <w:gridSpan w:val="14"/>
          </w:tcPr>
          <w:p w14:paraId="0D8C5F72" w14:textId="3AA0A28C"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Other: specify ______________</w:t>
            </w:r>
            <w:r w:rsidR="00F103D2">
              <w:t>_______</w:t>
            </w:r>
          </w:p>
        </w:tc>
      </w:tr>
      <w:tr w:rsidR="003E3009" w:rsidRPr="00FC78C0" w14:paraId="3AA970DD" w14:textId="77777777" w:rsidTr="002E69FE">
        <w:trPr>
          <w:gridAfter w:val="1"/>
          <w:wAfter w:w="165" w:type="pct"/>
          <w:trHeight w:val="320"/>
        </w:trPr>
        <w:tc>
          <w:tcPr>
            <w:tcW w:w="1250" w:type="pct"/>
            <w:gridSpan w:val="5"/>
          </w:tcPr>
          <w:p w14:paraId="273A7E88" w14:textId="5B1CA4A3" w:rsidR="003E3009" w:rsidRPr="00FC78C0" w:rsidRDefault="003E3009" w:rsidP="003E3009">
            <w:pPr>
              <w:pStyle w:val="Tableheaderrowblack"/>
            </w:pPr>
            <w:r w:rsidRPr="00FC78C0">
              <w:t>Primary language</w:t>
            </w:r>
          </w:p>
        </w:tc>
        <w:tc>
          <w:tcPr>
            <w:tcW w:w="1713" w:type="pct"/>
            <w:gridSpan w:val="12"/>
          </w:tcPr>
          <w:p w14:paraId="74E8861D" w14:textId="30196326"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English</w:t>
            </w:r>
          </w:p>
        </w:tc>
        <w:tc>
          <w:tcPr>
            <w:tcW w:w="1873" w:type="pct"/>
            <w:gridSpan w:val="14"/>
          </w:tcPr>
          <w:p w14:paraId="21C26BAC" w14:textId="33D3DD7F"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Other: specify_______</w:t>
            </w:r>
            <w:r w:rsidR="00F103D2">
              <w:t>______________</w:t>
            </w:r>
          </w:p>
        </w:tc>
      </w:tr>
      <w:tr w:rsidR="003E3009" w:rsidRPr="00FC78C0" w14:paraId="70A4BC5F" w14:textId="77777777" w:rsidTr="002E69FE">
        <w:trPr>
          <w:gridAfter w:val="1"/>
          <w:wAfter w:w="165" w:type="pct"/>
          <w:trHeight w:val="320"/>
        </w:trPr>
        <w:tc>
          <w:tcPr>
            <w:tcW w:w="1250" w:type="pct"/>
            <w:gridSpan w:val="5"/>
          </w:tcPr>
          <w:p w14:paraId="4B0DC44E" w14:textId="0D97B7E1" w:rsidR="003E3009" w:rsidRPr="00FC78C0" w:rsidRDefault="003E3009" w:rsidP="003E3009">
            <w:pPr>
              <w:pStyle w:val="Tableheaderrowblack"/>
            </w:pPr>
            <w:r>
              <w:lastRenderedPageBreak/>
              <w:t>I</w:t>
            </w:r>
            <w:r w:rsidRPr="00FC78C0">
              <w:t>nterpreter required</w:t>
            </w:r>
          </w:p>
        </w:tc>
        <w:tc>
          <w:tcPr>
            <w:tcW w:w="1713" w:type="pct"/>
            <w:gridSpan w:val="12"/>
          </w:tcPr>
          <w:p w14:paraId="6A30D34D" w14:textId="7D2B8273"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w:t>
            </w:r>
          </w:p>
        </w:tc>
        <w:tc>
          <w:tcPr>
            <w:tcW w:w="1873" w:type="pct"/>
            <w:gridSpan w:val="14"/>
          </w:tcPr>
          <w:p w14:paraId="6E27318C" w14:textId="62826DCB" w:rsidR="003E3009" w:rsidRPr="00FC78C0" w:rsidRDefault="003E3009" w:rsidP="00E53D86">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Yes: specify _______________________</w:t>
            </w:r>
            <w:r w:rsidR="00F103D2">
              <w:t>______</w:t>
            </w:r>
          </w:p>
        </w:tc>
      </w:tr>
      <w:tr w:rsidR="00E53D86" w:rsidRPr="00FC78C0" w14:paraId="138D4840" w14:textId="77777777" w:rsidTr="003E3009">
        <w:trPr>
          <w:trHeight w:val="320"/>
        </w:trPr>
        <w:tc>
          <w:tcPr>
            <w:tcW w:w="5000" w:type="pct"/>
            <w:gridSpan w:val="32"/>
            <w:shd w:val="clear" w:color="auto" w:fill="BEFEE9" w:themeFill="background2"/>
          </w:tcPr>
          <w:p w14:paraId="3FD61916" w14:textId="5FF67479" w:rsidR="00E53D86" w:rsidRPr="00FC78C0" w:rsidRDefault="00E53D86" w:rsidP="003E3009">
            <w:pPr>
              <w:pStyle w:val="Tableheaderrowblack"/>
            </w:pPr>
            <w:r w:rsidRPr="00FC78C0">
              <w:t>Occupation location</w:t>
            </w:r>
          </w:p>
        </w:tc>
      </w:tr>
      <w:tr w:rsidR="00E53D86" w:rsidRPr="00FC78C0" w14:paraId="20C081D7" w14:textId="77777777" w:rsidTr="003E3009">
        <w:trPr>
          <w:trHeight w:val="320"/>
        </w:trPr>
        <w:tc>
          <w:tcPr>
            <w:tcW w:w="5000" w:type="pct"/>
            <w:gridSpan w:val="32"/>
            <w:shd w:val="clear" w:color="auto" w:fill="F2F2F2" w:themeFill="background1" w:themeFillShade="F2"/>
          </w:tcPr>
          <w:p w14:paraId="2E196EE8" w14:textId="6B79B13D" w:rsidR="00E53D86" w:rsidRPr="00FC78C0" w:rsidRDefault="00E53D86" w:rsidP="003E3009">
            <w:pPr>
              <w:pStyle w:val="Tableheaderrowblack"/>
            </w:pPr>
            <w:r w:rsidRPr="00FC78C0">
              <w:t>General Practitioner</w:t>
            </w:r>
          </w:p>
        </w:tc>
      </w:tr>
      <w:tr w:rsidR="00E53D86" w:rsidRPr="00FC78C0" w14:paraId="03386EFA" w14:textId="77777777" w:rsidTr="002E69FE">
        <w:trPr>
          <w:trHeight w:val="464"/>
        </w:trPr>
        <w:tc>
          <w:tcPr>
            <w:tcW w:w="816" w:type="pct"/>
            <w:gridSpan w:val="2"/>
            <w:vMerge w:val="restart"/>
          </w:tcPr>
          <w:p w14:paraId="1441DA7E" w14:textId="77777777" w:rsidR="00E53D86" w:rsidRPr="00FC78C0" w:rsidRDefault="00E53D86" w:rsidP="003E3009">
            <w:pPr>
              <w:pStyle w:val="Tableheaderrowblack"/>
            </w:pPr>
            <w:r w:rsidRPr="00FC78C0">
              <w:t>General Practitioner</w:t>
            </w:r>
          </w:p>
        </w:tc>
        <w:tc>
          <w:tcPr>
            <w:tcW w:w="2312" w:type="pct"/>
            <w:gridSpan w:val="17"/>
          </w:tcPr>
          <w:p w14:paraId="3D67CEE4" w14:textId="77777777" w:rsidR="00E53D86" w:rsidRPr="00FC78C0" w:rsidRDefault="00E53D86" w:rsidP="00E53D86">
            <w:pPr>
              <w:pStyle w:val="Tabletext"/>
            </w:pPr>
            <w:r w:rsidRPr="00FC78C0">
              <w:t>Name</w:t>
            </w:r>
          </w:p>
        </w:tc>
        <w:tc>
          <w:tcPr>
            <w:tcW w:w="1873" w:type="pct"/>
            <w:gridSpan w:val="13"/>
          </w:tcPr>
          <w:p w14:paraId="5278E6BB" w14:textId="77777777" w:rsidR="00E53D86" w:rsidRPr="00FC78C0" w:rsidRDefault="00E53D86" w:rsidP="00E53D86">
            <w:pPr>
              <w:pStyle w:val="Tabletext"/>
              <w:rPr>
                <w:sz w:val="14"/>
                <w:szCs w:val="14"/>
              </w:rPr>
            </w:pPr>
            <w:r w:rsidRPr="00FC78C0">
              <w:t>Address</w:t>
            </w:r>
          </w:p>
        </w:tc>
      </w:tr>
      <w:tr w:rsidR="00E53D86" w:rsidRPr="00FC78C0" w14:paraId="0ED0858D" w14:textId="77777777" w:rsidTr="002E69FE">
        <w:trPr>
          <w:trHeight w:val="462"/>
        </w:trPr>
        <w:tc>
          <w:tcPr>
            <w:tcW w:w="816" w:type="pct"/>
            <w:gridSpan w:val="2"/>
            <w:vMerge/>
          </w:tcPr>
          <w:p w14:paraId="27061489" w14:textId="77777777" w:rsidR="00E53D86" w:rsidRPr="00FC78C0" w:rsidRDefault="00E53D86" w:rsidP="00E53D86">
            <w:pPr>
              <w:pStyle w:val="Tabletext"/>
            </w:pPr>
          </w:p>
        </w:tc>
        <w:tc>
          <w:tcPr>
            <w:tcW w:w="2312" w:type="pct"/>
            <w:gridSpan w:val="17"/>
          </w:tcPr>
          <w:p w14:paraId="2F4E8997" w14:textId="77777777" w:rsidR="00E53D86" w:rsidRPr="00FC78C0" w:rsidRDefault="00E53D86" w:rsidP="00E53D86">
            <w:pPr>
              <w:pStyle w:val="Tabletext"/>
            </w:pPr>
            <w:r w:rsidRPr="00FC78C0">
              <w:t>Practice name</w:t>
            </w:r>
          </w:p>
        </w:tc>
        <w:tc>
          <w:tcPr>
            <w:tcW w:w="1873" w:type="pct"/>
            <w:gridSpan w:val="13"/>
          </w:tcPr>
          <w:p w14:paraId="73012AB6" w14:textId="77777777" w:rsidR="00E53D86" w:rsidRPr="00FC78C0" w:rsidRDefault="00E53D86" w:rsidP="00E53D86">
            <w:pPr>
              <w:pStyle w:val="Tabletext"/>
            </w:pPr>
            <w:r w:rsidRPr="00FC78C0">
              <w:t>Fax</w:t>
            </w:r>
          </w:p>
        </w:tc>
      </w:tr>
      <w:tr w:rsidR="00E53D86" w:rsidRPr="00FC78C0" w14:paraId="140BD724" w14:textId="77777777" w:rsidTr="002E69FE">
        <w:trPr>
          <w:trHeight w:val="462"/>
        </w:trPr>
        <w:tc>
          <w:tcPr>
            <w:tcW w:w="816" w:type="pct"/>
            <w:gridSpan w:val="2"/>
            <w:vMerge/>
          </w:tcPr>
          <w:p w14:paraId="70A02865" w14:textId="77777777" w:rsidR="00E53D86" w:rsidRPr="00FC78C0" w:rsidRDefault="00E53D86" w:rsidP="00E53D86">
            <w:pPr>
              <w:pStyle w:val="Tabletext"/>
            </w:pPr>
          </w:p>
        </w:tc>
        <w:tc>
          <w:tcPr>
            <w:tcW w:w="2312" w:type="pct"/>
            <w:gridSpan w:val="17"/>
          </w:tcPr>
          <w:p w14:paraId="4B3A910B" w14:textId="0762413C" w:rsidR="00E53D86" w:rsidRPr="00FC78C0" w:rsidRDefault="00E53D86" w:rsidP="00E53D86">
            <w:pPr>
              <w:pStyle w:val="Tabletext"/>
            </w:pPr>
          </w:p>
        </w:tc>
        <w:tc>
          <w:tcPr>
            <w:tcW w:w="1873" w:type="pct"/>
            <w:gridSpan w:val="13"/>
          </w:tcPr>
          <w:p w14:paraId="20DB31A2" w14:textId="77777777" w:rsidR="00E53D86" w:rsidRPr="00FC78C0" w:rsidRDefault="00E53D86" w:rsidP="00E53D86">
            <w:pPr>
              <w:pStyle w:val="Tabletext"/>
            </w:pPr>
            <w:r w:rsidRPr="00FC78C0">
              <w:t>Email</w:t>
            </w:r>
          </w:p>
        </w:tc>
      </w:tr>
    </w:tbl>
    <w:tbl>
      <w:tblPr>
        <w:tblStyle w:val="CDCTable2"/>
        <w:tblpPr w:leftFromText="180" w:rightFromText="180" w:vertAnchor="text" w:horzAnchor="margin" w:tblpX="142" w:tblpY="398"/>
        <w:tblW w:w="4792" w:type="pct"/>
        <w:tblLayout w:type="fixed"/>
        <w:tblCellMar>
          <w:left w:w="57" w:type="dxa"/>
          <w:bottom w:w="57" w:type="dxa"/>
          <w:right w:w="57" w:type="dxa"/>
        </w:tblCellMar>
        <w:tblLook w:val="00A0" w:firstRow="1" w:lastRow="0" w:firstColumn="1" w:lastColumn="0" w:noHBand="0" w:noVBand="0"/>
      </w:tblPr>
      <w:tblGrid>
        <w:gridCol w:w="1082"/>
        <w:gridCol w:w="705"/>
        <w:gridCol w:w="368"/>
        <w:gridCol w:w="448"/>
        <w:gridCol w:w="85"/>
        <w:gridCol w:w="10"/>
        <w:gridCol w:w="140"/>
        <w:gridCol w:w="299"/>
        <w:gridCol w:w="95"/>
        <w:gridCol w:w="625"/>
        <w:gridCol w:w="293"/>
        <w:gridCol w:w="489"/>
        <w:gridCol w:w="68"/>
        <w:gridCol w:w="227"/>
        <w:gridCol w:w="12"/>
        <w:gridCol w:w="679"/>
        <w:gridCol w:w="398"/>
        <w:gridCol w:w="551"/>
        <w:gridCol w:w="167"/>
        <w:gridCol w:w="359"/>
        <w:gridCol w:w="43"/>
        <w:gridCol w:w="485"/>
        <w:gridCol w:w="12"/>
        <w:gridCol w:w="534"/>
        <w:gridCol w:w="268"/>
        <w:gridCol w:w="91"/>
        <w:gridCol w:w="95"/>
        <w:gridCol w:w="625"/>
        <w:gridCol w:w="1065"/>
      </w:tblGrid>
      <w:tr w:rsidR="00FC78C0" w:rsidRPr="00FC78C0" w14:paraId="23AC200B" w14:textId="77777777" w:rsidTr="00EC7AD8">
        <w:trPr>
          <w:cnfStyle w:val="100000000000" w:firstRow="1" w:lastRow="0" w:firstColumn="0" w:lastColumn="0" w:oddVBand="0" w:evenVBand="0" w:oddHBand="0" w:evenHBand="0" w:firstRowFirstColumn="0" w:firstRowLastColumn="0" w:lastRowFirstColumn="0" w:lastRowLastColumn="0"/>
          <w:trHeight w:val="320"/>
        </w:trPr>
        <w:tc>
          <w:tcPr>
            <w:tcW w:w="4999" w:type="pct"/>
            <w:gridSpan w:val="29"/>
            <w:vAlign w:val="top"/>
          </w:tcPr>
          <w:p w14:paraId="0E065308" w14:textId="77777777" w:rsidR="00FC78C0" w:rsidRPr="00FC78C0" w:rsidRDefault="00FC78C0" w:rsidP="00EC7AD8">
            <w:pPr>
              <w:pStyle w:val="Tableheaderrowblack"/>
            </w:pPr>
            <w:r w:rsidRPr="00FC78C0">
              <w:t>CLINICAL DETAILS</w:t>
            </w:r>
          </w:p>
        </w:tc>
      </w:tr>
      <w:tr w:rsidR="00EC7AD8" w:rsidRPr="00FC78C0" w14:paraId="27F8CA27" w14:textId="77777777" w:rsidTr="00EC7AD8">
        <w:trPr>
          <w:trHeight w:val="320"/>
        </w:trPr>
        <w:tc>
          <w:tcPr>
            <w:tcW w:w="1301" w:type="pct"/>
            <w:gridSpan w:val="5"/>
            <w:vAlign w:val="top"/>
          </w:tcPr>
          <w:p w14:paraId="77267603" w14:textId="31B0DAD9" w:rsidR="00EC7AD8" w:rsidRPr="00FC78C0" w:rsidRDefault="00EC7AD8" w:rsidP="00EC7AD8">
            <w:pPr>
              <w:pStyle w:val="Tableheaderrowblack"/>
            </w:pPr>
            <w:r w:rsidRPr="00FC78C0">
              <w:t>Symptoms present</w:t>
            </w:r>
          </w:p>
        </w:tc>
        <w:tc>
          <w:tcPr>
            <w:tcW w:w="1089" w:type="pct"/>
            <w:gridSpan w:val="9"/>
          </w:tcPr>
          <w:p w14:paraId="198A3605" w14:textId="60FCDC73" w:rsidR="00EC7AD8" w:rsidRPr="00FC78C0"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306" w:type="pct"/>
            <w:gridSpan w:val="8"/>
          </w:tcPr>
          <w:p w14:paraId="66472B11" w14:textId="00738BBD" w:rsidR="00EC7AD8" w:rsidRPr="00FC78C0"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t xml:space="preserve"> No</w:t>
            </w:r>
          </w:p>
        </w:tc>
        <w:tc>
          <w:tcPr>
            <w:tcW w:w="1303" w:type="pct"/>
            <w:gridSpan w:val="7"/>
          </w:tcPr>
          <w:p w14:paraId="534C0F6E" w14:textId="60C15A66" w:rsidR="00EC7AD8" w:rsidRPr="00FC78C0"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EC7AD8" w:rsidRPr="00FC78C0" w14:paraId="4DC47999" w14:textId="77777777" w:rsidTr="00EC7AD8">
        <w:trPr>
          <w:trHeight w:val="320"/>
        </w:trPr>
        <w:tc>
          <w:tcPr>
            <w:tcW w:w="1301" w:type="pct"/>
            <w:gridSpan w:val="5"/>
            <w:vAlign w:val="top"/>
          </w:tcPr>
          <w:p w14:paraId="7A1CE625" w14:textId="3FE22052" w:rsidR="00EC7AD8" w:rsidRPr="00FC78C0" w:rsidRDefault="00EC7AD8" w:rsidP="00EC7AD8">
            <w:pPr>
              <w:pStyle w:val="Tableheaderrowblack"/>
            </w:pPr>
            <w:r w:rsidRPr="00FC78C0">
              <w:t>Onset of first symptoms</w:t>
            </w:r>
          </w:p>
        </w:tc>
        <w:tc>
          <w:tcPr>
            <w:tcW w:w="1089" w:type="pct"/>
            <w:gridSpan w:val="9"/>
          </w:tcPr>
          <w:p w14:paraId="41B612FA" w14:textId="665E64DC" w:rsidR="00EC7AD8" w:rsidRPr="00FC78C0" w:rsidRDefault="00EC7AD8" w:rsidP="00EC7AD8">
            <w:pPr>
              <w:pStyle w:val="Tabletext"/>
            </w:pPr>
            <w:r w:rsidRPr="00FC78C0">
              <w:t>Date ___/___/____</w:t>
            </w:r>
          </w:p>
        </w:tc>
        <w:tc>
          <w:tcPr>
            <w:tcW w:w="1306" w:type="pct"/>
            <w:gridSpan w:val="8"/>
          </w:tcPr>
          <w:p w14:paraId="0102E335" w14:textId="1D701F5B" w:rsidR="00EC7AD8" w:rsidRPr="00FC78C0" w:rsidRDefault="00EC7AD8" w:rsidP="00EC7AD8">
            <w:pPr>
              <w:pStyle w:val="Tabletext"/>
            </w:pPr>
            <w:r w:rsidRPr="00FC78C0">
              <w:t>Time: ________ AM / PM</w:t>
            </w:r>
          </w:p>
        </w:tc>
        <w:tc>
          <w:tcPr>
            <w:tcW w:w="1303" w:type="pct"/>
            <w:gridSpan w:val="7"/>
          </w:tcPr>
          <w:p w14:paraId="571B4F77" w14:textId="02B1CD48" w:rsidR="00EC7AD8" w:rsidRPr="00FC78C0" w:rsidRDefault="00EC7AD8" w:rsidP="00EC7AD8">
            <w:pPr>
              <w:pStyle w:val="Tabletext"/>
            </w:pPr>
          </w:p>
        </w:tc>
      </w:tr>
      <w:tr w:rsidR="002F19F4" w:rsidRPr="00FC78C0" w14:paraId="2E3DCC9C" w14:textId="77777777" w:rsidTr="00EC7AD8">
        <w:trPr>
          <w:trHeight w:val="320"/>
        </w:trPr>
        <w:tc>
          <w:tcPr>
            <w:tcW w:w="4999" w:type="pct"/>
            <w:gridSpan w:val="29"/>
            <w:shd w:val="clear" w:color="auto" w:fill="F2F2F2" w:themeFill="background1" w:themeFillShade="F2"/>
            <w:vAlign w:val="top"/>
          </w:tcPr>
          <w:p w14:paraId="4470962B" w14:textId="1A1E9B6C" w:rsidR="002F19F4" w:rsidRPr="00FC78C0" w:rsidRDefault="002F19F4" w:rsidP="00EC7AD8">
            <w:pPr>
              <w:pStyle w:val="Tableheaderrowblack"/>
              <w:rPr>
                <w:sz w:val="14"/>
                <w:szCs w:val="14"/>
              </w:rPr>
            </w:pPr>
            <w:r w:rsidRPr="00FC78C0">
              <w:t>Signs and symptoms</w:t>
            </w:r>
          </w:p>
        </w:tc>
      </w:tr>
      <w:tr w:rsidR="002F19F4" w:rsidRPr="00FC78C0" w14:paraId="76AB37ED" w14:textId="77777777" w:rsidTr="00EC7AD8">
        <w:trPr>
          <w:trHeight w:val="320"/>
        </w:trPr>
        <w:tc>
          <w:tcPr>
            <w:tcW w:w="1306" w:type="pct"/>
            <w:gridSpan w:val="6"/>
            <w:vAlign w:val="top"/>
          </w:tcPr>
          <w:p w14:paraId="1BAF6CC0" w14:textId="4107095E" w:rsidR="002F19F4" w:rsidRPr="00FC78C0" w:rsidRDefault="002F19F4" w:rsidP="00EC7AD8">
            <w:pPr>
              <w:pStyle w:val="Tableheaderrowblack"/>
              <w:rPr>
                <w:sz w:val="14"/>
                <w:szCs w:val="14"/>
              </w:rPr>
            </w:pPr>
            <w:r w:rsidRPr="00FC78C0">
              <w:t>Rash/Lesions</w:t>
            </w:r>
          </w:p>
        </w:tc>
        <w:tc>
          <w:tcPr>
            <w:tcW w:w="1089" w:type="pct"/>
            <w:gridSpan w:val="9"/>
          </w:tcPr>
          <w:p w14:paraId="33EBC32A" w14:textId="35953044" w:rsidR="002F19F4" w:rsidRPr="00FC78C0" w:rsidRDefault="002F19F4"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306" w:type="pct"/>
            <w:gridSpan w:val="8"/>
          </w:tcPr>
          <w:p w14:paraId="76AAEBAF" w14:textId="613723D7" w:rsidR="002F19F4" w:rsidRPr="00FC78C0" w:rsidRDefault="002F19F4"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t xml:space="preserve"> No</w:t>
            </w:r>
          </w:p>
        </w:tc>
        <w:tc>
          <w:tcPr>
            <w:tcW w:w="1298" w:type="pct"/>
            <w:gridSpan w:val="6"/>
          </w:tcPr>
          <w:p w14:paraId="13DF401C" w14:textId="2CC4402A" w:rsidR="002F19F4" w:rsidRPr="00FC78C0" w:rsidRDefault="002F19F4"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F19F4" w:rsidRPr="00FC78C0" w14:paraId="41BE7A95" w14:textId="77777777" w:rsidTr="00EC7AD8">
        <w:trPr>
          <w:trHeight w:val="320"/>
        </w:trPr>
        <w:tc>
          <w:tcPr>
            <w:tcW w:w="1306" w:type="pct"/>
            <w:gridSpan w:val="6"/>
            <w:vAlign w:val="top"/>
          </w:tcPr>
          <w:p w14:paraId="5BD3220C" w14:textId="4B177AB5" w:rsidR="002F19F4" w:rsidRPr="00FC78C0" w:rsidRDefault="002F19F4" w:rsidP="00EC7AD8">
            <w:pPr>
              <w:pStyle w:val="Tableheaderrowblack"/>
            </w:pPr>
            <w:r w:rsidRPr="00FC78C0">
              <w:t xml:space="preserve">Fever </w:t>
            </w:r>
            <w:r w:rsidRPr="006769C8">
              <w:t>≥</w:t>
            </w:r>
            <w:r w:rsidRPr="00FC78C0">
              <w:t xml:space="preserve"> 38°C</w:t>
            </w:r>
          </w:p>
        </w:tc>
        <w:tc>
          <w:tcPr>
            <w:tcW w:w="1089" w:type="pct"/>
            <w:gridSpan w:val="9"/>
          </w:tcPr>
          <w:p w14:paraId="4DCE1B53" w14:textId="7C2828FB" w:rsidR="002F19F4" w:rsidRPr="007C3093" w:rsidRDefault="002F19F4"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306" w:type="pct"/>
            <w:gridSpan w:val="8"/>
          </w:tcPr>
          <w:p w14:paraId="76FB1E62" w14:textId="2BB91FB1" w:rsidR="002F19F4" w:rsidRPr="007C3093" w:rsidRDefault="002F19F4"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298" w:type="pct"/>
            <w:gridSpan w:val="6"/>
          </w:tcPr>
          <w:p w14:paraId="1AC990A3" w14:textId="7801A28A" w:rsidR="002F19F4" w:rsidRPr="007C3093" w:rsidRDefault="002F19F4"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717DA6" w:rsidRPr="00FC78C0" w14:paraId="4CF797AE" w14:textId="77777777" w:rsidTr="00EC7AD8">
        <w:trPr>
          <w:trHeight w:val="320"/>
        </w:trPr>
        <w:tc>
          <w:tcPr>
            <w:tcW w:w="865" w:type="pct"/>
            <w:gridSpan w:val="2"/>
            <w:vAlign w:val="top"/>
          </w:tcPr>
          <w:p w14:paraId="7DF086BE" w14:textId="5EED5AD0" w:rsidR="00717DA6" w:rsidRPr="00FC78C0" w:rsidRDefault="00717DA6" w:rsidP="00EC7AD8">
            <w:pPr>
              <w:pStyle w:val="Tableheaderrowblack"/>
              <w:rPr>
                <w:sz w:val="14"/>
                <w:szCs w:val="14"/>
              </w:rPr>
            </w:pPr>
            <w:r w:rsidRPr="00FC78C0">
              <w:t>Description of rash/lesion</w:t>
            </w:r>
          </w:p>
        </w:tc>
        <w:tc>
          <w:tcPr>
            <w:tcW w:w="654" w:type="pct"/>
            <w:gridSpan w:val="6"/>
          </w:tcPr>
          <w:p w14:paraId="0F6E1C24" w14:textId="7EA821A4" w:rsidR="00717DA6" w:rsidRPr="00FC78C0" w:rsidRDefault="00717DA6"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macules</w:t>
            </w:r>
          </w:p>
        </w:tc>
        <w:tc>
          <w:tcPr>
            <w:tcW w:w="877" w:type="pct"/>
            <w:gridSpan w:val="7"/>
          </w:tcPr>
          <w:p w14:paraId="0E3A40F6" w14:textId="131F9641" w:rsidR="00717DA6" w:rsidRPr="00FC78C0" w:rsidRDefault="00717DA6"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vesicles</w:t>
            </w:r>
          </w:p>
        </w:tc>
        <w:tc>
          <w:tcPr>
            <w:tcW w:w="870" w:type="pct"/>
            <w:gridSpan w:val="4"/>
          </w:tcPr>
          <w:p w14:paraId="6BDAD377" w14:textId="3DD3F0E3" w:rsidR="00717DA6" w:rsidRPr="00FC78C0" w:rsidRDefault="00717DA6"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pustules</w:t>
            </w:r>
          </w:p>
        </w:tc>
        <w:tc>
          <w:tcPr>
            <w:tcW w:w="869" w:type="pct"/>
            <w:gridSpan w:val="7"/>
          </w:tcPr>
          <w:p w14:paraId="44EF5B9D" w14:textId="06CD13ED" w:rsidR="00717DA6" w:rsidRPr="00FC78C0" w:rsidRDefault="00717DA6"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scabs</w:t>
            </w:r>
          </w:p>
        </w:tc>
        <w:tc>
          <w:tcPr>
            <w:tcW w:w="865" w:type="pct"/>
            <w:gridSpan w:val="3"/>
          </w:tcPr>
          <w:p w14:paraId="218D836C" w14:textId="04822E50" w:rsidR="00717DA6" w:rsidRPr="00FC78C0" w:rsidRDefault="00717DA6"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healed</w:t>
            </w:r>
          </w:p>
        </w:tc>
      </w:tr>
      <w:tr w:rsidR="00280568" w:rsidRPr="00FC78C0" w14:paraId="56DC08CD" w14:textId="77777777" w:rsidTr="00EC7AD8">
        <w:trPr>
          <w:trHeight w:val="465"/>
        </w:trPr>
        <w:tc>
          <w:tcPr>
            <w:tcW w:w="524" w:type="pct"/>
            <w:vAlign w:val="top"/>
          </w:tcPr>
          <w:p w14:paraId="3B99CFB2" w14:textId="44BCDE75" w:rsidR="00280568" w:rsidRPr="00FC78C0" w:rsidRDefault="00280568" w:rsidP="00EC7AD8">
            <w:pPr>
              <w:pStyle w:val="Tableheaderrowblack"/>
            </w:pPr>
            <w:r w:rsidRPr="00FC78C0">
              <w:t>Rash/lesion location</w:t>
            </w:r>
          </w:p>
        </w:tc>
        <w:tc>
          <w:tcPr>
            <w:tcW w:w="519" w:type="pct"/>
            <w:gridSpan w:val="2"/>
            <w:vAlign w:val="top"/>
          </w:tcPr>
          <w:p w14:paraId="056769E3" w14:textId="73124E9D"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6769C8">
              <w:t xml:space="preserve"> </w:t>
            </w:r>
            <w:r w:rsidRPr="00FC78C0">
              <w:t>Face</w:t>
            </w:r>
          </w:p>
        </w:tc>
        <w:tc>
          <w:tcPr>
            <w:tcW w:w="522" w:type="pct"/>
            <w:gridSpan w:val="6"/>
            <w:vAlign w:val="top"/>
          </w:tcPr>
          <w:p w14:paraId="2135BE11" w14:textId="008FA8AB"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Mouth</w:t>
            </w:r>
          </w:p>
        </w:tc>
        <w:tc>
          <w:tcPr>
            <w:tcW w:w="303" w:type="pct"/>
            <w:vAlign w:val="top"/>
          </w:tcPr>
          <w:p w14:paraId="25C9601A" w14:textId="29128681"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Arms</w:t>
            </w:r>
          </w:p>
        </w:tc>
        <w:tc>
          <w:tcPr>
            <w:tcW w:w="527" w:type="pct"/>
            <w:gridSpan w:val="5"/>
            <w:vAlign w:val="top"/>
          </w:tcPr>
          <w:p w14:paraId="39789BB0" w14:textId="7934A278"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Hands</w:t>
            </w:r>
          </w:p>
        </w:tc>
        <w:tc>
          <w:tcPr>
            <w:tcW w:w="522" w:type="pct"/>
            <w:gridSpan w:val="2"/>
            <w:vAlign w:val="top"/>
          </w:tcPr>
          <w:p w14:paraId="62F98B66" w14:textId="630CA56D"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Feet</w:t>
            </w:r>
          </w:p>
        </w:tc>
        <w:tc>
          <w:tcPr>
            <w:tcW w:w="522" w:type="pct"/>
            <w:gridSpan w:val="3"/>
            <w:vAlign w:val="top"/>
          </w:tcPr>
          <w:p w14:paraId="1A65A771" w14:textId="02AB281B"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Legs</w:t>
            </w:r>
          </w:p>
        </w:tc>
        <w:tc>
          <w:tcPr>
            <w:tcW w:w="521" w:type="pct"/>
            <w:gridSpan w:val="4"/>
            <w:vAlign w:val="top"/>
          </w:tcPr>
          <w:p w14:paraId="48D5564B" w14:textId="1ED57E29"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Thorax</w:t>
            </w:r>
          </w:p>
        </w:tc>
        <w:tc>
          <w:tcPr>
            <w:tcW w:w="523" w:type="pct"/>
            <w:gridSpan w:val="4"/>
            <w:vAlign w:val="top"/>
          </w:tcPr>
          <w:p w14:paraId="3B5C5696" w14:textId="369AB5B9"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Genital/perianal</w:t>
            </w:r>
          </w:p>
        </w:tc>
        <w:tc>
          <w:tcPr>
            <w:tcW w:w="515" w:type="pct"/>
            <w:vAlign w:val="top"/>
          </w:tcPr>
          <w:p w14:paraId="6B55D512" w14:textId="57063AA2" w:rsidR="00280568" w:rsidRPr="00FC78C0"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All over body</w:t>
            </w:r>
          </w:p>
        </w:tc>
      </w:tr>
      <w:tr w:rsidR="00280568" w:rsidRPr="00FC78C0" w14:paraId="2C9EF51E" w14:textId="77777777" w:rsidTr="00EC7AD8">
        <w:trPr>
          <w:trHeight w:val="283"/>
        </w:trPr>
        <w:tc>
          <w:tcPr>
            <w:tcW w:w="1260" w:type="pct"/>
            <w:gridSpan w:val="4"/>
            <w:vAlign w:val="top"/>
          </w:tcPr>
          <w:p w14:paraId="3F27B49C" w14:textId="04AE0D9F" w:rsidR="00280568" w:rsidRPr="00FC78C0" w:rsidRDefault="00280568" w:rsidP="00EC7AD8">
            <w:pPr>
              <w:pStyle w:val="Tableheaderrowblack"/>
            </w:pPr>
            <w:r w:rsidRPr="00FC78C0">
              <w:t>Headache</w:t>
            </w:r>
          </w:p>
        </w:tc>
        <w:tc>
          <w:tcPr>
            <w:tcW w:w="987" w:type="pct"/>
            <w:gridSpan w:val="8"/>
            <w:vAlign w:val="top"/>
          </w:tcPr>
          <w:p w14:paraId="7148ADA5" w14:textId="7CC11A0C"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0C3A7F24" w14:textId="3F5BFDF2"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3B2C46A5" w14:textId="3A5E5399"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100353D8" w14:textId="77777777" w:rsidTr="00EC7AD8">
        <w:trPr>
          <w:trHeight w:val="283"/>
        </w:trPr>
        <w:tc>
          <w:tcPr>
            <w:tcW w:w="1260" w:type="pct"/>
            <w:gridSpan w:val="4"/>
            <w:vAlign w:val="top"/>
          </w:tcPr>
          <w:p w14:paraId="4901E0AE" w14:textId="68BFEF5F" w:rsidR="00280568" w:rsidRPr="00FC78C0" w:rsidRDefault="00280568" w:rsidP="00EC7AD8">
            <w:pPr>
              <w:pStyle w:val="Tableheaderrowblack"/>
            </w:pPr>
            <w:r w:rsidRPr="00FC78C0">
              <w:t>Cough</w:t>
            </w:r>
          </w:p>
        </w:tc>
        <w:tc>
          <w:tcPr>
            <w:tcW w:w="987" w:type="pct"/>
            <w:gridSpan w:val="8"/>
            <w:vAlign w:val="top"/>
          </w:tcPr>
          <w:p w14:paraId="68154CAC" w14:textId="51730DBC"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142B5E0B" w14:textId="45E2CDD2"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5EC393A0" w14:textId="280DBFAB"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0CC94EB5" w14:textId="77777777" w:rsidTr="00EC7AD8">
        <w:trPr>
          <w:trHeight w:val="283"/>
        </w:trPr>
        <w:tc>
          <w:tcPr>
            <w:tcW w:w="1260" w:type="pct"/>
            <w:gridSpan w:val="4"/>
            <w:vAlign w:val="top"/>
          </w:tcPr>
          <w:p w14:paraId="457AB085" w14:textId="7717D49E" w:rsidR="00280568" w:rsidRPr="00FC78C0" w:rsidRDefault="00280568" w:rsidP="00EC7AD8">
            <w:pPr>
              <w:pStyle w:val="Tableheaderrowblack"/>
            </w:pPr>
            <w:r w:rsidRPr="00FC78C0">
              <w:t>Lymphadenopathy</w:t>
            </w:r>
          </w:p>
        </w:tc>
        <w:tc>
          <w:tcPr>
            <w:tcW w:w="987" w:type="pct"/>
            <w:gridSpan w:val="8"/>
            <w:vAlign w:val="top"/>
          </w:tcPr>
          <w:p w14:paraId="0ED2B610" w14:textId="2D0727C9"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449F2BD3" w14:textId="73331CCD"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29611758" w14:textId="1EBDD244"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5D61845C" w14:textId="77777777" w:rsidTr="00EC7AD8">
        <w:trPr>
          <w:trHeight w:val="283"/>
        </w:trPr>
        <w:tc>
          <w:tcPr>
            <w:tcW w:w="1260" w:type="pct"/>
            <w:gridSpan w:val="4"/>
            <w:vAlign w:val="top"/>
          </w:tcPr>
          <w:p w14:paraId="770E3003" w14:textId="0A0FCC84" w:rsidR="00280568" w:rsidRPr="00FC78C0" w:rsidRDefault="00280568" w:rsidP="00EC7AD8">
            <w:pPr>
              <w:pStyle w:val="Tableheaderrowblack"/>
            </w:pPr>
            <w:r w:rsidRPr="00FC78C0">
              <w:t>Lymphadenopathy - location</w:t>
            </w:r>
          </w:p>
        </w:tc>
        <w:tc>
          <w:tcPr>
            <w:tcW w:w="987" w:type="pct"/>
            <w:gridSpan w:val="8"/>
            <w:vAlign w:val="top"/>
          </w:tcPr>
          <w:p w14:paraId="7654E95C" w14:textId="4B313A30"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Inguinal  </w:t>
            </w:r>
          </w:p>
        </w:tc>
        <w:tc>
          <w:tcPr>
            <w:tcW w:w="1214" w:type="pct"/>
            <w:gridSpan w:val="9"/>
            <w:vAlign w:val="top"/>
          </w:tcPr>
          <w:p w14:paraId="32895B72" w14:textId="4A808DE4"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Axillary</w:t>
            </w:r>
          </w:p>
        </w:tc>
        <w:tc>
          <w:tcPr>
            <w:tcW w:w="1538" w:type="pct"/>
            <w:gridSpan w:val="8"/>
            <w:vAlign w:val="top"/>
          </w:tcPr>
          <w:p w14:paraId="5A85E2FA" w14:textId="7F6A6EE4"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6769C8">
              <w:t xml:space="preserve"> </w:t>
            </w:r>
            <w:r w:rsidRPr="00FC78C0">
              <w:t>Cervical</w:t>
            </w:r>
          </w:p>
        </w:tc>
      </w:tr>
      <w:tr w:rsidR="00280568" w:rsidRPr="00FC78C0" w14:paraId="1A482DEE" w14:textId="77777777" w:rsidTr="00EC7AD8">
        <w:trPr>
          <w:trHeight w:val="283"/>
        </w:trPr>
        <w:tc>
          <w:tcPr>
            <w:tcW w:w="1260" w:type="pct"/>
            <w:gridSpan w:val="4"/>
            <w:vAlign w:val="top"/>
          </w:tcPr>
          <w:p w14:paraId="6FBADEC0" w14:textId="22369999" w:rsidR="00280568" w:rsidRPr="00FC78C0" w:rsidRDefault="00280568" w:rsidP="00EC7AD8">
            <w:pPr>
              <w:pStyle w:val="Tableheaderrowblack"/>
            </w:pPr>
            <w:r w:rsidRPr="00FC78C0">
              <w:t>Chills or sweats</w:t>
            </w:r>
          </w:p>
        </w:tc>
        <w:tc>
          <w:tcPr>
            <w:tcW w:w="987" w:type="pct"/>
            <w:gridSpan w:val="8"/>
            <w:vAlign w:val="top"/>
          </w:tcPr>
          <w:p w14:paraId="6F0056BF" w14:textId="50D3B40E"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w:t>
            </w:r>
            <w:r>
              <w:t>s</w:t>
            </w:r>
          </w:p>
        </w:tc>
        <w:tc>
          <w:tcPr>
            <w:tcW w:w="1214" w:type="pct"/>
            <w:gridSpan w:val="9"/>
            <w:vAlign w:val="top"/>
          </w:tcPr>
          <w:p w14:paraId="7B0CC5E9" w14:textId="2EE719A9"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34116478" w14:textId="7E3B1857"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3B2C10EB" w14:textId="77777777" w:rsidTr="00EC7AD8">
        <w:trPr>
          <w:trHeight w:val="283"/>
        </w:trPr>
        <w:tc>
          <w:tcPr>
            <w:tcW w:w="1260" w:type="pct"/>
            <w:gridSpan w:val="4"/>
            <w:vAlign w:val="top"/>
          </w:tcPr>
          <w:p w14:paraId="6DA1D02E" w14:textId="59CE052A" w:rsidR="00280568" w:rsidRPr="00FC78C0" w:rsidRDefault="00280568" w:rsidP="00EC7AD8">
            <w:pPr>
              <w:pStyle w:val="Tableheaderrowblack"/>
            </w:pPr>
            <w:r w:rsidRPr="00FC78C0">
              <w:t>Itch</w:t>
            </w:r>
          </w:p>
        </w:tc>
        <w:tc>
          <w:tcPr>
            <w:tcW w:w="987" w:type="pct"/>
            <w:gridSpan w:val="8"/>
            <w:vAlign w:val="top"/>
          </w:tcPr>
          <w:p w14:paraId="73BC6447" w14:textId="529807A3"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1D5FE378" w14:textId="57BC5E2C"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02A626D3" w14:textId="3B48C7BC"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41ADA0C5" w14:textId="77777777" w:rsidTr="00EC7AD8">
        <w:trPr>
          <w:trHeight w:val="283"/>
        </w:trPr>
        <w:tc>
          <w:tcPr>
            <w:tcW w:w="1260" w:type="pct"/>
            <w:gridSpan w:val="4"/>
            <w:vAlign w:val="top"/>
          </w:tcPr>
          <w:p w14:paraId="589D6119" w14:textId="0816A2B3" w:rsidR="00280568" w:rsidRPr="00FC78C0" w:rsidRDefault="00280568" w:rsidP="00EC7AD8">
            <w:pPr>
              <w:pStyle w:val="Tableheaderrowblack"/>
            </w:pPr>
            <w:r w:rsidRPr="00FC78C0">
              <w:t>Vomiting/nausea</w:t>
            </w:r>
          </w:p>
        </w:tc>
        <w:tc>
          <w:tcPr>
            <w:tcW w:w="987" w:type="pct"/>
            <w:gridSpan w:val="8"/>
            <w:vAlign w:val="top"/>
          </w:tcPr>
          <w:p w14:paraId="28A2EA74" w14:textId="72C30B64"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0D092CF9" w14:textId="7AC0E3FD"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340F1537" w14:textId="208DCB67"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0568" w:rsidRPr="00FC78C0" w14:paraId="70D8B186" w14:textId="77777777" w:rsidTr="00EC7AD8">
        <w:trPr>
          <w:trHeight w:val="283"/>
        </w:trPr>
        <w:tc>
          <w:tcPr>
            <w:tcW w:w="1260" w:type="pct"/>
            <w:gridSpan w:val="4"/>
            <w:vAlign w:val="top"/>
          </w:tcPr>
          <w:p w14:paraId="07BAF106" w14:textId="46A393C8" w:rsidR="00280568" w:rsidRPr="00FC78C0" w:rsidRDefault="00280568" w:rsidP="00EC7AD8">
            <w:pPr>
              <w:pStyle w:val="Tableheaderrowblack"/>
            </w:pPr>
            <w:r w:rsidRPr="00FC78C0">
              <w:t>Oral ulcers</w:t>
            </w:r>
          </w:p>
        </w:tc>
        <w:tc>
          <w:tcPr>
            <w:tcW w:w="987" w:type="pct"/>
            <w:gridSpan w:val="8"/>
            <w:vAlign w:val="top"/>
          </w:tcPr>
          <w:p w14:paraId="29BD2276" w14:textId="36F10B4D"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57DFD3F2" w14:textId="59C9D636"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40D2C4E7" w14:textId="643AC762" w:rsidR="00280568" w:rsidRPr="007C3093" w:rsidRDefault="0028056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  </w:t>
            </w:r>
          </w:p>
        </w:tc>
      </w:tr>
      <w:tr w:rsidR="00283FDA" w:rsidRPr="00FC78C0" w14:paraId="165F5AA3" w14:textId="77777777" w:rsidTr="00EC7AD8">
        <w:trPr>
          <w:trHeight w:val="283"/>
        </w:trPr>
        <w:tc>
          <w:tcPr>
            <w:tcW w:w="1260" w:type="pct"/>
            <w:gridSpan w:val="4"/>
            <w:vAlign w:val="top"/>
          </w:tcPr>
          <w:p w14:paraId="2E4E1D3E" w14:textId="282D0E85" w:rsidR="00283FDA" w:rsidRPr="00FC78C0" w:rsidRDefault="00283FDA" w:rsidP="00EC7AD8">
            <w:pPr>
              <w:pStyle w:val="Tableheaderrowblack"/>
            </w:pPr>
            <w:r w:rsidRPr="00FC78C0">
              <w:t>Fatigue</w:t>
            </w:r>
          </w:p>
        </w:tc>
        <w:tc>
          <w:tcPr>
            <w:tcW w:w="987" w:type="pct"/>
            <w:gridSpan w:val="8"/>
            <w:vAlign w:val="top"/>
          </w:tcPr>
          <w:p w14:paraId="3DA89EDD" w14:textId="6A5D0454"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2CE7727F" w14:textId="73E5E542"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08E36326" w14:textId="65AADD11"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3FDA" w:rsidRPr="00FC78C0" w14:paraId="1027140F" w14:textId="77777777" w:rsidTr="00EC7AD8">
        <w:trPr>
          <w:trHeight w:val="283"/>
        </w:trPr>
        <w:tc>
          <w:tcPr>
            <w:tcW w:w="1260" w:type="pct"/>
            <w:gridSpan w:val="4"/>
            <w:vAlign w:val="top"/>
          </w:tcPr>
          <w:p w14:paraId="169AE40F" w14:textId="6392D7DD" w:rsidR="00283FDA" w:rsidRPr="00FC78C0" w:rsidRDefault="00283FDA" w:rsidP="00EC7AD8">
            <w:pPr>
              <w:pStyle w:val="Tableheaderrowblack"/>
            </w:pPr>
            <w:r w:rsidRPr="00FC78C0">
              <w:t>Myalgia</w:t>
            </w:r>
          </w:p>
        </w:tc>
        <w:tc>
          <w:tcPr>
            <w:tcW w:w="987" w:type="pct"/>
            <w:gridSpan w:val="8"/>
            <w:vAlign w:val="top"/>
          </w:tcPr>
          <w:p w14:paraId="4F2BD7DC" w14:textId="0D7C0002"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6004E68A" w14:textId="55990C09"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370D313F" w14:textId="66EFB036"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8C37E3" w:rsidRPr="00FC78C0" w14:paraId="5BED6FAD" w14:textId="77777777" w:rsidTr="00EC7AD8">
        <w:trPr>
          <w:trHeight w:val="283"/>
        </w:trPr>
        <w:tc>
          <w:tcPr>
            <w:tcW w:w="1260" w:type="pct"/>
            <w:gridSpan w:val="4"/>
            <w:vAlign w:val="top"/>
          </w:tcPr>
          <w:p w14:paraId="153753EC" w14:textId="21C7ED36" w:rsidR="008C37E3" w:rsidRPr="00FC78C0" w:rsidRDefault="008C37E3" w:rsidP="00EC7AD8">
            <w:pPr>
              <w:pStyle w:val="Tableheaderrowblack"/>
            </w:pPr>
            <w:r w:rsidRPr="00FC78C0">
              <w:t>Conjunctivitis</w:t>
            </w:r>
          </w:p>
        </w:tc>
        <w:tc>
          <w:tcPr>
            <w:tcW w:w="987" w:type="pct"/>
            <w:gridSpan w:val="8"/>
            <w:vAlign w:val="top"/>
          </w:tcPr>
          <w:p w14:paraId="069B53F0" w14:textId="34C76DBB" w:rsidR="008C37E3" w:rsidRPr="007C3093" w:rsidRDefault="008C37E3"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0FEFD171" w14:textId="1A25442A" w:rsidR="008C37E3" w:rsidRPr="007C3093" w:rsidRDefault="008C37E3"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7E4298D0" w14:textId="2D11460D" w:rsidR="008C37E3" w:rsidRPr="007C3093" w:rsidRDefault="008C37E3"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283FDA" w:rsidRPr="00FC78C0" w14:paraId="24BA1713" w14:textId="77777777" w:rsidTr="00EC7AD8">
        <w:trPr>
          <w:trHeight w:val="283"/>
        </w:trPr>
        <w:tc>
          <w:tcPr>
            <w:tcW w:w="1260" w:type="pct"/>
            <w:gridSpan w:val="4"/>
            <w:vAlign w:val="top"/>
          </w:tcPr>
          <w:p w14:paraId="05D2B5CA" w14:textId="13701813" w:rsidR="00283FDA" w:rsidRPr="00FC78C0" w:rsidRDefault="00283FDA" w:rsidP="00EC7AD8">
            <w:pPr>
              <w:pStyle w:val="Tableheaderrowblack"/>
            </w:pPr>
            <w:r w:rsidRPr="00FC78C0">
              <w:t>Sore throat</w:t>
            </w:r>
          </w:p>
        </w:tc>
        <w:tc>
          <w:tcPr>
            <w:tcW w:w="987" w:type="pct"/>
            <w:gridSpan w:val="8"/>
            <w:vAlign w:val="top"/>
          </w:tcPr>
          <w:p w14:paraId="7F94B1D6" w14:textId="6918F902"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214" w:type="pct"/>
            <w:gridSpan w:val="9"/>
            <w:vAlign w:val="top"/>
          </w:tcPr>
          <w:p w14:paraId="06776C6F" w14:textId="6B6FA73C"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538" w:type="pct"/>
            <w:gridSpan w:val="8"/>
            <w:vAlign w:val="top"/>
          </w:tcPr>
          <w:p w14:paraId="2E87A462" w14:textId="1447FC0F" w:rsidR="00283FDA" w:rsidRPr="00FC78C0" w:rsidRDefault="00283FDA"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r w:rsidR="00FC78C0" w:rsidRPr="00FC78C0" w14:paraId="638F83CB" w14:textId="77777777" w:rsidTr="00EC7AD8">
        <w:trPr>
          <w:trHeight w:val="320"/>
        </w:trPr>
        <w:tc>
          <w:tcPr>
            <w:tcW w:w="4999" w:type="pct"/>
            <w:gridSpan w:val="29"/>
            <w:vAlign w:val="top"/>
          </w:tcPr>
          <w:p w14:paraId="1D7D1B5D" w14:textId="527C292A" w:rsidR="00FC78C0" w:rsidRPr="00FC78C0" w:rsidRDefault="00FC78C0" w:rsidP="00EC7AD8">
            <w:pPr>
              <w:pStyle w:val="Tabletext"/>
              <w:rPr>
                <w:sz w:val="14"/>
                <w:szCs w:val="14"/>
              </w:rPr>
            </w:pPr>
            <w:r w:rsidRPr="00FC78C0">
              <w:t xml:space="preserve">Other (specify) </w:t>
            </w:r>
            <w:r w:rsidRPr="006769C8">
              <w:t>_____________________________</w:t>
            </w:r>
          </w:p>
        </w:tc>
      </w:tr>
      <w:tr w:rsidR="00EC7AD8" w:rsidRPr="00FC78C0" w14:paraId="0FFC1D60" w14:textId="77777777" w:rsidTr="00EC7AD8">
        <w:trPr>
          <w:trHeight w:val="320"/>
        </w:trPr>
        <w:tc>
          <w:tcPr>
            <w:tcW w:w="1374" w:type="pct"/>
            <w:gridSpan w:val="7"/>
            <w:vAlign w:val="top"/>
          </w:tcPr>
          <w:p w14:paraId="635C0D02" w14:textId="75003989" w:rsidR="00EC7AD8" w:rsidRPr="00FC78C0" w:rsidRDefault="00EC7AD8" w:rsidP="00EC7AD8">
            <w:pPr>
              <w:pStyle w:val="Tabletext"/>
            </w:pPr>
            <w:r w:rsidRPr="00FC78C0">
              <w:t>Existing medical conditions</w:t>
            </w:r>
          </w:p>
        </w:tc>
        <w:tc>
          <w:tcPr>
            <w:tcW w:w="906" w:type="pct"/>
            <w:gridSpan w:val="6"/>
            <w:vAlign w:val="top"/>
          </w:tcPr>
          <w:p w14:paraId="6AA4645B" w14:textId="776DEE89" w:rsidR="00EC7AD8" w:rsidRPr="007C3093"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905" w:type="pct"/>
            <w:gridSpan w:val="5"/>
          </w:tcPr>
          <w:p w14:paraId="3FAAEDBF" w14:textId="10C03DDD" w:rsidR="00EC7AD8" w:rsidRPr="007C3093"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906" w:type="pct"/>
            <w:gridSpan w:val="7"/>
          </w:tcPr>
          <w:p w14:paraId="1B6F8770" w14:textId="0FAECC1B" w:rsidR="00EC7AD8" w:rsidRPr="007C3093" w:rsidRDefault="00EC7AD8" w:rsidP="00EC7AD8">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c>
          <w:tcPr>
            <w:tcW w:w="910" w:type="pct"/>
            <w:gridSpan w:val="4"/>
          </w:tcPr>
          <w:p w14:paraId="5D6BE9FB" w14:textId="638E717B" w:rsidR="00EC7AD8" w:rsidRPr="007C3093" w:rsidRDefault="00EC7AD8" w:rsidP="00EC7AD8">
            <w:pPr>
              <w:pStyle w:val="Tabletext"/>
            </w:pPr>
          </w:p>
        </w:tc>
      </w:tr>
      <w:tr w:rsidR="00EC7AD8" w:rsidRPr="00FC78C0" w14:paraId="2E391E5C" w14:textId="77777777" w:rsidTr="00EC7AD8">
        <w:trPr>
          <w:trHeight w:val="320"/>
        </w:trPr>
        <w:tc>
          <w:tcPr>
            <w:tcW w:w="4999" w:type="pct"/>
            <w:gridSpan w:val="29"/>
            <w:vAlign w:val="top"/>
          </w:tcPr>
          <w:p w14:paraId="442A84E5" w14:textId="57807D21" w:rsidR="00EC7AD8" w:rsidRPr="00FC78C0" w:rsidRDefault="00EC7AD8" w:rsidP="00EC7AD8">
            <w:pPr>
              <w:pStyle w:val="Tabletext"/>
              <w:rPr>
                <w:sz w:val="14"/>
                <w:szCs w:val="14"/>
              </w:rPr>
            </w:pPr>
            <w:r w:rsidRPr="00FC78C0">
              <w:lastRenderedPageBreak/>
              <w:t xml:space="preserve">If </w:t>
            </w:r>
            <w:r w:rsidR="00397A31" w:rsidRPr="00FC78C0">
              <w:t>yes</w:t>
            </w:r>
            <w:r w:rsidRPr="00FC78C0">
              <w:t>, provide details________________________________</w:t>
            </w:r>
          </w:p>
        </w:tc>
      </w:tr>
      <w:tr w:rsidR="00EC7AD8" w:rsidRPr="00FC78C0" w14:paraId="337244EF" w14:textId="77777777" w:rsidTr="00EC7AD8">
        <w:trPr>
          <w:trHeight w:val="320"/>
        </w:trPr>
        <w:tc>
          <w:tcPr>
            <w:tcW w:w="1374" w:type="pct"/>
            <w:gridSpan w:val="7"/>
            <w:vAlign w:val="top"/>
          </w:tcPr>
          <w:p w14:paraId="604E68BE" w14:textId="77777777" w:rsidR="00EC7AD8" w:rsidRPr="00E53D86" w:rsidRDefault="00EC7AD8" w:rsidP="00E53D86">
            <w:pPr>
              <w:pStyle w:val="Tableheaderrowblack"/>
            </w:pPr>
            <w:r w:rsidRPr="00E53D86">
              <w:t>Pregnancy status</w:t>
            </w:r>
          </w:p>
        </w:tc>
        <w:tc>
          <w:tcPr>
            <w:tcW w:w="636" w:type="pct"/>
            <w:gridSpan w:val="4"/>
            <w:vAlign w:val="top"/>
          </w:tcPr>
          <w:p w14:paraId="2F340E0A" w14:textId="3B5E657F" w:rsidR="00EC7AD8" w:rsidRPr="00FC78C0" w:rsidRDefault="00EC7AD8"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 (number of weeks gestation __)</w:t>
            </w:r>
          </w:p>
        </w:tc>
        <w:tc>
          <w:tcPr>
            <w:tcW w:w="715" w:type="pct"/>
            <w:gridSpan w:val="5"/>
          </w:tcPr>
          <w:p w14:paraId="7B0B6D5F" w14:textId="5AE41E25" w:rsidR="00EC7AD8" w:rsidRPr="00FC78C0" w:rsidRDefault="00EC7AD8"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456" w:type="pct"/>
            <w:gridSpan w:val="11"/>
          </w:tcPr>
          <w:p w14:paraId="5BAED316" w14:textId="0D19C692" w:rsidR="00EC7AD8" w:rsidRPr="00FC78C0" w:rsidRDefault="00EC7AD8"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Post-birth (infection detected at or after delivery)</w:t>
            </w:r>
          </w:p>
        </w:tc>
        <w:tc>
          <w:tcPr>
            <w:tcW w:w="819" w:type="pct"/>
            <w:gridSpan w:val="2"/>
          </w:tcPr>
          <w:p w14:paraId="3B151924" w14:textId="207C0CF3" w:rsidR="00EC7AD8" w:rsidRPr="00FC78C0" w:rsidRDefault="00EC7AD8" w:rsidP="00EC7AD8">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r>
    </w:tbl>
    <w:p w14:paraId="440ACEA3" w14:textId="77777777" w:rsidR="00FC78C0" w:rsidRPr="00F537A7" w:rsidRDefault="00FC78C0" w:rsidP="00F537A7">
      <w:pPr>
        <w:sectPr w:rsidR="00FC78C0" w:rsidRPr="00F537A7" w:rsidSect="00F537A7">
          <w:type w:val="continuous"/>
          <w:pgSz w:w="11900" w:h="16840"/>
          <w:pgMar w:top="567" w:right="567" w:bottom="1134" w:left="567" w:header="709" w:footer="527" w:gutter="0"/>
          <w:cols w:space="708"/>
          <w:titlePg/>
          <w:docGrid w:linePitch="360"/>
        </w:sectPr>
      </w:pPr>
    </w:p>
    <w:tbl>
      <w:tblPr>
        <w:tblStyle w:val="CDCTable2"/>
        <w:tblpPr w:leftFromText="180" w:rightFromText="180" w:vertAnchor="text" w:horzAnchor="margin" w:tblpY="356"/>
        <w:tblW w:w="5000" w:type="pct"/>
        <w:tblLook w:val="00A0" w:firstRow="1" w:lastRow="0" w:firstColumn="1" w:lastColumn="0" w:noHBand="0" w:noVBand="0"/>
      </w:tblPr>
      <w:tblGrid>
        <w:gridCol w:w="1405"/>
        <w:gridCol w:w="1414"/>
        <w:gridCol w:w="925"/>
        <w:gridCol w:w="489"/>
        <w:gridCol w:w="1415"/>
        <w:gridCol w:w="437"/>
        <w:gridCol w:w="2341"/>
        <w:gridCol w:w="2340"/>
      </w:tblGrid>
      <w:tr w:rsidR="00FC78C0" w:rsidRPr="00FC78C0" w14:paraId="18A9F447" w14:textId="77777777" w:rsidTr="00B55793">
        <w:trPr>
          <w:cnfStyle w:val="100000000000" w:firstRow="1" w:lastRow="0" w:firstColumn="0" w:lastColumn="0" w:oddVBand="0" w:evenVBand="0" w:oddHBand="0" w:evenHBand="0" w:firstRowFirstColumn="0" w:firstRowLastColumn="0" w:lastRowFirstColumn="0" w:lastRowLastColumn="0"/>
          <w:trHeight w:val="320"/>
        </w:trPr>
        <w:tc>
          <w:tcPr>
            <w:tcW w:w="5000" w:type="pct"/>
            <w:gridSpan w:val="8"/>
          </w:tcPr>
          <w:p w14:paraId="6DA61CC0" w14:textId="77777777" w:rsidR="00FC78C0" w:rsidRPr="00FC78C0" w:rsidRDefault="00FC78C0" w:rsidP="00F537A7">
            <w:pPr>
              <w:pStyle w:val="Tableheaderrowblack"/>
            </w:pPr>
            <w:r w:rsidRPr="00FC78C0">
              <w:t>HOSPITAL ADMISSION</w:t>
            </w:r>
          </w:p>
        </w:tc>
      </w:tr>
      <w:tr w:rsidR="008305D8" w:rsidRPr="00FC78C0" w14:paraId="7E1ED3EA" w14:textId="77777777" w:rsidTr="00F103D2">
        <w:trPr>
          <w:trHeight w:val="320"/>
        </w:trPr>
        <w:tc>
          <w:tcPr>
            <w:tcW w:w="653" w:type="pct"/>
            <w:vMerge w:val="restart"/>
          </w:tcPr>
          <w:p w14:paraId="1D7F09DF" w14:textId="0AEE849D" w:rsidR="008305D8" w:rsidRPr="00FC78C0" w:rsidRDefault="008305D8" w:rsidP="008305D8">
            <w:pPr>
              <w:pStyle w:val="Tableheaderrowblack"/>
            </w:pPr>
            <w:r w:rsidRPr="00FC78C0">
              <w:t>Hospitalised</w:t>
            </w:r>
          </w:p>
        </w:tc>
        <w:tc>
          <w:tcPr>
            <w:tcW w:w="657" w:type="pct"/>
          </w:tcPr>
          <w:p w14:paraId="7D4F01FF" w14:textId="35655FE8" w:rsidR="008305D8" w:rsidRPr="007C3093" w:rsidRDefault="008305D8" w:rsidP="00F537A7">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657" w:type="pct"/>
            <w:gridSpan w:val="2"/>
          </w:tcPr>
          <w:p w14:paraId="5B0C97E2" w14:textId="60C827C0" w:rsidR="008305D8" w:rsidRPr="007C3093" w:rsidRDefault="008305D8" w:rsidP="00F537A7">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657" w:type="pct"/>
          </w:tcPr>
          <w:p w14:paraId="0D2BA9DF" w14:textId="0435C171" w:rsidR="008305D8" w:rsidRPr="007C3093" w:rsidRDefault="008305D8" w:rsidP="00F537A7">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c>
          <w:tcPr>
            <w:tcW w:w="2377" w:type="pct"/>
            <w:gridSpan w:val="3"/>
          </w:tcPr>
          <w:p w14:paraId="2DAA6CDB" w14:textId="7460ED80" w:rsidR="008305D8" w:rsidRPr="007C3093" w:rsidRDefault="008305D8" w:rsidP="00F537A7">
            <w:pPr>
              <w:pStyle w:val="Tabletext"/>
            </w:pPr>
            <w:r w:rsidRPr="00FC78C0">
              <w:t>If Yes, hospital name __________________________________________</w:t>
            </w:r>
            <w:r w:rsidR="00F103D2">
              <w:t>_________________</w:t>
            </w:r>
          </w:p>
        </w:tc>
      </w:tr>
      <w:tr w:rsidR="008305D8" w:rsidRPr="00FC78C0" w14:paraId="2700A4BD" w14:textId="77777777" w:rsidTr="00F103D2">
        <w:trPr>
          <w:trHeight w:val="320"/>
        </w:trPr>
        <w:tc>
          <w:tcPr>
            <w:tcW w:w="653" w:type="pct"/>
            <w:vMerge/>
          </w:tcPr>
          <w:p w14:paraId="400579DB" w14:textId="77777777" w:rsidR="008305D8" w:rsidRPr="00FC78C0" w:rsidRDefault="008305D8" w:rsidP="00F537A7">
            <w:pPr>
              <w:pStyle w:val="Tabletext"/>
            </w:pPr>
          </w:p>
        </w:tc>
        <w:tc>
          <w:tcPr>
            <w:tcW w:w="1971" w:type="pct"/>
            <w:gridSpan w:val="4"/>
          </w:tcPr>
          <w:p w14:paraId="0B4808B0" w14:textId="173F5E00" w:rsidR="008305D8" w:rsidRPr="007C3093" w:rsidRDefault="008305D8" w:rsidP="00F537A7">
            <w:pPr>
              <w:pStyle w:val="Tabletext"/>
            </w:pPr>
            <w:r w:rsidRPr="00FC78C0">
              <w:t>Date admitted ___/___/____</w:t>
            </w:r>
          </w:p>
        </w:tc>
        <w:tc>
          <w:tcPr>
            <w:tcW w:w="2377" w:type="pct"/>
            <w:gridSpan w:val="3"/>
          </w:tcPr>
          <w:p w14:paraId="49E9BCE6" w14:textId="00ED941C" w:rsidR="008305D8" w:rsidRPr="007C3093" w:rsidRDefault="008305D8" w:rsidP="00F537A7">
            <w:pPr>
              <w:pStyle w:val="Tabletext"/>
            </w:pPr>
            <w:r w:rsidRPr="00FC78C0">
              <w:t>Date discharged __</w:t>
            </w:r>
            <w:r>
              <w:t>_</w:t>
            </w:r>
            <w:r w:rsidRPr="00FC78C0">
              <w:t>/___/____</w:t>
            </w:r>
          </w:p>
        </w:tc>
      </w:tr>
      <w:tr w:rsidR="00FC78C0" w:rsidRPr="00FC78C0" w14:paraId="6C9AC358" w14:textId="77777777" w:rsidTr="00B55793">
        <w:trPr>
          <w:trHeight w:val="320"/>
        </w:trPr>
        <w:tc>
          <w:tcPr>
            <w:tcW w:w="653" w:type="pct"/>
          </w:tcPr>
          <w:p w14:paraId="39DBECBC" w14:textId="77777777" w:rsidR="00FC78C0" w:rsidRPr="00FC78C0" w:rsidRDefault="00FC78C0" w:rsidP="008305D8">
            <w:pPr>
              <w:pStyle w:val="Tableheaderrowblack"/>
            </w:pPr>
            <w:r w:rsidRPr="00FC78C0">
              <w:t>Treating doctor</w:t>
            </w:r>
          </w:p>
        </w:tc>
        <w:tc>
          <w:tcPr>
            <w:tcW w:w="4347" w:type="pct"/>
            <w:gridSpan w:val="7"/>
          </w:tcPr>
          <w:p w14:paraId="4515B3AD" w14:textId="134EB7C1" w:rsidR="00FC78C0" w:rsidRPr="00FC78C0" w:rsidRDefault="00FC78C0" w:rsidP="00F537A7">
            <w:pPr>
              <w:pStyle w:val="Tabletext"/>
              <w:rPr>
                <w:sz w:val="14"/>
                <w:szCs w:val="14"/>
              </w:rPr>
            </w:pPr>
            <w:r w:rsidRPr="00FC78C0">
              <w:t>Name ____________________</w:t>
            </w:r>
            <w:r w:rsidR="00F103D2">
              <w:t xml:space="preserve">_________________ </w:t>
            </w:r>
            <w:r w:rsidRPr="00FC78C0">
              <w:t>Position ____________________</w:t>
            </w:r>
            <w:r w:rsidR="00F103D2">
              <w:t>____</w:t>
            </w:r>
            <w:r w:rsidRPr="00FC78C0">
              <w:t>_ Telephone __________________</w:t>
            </w:r>
          </w:p>
        </w:tc>
      </w:tr>
      <w:tr w:rsidR="00F103D2" w:rsidRPr="00FC78C0" w14:paraId="66D1840E" w14:textId="77777777" w:rsidTr="00F103D2">
        <w:trPr>
          <w:trHeight w:val="320"/>
        </w:trPr>
        <w:tc>
          <w:tcPr>
            <w:tcW w:w="653" w:type="pct"/>
          </w:tcPr>
          <w:p w14:paraId="0844FC76" w14:textId="77777777" w:rsidR="00F103D2" w:rsidRPr="00FC78C0" w:rsidRDefault="00F103D2" w:rsidP="008305D8">
            <w:pPr>
              <w:pStyle w:val="Tableheaderrowblack"/>
            </w:pPr>
            <w:r w:rsidRPr="00FC78C0">
              <w:t>ICU admission</w:t>
            </w:r>
          </w:p>
        </w:tc>
        <w:tc>
          <w:tcPr>
            <w:tcW w:w="1087" w:type="pct"/>
            <w:gridSpan w:val="2"/>
          </w:tcPr>
          <w:p w14:paraId="3F267B52" w14:textId="44BBB379" w:rsidR="00F103D2" w:rsidRPr="00FC78C0" w:rsidRDefault="00F103D2" w:rsidP="00F537A7">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w:t>
            </w:r>
          </w:p>
        </w:tc>
        <w:tc>
          <w:tcPr>
            <w:tcW w:w="1087" w:type="pct"/>
            <w:gridSpan w:val="3"/>
          </w:tcPr>
          <w:p w14:paraId="4255CE6F" w14:textId="65DC0514" w:rsidR="00F103D2" w:rsidRPr="00FC78C0" w:rsidRDefault="00F103D2" w:rsidP="00F537A7">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w:t>
            </w:r>
          </w:p>
        </w:tc>
        <w:tc>
          <w:tcPr>
            <w:tcW w:w="1087" w:type="pct"/>
          </w:tcPr>
          <w:p w14:paraId="70DD4366" w14:textId="276E9BBA" w:rsidR="00F103D2" w:rsidRPr="00FC78C0" w:rsidRDefault="00F103D2" w:rsidP="00F537A7">
            <w:pPr>
              <w:pStyle w:val="Tabletext"/>
              <w:rPr>
                <w:sz w:val="14"/>
                <w:szCs w:val="14"/>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tc>
        <w:tc>
          <w:tcPr>
            <w:tcW w:w="1087" w:type="pct"/>
          </w:tcPr>
          <w:p w14:paraId="5995E726" w14:textId="7EF97790" w:rsidR="00F103D2" w:rsidRPr="00FC78C0" w:rsidRDefault="00F103D2" w:rsidP="00F537A7">
            <w:pPr>
              <w:pStyle w:val="Tabletext"/>
              <w:rPr>
                <w:sz w:val="14"/>
                <w:szCs w:val="14"/>
              </w:rPr>
            </w:pPr>
            <w:r w:rsidRPr="00FC78C0">
              <w:t>If Yes, dates of ICU admission __/___/____ to __</w:t>
            </w:r>
            <w:r>
              <w:t>_</w:t>
            </w:r>
            <w:r w:rsidRPr="00FC78C0">
              <w:t>/___/____</w:t>
            </w:r>
          </w:p>
        </w:tc>
      </w:tr>
    </w:tbl>
    <w:tbl>
      <w:tblPr>
        <w:tblStyle w:val="CDCTable2"/>
        <w:tblW w:w="5000" w:type="pct"/>
        <w:tblLook w:val="00A0" w:firstRow="1" w:lastRow="0" w:firstColumn="1" w:lastColumn="0" w:noHBand="0" w:noVBand="0"/>
      </w:tblPr>
      <w:tblGrid>
        <w:gridCol w:w="1776"/>
        <w:gridCol w:w="1783"/>
        <w:gridCol w:w="1169"/>
        <w:gridCol w:w="3357"/>
        <w:gridCol w:w="2681"/>
      </w:tblGrid>
      <w:tr w:rsidR="00FC78C0" w:rsidRPr="00FC78C0" w14:paraId="090EC004" w14:textId="77777777" w:rsidTr="00B55793">
        <w:trPr>
          <w:cnfStyle w:val="100000000000" w:firstRow="1" w:lastRow="0" w:firstColumn="0" w:lastColumn="0" w:oddVBand="0" w:evenVBand="0" w:oddHBand="0" w:evenHBand="0" w:firstRowFirstColumn="0" w:firstRowLastColumn="0" w:lastRowFirstColumn="0" w:lastRowLastColumn="0"/>
          <w:trHeight w:val="320"/>
        </w:trPr>
        <w:tc>
          <w:tcPr>
            <w:tcW w:w="5000" w:type="pct"/>
            <w:gridSpan w:val="5"/>
          </w:tcPr>
          <w:p w14:paraId="19A92575" w14:textId="72BECB5F" w:rsidR="003B5F5E" w:rsidRPr="003B5F5E" w:rsidRDefault="00FC78C0" w:rsidP="00917AC5">
            <w:pPr>
              <w:pStyle w:val="Tableheaderrowblack"/>
            </w:pPr>
            <w:r w:rsidRPr="00FC78C0">
              <w:t>TREATMENT DETAILS</w:t>
            </w:r>
          </w:p>
        </w:tc>
      </w:tr>
      <w:tr w:rsidR="00E56E31" w:rsidRPr="00FC78C0" w14:paraId="633F47AB" w14:textId="77777777" w:rsidTr="00B55793">
        <w:trPr>
          <w:trHeight w:val="435"/>
        </w:trPr>
        <w:tc>
          <w:tcPr>
            <w:tcW w:w="825" w:type="pct"/>
          </w:tcPr>
          <w:p w14:paraId="36A85714" w14:textId="57C1DF3F" w:rsidR="00E56E31" w:rsidRPr="00FC78C0" w:rsidRDefault="00E56E31" w:rsidP="00F537A7">
            <w:pPr>
              <w:pStyle w:val="Tabletext"/>
            </w:pPr>
            <w:r w:rsidRPr="00FC78C0">
              <w:t>Treatment</w:t>
            </w:r>
          </w:p>
        </w:tc>
        <w:tc>
          <w:tcPr>
            <w:tcW w:w="828" w:type="pct"/>
          </w:tcPr>
          <w:p w14:paraId="732173BA" w14:textId="4EFEDF14" w:rsidR="00E56E31" w:rsidRPr="00FC78C0" w:rsidRDefault="00E56E31" w:rsidP="00F537A7">
            <w:pPr>
              <w:pStyle w:val="Tabletext"/>
            </w:pPr>
            <w:r w:rsidRPr="00FC78C0">
              <w:t>Frequency</w:t>
            </w:r>
          </w:p>
        </w:tc>
        <w:tc>
          <w:tcPr>
            <w:tcW w:w="543" w:type="pct"/>
          </w:tcPr>
          <w:p w14:paraId="6D9593B1" w14:textId="735D29D2" w:rsidR="00E56E31" w:rsidRPr="00FC78C0" w:rsidRDefault="00E56E31" w:rsidP="00F537A7">
            <w:pPr>
              <w:pStyle w:val="Tabletext"/>
            </w:pPr>
            <w:r w:rsidRPr="00FC78C0">
              <w:t>Route</w:t>
            </w:r>
          </w:p>
        </w:tc>
        <w:tc>
          <w:tcPr>
            <w:tcW w:w="1559" w:type="pct"/>
          </w:tcPr>
          <w:p w14:paraId="1E4FE6FD" w14:textId="45B8ACF8" w:rsidR="00E56E31" w:rsidRPr="00FC78C0" w:rsidRDefault="00E56E31" w:rsidP="00F537A7">
            <w:pPr>
              <w:pStyle w:val="Tabletext"/>
            </w:pPr>
            <w:r w:rsidRPr="00FC78C0">
              <w:t>Commencement date</w:t>
            </w:r>
          </w:p>
        </w:tc>
        <w:tc>
          <w:tcPr>
            <w:tcW w:w="1245" w:type="pct"/>
          </w:tcPr>
          <w:p w14:paraId="7A5D2AC9" w14:textId="28954382" w:rsidR="00E56E31" w:rsidRPr="00FC78C0" w:rsidRDefault="00E56E31" w:rsidP="00F537A7">
            <w:pPr>
              <w:pStyle w:val="Tabletext"/>
            </w:pPr>
            <w:r w:rsidRPr="00FC78C0">
              <w:t>Completion date</w:t>
            </w:r>
          </w:p>
        </w:tc>
      </w:tr>
      <w:tr w:rsidR="00E56E31" w:rsidRPr="00FC78C0" w14:paraId="01F65304" w14:textId="77777777" w:rsidTr="00B55793">
        <w:trPr>
          <w:trHeight w:val="435"/>
        </w:trPr>
        <w:tc>
          <w:tcPr>
            <w:tcW w:w="825" w:type="pct"/>
          </w:tcPr>
          <w:p w14:paraId="24522C51" w14:textId="77777777" w:rsidR="00E56E31" w:rsidRPr="00FC78C0" w:rsidRDefault="00E56E31" w:rsidP="00F537A7">
            <w:pPr>
              <w:pStyle w:val="Tabletext"/>
            </w:pPr>
          </w:p>
        </w:tc>
        <w:tc>
          <w:tcPr>
            <w:tcW w:w="828" w:type="pct"/>
          </w:tcPr>
          <w:p w14:paraId="7F7AE016" w14:textId="77777777" w:rsidR="00E56E31" w:rsidRPr="00FC78C0" w:rsidRDefault="00E56E31" w:rsidP="00F537A7">
            <w:pPr>
              <w:pStyle w:val="Tabletext"/>
            </w:pPr>
          </w:p>
        </w:tc>
        <w:tc>
          <w:tcPr>
            <w:tcW w:w="543" w:type="pct"/>
          </w:tcPr>
          <w:p w14:paraId="27F3A2D5" w14:textId="77777777" w:rsidR="00E56E31" w:rsidRPr="00FC78C0" w:rsidRDefault="00E56E31" w:rsidP="00F537A7">
            <w:pPr>
              <w:pStyle w:val="Tabletext"/>
            </w:pPr>
          </w:p>
        </w:tc>
        <w:tc>
          <w:tcPr>
            <w:tcW w:w="1559" w:type="pct"/>
          </w:tcPr>
          <w:p w14:paraId="48BA7C27" w14:textId="77777777" w:rsidR="00E56E31" w:rsidRPr="00FC78C0" w:rsidRDefault="00E56E31" w:rsidP="00F537A7">
            <w:pPr>
              <w:pStyle w:val="Tabletext"/>
            </w:pPr>
          </w:p>
        </w:tc>
        <w:tc>
          <w:tcPr>
            <w:tcW w:w="1245" w:type="pct"/>
          </w:tcPr>
          <w:p w14:paraId="3539B58B" w14:textId="77777777" w:rsidR="00E56E31" w:rsidRPr="00FC78C0" w:rsidRDefault="00E56E31" w:rsidP="00F537A7">
            <w:pPr>
              <w:pStyle w:val="Tabletext"/>
            </w:pPr>
          </w:p>
        </w:tc>
      </w:tr>
    </w:tbl>
    <w:p w14:paraId="0DAD65A2" w14:textId="77777777" w:rsidR="00FC78C0" w:rsidRPr="00FC78C0" w:rsidRDefault="00FC78C0" w:rsidP="00434540">
      <w:pPr>
        <w:pStyle w:val="BodyText"/>
        <w:sectPr w:rsidR="00FC78C0" w:rsidRPr="00FC78C0" w:rsidSect="00814DF3">
          <w:type w:val="continuous"/>
          <w:pgSz w:w="11900" w:h="16840"/>
          <w:pgMar w:top="567" w:right="567" w:bottom="1134" w:left="567" w:header="709" w:footer="527" w:gutter="0"/>
          <w:cols w:space="708"/>
          <w:titlePg/>
          <w:docGrid w:linePitch="360"/>
        </w:sectPr>
      </w:pPr>
    </w:p>
    <w:tbl>
      <w:tblPr>
        <w:tblStyle w:val="CDCTable2"/>
        <w:tblW w:w="5000" w:type="pct"/>
        <w:tblCellMar>
          <w:left w:w="57" w:type="dxa"/>
          <w:bottom w:w="57" w:type="dxa"/>
          <w:right w:w="57" w:type="dxa"/>
        </w:tblCellMar>
        <w:tblLook w:val="00A0" w:firstRow="1" w:lastRow="0" w:firstColumn="1" w:lastColumn="0" w:noHBand="0" w:noVBand="0"/>
      </w:tblPr>
      <w:tblGrid>
        <w:gridCol w:w="1645"/>
        <w:gridCol w:w="3047"/>
        <w:gridCol w:w="3047"/>
        <w:gridCol w:w="3027"/>
      </w:tblGrid>
      <w:tr w:rsidR="00CE03DA" w:rsidRPr="00FC78C0" w14:paraId="4E704F31" w14:textId="77777777" w:rsidTr="00B55793">
        <w:trPr>
          <w:cnfStyle w:val="100000000000" w:firstRow="1" w:lastRow="0" w:firstColumn="0" w:lastColumn="0" w:oddVBand="0" w:evenVBand="0" w:oddHBand="0" w:evenHBand="0" w:firstRowFirstColumn="0" w:firstRowLastColumn="0" w:lastRowFirstColumn="0" w:lastRowLastColumn="0"/>
          <w:trHeight w:val="320"/>
        </w:trPr>
        <w:tc>
          <w:tcPr>
            <w:tcW w:w="5000" w:type="pct"/>
            <w:gridSpan w:val="4"/>
          </w:tcPr>
          <w:p w14:paraId="21337731" w14:textId="77777777" w:rsidR="00CE03DA" w:rsidRPr="00FC78C0" w:rsidRDefault="00CE03DA" w:rsidP="00E30D83">
            <w:pPr>
              <w:pStyle w:val="Tableheaderrowblack"/>
            </w:pPr>
            <w:r w:rsidRPr="00FC78C0">
              <w:t>VACCINATION HISTORY</w:t>
            </w:r>
          </w:p>
        </w:tc>
      </w:tr>
      <w:tr w:rsidR="008305D8" w:rsidRPr="00FC78C0" w14:paraId="61B4429A" w14:textId="77777777" w:rsidTr="00B55793">
        <w:trPr>
          <w:trHeight w:val="320"/>
        </w:trPr>
        <w:tc>
          <w:tcPr>
            <w:tcW w:w="5000" w:type="pct"/>
            <w:gridSpan w:val="4"/>
            <w:shd w:val="clear" w:color="auto" w:fill="F2F2F2" w:themeFill="background1" w:themeFillShade="F2"/>
          </w:tcPr>
          <w:p w14:paraId="7F685C92" w14:textId="2C390A60" w:rsidR="008305D8" w:rsidRPr="00FC78C0" w:rsidRDefault="008305D8" w:rsidP="00E30D83">
            <w:pPr>
              <w:pStyle w:val="Tabletext"/>
            </w:pPr>
            <w:r w:rsidRPr="00FC78C0">
              <w:t>Vaccinations</w:t>
            </w:r>
          </w:p>
        </w:tc>
      </w:tr>
      <w:tr w:rsidR="00CE03DA" w:rsidRPr="00FC78C0" w14:paraId="560CBA0E" w14:textId="77777777" w:rsidTr="00B55793">
        <w:trPr>
          <w:trHeight w:val="320"/>
        </w:trPr>
        <w:tc>
          <w:tcPr>
            <w:tcW w:w="764" w:type="pct"/>
          </w:tcPr>
          <w:p w14:paraId="5B6BE7A2" w14:textId="77777777" w:rsidR="00CE03DA" w:rsidRPr="00FC78C0" w:rsidRDefault="00CE03DA" w:rsidP="00E30D83">
            <w:pPr>
              <w:pStyle w:val="Tabletext"/>
            </w:pPr>
            <w:r w:rsidRPr="00FC78C0">
              <w:t>Dose</w:t>
            </w:r>
          </w:p>
        </w:tc>
        <w:tc>
          <w:tcPr>
            <w:tcW w:w="1415" w:type="pct"/>
          </w:tcPr>
          <w:p w14:paraId="55A21BF3" w14:textId="77777777" w:rsidR="00CE03DA" w:rsidRPr="00FC78C0" w:rsidRDefault="00CE03DA" w:rsidP="00E30D83">
            <w:pPr>
              <w:pStyle w:val="Tabletext"/>
            </w:pPr>
            <w:r w:rsidRPr="00FC78C0">
              <w:t>Vaccination type</w:t>
            </w:r>
          </w:p>
        </w:tc>
        <w:tc>
          <w:tcPr>
            <w:tcW w:w="1415" w:type="pct"/>
          </w:tcPr>
          <w:p w14:paraId="47171AE9" w14:textId="77777777" w:rsidR="00CE03DA" w:rsidRPr="00FC78C0" w:rsidRDefault="00CE03DA" w:rsidP="00E30D83">
            <w:pPr>
              <w:pStyle w:val="Tabletext"/>
            </w:pPr>
            <w:r w:rsidRPr="00FC78C0">
              <w:t>Vaccination date</w:t>
            </w:r>
          </w:p>
        </w:tc>
        <w:tc>
          <w:tcPr>
            <w:tcW w:w="1406" w:type="pct"/>
          </w:tcPr>
          <w:p w14:paraId="5C702A1E" w14:textId="77777777" w:rsidR="00CE03DA" w:rsidRPr="00FC78C0" w:rsidRDefault="00CE03DA" w:rsidP="00E30D83">
            <w:pPr>
              <w:pStyle w:val="Tabletext"/>
            </w:pPr>
            <w:r w:rsidRPr="00FC78C0">
              <w:t>Validation method</w:t>
            </w:r>
          </w:p>
        </w:tc>
      </w:tr>
      <w:tr w:rsidR="00CE03DA" w:rsidRPr="00FC78C0" w14:paraId="291940DF" w14:textId="77777777" w:rsidTr="00B55793">
        <w:trPr>
          <w:trHeight w:val="320"/>
        </w:trPr>
        <w:tc>
          <w:tcPr>
            <w:tcW w:w="764" w:type="pct"/>
          </w:tcPr>
          <w:p w14:paraId="414AA046" w14:textId="77777777" w:rsidR="00CE03DA" w:rsidRPr="00FC78C0" w:rsidRDefault="00CE03DA" w:rsidP="00E30D83">
            <w:pPr>
              <w:pStyle w:val="Tabletext"/>
            </w:pPr>
            <w:r w:rsidRPr="00FC78C0">
              <w:t>1</w:t>
            </w:r>
          </w:p>
        </w:tc>
        <w:tc>
          <w:tcPr>
            <w:tcW w:w="1415" w:type="pct"/>
          </w:tcPr>
          <w:p w14:paraId="66F37A90" w14:textId="77777777" w:rsidR="00CE03DA" w:rsidRPr="00FC78C0" w:rsidRDefault="00CE03DA" w:rsidP="00E30D83">
            <w:pPr>
              <w:pStyle w:val="Tabletext"/>
              <w:rPr>
                <w:sz w:val="14"/>
                <w:szCs w:val="14"/>
              </w:rPr>
            </w:pPr>
          </w:p>
        </w:tc>
        <w:tc>
          <w:tcPr>
            <w:tcW w:w="1415" w:type="pct"/>
          </w:tcPr>
          <w:p w14:paraId="25B1DE0D" w14:textId="77777777" w:rsidR="00CE03DA" w:rsidRPr="00FC78C0" w:rsidRDefault="00CE03DA" w:rsidP="00E30D83">
            <w:pPr>
              <w:pStyle w:val="Tabletext"/>
              <w:rPr>
                <w:sz w:val="14"/>
                <w:szCs w:val="14"/>
              </w:rPr>
            </w:pPr>
          </w:p>
        </w:tc>
        <w:tc>
          <w:tcPr>
            <w:tcW w:w="1406" w:type="pct"/>
          </w:tcPr>
          <w:p w14:paraId="33A0563D" w14:textId="77777777" w:rsidR="00CE03DA" w:rsidRPr="00FC78C0" w:rsidRDefault="00CE03DA" w:rsidP="00E30D83">
            <w:pPr>
              <w:pStyle w:val="Tabletext"/>
              <w:rPr>
                <w:sz w:val="14"/>
                <w:szCs w:val="14"/>
              </w:rPr>
            </w:pPr>
          </w:p>
        </w:tc>
      </w:tr>
      <w:tr w:rsidR="00CE03DA" w:rsidRPr="00FC78C0" w14:paraId="1BC25DCC" w14:textId="77777777" w:rsidTr="00B55793">
        <w:trPr>
          <w:trHeight w:val="320"/>
        </w:trPr>
        <w:tc>
          <w:tcPr>
            <w:tcW w:w="764" w:type="pct"/>
          </w:tcPr>
          <w:p w14:paraId="48DA7544" w14:textId="77777777" w:rsidR="00CE03DA" w:rsidRPr="00FC78C0" w:rsidRDefault="00CE03DA" w:rsidP="00E30D83">
            <w:pPr>
              <w:pStyle w:val="Tabletext"/>
            </w:pPr>
            <w:r w:rsidRPr="00FC78C0">
              <w:t>2</w:t>
            </w:r>
          </w:p>
        </w:tc>
        <w:tc>
          <w:tcPr>
            <w:tcW w:w="1415" w:type="pct"/>
          </w:tcPr>
          <w:p w14:paraId="7FD18BC3" w14:textId="77777777" w:rsidR="00CE03DA" w:rsidRPr="00FC78C0" w:rsidRDefault="00CE03DA" w:rsidP="00E30D83">
            <w:pPr>
              <w:pStyle w:val="Tabletext"/>
              <w:rPr>
                <w:sz w:val="14"/>
                <w:szCs w:val="14"/>
              </w:rPr>
            </w:pPr>
          </w:p>
        </w:tc>
        <w:tc>
          <w:tcPr>
            <w:tcW w:w="1415" w:type="pct"/>
          </w:tcPr>
          <w:p w14:paraId="24EBC4C8" w14:textId="77777777" w:rsidR="00CE03DA" w:rsidRPr="00FC78C0" w:rsidRDefault="00CE03DA" w:rsidP="00E30D83">
            <w:pPr>
              <w:pStyle w:val="Tabletext"/>
              <w:rPr>
                <w:sz w:val="14"/>
                <w:szCs w:val="14"/>
              </w:rPr>
            </w:pPr>
          </w:p>
        </w:tc>
        <w:tc>
          <w:tcPr>
            <w:tcW w:w="1406" w:type="pct"/>
          </w:tcPr>
          <w:p w14:paraId="03E8F9C3" w14:textId="77777777" w:rsidR="00CE03DA" w:rsidRPr="00FC78C0" w:rsidRDefault="00CE03DA" w:rsidP="00E30D83">
            <w:pPr>
              <w:pStyle w:val="Tabletext"/>
              <w:rPr>
                <w:sz w:val="14"/>
                <w:szCs w:val="14"/>
              </w:rPr>
            </w:pPr>
          </w:p>
        </w:tc>
      </w:tr>
    </w:tbl>
    <w:p w14:paraId="621612E2" w14:textId="77777777" w:rsidR="002D1AFF" w:rsidRDefault="002D1AFF" w:rsidP="00434540">
      <w:pPr>
        <w:pStyle w:val="BodyText"/>
        <w:sectPr w:rsidR="002D1AFF" w:rsidSect="00F537A7">
          <w:type w:val="continuous"/>
          <w:pgSz w:w="11900" w:h="16840" w:code="9"/>
          <w:pgMar w:top="567" w:right="567" w:bottom="1134" w:left="567" w:header="709" w:footer="283" w:gutter="0"/>
          <w:cols w:space="708"/>
          <w:titlePg/>
          <w:docGrid w:linePitch="360"/>
        </w:sectPr>
      </w:pPr>
    </w:p>
    <w:tbl>
      <w:tblPr>
        <w:tblStyle w:val="TableGrid10"/>
        <w:tblW w:w="5000" w:type="pct"/>
        <w:tblInd w:w="0" w:type="dxa"/>
        <w:tblCellMar>
          <w:top w:w="57" w:type="dxa"/>
          <w:left w:w="57" w:type="dxa"/>
          <w:bottom w:w="57" w:type="dxa"/>
          <w:right w:w="57" w:type="dxa"/>
        </w:tblCellMar>
        <w:tblLook w:val="00A0" w:firstRow="1" w:lastRow="0" w:firstColumn="1" w:lastColumn="0" w:noHBand="0" w:noVBand="0"/>
      </w:tblPr>
      <w:tblGrid>
        <w:gridCol w:w="1210"/>
        <w:gridCol w:w="118"/>
        <w:gridCol w:w="22"/>
        <w:gridCol w:w="112"/>
        <w:gridCol w:w="519"/>
        <w:gridCol w:w="717"/>
        <w:gridCol w:w="67"/>
        <w:gridCol w:w="271"/>
        <w:gridCol w:w="1008"/>
        <w:gridCol w:w="26"/>
        <w:gridCol w:w="157"/>
        <w:gridCol w:w="17"/>
        <w:gridCol w:w="906"/>
        <w:gridCol w:w="183"/>
        <w:gridCol w:w="56"/>
        <w:gridCol w:w="734"/>
        <w:gridCol w:w="614"/>
        <w:gridCol w:w="174"/>
        <w:gridCol w:w="69"/>
        <w:gridCol w:w="1105"/>
        <w:gridCol w:w="114"/>
        <w:gridCol w:w="373"/>
        <w:gridCol w:w="230"/>
        <w:gridCol w:w="627"/>
        <w:gridCol w:w="32"/>
        <w:gridCol w:w="1305"/>
      </w:tblGrid>
      <w:tr w:rsidR="00FC78C0" w:rsidRPr="00FC78C0" w14:paraId="252E61BE" w14:textId="77777777" w:rsidTr="00B55793">
        <w:trPr>
          <w:cnfStyle w:val="100000000000" w:firstRow="1" w:lastRow="0" w:firstColumn="0" w:lastColumn="0" w:oddVBand="0" w:evenVBand="0" w:oddHBand="0" w:evenHBand="0" w:firstRowFirstColumn="0" w:firstRowLastColumn="0" w:lastRowFirstColumn="0" w:lastRowLastColumn="0"/>
          <w:trHeight w:val="320"/>
        </w:trPr>
        <w:tc>
          <w:tcPr>
            <w:tcW w:w="5000" w:type="pct"/>
            <w:gridSpan w:val="26"/>
            <w:tcBorders>
              <w:top w:val="single" w:sz="6" w:space="0" w:color="00DCA1"/>
            </w:tcBorders>
            <w:shd w:val="clear" w:color="auto" w:fill="C5FFEF"/>
          </w:tcPr>
          <w:p w14:paraId="63D95F6A" w14:textId="251B6006" w:rsidR="00FC78C0" w:rsidRPr="00FC78C0" w:rsidRDefault="00FC78C0" w:rsidP="00CA2DBE">
            <w:pPr>
              <w:pStyle w:val="Tableheaderrowblack"/>
            </w:pPr>
            <w:bookmarkStart w:id="114" w:name="_References"/>
            <w:bookmarkEnd w:id="114"/>
            <w:r w:rsidRPr="00FC78C0">
              <w:t>OUTCOME</w:t>
            </w:r>
          </w:p>
        </w:tc>
      </w:tr>
      <w:tr w:rsidR="001F700A" w:rsidRPr="000F3342" w14:paraId="648FDA91"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1253" w:type="pct"/>
            <w:gridSpan w:val="6"/>
          </w:tcPr>
          <w:p w14:paraId="04F6CB11" w14:textId="31C910C1" w:rsidR="001F700A" w:rsidRPr="000F3342" w:rsidRDefault="001F700A" w:rsidP="001F700A">
            <w:pPr>
              <w:pStyle w:val="Tableheaderrowblack"/>
            </w:pPr>
            <w:r w:rsidRPr="000F3342">
              <w:t>Case recovered</w:t>
            </w:r>
          </w:p>
        </w:tc>
        <w:tc>
          <w:tcPr>
            <w:tcW w:w="1250" w:type="pct"/>
            <w:gridSpan w:val="9"/>
          </w:tcPr>
          <w:p w14:paraId="0AD8FB5C" w14:textId="7125762A"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Yes</w:t>
            </w:r>
          </w:p>
        </w:tc>
        <w:tc>
          <w:tcPr>
            <w:tcW w:w="1252" w:type="pct"/>
            <w:gridSpan w:val="5"/>
          </w:tcPr>
          <w:p w14:paraId="412FA408" w14:textId="1864350C"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No</w:t>
            </w:r>
          </w:p>
        </w:tc>
        <w:tc>
          <w:tcPr>
            <w:tcW w:w="1245" w:type="pct"/>
            <w:gridSpan w:val="6"/>
          </w:tcPr>
          <w:p w14:paraId="7F686FA4" w14:textId="4B844FB5"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Unknown</w:t>
            </w:r>
          </w:p>
        </w:tc>
      </w:tr>
      <w:tr w:rsidR="001F700A" w:rsidRPr="000F3342" w14:paraId="5DC62D48" w14:textId="77777777" w:rsidTr="00B55793">
        <w:trPr>
          <w:trHeight w:val="170"/>
        </w:trPr>
        <w:tc>
          <w:tcPr>
            <w:tcW w:w="627" w:type="pct"/>
            <w:gridSpan w:val="3"/>
          </w:tcPr>
          <w:p w14:paraId="6F871DD0" w14:textId="65569CD5" w:rsidR="001F700A" w:rsidRPr="000F3342" w:rsidRDefault="001F700A" w:rsidP="001F700A">
            <w:pPr>
              <w:pStyle w:val="Tableheaderrowblack"/>
            </w:pPr>
            <w:r w:rsidRPr="000F3342">
              <w:t>Case died</w:t>
            </w:r>
          </w:p>
        </w:tc>
        <w:tc>
          <w:tcPr>
            <w:tcW w:w="626" w:type="pct"/>
            <w:gridSpan w:val="3"/>
          </w:tcPr>
          <w:p w14:paraId="406EDAF1" w14:textId="3F92C246"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Yes</w:t>
            </w:r>
          </w:p>
        </w:tc>
        <w:tc>
          <w:tcPr>
            <w:tcW w:w="625" w:type="pct"/>
            <w:gridSpan w:val="3"/>
          </w:tcPr>
          <w:p w14:paraId="3A88485F" w14:textId="5A58805A"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No</w:t>
            </w:r>
          </w:p>
        </w:tc>
        <w:tc>
          <w:tcPr>
            <w:tcW w:w="625" w:type="pct"/>
            <w:gridSpan w:val="6"/>
          </w:tcPr>
          <w:p w14:paraId="77D2305B" w14:textId="701D69C9"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Unknown</w:t>
            </w:r>
          </w:p>
        </w:tc>
        <w:tc>
          <w:tcPr>
            <w:tcW w:w="626" w:type="pct"/>
            <w:gridSpan w:val="2"/>
          </w:tcPr>
          <w:p w14:paraId="64006D83" w14:textId="058403B2" w:rsidR="001F700A" w:rsidRPr="000F3342" w:rsidRDefault="001F700A" w:rsidP="000F3342">
            <w:pPr>
              <w:pStyle w:val="Tabletext"/>
            </w:pPr>
            <w:r w:rsidRPr="000F3342">
              <w:t xml:space="preserve">If </w:t>
            </w:r>
            <w:r w:rsidR="00397A31" w:rsidRPr="000F3342">
              <w:t>yes</w:t>
            </w:r>
            <w:r w:rsidRPr="000F3342">
              <w:t>, was autopsy conducted</w:t>
            </w:r>
          </w:p>
        </w:tc>
        <w:tc>
          <w:tcPr>
            <w:tcW w:w="626" w:type="pct"/>
            <w:gridSpan w:val="3"/>
          </w:tcPr>
          <w:p w14:paraId="559606F9" w14:textId="05FF2297"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Yes</w:t>
            </w:r>
          </w:p>
        </w:tc>
        <w:tc>
          <w:tcPr>
            <w:tcW w:w="624" w:type="pct"/>
            <w:gridSpan w:val="4"/>
          </w:tcPr>
          <w:p w14:paraId="68F734FB" w14:textId="12AE5E8B"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N</w:t>
            </w:r>
            <w:r>
              <w:t>o</w:t>
            </w:r>
          </w:p>
        </w:tc>
        <w:tc>
          <w:tcPr>
            <w:tcW w:w="621" w:type="pct"/>
            <w:gridSpan w:val="2"/>
          </w:tcPr>
          <w:p w14:paraId="7796584B" w14:textId="466DA3A2" w:rsidR="001F700A" w:rsidRPr="000F3342" w:rsidRDefault="001F700A"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Unknown</w:t>
            </w:r>
          </w:p>
        </w:tc>
      </w:tr>
      <w:tr w:rsidR="00D06613" w:rsidRPr="000F3342" w14:paraId="5F18A2E1"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627" w:type="pct"/>
            <w:gridSpan w:val="3"/>
          </w:tcPr>
          <w:p w14:paraId="47066DC6" w14:textId="7B98D51E" w:rsidR="00D06613" w:rsidRPr="000F3342" w:rsidRDefault="00D06613" w:rsidP="001F700A">
            <w:pPr>
              <w:pStyle w:val="Tableheaderrowblack"/>
            </w:pPr>
            <w:r w:rsidRPr="000F3342">
              <w:t>Assessment</w:t>
            </w:r>
          </w:p>
        </w:tc>
        <w:tc>
          <w:tcPr>
            <w:tcW w:w="1876" w:type="pct"/>
            <w:gridSpan w:val="12"/>
          </w:tcPr>
          <w:p w14:paraId="2213A9FC" w14:textId="4C2448EE" w:rsidR="00D06613" w:rsidRPr="000F3342" w:rsidRDefault="00D06613"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Died of notified condition</w:t>
            </w:r>
          </w:p>
        </w:tc>
        <w:tc>
          <w:tcPr>
            <w:tcW w:w="2497" w:type="pct"/>
            <w:gridSpan w:val="11"/>
          </w:tcPr>
          <w:p w14:paraId="7EDF7F03" w14:textId="4C7CBDFB" w:rsidR="00D06613" w:rsidRPr="000F3342" w:rsidRDefault="00D06613" w:rsidP="000F3342">
            <w:pPr>
              <w:pStyle w:val="Tabletext"/>
            </w:pPr>
            <w:r w:rsidRPr="000F3342">
              <w:fldChar w:fldCharType="begin">
                <w:ffData>
                  <w:name w:val="Check1"/>
                  <w:enabled/>
                  <w:calcOnExit w:val="0"/>
                  <w:checkBox>
                    <w:sizeAuto/>
                    <w:default w:val="0"/>
                  </w:checkBox>
                </w:ffData>
              </w:fldChar>
            </w:r>
            <w:r w:rsidRPr="000F3342">
              <w:instrText xml:space="preserve"> FORMCHECKBOX </w:instrText>
            </w:r>
            <w:r w:rsidRPr="000F3342">
              <w:fldChar w:fldCharType="separate"/>
            </w:r>
            <w:r w:rsidRPr="000F3342">
              <w:fldChar w:fldCharType="end"/>
            </w:r>
            <w:r w:rsidRPr="000F3342">
              <w:t xml:space="preserve"> Died of other cause</w:t>
            </w:r>
          </w:p>
        </w:tc>
      </w:tr>
      <w:tr w:rsidR="00FC78C0" w:rsidRPr="00FC78C0" w14:paraId="0B6FB632" w14:textId="77777777" w:rsidTr="00B55793">
        <w:trPr>
          <w:trHeight w:val="320"/>
        </w:trPr>
        <w:tc>
          <w:tcPr>
            <w:tcW w:w="5000" w:type="pct"/>
            <w:gridSpan w:val="26"/>
            <w:shd w:val="clear" w:color="auto" w:fill="C5FFEF"/>
          </w:tcPr>
          <w:p w14:paraId="6446CE92" w14:textId="77777777" w:rsidR="00FC78C0" w:rsidRPr="00FC78C0" w:rsidRDefault="00FC78C0" w:rsidP="00895BCA">
            <w:pPr>
              <w:pStyle w:val="Tableheaderrowblack"/>
              <w:keepNext/>
            </w:pPr>
            <w:r w:rsidRPr="00FC78C0">
              <w:t>LABORATORY</w:t>
            </w:r>
          </w:p>
        </w:tc>
      </w:tr>
      <w:tr w:rsidR="00FC78C0" w:rsidRPr="00DA26C1" w14:paraId="6EB1CB23"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617" w:type="pct"/>
            <w:gridSpan w:val="2"/>
          </w:tcPr>
          <w:p w14:paraId="57AD5901" w14:textId="77777777" w:rsidR="00FC78C0" w:rsidRPr="00DA26C1" w:rsidRDefault="00FC78C0" w:rsidP="00DA26C1">
            <w:pPr>
              <w:pStyle w:val="Tabletext"/>
            </w:pPr>
            <w:r w:rsidRPr="00DA26C1">
              <w:t>Test type</w:t>
            </w:r>
          </w:p>
        </w:tc>
        <w:tc>
          <w:tcPr>
            <w:tcW w:w="1346" w:type="pct"/>
            <w:gridSpan w:val="9"/>
          </w:tcPr>
          <w:p w14:paraId="303C6816" w14:textId="77777777" w:rsidR="00FC78C0" w:rsidRPr="00DA26C1" w:rsidRDefault="00FC78C0" w:rsidP="00DA26C1">
            <w:pPr>
              <w:pStyle w:val="Tabletext"/>
            </w:pPr>
            <w:r w:rsidRPr="00DA26C1">
              <w:t>Specimen type</w:t>
            </w:r>
          </w:p>
        </w:tc>
        <w:tc>
          <w:tcPr>
            <w:tcW w:w="881" w:type="pct"/>
            <w:gridSpan w:val="5"/>
          </w:tcPr>
          <w:p w14:paraId="1871DCFA" w14:textId="77777777" w:rsidR="00FC78C0" w:rsidRPr="00DA26C1" w:rsidRDefault="00FC78C0" w:rsidP="00DA26C1">
            <w:pPr>
              <w:pStyle w:val="Tabletext"/>
            </w:pPr>
            <w:r w:rsidRPr="00DA26C1">
              <w:t>Specimen body site</w:t>
            </w:r>
          </w:p>
        </w:tc>
        <w:tc>
          <w:tcPr>
            <w:tcW w:w="1137" w:type="pct"/>
            <w:gridSpan w:val="6"/>
          </w:tcPr>
          <w:p w14:paraId="63371326" w14:textId="77777777" w:rsidR="00FC78C0" w:rsidRPr="00DA26C1" w:rsidRDefault="00FC78C0" w:rsidP="00DA26C1">
            <w:pPr>
              <w:pStyle w:val="Tabletext"/>
            </w:pPr>
            <w:r w:rsidRPr="00DA26C1">
              <w:t>Specimen collection date</w:t>
            </w:r>
          </w:p>
        </w:tc>
        <w:tc>
          <w:tcPr>
            <w:tcW w:w="1019" w:type="pct"/>
            <w:gridSpan w:val="4"/>
          </w:tcPr>
          <w:p w14:paraId="52E678B6" w14:textId="77777777" w:rsidR="00FC78C0" w:rsidRPr="00DA26C1" w:rsidRDefault="00FC78C0" w:rsidP="00DA26C1">
            <w:pPr>
              <w:pStyle w:val="Tabletext"/>
            </w:pPr>
            <w:r w:rsidRPr="00DA26C1">
              <w:t>Test result</w:t>
            </w:r>
          </w:p>
        </w:tc>
      </w:tr>
      <w:tr w:rsidR="00FC78C0" w:rsidRPr="00DA26C1" w14:paraId="35B01A7E" w14:textId="77777777" w:rsidTr="00B55793">
        <w:trPr>
          <w:trHeight w:val="320"/>
        </w:trPr>
        <w:tc>
          <w:tcPr>
            <w:tcW w:w="617" w:type="pct"/>
            <w:gridSpan w:val="2"/>
          </w:tcPr>
          <w:p w14:paraId="35CAE292" w14:textId="77777777" w:rsidR="00FC78C0" w:rsidRPr="00DA26C1" w:rsidRDefault="00FC78C0" w:rsidP="00DA26C1">
            <w:pPr>
              <w:pStyle w:val="Tabletext"/>
            </w:pPr>
            <w:r w:rsidRPr="00DA26C1">
              <w:t>PCR</w:t>
            </w:r>
          </w:p>
        </w:tc>
        <w:tc>
          <w:tcPr>
            <w:tcW w:w="1346" w:type="pct"/>
            <w:gridSpan w:val="9"/>
          </w:tcPr>
          <w:p w14:paraId="4362C166" w14:textId="77777777"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Blood   </w:t>
            </w: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Swab of lesion  </w:t>
            </w:r>
          </w:p>
          <w:p w14:paraId="3EA22F09" w14:textId="77777777" w:rsidR="00FC78C0" w:rsidRPr="00DA26C1" w:rsidRDefault="00FC78C0" w:rsidP="00DA26C1">
            <w:pPr>
              <w:pStyle w:val="Tabletext"/>
            </w:pPr>
            <w:r w:rsidRPr="00DA26C1">
              <w:lastRenderedPageBreak/>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Swab other  </w:t>
            </w: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Biopsy</w:t>
            </w:r>
          </w:p>
          <w:p w14:paraId="6EF342F6" w14:textId="3E6C26C6"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Other, </w:t>
            </w:r>
            <w:r w:rsidR="00AD472C" w:rsidRPr="00DA26C1">
              <w:t>specify: _</w:t>
            </w:r>
            <w:r w:rsidRPr="00DA26C1">
              <w:t>_______</w:t>
            </w:r>
          </w:p>
        </w:tc>
        <w:tc>
          <w:tcPr>
            <w:tcW w:w="881" w:type="pct"/>
            <w:gridSpan w:val="5"/>
          </w:tcPr>
          <w:p w14:paraId="055CB748" w14:textId="77777777" w:rsidR="00FC78C0" w:rsidRPr="00DA26C1" w:rsidRDefault="00FC78C0" w:rsidP="00DA26C1">
            <w:pPr>
              <w:pStyle w:val="Tabletext"/>
            </w:pPr>
          </w:p>
        </w:tc>
        <w:tc>
          <w:tcPr>
            <w:tcW w:w="1137" w:type="pct"/>
            <w:gridSpan w:val="6"/>
          </w:tcPr>
          <w:p w14:paraId="50EFE573" w14:textId="77777777" w:rsidR="00FC78C0" w:rsidRPr="00DA26C1" w:rsidRDefault="00FC78C0" w:rsidP="00DA26C1">
            <w:pPr>
              <w:pStyle w:val="Tabletext"/>
            </w:pPr>
            <w:r w:rsidRPr="00DA26C1">
              <w:t>______/______/______</w:t>
            </w:r>
          </w:p>
        </w:tc>
        <w:tc>
          <w:tcPr>
            <w:tcW w:w="1019" w:type="pct"/>
            <w:gridSpan w:val="4"/>
          </w:tcPr>
          <w:p w14:paraId="1E4251A2" w14:textId="14474C30"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Detected</w:t>
            </w:r>
          </w:p>
          <w:p w14:paraId="71427A0F" w14:textId="0D7673DB" w:rsidR="00FC78C0" w:rsidRPr="00DA26C1" w:rsidRDefault="00FC78C0" w:rsidP="00DA26C1">
            <w:pPr>
              <w:pStyle w:val="Tabletext"/>
            </w:pPr>
            <w:r w:rsidRPr="00DA26C1">
              <w:lastRenderedPageBreak/>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Not detected</w:t>
            </w:r>
          </w:p>
          <w:p w14:paraId="1E5172DC" w14:textId="3DD7737E"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Not done</w:t>
            </w:r>
          </w:p>
        </w:tc>
      </w:tr>
      <w:tr w:rsidR="00FC78C0" w:rsidRPr="00DA26C1" w14:paraId="112665EA" w14:textId="77777777" w:rsidTr="00B55793">
        <w:trPr>
          <w:cnfStyle w:val="000000100000" w:firstRow="0" w:lastRow="0" w:firstColumn="0" w:lastColumn="0" w:oddVBand="0" w:evenVBand="0" w:oddHBand="1" w:evenHBand="0" w:firstRowFirstColumn="0" w:firstRowLastColumn="0" w:lastRowFirstColumn="0" w:lastRowLastColumn="0"/>
          <w:trHeight w:val="113"/>
        </w:trPr>
        <w:tc>
          <w:tcPr>
            <w:tcW w:w="617" w:type="pct"/>
            <w:gridSpan w:val="2"/>
            <w:tcBorders>
              <w:bottom w:val="single" w:sz="6" w:space="0" w:color="00DCA1"/>
            </w:tcBorders>
          </w:tcPr>
          <w:p w14:paraId="3FF532EF" w14:textId="77777777" w:rsidR="00FC78C0" w:rsidRPr="00DA26C1" w:rsidRDefault="00FC78C0" w:rsidP="00DA26C1">
            <w:pPr>
              <w:pStyle w:val="Tabletext"/>
            </w:pPr>
            <w:r w:rsidRPr="00DA26C1">
              <w:lastRenderedPageBreak/>
              <w:t>Genotyping</w:t>
            </w:r>
          </w:p>
        </w:tc>
        <w:tc>
          <w:tcPr>
            <w:tcW w:w="1346" w:type="pct"/>
            <w:gridSpan w:val="9"/>
            <w:tcBorders>
              <w:bottom w:val="single" w:sz="6" w:space="0" w:color="00DCA1"/>
            </w:tcBorders>
          </w:tcPr>
          <w:p w14:paraId="3CAFC886" w14:textId="77777777" w:rsidR="00FC78C0" w:rsidRPr="00DA26C1" w:rsidRDefault="00FC78C0" w:rsidP="00DA26C1">
            <w:pPr>
              <w:pStyle w:val="Tabletext"/>
            </w:pPr>
          </w:p>
        </w:tc>
        <w:tc>
          <w:tcPr>
            <w:tcW w:w="881" w:type="pct"/>
            <w:gridSpan w:val="5"/>
            <w:tcBorders>
              <w:bottom w:val="single" w:sz="6" w:space="0" w:color="00DCA1"/>
            </w:tcBorders>
          </w:tcPr>
          <w:p w14:paraId="3EACA461" w14:textId="77777777" w:rsidR="00FC78C0" w:rsidRPr="00DA26C1" w:rsidRDefault="00FC78C0" w:rsidP="00DA26C1">
            <w:pPr>
              <w:pStyle w:val="Tabletext"/>
            </w:pPr>
          </w:p>
        </w:tc>
        <w:tc>
          <w:tcPr>
            <w:tcW w:w="1137" w:type="pct"/>
            <w:gridSpan w:val="6"/>
            <w:tcBorders>
              <w:bottom w:val="single" w:sz="6" w:space="0" w:color="00DCA1"/>
            </w:tcBorders>
          </w:tcPr>
          <w:p w14:paraId="002B0611" w14:textId="77777777" w:rsidR="00FC78C0" w:rsidRPr="00DA26C1" w:rsidRDefault="00FC78C0" w:rsidP="00DA26C1">
            <w:pPr>
              <w:pStyle w:val="Tabletext"/>
            </w:pPr>
            <w:r w:rsidRPr="00DA26C1">
              <w:t>_____/______/______</w:t>
            </w:r>
          </w:p>
        </w:tc>
        <w:tc>
          <w:tcPr>
            <w:tcW w:w="1019" w:type="pct"/>
            <w:gridSpan w:val="4"/>
            <w:tcBorders>
              <w:bottom w:val="single" w:sz="6" w:space="0" w:color="00DCA1"/>
            </w:tcBorders>
          </w:tcPr>
          <w:p w14:paraId="0D947213" w14:textId="70858258"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clade la </w:t>
            </w: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clade Ib</w:t>
            </w:r>
          </w:p>
          <w:p w14:paraId="12E909B7" w14:textId="4CE665AD" w:rsidR="00FC78C0" w:rsidRPr="00DA26C1" w:rsidRDefault="00FC78C0" w:rsidP="00DA26C1">
            <w:pPr>
              <w:pStyle w:val="Tabletext"/>
            </w:pP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clade IIa </w:t>
            </w:r>
            <w:r w:rsidRPr="00DA26C1">
              <w:fldChar w:fldCharType="begin">
                <w:ffData>
                  <w:name w:val="Check1"/>
                  <w:enabled/>
                  <w:calcOnExit w:val="0"/>
                  <w:checkBox>
                    <w:sizeAuto/>
                    <w:default w:val="0"/>
                  </w:checkBox>
                </w:ffData>
              </w:fldChar>
            </w:r>
            <w:r w:rsidRPr="00DA26C1">
              <w:instrText xml:space="preserve"> FORMCHECKBOX </w:instrText>
            </w:r>
            <w:r w:rsidRPr="00DA26C1">
              <w:fldChar w:fldCharType="separate"/>
            </w:r>
            <w:r w:rsidRPr="00DA26C1">
              <w:fldChar w:fldCharType="end"/>
            </w:r>
            <w:r w:rsidRPr="00DA26C1">
              <w:t xml:space="preserve"> clade IIb</w:t>
            </w:r>
          </w:p>
        </w:tc>
      </w:tr>
      <w:tr w:rsidR="00FC78C0" w:rsidRPr="00FC78C0" w14:paraId="3F4F7858" w14:textId="77777777" w:rsidTr="00B55793">
        <w:trPr>
          <w:trHeight w:val="320"/>
        </w:trPr>
        <w:tc>
          <w:tcPr>
            <w:tcW w:w="5000" w:type="pct"/>
            <w:gridSpan w:val="26"/>
            <w:shd w:val="clear" w:color="auto" w:fill="C5FFEF"/>
          </w:tcPr>
          <w:p w14:paraId="09208308" w14:textId="3CF6DBB8" w:rsidR="00FC78C0" w:rsidRPr="00FC78C0" w:rsidRDefault="00FC78C0" w:rsidP="000F3342">
            <w:pPr>
              <w:pStyle w:val="Tableheaderrowblack"/>
            </w:pPr>
            <w:r w:rsidRPr="00FC78C0">
              <w:t>EXPOSURE HISTOR</w:t>
            </w:r>
            <w:r w:rsidR="002B3707">
              <w:t>Y</w:t>
            </w:r>
          </w:p>
        </w:tc>
      </w:tr>
      <w:tr w:rsidR="00FC78C0" w:rsidRPr="00FC78C0" w14:paraId="76BD209C"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5000" w:type="pct"/>
            <w:gridSpan w:val="26"/>
            <w:tcBorders>
              <w:bottom w:val="single" w:sz="6" w:space="0" w:color="00DCA1"/>
            </w:tcBorders>
          </w:tcPr>
          <w:p w14:paraId="66C89AF8" w14:textId="77777777" w:rsidR="00FC78C0" w:rsidRPr="00FC78C0" w:rsidRDefault="00FC78C0" w:rsidP="00DA26C1">
            <w:pPr>
              <w:pStyle w:val="Tabletext"/>
            </w:pPr>
            <w:r w:rsidRPr="00FC78C0">
              <w:t>Exposure Period</w:t>
            </w:r>
          </w:p>
          <w:p w14:paraId="38EE07B1" w14:textId="2673B819" w:rsidR="00FC78C0" w:rsidRPr="00FC78C0" w:rsidRDefault="00FC78C0" w:rsidP="00DA26C1">
            <w:pPr>
              <w:pStyle w:val="Tabletext"/>
            </w:pPr>
            <w:r w:rsidRPr="00FC78C0">
              <w:t>Date: ___/___/____</w:t>
            </w:r>
            <w:r w:rsidR="00224954">
              <w:t xml:space="preserve"> </w:t>
            </w:r>
            <w:r w:rsidRPr="00FC78C0">
              <w:t>to ___/___/____</w:t>
            </w:r>
          </w:p>
          <w:p w14:paraId="1EA9E4D9" w14:textId="38D06F2D" w:rsidR="00FC78C0" w:rsidRPr="00FC78C0" w:rsidRDefault="00FC78C0" w:rsidP="00DA26C1">
            <w:pPr>
              <w:pStyle w:val="Tabletext"/>
            </w:pPr>
            <w:r w:rsidRPr="00FC78C0">
              <w:t>(21 days before onset date)</w:t>
            </w:r>
            <w:r w:rsidRPr="00FC78C0">
              <w:tab/>
              <w:t>(onset date)</w:t>
            </w:r>
          </w:p>
        </w:tc>
      </w:tr>
      <w:tr w:rsidR="00FC78C0" w:rsidRPr="00FC78C0" w14:paraId="18D4A259" w14:textId="77777777" w:rsidTr="00B55793">
        <w:trPr>
          <w:trHeight w:val="452"/>
        </w:trPr>
        <w:tc>
          <w:tcPr>
            <w:tcW w:w="5000" w:type="pct"/>
            <w:gridSpan w:val="26"/>
            <w:shd w:val="clear" w:color="auto" w:fill="F2F2F2"/>
          </w:tcPr>
          <w:p w14:paraId="50990153" w14:textId="77777777" w:rsidR="00FC78C0" w:rsidRPr="00FC78C0" w:rsidRDefault="00FC78C0" w:rsidP="00DA26C1">
            <w:pPr>
              <w:pStyle w:val="Tableheaderrowblack"/>
            </w:pPr>
            <w:r w:rsidRPr="00FC78C0">
              <w:t>Exposure to infectious case</w:t>
            </w:r>
          </w:p>
        </w:tc>
      </w:tr>
      <w:tr w:rsidR="00FC78C0" w:rsidRPr="00FC78C0" w14:paraId="33A981FE" w14:textId="77777777" w:rsidTr="00B55793">
        <w:trPr>
          <w:cnfStyle w:val="000000100000" w:firstRow="0" w:lastRow="0" w:firstColumn="0" w:lastColumn="0" w:oddVBand="0" w:evenVBand="0" w:oddHBand="1" w:evenHBand="0" w:firstRowFirstColumn="0" w:firstRowLastColumn="0" w:lastRowFirstColumn="0" w:lastRowLastColumn="0"/>
          <w:trHeight w:val="849"/>
        </w:trPr>
        <w:tc>
          <w:tcPr>
            <w:tcW w:w="5000" w:type="pct"/>
            <w:gridSpan w:val="26"/>
          </w:tcPr>
          <w:p w14:paraId="3064F7F7" w14:textId="77777777" w:rsidR="00FC78C0" w:rsidRPr="00FC78C0" w:rsidRDefault="00FC78C0" w:rsidP="00DA26C1">
            <w:pPr>
              <w:pStyle w:val="Tabletext"/>
            </w:pPr>
            <w:r w:rsidRPr="00FC78C0">
              <w:t xml:space="preserve">Contact with an infectious case of mpox in 21 days before symptom onset           </w:t>
            </w: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Yes   </w:t>
            </w: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No   </w:t>
            </w: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FC78C0">
              <w:t xml:space="preserve"> Unknown</w:t>
            </w:r>
          </w:p>
          <w:p w14:paraId="2C898B15" w14:textId="3974EE33" w:rsidR="00FC78C0" w:rsidRPr="00FC78C0" w:rsidRDefault="00FC78C0" w:rsidP="00DA26C1">
            <w:pPr>
              <w:pStyle w:val="Tabletext"/>
            </w:pPr>
            <w:r w:rsidRPr="00FC78C0">
              <w:t>If Yes, Name _______________________ DOB ___________________ Date of last contact with a case __</w:t>
            </w:r>
            <w:r w:rsidRPr="00FC78C0">
              <w:softHyphen/>
              <w:t>_ /___/____</w:t>
            </w:r>
          </w:p>
        </w:tc>
      </w:tr>
      <w:tr w:rsidR="00BE1512" w:rsidRPr="00FC78C0" w14:paraId="5CC262E3" w14:textId="77777777" w:rsidTr="00B55793">
        <w:trPr>
          <w:trHeight w:val="454"/>
        </w:trPr>
        <w:tc>
          <w:tcPr>
            <w:tcW w:w="5000" w:type="pct"/>
            <w:gridSpan w:val="26"/>
            <w:shd w:val="clear" w:color="auto" w:fill="BEFEE9" w:themeFill="background2"/>
          </w:tcPr>
          <w:p w14:paraId="6196442D" w14:textId="01EBA9EB" w:rsidR="00BE1512" w:rsidRPr="00FC78C0" w:rsidRDefault="00BE1512" w:rsidP="00BE1512">
            <w:pPr>
              <w:pStyle w:val="Tableheaderrowblack"/>
            </w:pPr>
            <w:r w:rsidRPr="006769C8">
              <w:t>Exposure Type</w:t>
            </w:r>
          </w:p>
        </w:tc>
      </w:tr>
      <w:tr w:rsidR="006769C8" w:rsidRPr="00FC78C0" w14:paraId="3A4423E3" w14:textId="77777777" w:rsidTr="00B55793">
        <w:trPr>
          <w:cnfStyle w:val="000000100000" w:firstRow="0" w:lastRow="0" w:firstColumn="0" w:lastColumn="0" w:oddVBand="0" w:evenVBand="0" w:oddHBand="1" w:evenHBand="0" w:firstRowFirstColumn="0" w:firstRowLastColumn="0" w:lastRowFirstColumn="0" w:lastRowLastColumn="0"/>
          <w:trHeight w:val="454"/>
        </w:trPr>
        <w:tc>
          <w:tcPr>
            <w:tcW w:w="679" w:type="pct"/>
            <w:gridSpan w:val="4"/>
            <w:vAlign w:val="top"/>
          </w:tcPr>
          <w:p w14:paraId="20F42268" w14:textId="03F7A8C6" w:rsidR="006769C8" w:rsidRPr="00FC78C0" w:rsidRDefault="006769C8" w:rsidP="006769C8">
            <w:pPr>
              <w:pStyle w:val="Tabletext"/>
            </w:pPr>
            <w:r w:rsidRPr="006769C8">
              <w:t>Sexual partner</w:t>
            </w:r>
          </w:p>
        </w:tc>
        <w:tc>
          <w:tcPr>
            <w:tcW w:w="605" w:type="pct"/>
            <w:gridSpan w:val="3"/>
            <w:vAlign w:val="top"/>
          </w:tcPr>
          <w:p w14:paraId="37EB3A1E" w14:textId="4F126CE0"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50D8A834" w14:textId="10E7A904"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22B9A41D" w14:textId="224BB78D"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46D9C27A" w14:textId="4DCD5F6F" w:rsidR="006769C8" w:rsidRPr="00FC78C0" w:rsidRDefault="006769C8" w:rsidP="006769C8">
            <w:pPr>
              <w:pStyle w:val="Tabletext"/>
            </w:pPr>
            <w:r w:rsidRPr="006769C8">
              <w:t>Household</w:t>
            </w:r>
          </w:p>
        </w:tc>
        <w:tc>
          <w:tcPr>
            <w:tcW w:w="598" w:type="pct"/>
            <w:gridSpan w:val="3"/>
            <w:vAlign w:val="top"/>
          </w:tcPr>
          <w:p w14:paraId="2B06A946" w14:textId="5AD2FC8A"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3998ABEF" w14:textId="6B2F2474"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3108D0EF" w14:textId="0A966CAE"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6769C8" w:rsidRPr="00FC78C0" w14:paraId="2029C770" w14:textId="77777777" w:rsidTr="00B55793">
        <w:trPr>
          <w:trHeight w:val="454"/>
        </w:trPr>
        <w:tc>
          <w:tcPr>
            <w:tcW w:w="679" w:type="pct"/>
            <w:gridSpan w:val="4"/>
            <w:vAlign w:val="top"/>
          </w:tcPr>
          <w:p w14:paraId="0DA9FF73" w14:textId="1B1E2BDF" w:rsidR="006769C8" w:rsidRPr="006769C8" w:rsidRDefault="006769C8" w:rsidP="006769C8">
            <w:pPr>
              <w:pStyle w:val="Tabletext"/>
            </w:pPr>
            <w:r w:rsidRPr="006769C8">
              <w:t>Travel</w:t>
            </w:r>
          </w:p>
        </w:tc>
        <w:tc>
          <w:tcPr>
            <w:tcW w:w="605" w:type="pct"/>
            <w:gridSpan w:val="3"/>
            <w:vAlign w:val="top"/>
          </w:tcPr>
          <w:p w14:paraId="4DB9A50F" w14:textId="2208DF90"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65FE18D3" w14:textId="3D36DCC5"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600B3177" w14:textId="3E8EF0DF"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287581C4" w14:textId="70B40D71" w:rsidR="006769C8" w:rsidRPr="006769C8" w:rsidRDefault="006769C8" w:rsidP="006769C8">
            <w:pPr>
              <w:pStyle w:val="Tabletext"/>
            </w:pPr>
            <w:r w:rsidRPr="006769C8">
              <w:t>Healthcare worker</w:t>
            </w:r>
          </w:p>
        </w:tc>
        <w:tc>
          <w:tcPr>
            <w:tcW w:w="598" w:type="pct"/>
            <w:gridSpan w:val="3"/>
            <w:vAlign w:val="top"/>
          </w:tcPr>
          <w:p w14:paraId="3F000662" w14:textId="2C00917D"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7F01B0B2" w14:textId="5A98C37B"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7EE4875C" w14:textId="00E5E5A5"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6769C8" w:rsidRPr="00FC78C0" w14:paraId="6ADA4225" w14:textId="77777777" w:rsidTr="00B55793">
        <w:trPr>
          <w:cnfStyle w:val="000000100000" w:firstRow="0" w:lastRow="0" w:firstColumn="0" w:lastColumn="0" w:oddVBand="0" w:evenVBand="0" w:oddHBand="1" w:evenHBand="0" w:firstRowFirstColumn="0" w:firstRowLastColumn="0" w:lastRowFirstColumn="0" w:lastRowLastColumn="0"/>
          <w:trHeight w:val="454"/>
        </w:trPr>
        <w:tc>
          <w:tcPr>
            <w:tcW w:w="679" w:type="pct"/>
            <w:gridSpan w:val="4"/>
            <w:vAlign w:val="top"/>
          </w:tcPr>
          <w:p w14:paraId="276AE2E6" w14:textId="7330A43D" w:rsidR="006769C8" w:rsidRPr="006769C8" w:rsidRDefault="006769C8" w:rsidP="006769C8">
            <w:pPr>
              <w:pStyle w:val="Tabletext"/>
            </w:pPr>
            <w:r w:rsidRPr="006769C8">
              <w:t>Workplace</w:t>
            </w:r>
          </w:p>
        </w:tc>
        <w:tc>
          <w:tcPr>
            <w:tcW w:w="605" w:type="pct"/>
            <w:gridSpan w:val="3"/>
            <w:vAlign w:val="top"/>
          </w:tcPr>
          <w:p w14:paraId="4A8F5870" w14:textId="52286C18"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78409414" w14:textId="63C23E54"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607DC9D6" w14:textId="0B9261D2"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54B4F946" w14:textId="3C134395" w:rsidR="006769C8" w:rsidRPr="006769C8" w:rsidRDefault="006769C8" w:rsidP="006769C8">
            <w:pPr>
              <w:pStyle w:val="Tabletext"/>
            </w:pPr>
            <w:r w:rsidRPr="006769C8">
              <w:t>School/childcare</w:t>
            </w:r>
          </w:p>
        </w:tc>
        <w:tc>
          <w:tcPr>
            <w:tcW w:w="598" w:type="pct"/>
            <w:gridSpan w:val="3"/>
            <w:vAlign w:val="top"/>
          </w:tcPr>
          <w:p w14:paraId="3DCBC6CD" w14:textId="0B5E7414"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4D966E2E" w14:textId="6FFA8CB9"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1F0DAE09" w14:textId="66864E3C" w:rsidR="006769C8" w:rsidRPr="00FC78C0" w:rsidRDefault="006769C8"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6769C8" w:rsidRPr="00FC78C0" w14:paraId="6D9DC0ED" w14:textId="77777777" w:rsidTr="00B55793">
        <w:trPr>
          <w:trHeight w:val="454"/>
        </w:trPr>
        <w:tc>
          <w:tcPr>
            <w:tcW w:w="5000" w:type="pct"/>
            <w:gridSpan w:val="26"/>
            <w:vAlign w:val="top"/>
          </w:tcPr>
          <w:p w14:paraId="1CD68AF6" w14:textId="6C955F46" w:rsidR="006769C8" w:rsidRPr="00FC78C0" w:rsidRDefault="006769C8" w:rsidP="006769C8">
            <w:pPr>
              <w:pStyle w:val="Tabletext"/>
            </w:pPr>
            <w:r>
              <w:t xml:space="preserve">Other exposure, </w:t>
            </w:r>
            <w:r w:rsidR="00AD472C">
              <w:t>specify</w:t>
            </w:r>
            <w:r>
              <w:t xml:space="preserve"> </w:t>
            </w:r>
            <w:r w:rsidRPr="007C3093">
              <w:t>_________________________________________</w:t>
            </w:r>
          </w:p>
        </w:tc>
      </w:tr>
      <w:tr w:rsidR="00BE1512" w:rsidRPr="00FC78C0" w14:paraId="57663E00" w14:textId="77777777" w:rsidTr="00B55793">
        <w:trPr>
          <w:cnfStyle w:val="000000100000" w:firstRow="0" w:lastRow="0" w:firstColumn="0" w:lastColumn="0" w:oddVBand="0" w:evenVBand="0" w:oddHBand="1" w:evenHBand="0" w:firstRowFirstColumn="0" w:firstRowLastColumn="0" w:lastRowFirstColumn="0" w:lastRowLastColumn="0"/>
          <w:trHeight w:val="454"/>
        </w:trPr>
        <w:tc>
          <w:tcPr>
            <w:tcW w:w="5000" w:type="pct"/>
            <w:gridSpan w:val="26"/>
            <w:shd w:val="clear" w:color="auto" w:fill="BEFEE9" w:themeFill="background2"/>
            <w:vAlign w:val="top"/>
          </w:tcPr>
          <w:p w14:paraId="61500F42" w14:textId="3A54DFEA" w:rsidR="00BE1512" w:rsidRPr="00FC78C0" w:rsidRDefault="00BE1512" w:rsidP="00BE1512">
            <w:pPr>
              <w:pStyle w:val="Tableheaderrowblack"/>
            </w:pPr>
            <w:r w:rsidRPr="00BE1512">
              <w:t>Sexual Exposure (Gender of sexual/intimate partners for the mpox case)</w:t>
            </w:r>
          </w:p>
        </w:tc>
      </w:tr>
      <w:tr w:rsidR="00BE1512" w:rsidRPr="00FC78C0" w14:paraId="639B179B" w14:textId="77777777" w:rsidTr="00B55793">
        <w:trPr>
          <w:trHeight w:val="454"/>
        </w:trPr>
        <w:tc>
          <w:tcPr>
            <w:tcW w:w="679" w:type="pct"/>
            <w:gridSpan w:val="4"/>
            <w:vAlign w:val="top"/>
          </w:tcPr>
          <w:p w14:paraId="60D71964" w14:textId="6E2619DC" w:rsidR="00BE1512" w:rsidRDefault="00BE1512" w:rsidP="00BE1512">
            <w:pPr>
              <w:pStyle w:val="Tableheaderrowblack"/>
            </w:pPr>
            <w:r w:rsidRPr="006769C8">
              <w:t>Cisgender male</w:t>
            </w:r>
          </w:p>
        </w:tc>
        <w:tc>
          <w:tcPr>
            <w:tcW w:w="605" w:type="pct"/>
            <w:gridSpan w:val="3"/>
            <w:vAlign w:val="top"/>
          </w:tcPr>
          <w:p w14:paraId="36F60505" w14:textId="404B6D72"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172B55AE" w14:textId="45026A66"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7482A4E9" w14:textId="79B894CF"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52FD8165" w14:textId="5AB4A552" w:rsidR="00BE1512" w:rsidRPr="006769C8" w:rsidRDefault="00BE1512" w:rsidP="00BE1512">
            <w:pPr>
              <w:pStyle w:val="Tableheaderrowblack"/>
            </w:pPr>
            <w:r w:rsidRPr="006769C8">
              <w:t>Cisgender female</w:t>
            </w:r>
          </w:p>
        </w:tc>
        <w:tc>
          <w:tcPr>
            <w:tcW w:w="598" w:type="pct"/>
            <w:gridSpan w:val="3"/>
            <w:vAlign w:val="top"/>
          </w:tcPr>
          <w:p w14:paraId="6259D82E" w14:textId="17EBB1C2"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2BC74A68" w14:textId="6E0FE7BF"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177E4EA0" w14:textId="4059E61C"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BE1512" w:rsidRPr="00FC78C0" w14:paraId="4DE6BFAA" w14:textId="77777777" w:rsidTr="00B55793">
        <w:trPr>
          <w:cnfStyle w:val="000000100000" w:firstRow="0" w:lastRow="0" w:firstColumn="0" w:lastColumn="0" w:oddVBand="0" w:evenVBand="0" w:oddHBand="1" w:evenHBand="0" w:firstRowFirstColumn="0" w:firstRowLastColumn="0" w:lastRowFirstColumn="0" w:lastRowLastColumn="0"/>
          <w:trHeight w:val="454"/>
        </w:trPr>
        <w:tc>
          <w:tcPr>
            <w:tcW w:w="679" w:type="pct"/>
            <w:gridSpan w:val="4"/>
            <w:vAlign w:val="top"/>
          </w:tcPr>
          <w:p w14:paraId="429C3596" w14:textId="736C13D2" w:rsidR="00BE1512" w:rsidRPr="006769C8" w:rsidRDefault="00BE1512" w:rsidP="006769C8">
            <w:pPr>
              <w:pStyle w:val="Tabletext"/>
            </w:pPr>
            <w:r w:rsidRPr="00BE1512">
              <w:t>Transgender male to female</w:t>
            </w:r>
          </w:p>
        </w:tc>
        <w:tc>
          <w:tcPr>
            <w:tcW w:w="605" w:type="pct"/>
            <w:gridSpan w:val="3"/>
            <w:vAlign w:val="top"/>
          </w:tcPr>
          <w:p w14:paraId="7DC08E36" w14:textId="6D5CA499"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5F1C9BD6" w14:textId="1B433B40"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67934212" w14:textId="11FB1D21"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175AAADF" w14:textId="6035CD39" w:rsidR="00BE1512" w:rsidRPr="006769C8" w:rsidRDefault="00BE1512" w:rsidP="006769C8">
            <w:pPr>
              <w:pStyle w:val="Tabletext"/>
            </w:pPr>
            <w:r w:rsidRPr="006769C8">
              <w:t>Transgender female to male</w:t>
            </w:r>
          </w:p>
        </w:tc>
        <w:tc>
          <w:tcPr>
            <w:tcW w:w="598" w:type="pct"/>
            <w:gridSpan w:val="3"/>
            <w:vAlign w:val="top"/>
          </w:tcPr>
          <w:p w14:paraId="0C59E9EF" w14:textId="01867109"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70701CC9" w14:textId="0C16A52A"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180D363F" w14:textId="793BFE7D"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BE1512" w:rsidRPr="00FC78C0" w14:paraId="003ED9E1" w14:textId="77777777" w:rsidTr="00B55793">
        <w:trPr>
          <w:trHeight w:val="454"/>
        </w:trPr>
        <w:tc>
          <w:tcPr>
            <w:tcW w:w="679" w:type="pct"/>
            <w:gridSpan w:val="4"/>
            <w:vAlign w:val="top"/>
          </w:tcPr>
          <w:p w14:paraId="734F1CDC" w14:textId="4C745D8A" w:rsidR="00BE1512" w:rsidRPr="006769C8" w:rsidRDefault="00BE1512" w:rsidP="006769C8">
            <w:pPr>
              <w:pStyle w:val="Tabletext"/>
            </w:pPr>
            <w:r w:rsidRPr="006769C8">
              <w:t>Non-binary contact</w:t>
            </w:r>
          </w:p>
        </w:tc>
        <w:tc>
          <w:tcPr>
            <w:tcW w:w="605" w:type="pct"/>
            <w:gridSpan w:val="3"/>
            <w:vAlign w:val="top"/>
          </w:tcPr>
          <w:p w14:paraId="3D1315F7" w14:textId="376EFE3A"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606" w:type="pct"/>
            <w:gridSpan w:val="3"/>
            <w:vAlign w:val="top"/>
          </w:tcPr>
          <w:p w14:paraId="203E69E4" w14:textId="65C967E0"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587" w:type="pct"/>
            <w:gridSpan w:val="4"/>
            <w:vAlign w:val="top"/>
          </w:tcPr>
          <w:p w14:paraId="15711C68" w14:textId="3F54952B"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c>
          <w:tcPr>
            <w:tcW w:w="733" w:type="pct"/>
            <w:gridSpan w:val="4"/>
            <w:vAlign w:val="top"/>
          </w:tcPr>
          <w:p w14:paraId="2F5B8DAF" w14:textId="408B79A6" w:rsidR="00BE1512" w:rsidRPr="006769C8" w:rsidRDefault="00BE1512" w:rsidP="006769C8">
            <w:pPr>
              <w:pStyle w:val="Tabletext"/>
            </w:pPr>
            <w:r w:rsidRPr="006769C8">
              <w:t>No sexual contact</w:t>
            </w:r>
          </w:p>
        </w:tc>
        <w:tc>
          <w:tcPr>
            <w:tcW w:w="598" w:type="pct"/>
            <w:gridSpan w:val="3"/>
            <w:vAlign w:val="top"/>
          </w:tcPr>
          <w:p w14:paraId="66574C7C" w14:textId="4D2E6A38"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Yes</w:t>
            </w:r>
          </w:p>
        </w:tc>
        <w:tc>
          <w:tcPr>
            <w:tcW w:w="586" w:type="pct"/>
            <w:gridSpan w:val="4"/>
            <w:vAlign w:val="top"/>
          </w:tcPr>
          <w:p w14:paraId="3E1E300D" w14:textId="597A5EC0"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No</w:t>
            </w:r>
          </w:p>
        </w:tc>
        <w:tc>
          <w:tcPr>
            <w:tcW w:w="606" w:type="pct"/>
            <w:vAlign w:val="top"/>
          </w:tcPr>
          <w:p w14:paraId="272637FE" w14:textId="5AC42416" w:rsidR="00BE1512" w:rsidRPr="00FC78C0" w:rsidRDefault="00BE1512" w:rsidP="006769C8">
            <w:pPr>
              <w:pStyle w:val="Tabletext"/>
            </w:pPr>
            <w:r w:rsidRPr="00FC78C0">
              <w:fldChar w:fldCharType="begin">
                <w:ffData>
                  <w:name w:val="Check1"/>
                  <w:enabled/>
                  <w:calcOnExit w:val="0"/>
                  <w:checkBox>
                    <w:sizeAuto/>
                    <w:default w:val="0"/>
                  </w:checkBox>
                </w:ffData>
              </w:fldChar>
            </w:r>
            <w:r w:rsidRPr="00FC78C0">
              <w:instrText xml:space="preserve"> FORMCHECKBOX </w:instrText>
            </w:r>
            <w:r w:rsidRPr="00FC78C0">
              <w:fldChar w:fldCharType="separate"/>
            </w:r>
            <w:r w:rsidRPr="00FC78C0">
              <w:fldChar w:fldCharType="end"/>
            </w:r>
            <w:r w:rsidRPr="007C3093">
              <w:t xml:space="preserve"> Unknown</w:t>
            </w:r>
          </w:p>
        </w:tc>
      </w:tr>
      <w:tr w:rsidR="00224954" w:rsidRPr="00FC78C0" w14:paraId="0CAE7791"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5000" w:type="pct"/>
            <w:gridSpan w:val="26"/>
            <w:tcBorders>
              <w:top w:val="single" w:sz="6" w:space="0" w:color="00DCA1"/>
              <w:bottom w:val="single" w:sz="6" w:space="0" w:color="00DCA1"/>
            </w:tcBorders>
            <w:shd w:val="clear" w:color="auto" w:fill="C5FFEF"/>
          </w:tcPr>
          <w:p w14:paraId="5F103AD9" w14:textId="00F09B34" w:rsidR="00224954" w:rsidRPr="00FC78C0" w:rsidRDefault="00224954" w:rsidP="00DA26C1">
            <w:pPr>
              <w:pStyle w:val="Tableheaderrowblack"/>
            </w:pPr>
            <w:r w:rsidRPr="00FC78C0">
              <w:t>TRAVEL HISTORY</w:t>
            </w:r>
          </w:p>
        </w:tc>
      </w:tr>
      <w:tr w:rsidR="00FC78C0" w:rsidRPr="00FC78C0" w14:paraId="7B409FB4" w14:textId="77777777" w:rsidTr="00B55793">
        <w:trPr>
          <w:trHeight w:val="218"/>
        </w:trPr>
        <w:tc>
          <w:tcPr>
            <w:tcW w:w="920" w:type="pct"/>
            <w:gridSpan w:val="5"/>
          </w:tcPr>
          <w:p w14:paraId="1C2DBC43" w14:textId="77777777" w:rsidR="00FC78C0" w:rsidRPr="00FC78C0" w:rsidRDefault="00FC78C0" w:rsidP="00DA26C1">
            <w:pPr>
              <w:pStyle w:val="Tabletext"/>
            </w:pPr>
            <w:r w:rsidRPr="00FC78C0">
              <w:t>Location</w:t>
            </w:r>
          </w:p>
        </w:tc>
        <w:tc>
          <w:tcPr>
            <w:tcW w:w="1051" w:type="pct"/>
            <w:gridSpan w:val="7"/>
          </w:tcPr>
          <w:p w14:paraId="219C0DDD" w14:textId="77777777" w:rsidR="00FC78C0" w:rsidRPr="00FC78C0" w:rsidRDefault="00FC78C0" w:rsidP="00DA26C1">
            <w:pPr>
              <w:pStyle w:val="Tabletext"/>
            </w:pPr>
            <w:r w:rsidRPr="00FC78C0">
              <w:t>Dates travelled</w:t>
            </w:r>
          </w:p>
        </w:tc>
        <w:tc>
          <w:tcPr>
            <w:tcW w:w="1271" w:type="pct"/>
            <w:gridSpan w:val="7"/>
          </w:tcPr>
          <w:p w14:paraId="7ACCA19C" w14:textId="77777777" w:rsidR="00FC78C0" w:rsidRPr="00FC78C0" w:rsidRDefault="00FC78C0" w:rsidP="00DA26C1">
            <w:pPr>
              <w:pStyle w:val="Tabletext"/>
            </w:pPr>
            <w:r w:rsidRPr="00FC78C0">
              <w:t>Country/state visited</w:t>
            </w:r>
          </w:p>
        </w:tc>
        <w:tc>
          <w:tcPr>
            <w:tcW w:w="1758" w:type="pct"/>
            <w:gridSpan w:val="7"/>
          </w:tcPr>
          <w:p w14:paraId="1760E512" w14:textId="77777777" w:rsidR="00FC78C0" w:rsidRPr="00FC78C0" w:rsidRDefault="00FC78C0" w:rsidP="00DA26C1">
            <w:pPr>
              <w:pStyle w:val="Tabletext"/>
            </w:pPr>
            <w:r w:rsidRPr="00FC78C0">
              <w:t>Place visited (hotels stayed, etc.)</w:t>
            </w:r>
          </w:p>
        </w:tc>
      </w:tr>
      <w:tr w:rsidR="00FC78C0" w:rsidRPr="00FC78C0" w14:paraId="52FC2627" w14:textId="77777777" w:rsidTr="00B55793">
        <w:trPr>
          <w:cnfStyle w:val="000000100000" w:firstRow="0" w:lastRow="0" w:firstColumn="0" w:lastColumn="0" w:oddVBand="0" w:evenVBand="0" w:oddHBand="1" w:evenHBand="0" w:firstRowFirstColumn="0" w:firstRowLastColumn="0" w:lastRowFirstColumn="0" w:lastRowLastColumn="0"/>
          <w:trHeight w:val="218"/>
        </w:trPr>
        <w:tc>
          <w:tcPr>
            <w:tcW w:w="920" w:type="pct"/>
            <w:gridSpan w:val="5"/>
          </w:tcPr>
          <w:p w14:paraId="793BB71F" w14:textId="77777777" w:rsidR="00FC78C0" w:rsidRPr="00FC78C0" w:rsidRDefault="00FC78C0" w:rsidP="00DA26C1">
            <w:pPr>
              <w:pStyle w:val="Tabletext"/>
            </w:pPr>
          </w:p>
        </w:tc>
        <w:tc>
          <w:tcPr>
            <w:tcW w:w="1051" w:type="pct"/>
            <w:gridSpan w:val="7"/>
          </w:tcPr>
          <w:p w14:paraId="02ED0E7C" w14:textId="77777777" w:rsidR="00FC78C0" w:rsidRPr="00FC78C0" w:rsidRDefault="00FC78C0" w:rsidP="00DA26C1">
            <w:pPr>
              <w:pStyle w:val="Tabletext"/>
            </w:pPr>
          </w:p>
        </w:tc>
        <w:tc>
          <w:tcPr>
            <w:tcW w:w="1271" w:type="pct"/>
            <w:gridSpan w:val="7"/>
          </w:tcPr>
          <w:p w14:paraId="5B516604" w14:textId="77777777" w:rsidR="00FC78C0" w:rsidRPr="00FC78C0" w:rsidRDefault="00FC78C0" w:rsidP="00DA26C1">
            <w:pPr>
              <w:pStyle w:val="Tabletext"/>
            </w:pPr>
          </w:p>
        </w:tc>
        <w:tc>
          <w:tcPr>
            <w:tcW w:w="1758" w:type="pct"/>
            <w:gridSpan w:val="7"/>
          </w:tcPr>
          <w:p w14:paraId="5CC37F6B" w14:textId="77777777" w:rsidR="00FC78C0" w:rsidRPr="00FC78C0" w:rsidRDefault="00FC78C0" w:rsidP="00DA26C1">
            <w:pPr>
              <w:pStyle w:val="Tabletext"/>
            </w:pPr>
          </w:p>
        </w:tc>
      </w:tr>
      <w:tr w:rsidR="00FC78C0" w:rsidRPr="00FC78C0" w14:paraId="518A10FC" w14:textId="77777777" w:rsidTr="00B55793">
        <w:trPr>
          <w:trHeight w:val="218"/>
        </w:trPr>
        <w:tc>
          <w:tcPr>
            <w:tcW w:w="920" w:type="pct"/>
            <w:gridSpan w:val="5"/>
          </w:tcPr>
          <w:p w14:paraId="2E5090CB" w14:textId="77777777" w:rsidR="00FC78C0" w:rsidRPr="00FC78C0" w:rsidRDefault="00FC78C0" w:rsidP="00DA26C1">
            <w:pPr>
              <w:pStyle w:val="Tabletext"/>
            </w:pPr>
          </w:p>
        </w:tc>
        <w:tc>
          <w:tcPr>
            <w:tcW w:w="1051" w:type="pct"/>
            <w:gridSpan w:val="7"/>
          </w:tcPr>
          <w:p w14:paraId="63CF816D" w14:textId="77777777" w:rsidR="00FC78C0" w:rsidRPr="00FC78C0" w:rsidRDefault="00FC78C0" w:rsidP="00DA26C1">
            <w:pPr>
              <w:pStyle w:val="Tabletext"/>
            </w:pPr>
          </w:p>
        </w:tc>
        <w:tc>
          <w:tcPr>
            <w:tcW w:w="1271" w:type="pct"/>
            <w:gridSpan w:val="7"/>
          </w:tcPr>
          <w:p w14:paraId="2AA52FF4" w14:textId="77777777" w:rsidR="00FC78C0" w:rsidRPr="00FC78C0" w:rsidRDefault="00FC78C0" w:rsidP="00DA26C1">
            <w:pPr>
              <w:pStyle w:val="Tabletext"/>
            </w:pPr>
          </w:p>
        </w:tc>
        <w:tc>
          <w:tcPr>
            <w:tcW w:w="1758" w:type="pct"/>
            <w:gridSpan w:val="7"/>
          </w:tcPr>
          <w:p w14:paraId="1E2D7910" w14:textId="77777777" w:rsidR="00FC78C0" w:rsidRPr="00FC78C0" w:rsidRDefault="00FC78C0" w:rsidP="00DA26C1">
            <w:pPr>
              <w:pStyle w:val="Tabletext"/>
            </w:pPr>
          </w:p>
        </w:tc>
      </w:tr>
      <w:tr w:rsidR="00FC78C0" w:rsidRPr="00FC78C0" w14:paraId="64E34B0A"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5000" w:type="pct"/>
            <w:gridSpan w:val="26"/>
            <w:shd w:val="clear" w:color="auto" w:fill="C5FFEF"/>
          </w:tcPr>
          <w:p w14:paraId="38BA79E6" w14:textId="77777777" w:rsidR="00FC78C0" w:rsidRPr="00FC78C0" w:rsidRDefault="00FC78C0" w:rsidP="00DA26C1">
            <w:pPr>
              <w:pStyle w:val="Tableheaderrowblack"/>
            </w:pPr>
            <w:r w:rsidRPr="00FC78C0">
              <w:t>Contact with animals</w:t>
            </w:r>
          </w:p>
        </w:tc>
      </w:tr>
      <w:tr w:rsidR="00FC78C0" w:rsidRPr="00FC78C0" w14:paraId="014A72E8" w14:textId="77777777" w:rsidTr="00B55793">
        <w:trPr>
          <w:trHeight w:val="320"/>
        </w:trPr>
        <w:tc>
          <w:tcPr>
            <w:tcW w:w="5000" w:type="pct"/>
            <w:gridSpan w:val="26"/>
          </w:tcPr>
          <w:p w14:paraId="3488C905" w14:textId="77777777" w:rsidR="00BE1512" w:rsidRDefault="00FC78C0" w:rsidP="00DA26C1">
            <w:pPr>
              <w:pStyle w:val="Tabletext"/>
            </w:pPr>
            <w:r w:rsidRPr="00FC78C0">
              <w:t xml:space="preserve">During the exposure period, did the case have contact with animals/hunting in an mpox endemic country? </w:t>
            </w:r>
          </w:p>
          <w:p w14:paraId="7EC29A57" w14:textId="55979DAD" w:rsidR="00FC78C0" w:rsidRPr="00FC78C0" w:rsidRDefault="00FC78C0" w:rsidP="00DA26C1">
            <w:pPr>
              <w:pStyle w:val="Tabletext"/>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Yes </w:t>
            </w: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No </w:t>
            </w: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Unknown</w:t>
            </w:r>
          </w:p>
          <w:p w14:paraId="0AA80866" w14:textId="75E06478" w:rsidR="00FC78C0" w:rsidRPr="00FC78C0" w:rsidRDefault="00FC78C0" w:rsidP="00224954">
            <w:pPr>
              <w:pStyle w:val="Tableheaderrowblack"/>
            </w:pPr>
            <w:r w:rsidRPr="00224954">
              <w:t>Type of animal</w:t>
            </w:r>
            <w:r w:rsidRPr="00FC78C0">
              <w:t xml:space="preserve"> ____________________ </w:t>
            </w:r>
            <w:r w:rsidR="000C3390" w:rsidRPr="00224954">
              <w:t>C</w:t>
            </w:r>
            <w:r w:rsidRPr="00224954">
              <w:t>ountry of contact</w:t>
            </w:r>
            <w:r w:rsidRPr="00FC78C0">
              <w:t>_________________</w:t>
            </w:r>
          </w:p>
          <w:p w14:paraId="6B56F038" w14:textId="77777777" w:rsidR="00FC78C0" w:rsidRPr="00FC78C0" w:rsidRDefault="00FC78C0" w:rsidP="00224954">
            <w:pPr>
              <w:pStyle w:val="Tableheaderrowblack"/>
            </w:pPr>
            <w:r w:rsidRPr="00224954">
              <w:lastRenderedPageBreak/>
              <w:t>Details</w:t>
            </w:r>
            <w:r w:rsidRPr="00FC78C0">
              <w:t xml:space="preserve"> __________________________________________________________________</w:t>
            </w:r>
          </w:p>
        </w:tc>
      </w:tr>
      <w:tr w:rsidR="00FC78C0" w:rsidRPr="00FC78C0" w14:paraId="100891A2"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5000" w:type="pct"/>
            <w:gridSpan w:val="26"/>
            <w:tcBorders>
              <w:top w:val="single" w:sz="6" w:space="0" w:color="00DCA1"/>
            </w:tcBorders>
            <w:shd w:val="clear" w:color="auto" w:fill="C5FFEF"/>
          </w:tcPr>
          <w:p w14:paraId="2026EAC0" w14:textId="77777777" w:rsidR="00FC78C0" w:rsidRPr="00FC78C0" w:rsidRDefault="00FC78C0" w:rsidP="000E50F7">
            <w:pPr>
              <w:pStyle w:val="Tableheaderrowblack"/>
            </w:pPr>
            <w:r w:rsidRPr="00FC78C0">
              <w:lastRenderedPageBreak/>
              <w:t>PLACE OF ACQUISITION</w:t>
            </w:r>
          </w:p>
        </w:tc>
      </w:tr>
      <w:tr w:rsidR="00FC78C0" w:rsidRPr="00FC78C0" w14:paraId="08C51E95" w14:textId="77777777" w:rsidTr="00B55793">
        <w:trPr>
          <w:trHeight w:val="371"/>
        </w:trPr>
        <w:tc>
          <w:tcPr>
            <w:tcW w:w="5000" w:type="pct"/>
            <w:gridSpan w:val="26"/>
          </w:tcPr>
          <w:p w14:paraId="33C7B694" w14:textId="453D3D01" w:rsidR="00FC78C0" w:rsidRPr="00FC78C0" w:rsidRDefault="00FC78C0" w:rsidP="00BE1512">
            <w:pPr>
              <w:pStyle w:val="Tabletext"/>
            </w:pPr>
            <w:r w:rsidRPr="00BE1512">
              <w:t>Place infection acquired</w:t>
            </w:r>
            <w:r w:rsidRPr="00FC78C0">
              <w:t xml:space="preserve"> </w:t>
            </w: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Overseas (countries_________________________________________________)</w:t>
            </w:r>
          </w:p>
          <w:p w14:paraId="0FB408DF" w14:textId="49D681C5" w:rsidR="00FC78C0" w:rsidRPr="00FC78C0" w:rsidRDefault="00FC78C0" w:rsidP="000E50F7">
            <w:pPr>
              <w:pStyle w:val="Tabletext"/>
              <w:rPr>
                <w:b/>
              </w:rPr>
            </w:pPr>
            <w:r w:rsidRPr="007C3093">
              <w:fldChar w:fldCharType="begin">
                <w:ffData>
                  <w:name w:val="Check1"/>
                  <w:enabled/>
                  <w:calcOnExit w:val="0"/>
                  <w:checkBox>
                    <w:sizeAuto/>
                    <w:default w:val="0"/>
                  </w:checkBox>
                </w:ffData>
              </w:fldChar>
            </w:r>
            <w:r w:rsidRPr="007C3093">
              <w:instrText xml:space="preserve"> FORMCHECKBOX </w:instrText>
            </w:r>
            <w:r w:rsidRPr="007C3093">
              <w:fldChar w:fldCharType="separate"/>
            </w:r>
            <w:r w:rsidRPr="007C3093">
              <w:fldChar w:fldCharType="end"/>
            </w:r>
            <w:r w:rsidRPr="00FC78C0">
              <w:t xml:space="preserve"> Australia (State/Territory_____________________________________________ Post code_________)</w:t>
            </w:r>
          </w:p>
        </w:tc>
      </w:tr>
      <w:tr w:rsidR="00FC78C0" w:rsidRPr="00FC78C0" w14:paraId="7401E9DD" w14:textId="77777777" w:rsidTr="00B55793">
        <w:trPr>
          <w:cnfStyle w:val="000000100000" w:firstRow="0" w:lastRow="0" w:firstColumn="0" w:lastColumn="0" w:oddVBand="0" w:evenVBand="0" w:oddHBand="1" w:evenHBand="0" w:firstRowFirstColumn="0" w:firstRowLastColumn="0" w:lastRowFirstColumn="0" w:lastRowLastColumn="0"/>
          <w:trHeight w:val="320"/>
        </w:trPr>
        <w:tc>
          <w:tcPr>
            <w:tcW w:w="5000" w:type="pct"/>
            <w:gridSpan w:val="26"/>
            <w:tcBorders>
              <w:top w:val="single" w:sz="6" w:space="0" w:color="00DCA1"/>
            </w:tcBorders>
            <w:shd w:val="clear" w:color="auto" w:fill="C5FFEF"/>
          </w:tcPr>
          <w:p w14:paraId="0D32E182" w14:textId="77777777" w:rsidR="00FC78C0" w:rsidRPr="00FC78C0" w:rsidRDefault="00FC78C0" w:rsidP="000E50F7">
            <w:pPr>
              <w:pStyle w:val="Tableheaderrowblack"/>
            </w:pPr>
            <w:r w:rsidRPr="00FC78C0">
              <w:t>CONTACT TRACING</w:t>
            </w:r>
          </w:p>
        </w:tc>
      </w:tr>
      <w:tr w:rsidR="00FC78C0" w:rsidRPr="00FC78C0" w14:paraId="47E01141" w14:textId="77777777" w:rsidTr="00B55793">
        <w:trPr>
          <w:trHeight w:val="371"/>
        </w:trPr>
        <w:tc>
          <w:tcPr>
            <w:tcW w:w="562" w:type="pct"/>
          </w:tcPr>
          <w:p w14:paraId="5E0951ED" w14:textId="14033991" w:rsidR="00FC78C0" w:rsidRPr="00FC78C0" w:rsidRDefault="000C3390" w:rsidP="000C3390">
            <w:pPr>
              <w:pStyle w:val="Tabletext"/>
            </w:pPr>
            <w:r>
              <w:t>Name</w:t>
            </w:r>
          </w:p>
        </w:tc>
        <w:tc>
          <w:tcPr>
            <w:tcW w:w="358" w:type="pct"/>
            <w:gridSpan w:val="4"/>
          </w:tcPr>
          <w:p w14:paraId="2698E324" w14:textId="256D6986" w:rsidR="00FC78C0" w:rsidRPr="00FC78C0" w:rsidRDefault="000C3390" w:rsidP="000C3390">
            <w:pPr>
              <w:pStyle w:val="Tabletext"/>
            </w:pPr>
            <w:r>
              <w:t>Sex / Gender</w:t>
            </w:r>
          </w:p>
        </w:tc>
        <w:tc>
          <w:tcPr>
            <w:tcW w:w="490" w:type="pct"/>
            <w:gridSpan w:val="3"/>
          </w:tcPr>
          <w:p w14:paraId="524EA116" w14:textId="299870D6" w:rsidR="00FC78C0" w:rsidRPr="00FC78C0" w:rsidRDefault="000C3390" w:rsidP="000C3390">
            <w:pPr>
              <w:pStyle w:val="Tabletext"/>
            </w:pPr>
            <w:r>
              <w:t>Age/DOB</w:t>
            </w:r>
          </w:p>
        </w:tc>
        <w:tc>
          <w:tcPr>
            <w:tcW w:w="561" w:type="pct"/>
            <w:gridSpan w:val="4"/>
          </w:tcPr>
          <w:p w14:paraId="2D86ADFF" w14:textId="6EDE8669" w:rsidR="00FC78C0" w:rsidRPr="00FC78C0" w:rsidRDefault="000C3390" w:rsidP="000C3390">
            <w:pPr>
              <w:pStyle w:val="Tabletext"/>
            </w:pPr>
            <w:r>
              <w:t>Phone</w:t>
            </w:r>
          </w:p>
        </w:tc>
        <w:tc>
          <w:tcPr>
            <w:tcW w:w="421" w:type="pct"/>
          </w:tcPr>
          <w:p w14:paraId="22CDE3C9" w14:textId="1E4B9610" w:rsidR="00FC78C0" w:rsidRPr="00FC78C0" w:rsidRDefault="000C3390" w:rsidP="000C3390">
            <w:pPr>
              <w:pStyle w:val="Tabletext"/>
            </w:pPr>
            <w:r>
              <w:t>Email</w:t>
            </w:r>
          </w:p>
        </w:tc>
        <w:tc>
          <w:tcPr>
            <w:tcW w:w="850" w:type="pct"/>
            <w:gridSpan w:val="6"/>
          </w:tcPr>
          <w:p w14:paraId="4FA848D2" w14:textId="3D50DC4A" w:rsidR="00FC78C0" w:rsidRPr="00FC78C0" w:rsidRDefault="000C3390" w:rsidP="000C3390">
            <w:pPr>
              <w:pStyle w:val="Tabletext"/>
            </w:pPr>
            <w:r>
              <w:t>Type of contact</w:t>
            </w:r>
          </w:p>
        </w:tc>
        <w:tc>
          <w:tcPr>
            <w:tcW w:w="846" w:type="pct"/>
            <w:gridSpan w:val="4"/>
          </w:tcPr>
          <w:p w14:paraId="4DC253C4" w14:textId="77777777" w:rsidR="00FC78C0" w:rsidRDefault="000C3390" w:rsidP="000C3390">
            <w:pPr>
              <w:pStyle w:val="Tabletext"/>
            </w:pPr>
            <w:r>
              <w:t>Risk assessment</w:t>
            </w:r>
          </w:p>
          <w:p w14:paraId="05FE7FFA" w14:textId="0DD20397" w:rsidR="000C3390" w:rsidRPr="00FC78C0" w:rsidRDefault="000C3390" w:rsidP="000C3390">
            <w:pPr>
              <w:pStyle w:val="Tabletext"/>
            </w:pPr>
            <w:r>
              <w:t>High/Medium</w:t>
            </w:r>
          </w:p>
        </w:tc>
        <w:tc>
          <w:tcPr>
            <w:tcW w:w="912" w:type="pct"/>
            <w:gridSpan w:val="3"/>
          </w:tcPr>
          <w:p w14:paraId="0F804B93" w14:textId="1F650294" w:rsidR="00FC78C0" w:rsidRPr="00FC78C0" w:rsidRDefault="000C3390" w:rsidP="000C3390">
            <w:pPr>
              <w:pStyle w:val="Tabletext"/>
            </w:pPr>
            <w:r>
              <w:t>Actions/Comments</w:t>
            </w:r>
          </w:p>
        </w:tc>
      </w:tr>
      <w:tr w:rsidR="00FC78C0" w:rsidRPr="00FC78C0" w14:paraId="3039E406" w14:textId="77777777" w:rsidTr="00B55793">
        <w:trPr>
          <w:cnfStyle w:val="000000100000" w:firstRow="0" w:lastRow="0" w:firstColumn="0" w:lastColumn="0" w:oddVBand="0" w:evenVBand="0" w:oddHBand="1" w:evenHBand="0" w:firstRowFirstColumn="0" w:firstRowLastColumn="0" w:lastRowFirstColumn="0" w:lastRowLastColumn="0"/>
          <w:trHeight w:val="371"/>
        </w:trPr>
        <w:tc>
          <w:tcPr>
            <w:tcW w:w="562" w:type="pct"/>
          </w:tcPr>
          <w:p w14:paraId="7A02D60F" w14:textId="77777777" w:rsidR="00FC78C0" w:rsidRPr="00FC78C0" w:rsidRDefault="00FC78C0" w:rsidP="000C3390">
            <w:pPr>
              <w:pStyle w:val="Tabletext"/>
            </w:pPr>
          </w:p>
        </w:tc>
        <w:tc>
          <w:tcPr>
            <w:tcW w:w="358" w:type="pct"/>
            <w:gridSpan w:val="4"/>
          </w:tcPr>
          <w:p w14:paraId="59DAE96B" w14:textId="77777777" w:rsidR="00FC78C0" w:rsidRPr="00FC78C0" w:rsidRDefault="00FC78C0" w:rsidP="000C3390">
            <w:pPr>
              <w:pStyle w:val="Tabletext"/>
            </w:pPr>
          </w:p>
        </w:tc>
        <w:tc>
          <w:tcPr>
            <w:tcW w:w="490" w:type="pct"/>
            <w:gridSpan w:val="3"/>
          </w:tcPr>
          <w:p w14:paraId="3E39A455" w14:textId="77777777" w:rsidR="00FC78C0" w:rsidRPr="00FC78C0" w:rsidRDefault="00FC78C0" w:rsidP="000C3390">
            <w:pPr>
              <w:pStyle w:val="Tabletext"/>
            </w:pPr>
          </w:p>
        </w:tc>
        <w:tc>
          <w:tcPr>
            <w:tcW w:w="561" w:type="pct"/>
            <w:gridSpan w:val="4"/>
          </w:tcPr>
          <w:p w14:paraId="44623163" w14:textId="77777777" w:rsidR="00FC78C0" w:rsidRPr="00FC78C0" w:rsidRDefault="00FC78C0" w:rsidP="000C3390">
            <w:pPr>
              <w:pStyle w:val="Tabletext"/>
            </w:pPr>
          </w:p>
        </w:tc>
        <w:tc>
          <w:tcPr>
            <w:tcW w:w="421" w:type="pct"/>
          </w:tcPr>
          <w:p w14:paraId="060D7B02" w14:textId="77777777" w:rsidR="00FC78C0" w:rsidRPr="00FC78C0" w:rsidRDefault="00FC78C0" w:rsidP="000C3390">
            <w:pPr>
              <w:pStyle w:val="Tabletext"/>
            </w:pPr>
          </w:p>
        </w:tc>
        <w:tc>
          <w:tcPr>
            <w:tcW w:w="850" w:type="pct"/>
            <w:gridSpan w:val="6"/>
          </w:tcPr>
          <w:p w14:paraId="4E34BF9C" w14:textId="77777777" w:rsidR="00FC78C0" w:rsidRPr="00FC78C0" w:rsidRDefault="00FC78C0" w:rsidP="000C3390">
            <w:pPr>
              <w:pStyle w:val="Tabletext"/>
            </w:pPr>
          </w:p>
        </w:tc>
        <w:tc>
          <w:tcPr>
            <w:tcW w:w="846" w:type="pct"/>
            <w:gridSpan w:val="4"/>
          </w:tcPr>
          <w:p w14:paraId="58A7B33D" w14:textId="77777777" w:rsidR="00FC78C0" w:rsidRPr="00FC78C0" w:rsidRDefault="00FC78C0" w:rsidP="000C3390">
            <w:pPr>
              <w:pStyle w:val="Tabletext"/>
            </w:pPr>
          </w:p>
        </w:tc>
        <w:tc>
          <w:tcPr>
            <w:tcW w:w="912" w:type="pct"/>
            <w:gridSpan w:val="3"/>
          </w:tcPr>
          <w:p w14:paraId="349416C2" w14:textId="77777777" w:rsidR="00FC78C0" w:rsidRPr="00FC78C0" w:rsidRDefault="00FC78C0" w:rsidP="000C3390">
            <w:pPr>
              <w:pStyle w:val="Tabletext"/>
            </w:pPr>
          </w:p>
        </w:tc>
      </w:tr>
      <w:tr w:rsidR="00FC78C0" w:rsidRPr="00FC78C0" w14:paraId="30A1BE4B" w14:textId="77777777" w:rsidTr="00B55793">
        <w:trPr>
          <w:trHeight w:val="371"/>
        </w:trPr>
        <w:tc>
          <w:tcPr>
            <w:tcW w:w="562" w:type="pct"/>
          </w:tcPr>
          <w:p w14:paraId="37ED81F6" w14:textId="77777777" w:rsidR="00FC78C0" w:rsidRPr="00FC78C0" w:rsidRDefault="00FC78C0" w:rsidP="000C3390">
            <w:pPr>
              <w:pStyle w:val="Tabletext"/>
            </w:pPr>
          </w:p>
        </w:tc>
        <w:tc>
          <w:tcPr>
            <w:tcW w:w="358" w:type="pct"/>
            <w:gridSpan w:val="4"/>
          </w:tcPr>
          <w:p w14:paraId="2D9F94A8" w14:textId="77777777" w:rsidR="00FC78C0" w:rsidRPr="00FC78C0" w:rsidRDefault="00FC78C0" w:rsidP="000C3390">
            <w:pPr>
              <w:pStyle w:val="Tabletext"/>
            </w:pPr>
          </w:p>
        </w:tc>
        <w:tc>
          <w:tcPr>
            <w:tcW w:w="490" w:type="pct"/>
            <w:gridSpan w:val="3"/>
          </w:tcPr>
          <w:p w14:paraId="5E16C626" w14:textId="77777777" w:rsidR="00FC78C0" w:rsidRPr="00FC78C0" w:rsidRDefault="00FC78C0" w:rsidP="000C3390">
            <w:pPr>
              <w:pStyle w:val="Tabletext"/>
            </w:pPr>
          </w:p>
        </w:tc>
        <w:tc>
          <w:tcPr>
            <w:tcW w:w="561" w:type="pct"/>
            <w:gridSpan w:val="4"/>
          </w:tcPr>
          <w:p w14:paraId="2ABC86D5" w14:textId="77777777" w:rsidR="00FC78C0" w:rsidRPr="00FC78C0" w:rsidRDefault="00FC78C0" w:rsidP="000C3390">
            <w:pPr>
              <w:pStyle w:val="Tabletext"/>
            </w:pPr>
          </w:p>
        </w:tc>
        <w:tc>
          <w:tcPr>
            <w:tcW w:w="421" w:type="pct"/>
          </w:tcPr>
          <w:p w14:paraId="1D8D69DB" w14:textId="77777777" w:rsidR="00FC78C0" w:rsidRPr="00FC78C0" w:rsidRDefault="00FC78C0" w:rsidP="000C3390">
            <w:pPr>
              <w:pStyle w:val="Tabletext"/>
            </w:pPr>
          </w:p>
        </w:tc>
        <w:tc>
          <w:tcPr>
            <w:tcW w:w="850" w:type="pct"/>
            <w:gridSpan w:val="6"/>
          </w:tcPr>
          <w:p w14:paraId="5522AD2E" w14:textId="77777777" w:rsidR="00FC78C0" w:rsidRPr="00FC78C0" w:rsidRDefault="00FC78C0" w:rsidP="000C3390">
            <w:pPr>
              <w:pStyle w:val="Tabletext"/>
            </w:pPr>
          </w:p>
        </w:tc>
        <w:tc>
          <w:tcPr>
            <w:tcW w:w="846" w:type="pct"/>
            <w:gridSpan w:val="4"/>
          </w:tcPr>
          <w:p w14:paraId="2E5AA783" w14:textId="77777777" w:rsidR="00FC78C0" w:rsidRPr="00FC78C0" w:rsidRDefault="00FC78C0" w:rsidP="000C3390">
            <w:pPr>
              <w:pStyle w:val="Tabletext"/>
            </w:pPr>
          </w:p>
        </w:tc>
        <w:tc>
          <w:tcPr>
            <w:tcW w:w="912" w:type="pct"/>
            <w:gridSpan w:val="3"/>
          </w:tcPr>
          <w:p w14:paraId="66D91259" w14:textId="77777777" w:rsidR="00FC78C0" w:rsidRPr="00FC78C0" w:rsidRDefault="00FC78C0" w:rsidP="000C3390">
            <w:pPr>
              <w:pStyle w:val="Tabletext"/>
            </w:pPr>
          </w:p>
        </w:tc>
      </w:tr>
      <w:tr w:rsidR="00FC78C0" w:rsidRPr="00FC78C0" w14:paraId="14BD4A50" w14:textId="77777777" w:rsidTr="00B55793">
        <w:trPr>
          <w:cnfStyle w:val="000000100000" w:firstRow="0" w:lastRow="0" w:firstColumn="0" w:lastColumn="0" w:oddVBand="0" w:evenVBand="0" w:oddHBand="1" w:evenHBand="0" w:firstRowFirstColumn="0" w:firstRowLastColumn="0" w:lastRowFirstColumn="0" w:lastRowLastColumn="0"/>
          <w:trHeight w:val="371"/>
        </w:trPr>
        <w:tc>
          <w:tcPr>
            <w:tcW w:w="562" w:type="pct"/>
          </w:tcPr>
          <w:p w14:paraId="480E148B" w14:textId="77777777" w:rsidR="00FC78C0" w:rsidRPr="00FC78C0" w:rsidRDefault="00FC78C0" w:rsidP="000C3390">
            <w:pPr>
              <w:pStyle w:val="Tabletext"/>
            </w:pPr>
          </w:p>
        </w:tc>
        <w:tc>
          <w:tcPr>
            <w:tcW w:w="358" w:type="pct"/>
            <w:gridSpan w:val="4"/>
          </w:tcPr>
          <w:p w14:paraId="5F36F568" w14:textId="77777777" w:rsidR="00FC78C0" w:rsidRPr="00FC78C0" w:rsidRDefault="00FC78C0" w:rsidP="000C3390">
            <w:pPr>
              <w:pStyle w:val="Tabletext"/>
            </w:pPr>
          </w:p>
        </w:tc>
        <w:tc>
          <w:tcPr>
            <w:tcW w:w="490" w:type="pct"/>
            <w:gridSpan w:val="3"/>
          </w:tcPr>
          <w:p w14:paraId="5A71799C" w14:textId="77777777" w:rsidR="00FC78C0" w:rsidRPr="00FC78C0" w:rsidRDefault="00FC78C0" w:rsidP="000C3390">
            <w:pPr>
              <w:pStyle w:val="Tabletext"/>
            </w:pPr>
          </w:p>
        </w:tc>
        <w:tc>
          <w:tcPr>
            <w:tcW w:w="561" w:type="pct"/>
            <w:gridSpan w:val="4"/>
          </w:tcPr>
          <w:p w14:paraId="4E5345EA" w14:textId="77777777" w:rsidR="00FC78C0" w:rsidRPr="00FC78C0" w:rsidRDefault="00FC78C0" w:rsidP="000C3390">
            <w:pPr>
              <w:pStyle w:val="Tabletext"/>
            </w:pPr>
          </w:p>
        </w:tc>
        <w:tc>
          <w:tcPr>
            <w:tcW w:w="421" w:type="pct"/>
          </w:tcPr>
          <w:p w14:paraId="6BADFF97" w14:textId="77777777" w:rsidR="00FC78C0" w:rsidRPr="00FC78C0" w:rsidRDefault="00FC78C0" w:rsidP="000C3390">
            <w:pPr>
              <w:pStyle w:val="Tabletext"/>
            </w:pPr>
          </w:p>
        </w:tc>
        <w:tc>
          <w:tcPr>
            <w:tcW w:w="850" w:type="pct"/>
            <w:gridSpan w:val="6"/>
          </w:tcPr>
          <w:p w14:paraId="0D333F0A" w14:textId="77777777" w:rsidR="00FC78C0" w:rsidRPr="00FC78C0" w:rsidRDefault="00FC78C0" w:rsidP="000C3390">
            <w:pPr>
              <w:pStyle w:val="Tabletext"/>
            </w:pPr>
          </w:p>
        </w:tc>
        <w:tc>
          <w:tcPr>
            <w:tcW w:w="846" w:type="pct"/>
            <w:gridSpan w:val="4"/>
          </w:tcPr>
          <w:p w14:paraId="02062DCA" w14:textId="77777777" w:rsidR="00FC78C0" w:rsidRPr="00FC78C0" w:rsidRDefault="00FC78C0" w:rsidP="000C3390">
            <w:pPr>
              <w:pStyle w:val="Tabletext"/>
            </w:pPr>
          </w:p>
        </w:tc>
        <w:tc>
          <w:tcPr>
            <w:tcW w:w="912" w:type="pct"/>
            <w:gridSpan w:val="3"/>
          </w:tcPr>
          <w:p w14:paraId="421758FA" w14:textId="77777777" w:rsidR="00FC78C0" w:rsidRPr="00FC78C0" w:rsidRDefault="00FC78C0" w:rsidP="000C3390">
            <w:pPr>
              <w:pStyle w:val="Tabletext"/>
            </w:pPr>
          </w:p>
        </w:tc>
      </w:tr>
      <w:tr w:rsidR="00FC78C0" w:rsidRPr="00FC78C0" w14:paraId="40499DCA" w14:textId="77777777" w:rsidTr="00B55793">
        <w:trPr>
          <w:trHeight w:val="371"/>
        </w:trPr>
        <w:tc>
          <w:tcPr>
            <w:tcW w:w="562" w:type="pct"/>
          </w:tcPr>
          <w:p w14:paraId="3CD8A13A" w14:textId="77777777" w:rsidR="00FC78C0" w:rsidRPr="00FC78C0" w:rsidRDefault="00FC78C0" w:rsidP="000C3390">
            <w:pPr>
              <w:pStyle w:val="Tabletext"/>
            </w:pPr>
          </w:p>
        </w:tc>
        <w:tc>
          <w:tcPr>
            <w:tcW w:w="358" w:type="pct"/>
            <w:gridSpan w:val="4"/>
          </w:tcPr>
          <w:p w14:paraId="5DADF075" w14:textId="77777777" w:rsidR="00FC78C0" w:rsidRPr="00FC78C0" w:rsidRDefault="00FC78C0" w:rsidP="000C3390">
            <w:pPr>
              <w:pStyle w:val="Tabletext"/>
            </w:pPr>
          </w:p>
        </w:tc>
        <w:tc>
          <w:tcPr>
            <w:tcW w:w="490" w:type="pct"/>
            <w:gridSpan w:val="3"/>
          </w:tcPr>
          <w:p w14:paraId="74EE8FCB" w14:textId="77777777" w:rsidR="00FC78C0" w:rsidRPr="00FC78C0" w:rsidRDefault="00FC78C0" w:rsidP="000C3390">
            <w:pPr>
              <w:pStyle w:val="Tabletext"/>
            </w:pPr>
          </w:p>
        </w:tc>
        <w:tc>
          <w:tcPr>
            <w:tcW w:w="561" w:type="pct"/>
            <w:gridSpan w:val="4"/>
          </w:tcPr>
          <w:p w14:paraId="7F0F5009" w14:textId="77777777" w:rsidR="00FC78C0" w:rsidRPr="00FC78C0" w:rsidRDefault="00FC78C0" w:rsidP="000C3390">
            <w:pPr>
              <w:pStyle w:val="Tabletext"/>
            </w:pPr>
          </w:p>
        </w:tc>
        <w:tc>
          <w:tcPr>
            <w:tcW w:w="421" w:type="pct"/>
          </w:tcPr>
          <w:p w14:paraId="097E5BB0" w14:textId="77777777" w:rsidR="00FC78C0" w:rsidRPr="00FC78C0" w:rsidRDefault="00FC78C0" w:rsidP="000C3390">
            <w:pPr>
              <w:pStyle w:val="Tabletext"/>
            </w:pPr>
          </w:p>
        </w:tc>
        <w:tc>
          <w:tcPr>
            <w:tcW w:w="850" w:type="pct"/>
            <w:gridSpan w:val="6"/>
          </w:tcPr>
          <w:p w14:paraId="4F903080" w14:textId="77777777" w:rsidR="00FC78C0" w:rsidRPr="00FC78C0" w:rsidRDefault="00FC78C0" w:rsidP="000C3390">
            <w:pPr>
              <w:pStyle w:val="Tabletext"/>
            </w:pPr>
          </w:p>
        </w:tc>
        <w:tc>
          <w:tcPr>
            <w:tcW w:w="846" w:type="pct"/>
            <w:gridSpan w:val="4"/>
          </w:tcPr>
          <w:p w14:paraId="69A175DD" w14:textId="77777777" w:rsidR="00FC78C0" w:rsidRPr="00FC78C0" w:rsidRDefault="00FC78C0" w:rsidP="000C3390">
            <w:pPr>
              <w:pStyle w:val="Tabletext"/>
            </w:pPr>
          </w:p>
        </w:tc>
        <w:tc>
          <w:tcPr>
            <w:tcW w:w="912" w:type="pct"/>
            <w:gridSpan w:val="3"/>
          </w:tcPr>
          <w:p w14:paraId="7233978B" w14:textId="77777777" w:rsidR="00FC78C0" w:rsidRPr="00FC78C0" w:rsidRDefault="00FC78C0" w:rsidP="000C3390">
            <w:pPr>
              <w:pStyle w:val="Tabletext"/>
            </w:pPr>
          </w:p>
        </w:tc>
      </w:tr>
    </w:tbl>
    <w:p w14:paraId="0D076256" w14:textId="77777777" w:rsidR="003954BD" w:rsidRPr="003954BD" w:rsidRDefault="003954BD" w:rsidP="00BE1512">
      <w:pPr>
        <w:pStyle w:val="BodyText"/>
      </w:pPr>
    </w:p>
    <w:sectPr w:rsidR="003954BD" w:rsidRPr="003954BD" w:rsidSect="00F537A7">
      <w:type w:val="continuous"/>
      <w:pgSz w:w="11900" w:h="16840" w:code="9"/>
      <w:pgMar w:top="567" w:right="567" w:bottom="1134" w:left="567"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C8CB5" w14:textId="77777777" w:rsidR="00F8397F" w:rsidRDefault="00F8397F" w:rsidP="00BD640A">
      <w:pPr>
        <w:spacing w:line="240" w:lineRule="auto"/>
      </w:pPr>
      <w:r>
        <w:separator/>
      </w:r>
    </w:p>
  </w:endnote>
  <w:endnote w:type="continuationSeparator" w:id="0">
    <w:p w14:paraId="78819790" w14:textId="77777777" w:rsidR="00F8397F" w:rsidRDefault="00F8397F"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JKZZLT+Helvetica">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5156" w14:textId="50B4758E" w:rsidR="00FC78C0" w:rsidRDefault="00C369BC">
    <w:pPr>
      <w:pStyle w:val="Footer"/>
    </w:pPr>
    <w:r>
      <w:rPr>
        <w:noProof/>
      </w:rPr>
      <mc:AlternateContent>
        <mc:Choice Requires="wps">
          <w:drawing>
            <wp:anchor distT="0" distB="0" distL="0" distR="0" simplePos="0" relativeHeight="251682816" behindDoc="0" locked="0" layoutInCell="1" allowOverlap="1" wp14:anchorId="360EA6D9" wp14:editId="18CE5BD2">
              <wp:simplePos x="635" y="635"/>
              <wp:positionH relativeFrom="page">
                <wp:align>center</wp:align>
              </wp:positionH>
              <wp:positionV relativeFrom="page">
                <wp:align>bottom</wp:align>
              </wp:positionV>
              <wp:extent cx="833755" cy="404495"/>
              <wp:effectExtent l="0" t="0" r="4445" b="0"/>
              <wp:wrapNone/>
              <wp:docPr id="469673322" name="Text Box 1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04495"/>
                      </a:xfrm>
                      <a:prstGeom prst="rect">
                        <a:avLst/>
                      </a:prstGeom>
                      <a:noFill/>
                      <a:ln>
                        <a:noFill/>
                      </a:ln>
                    </wps:spPr>
                    <wps:txbx>
                      <w:txbxContent>
                        <w:p w14:paraId="4FC9F501" w14:textId="11C90BB2" w:rsidR="00C369BC" w:rsidRPr="00C369BC" w:rsidRDefault="00C369BC" w:rsidP="00C369BC">
                          <w:pPr>
                            <w:rPr>
                              <w:rFonts w:ascii="Aptos" w:eastAsia="Aptos" w:hAnsi="Aptos" w:cs="Aptos"/>
                              <w:noProof/>
                              <w:color w:val="FF0000"/>
                            </w:rPr>
                          </w:pPr>
                          <w:r w:rsidRPr="00C369BC">
                            <w:rPr>
                              <w:rFonts w:ascii="Aptos" w:eastAsia="Aptos" w:hAnsi="Aptos" w:cs="Aptos"/>
                              <w:noProof/>
                              <w:color w:val="FF000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0EA6D9" id="_x0000_t202" coordsize="21600,21600" o:spt="202" path="m,l,21600r21600,l21600,xe">
              <v:stroke joinstyle="miter"/>
              <v:path gradientshapeok="t" o:connecttype="rect"/>
            </v:shapetype>
            <v:shape id="Text Box 16" o:spid="_x0000_s1027" type="#_x0000_t202" alt="UNOFFICIAL" style="position:absolute;margin-left:0;margin-top:0;width:65.65pt;height:31.85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" filled="f" stroked="f">
              <v:textbox style="mso-fit-shape-to-text:t" inset="0,0,0,15pt">
                <w:txbxContent>
                  <w:p w14:paraId="4FC9F501" w14:textId="11C90BB2" w:rsidR="00C369BC" w:rsidRPr="00C369BC" w:rsidRDefault="00C369BC" w:rsidP="00C369BC">
                    <w:pPr>
                      <w:rPr>
                        <w:rFonts w:ascii="Aptos" w:eastAsia="Aptos" w:hAnsi="Aptos" w:cs="Aptos"/>
                        <w:noProof/>
                        <w:color w:val="FF0000"/>
                      </w:rPr>
                    </w:pPr>
                    <w:r w:rsidRPr="00C369BC">
                      <w:rPr>
                        <w:rFonts w:ascii="Aptos" w:eastAsia="Aptos" w:hAnsi="Aptos" w:cs="Aptos"/>
                        <w:noProof/>
                        <w:color w:val="FF0000"/>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AD68" w14:textId="1BED2972" w:rsidR="00FC78C0" w:rsidRDefault="00AB1EA0" w:rsidP="00556893">
    <w:pPr>
      <w:pStyle w:val="Footer"/>
      <w:tabs>
        <w:tab w:val="clear" w:pos="4513"/>
        <w:tab w:val="clear" w:pos="9026"/>
        <w:tab w:val="right" w:pos="10206"/>
      </w:tabs>
    </w:pPr>
    <w:r>
      <w:rPr>
        <w:noProof/>
      </w:rPr>
      <w:drawing>
        <wp:anchor distT="0" distB="0" distL="114300" distR="114300" simplePos="0" relativeHeight="251665408" behindDoc="1" locked="0" layoutInCell="1" allowOverlap="1" wp14:anchorId="11B3FE91" wp14:editId="745BCC15">
          <wp:simplePos x="0" y="0"/>
          <wp:positionH relativeFrom="page">
            <wp:align>left</wp:align>
          </wp:positionH>
          <wp:positionV relativeFrom="paragraph">
            <wp:posOffset>-129247</wp:posOffset>
          </wp:positionV>
          <wp:extent cx="7560000" cy="654585"/>
          <wp:effectExtent l="0" t="0" r="3175" b="0"/>
          <wp:wrapNone/>
          <wp:docPr id="14991823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8232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654585"/>
                  </a:xfrm>
                  <a:prstGeom prst="rect">
                    <a:avLst/>
                  </a:prstGeom>
                </pic:spPr>
              </pic:pic>
            </a:graphicData>
          </a:graphic>
          <wp14:sizeRelH relativeFrom="margin">
            <wp14:pctWidth>0</wp14:pctWidth>
          </wp14:sizeRelH>
          <wp14:sizeRelV relativeFrom="margin">
            <wp14:pctHeight>0</wp14:pctHeight>
          </wp14:sizeRelV>
        </wp:anchor>
      </w:drawing>
    </w:r>
    <w:sdt>
      <w:sdtPr>
        <w:rPr>
          <w:rStyle w:val="PageNumber"/>
          <w:color w:val="FFFFFF" w:themeColor="background1"/>
        </w:rPr>
        <w:id w:val="396474916"/>
        <w:docPartObj>
          <w:docPartGallery w:val="Page Numbers (Bottom of Page)"/>
          <w:docPartUnique/>
        </w:docPartObj>
      </w:sdtPr>
      <w:sdtEndPr>
        <w:rPr>
          <w:rStyle w:val="PageNumber"/>
        </w:rPr>
      </w:sdtEndPr>
      <w:sdtContent>
        <w:r w:rsidR="00FC78C0" w:rsidRPr="00AB1146">
          <w:rPr>
            <w:rStyle w:val="PageNumber"/>
            <w:color w:val="FFFFFF" w:themeColor="background1"/>
          </w:rPr>
          <w:t>Australian Centre for Disease Control</w:t>
        </w:r>
        <w:r w:rsidR="00FC78C0" w:rsidRPr="00DD7044">
          <w:rPr>
            <w:rStyle w:val="PageNumber"/>
            <w:color w:val="FFFFFF" w:themeColor="background1"/>
          </w:rPr>
          <w:tab/>
        </w:r>
        <w:r w:rsidR="00FC78C0" w:rsidRPr="00DD7044">
          <w:rPr>
            <w:rStyle w:val="PageNumber"/>
            <w:color w:val="FFFFFF" w:themeColor="background1"/>
          </w:rPr>
          <w:fldChar w:fldCharType="begin"/>
        </w:r>
        <w:r w:rsidR="00FC78C0" w:rsidRPr="00DD7044">
          <w:rPr>
            <w:rStyle w:val="PageNumber"/>
            <w:color w:val="FFFFFF" w:themeColor="background1"/>
          </w:rPr>
          <w:instrText xml:space="preserve"> PAGE </w:instrText>
        </w:r>
        <w:r w:rsidR="00FC78C0" w:rsidRPr="00DD7044">
          <w:rPr>
            <w:rStyle w:val="PageNumber"/>
            <w:color w:val="FFFFFF" w:themeColor="background1"/>
          </w:rPr>
          <w:fldChar w:fldCharType="separate"/>
        </w:r>
        <w:r w:rsidR="00FC78C0">
          <w:rPr>
            <w:rStyle w:val="PageNumber"/>
            <w:color w:val="FFFFFF" w:themeColor="background1"/>
          </w:rPr>
          <w:t>1</w:t>
        </w:r>
        <w:r w:rsidR="00FC78C0" w:rsidRPr="00DD7044">
          <w:rPr>
            <w:rStyle w:val="PageNumber"/>
            <w:color w:val="FFFFFF" w:themeColor="background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E274" w14:textId="0B8D9BA0" w:rsidR="008A2D05" w:rsidRDefault="00F8397F" w:rsidP="00556893">
    <w:pPr>
      <w:pStyle w:val="Footer"/>
      <w:tabs>
        <w:tab w:val="clear" w:pos="4513"/>
        <w:tab w:val="clear" w:pos="9026"/>
        <w:tab w:val="right" w:pos="10206"/>
      </w:tabs>
    </w:pPr>
    <w:sdt>
      <w:sdtPr>
        <w:rPr>
          <w:rStyle w:val="PageNumber"/>
          <w:color w:val="FFFFFF" w:themeColor="background1"/>
        </w:rPr>
        <w:id w:val="-826752558"/>
        <w:docPartObj>
          <w:docPartGallery w:val="Page Numbers (Bottom of Page)"/>
          <w:docPartUnique/>
        </w:docPartObj>
      </w:sdtPr>
      <w:sdtEndPr>
        <w:rPr>
          <w:rStyle w:val="PageNumber"/>
        </w:rPr>
      </w:sdtEndPr>
      <w:sdtContent>
        <w:r w:rsidR="008A2D05" w:rsidRPr="00AB1146">
          <w:rPr>
            <w:rStyle w:val="PageNumber"/>
            <w:color w:val="FFFFFF" w:themeColor="background1"/>
          </w:rPr>
          <w:t>Australian Centre for Disease Control</w:t>
        </w:r>
        <w:r w:rsidR="008A2D05" w:rsidRPr="00DD7044">
          <w:rPr>
            <w:rStyle w:val="PageNumber"/>
            <w:color w:val="FFFFFF" w:themeColor="background1"/>
          </w:rPr>
          <w:tab/>
        </w:r>
        <w:r w:rsidR="008A2D05" w:rsidRPr="00DD7044">
          <w:rPr>
            <w:rStyle w:val="PageNumber"/>
            <w:color w:val="FFFFFF" w:themeColor="background1"/>
          </w:rPr>
          <w:fldChar w:fldCharType="begin"/>
        </w:r>
        <w:r w:rsidR="008A2D05" w:rsidRPr="00DD7044">
          <w:rPr>
            <w:rStyle w:val="PageNumber"/>
            <w:color w:val="FFFFFF" w:themeColor="background1"/>
          </w:rPr>
          <w:instrText xml:space="preserve"> PAGE </w:instrText>
        </w:r>
        <w:r w:rsidR="008A2D05" w:rsidRPr="00DD7044">
          <w:rPr>
            <w:rStyle w:val="PageNumber"/>
            <w:color w:val="FFFFFF" w:themeColor="background1"/>
          </w:rPr>
          <w:fldChar w:fldCharType="separate"/>
        </w:r>
        <w:r w:rsidR="008A2D05">
          <w:rPr>
            <w:rStyle w:val="PageNumber"/>
            <w:color w:val="FFFFFF" w:themeColor="background1"/>
          </w:rPr>
          <w:t>49</w:t>
        </w:r>
        <w:r w:rsidR="008A2D05" w:rsidRPr="00DD7044">
          <w:rPr>
            <w:rStyle w:val="PageNumber"/>
            <w:color w:val="FFFFFF" w:themeColor="background1"/>
          </w:rPr>
          <w:fldChar w:fldCharType="end"/>
        </w:r>
      </w:sdtContent>
    </w:sdt>
    <w:r w:rsidR="008A2D05">
      <w:rPr>
        <w:noProof/>
      </w:rPr>
      <w:drawing>
        <wp:anchor distT="0" distB="0" distL="114300" distR="114300" simplePos="0" relativeHeight="251667456" behindDoc="1" locked="0" layoutInCell="1" allowOverlap="1" wp14:anchorId="44BB2EA6" wp14:editId="4B03826E">
          <wp:simplePos x="0" y="0"/>
          <wp:positionH relativeFrom="page">
            <wp:align>left</wp:align>
          </wp:positionH>
          <wp:positionV relativeFrom="paragraph">
            <wp:posOffset>-125681</wp:posOffset>
          </wp:positionV>
          <wp:extent cx="7560000" cy="654585"/>
          <wp:effectExtent l="0" t="0" r="3175" b="0"/>
          <wp:wrapNone/>
          <wp:docPr id="16291999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9999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6545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CEC67" w14:textId="77777777" w:rsidR="00F8397F" w:rsidRDefault="00F8397F" w:rsidP="00BD640A">
      <w:pPr>
        <w:spacing w:line="240" w:lineRule="auto"/>
      </w:pPr>
      <w:r>
        <w:separator/>
      </w:r>
    </w:p>
  </w:footnote>
  <w:footnote w:type="continuationSeparator" w:id="0">
    <w:p w14:paraId="1C59EB1F" w14:textId="77777777" w:rsidR="00F8397F" w:rsidRDefault="00F8397F"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BB23" w14:textId="61BA7813" w:rsidR="00FC78C0" w:rsidRDefault="00C369BC">
    <w:pPr>
      <w:pStyle w:val="Header"/>
    </w:pPr>
    <w:r>
      <w:rPr>
        <w:noProof/>
      </w:rPr>
      <mc:AlternateContent>
        <mc:Choice Requires="wps">
          <w:drawing>
            <wp:anchor distT="0" distB="0" distL="0" distR="0" simplePos="0" relativeHeight="251678720" behindDoc="0" locked="0" layoutInCell="1" allowOverlap="1" wp14:anchorId="499D4A84" wp14:editId="73C980ED">
              <wp:simplePos x="635" y="635"/>
              <wp:positionH relativeFrom="page">
                <wp:align>center</wp:align>
              </wp:positionH>
              <wp:positionV relativeFrom="page">
                <wp:align>top</wp:align>
              </wp:positionV>
              <wp:extent cx="833755" cy="404495"/>
              <wp:effectExtent l="0" t="0" r="4445" b="14605"/>
              <wp:wrapNone/>
              <wp:docPr id="706100207" name="Text Box 1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04495"/>
                      </a:xfrm>
                      <a:prstGeom prst="rect">
                        <a:avLst/>
                      </a:prstGeom>
                      <a:noFill/>
                      <a:ln>
                        <a:noFill/>
                      </a:ln>
                    </wps:spPr>
                    <wps:txbx>
                      <w:txbxContent>
                        <w:p w14:paraId="71714461" w14:textId="215930B4" w:rsidR="00C369BC" w:rsidRPr="00C369BC" w:rsidRDefault="00C369BC" w:rsidP="00C369BC">
                          <w:pPr>
                            <w:rPr>
                              <w:rFonts w:ascii="Aptos" w:eastAsia="Aptos" w:hAnsi="Aptos" w:cs="Aptos"/>
                              <w:noProof/>
                              <w:color w:val="FF0000"/>
                            </w:rPr>
                          </w:pPr>
                          <w:r w:rsidRPr="00C369BC">
                            <w:rPr>
                              <w:rFonts w:ascii="Aptos" w:eastAsia="Aptos" w:hAnsi="Aptos" w:cs="Aptos"/>
                              <w:noProof/>
                              <w:color w:val="FF000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9D4A84" id="_x0000_t202" coordsize="21600,21600" o:spt="202" path="m,l,21600r21600,l21600,xe">
              <v:stroke joinstyle="miter"/>
              <v:path gradientshapeok="t" o:connecttype="rect"/>
            </v:shapetype>
            <v:shape id="Text Box 12" o:spid="_x0000_s1026" type="#_x0000_t202" alt="UNOFFICIAL" style="position:absolute;margin-left:0;margin-top:0;width:65.65pt;height:31.8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" filled="f" stroked="f">
              <v:textbox style="mso-fit-shape-to-text:t" inset="0,15pt,0,0">
                <w:txbxContent>
                  <w:p w14:paraId="71714461" w14:textId="215930B4" w:rsidR="00C369BC" w:rsidRPr="00C369BC" w:rsidRDefault="00C369BC" w:rsidP="00C369BC">
                    <w:pPr>
                      <w:rPr>
                        <w:rFonts w:ascii="Aptos" w:eastAsia="Aptos" w:hAnsi="Aptos" w:cs="Aptos"/>
                        <w:noProof/>
                        <w:color w:val="FF0000"/>
                      </w:rPr>
                    </w:pPr>
                    <w:r w:rsidRPr="00C369BC">
                      <w:rPr>
                        <w:rFonts w:ascii="Aptos" w:eastAsia="Aptos" w:hAnsi="Aptos" w:cs="Aptos"/>
                        <w:noProof/>
                        <w:color w:val="FF0000"/>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5828" w14:textId="38D828C0" w:rsidR="00353144" w:rsidRDefault="00353144">
    <w:pPr>
      <w:pStyle w:val="Header"/>
    </w:pPr>
    <w:r>
      <w:rPr>
        <w:noProof/>
      </w:rPr>
      <w:drawing>
        <wp:anchor distT="0" distB="0" distL="114300" distR="114300" simplePos="0" relativeHeight="251668480" behindDoc="1" locked="0" layoutInCell="1" allowOverlap="1" wp14:anchorId="564B3966" wp14:editId="57A01A07">
          <wp:simplePos x="0" y="0"/>
          <wp:positionH relativeFrom="page">
            <wp:align>right</wp:align>
          </wp:positionH>
          <wp:positionV relativeFrom="paragraph">
            <wp:posOffset>-450752</wp:posOffset>
          </wp:positionV>
          <wp:extent cx="7560000" cy="10692958"/>
          <wp:effectExtent l="0" t="0" r="3175" b="0"/>
          <wp:wrapNone/>
          <wp:docPr id="11079363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363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95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F461" w14:textId="065583A3" w:rsidR="005D3B5C" w:rsidRDefault="005D3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7AA805F2"/>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D1A2CE92"/>
    <w:lvl w:ilvl="0">
      <w:start w:val="1"/>
      <w:numFmt w:val="decimal"/>
      <w:pStyle w:val="ListNumber"/>
      <w:lvlText w:val="%1."/>
      <w:lvlJc w:val="left"/>
      <w:pPr>
        <w:ind w:left="717" w:hanging="360"/>
      </w:pPr>
    </w:lvl>
  </w:abstractNum>
  <w:abstractNum w:abstractNumId="7" w15:restartNumberingAfterBreak="0">
    <w:nsid w:val="FFFFFF89"/>
    <w:multiLevelType w:val="singleLevel"/>
    <w:tmpl w:val="5FE0ADD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3D4CFC"/>
    <w:multiLevelType w:val="hybridMultilevel"/>
    <w:tmpl w:val="AFBA1226"/>
    <w:lvl w:ilvl="0" w:tplc="A7A01DB6">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D83BAF"/>
    <w:multiLevelType w:val="hybridMultilevel"/>
    <w:tmpl w:val="51520EF4"/>
    <w:lvl w:ilvl="0" w:tplc="D0FC01C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170E7"/>
    <w:multiLevelType w:val="hybridMultilevel"/>
    <w:tmpl w:val="B1988D30"/>
    <w:styleLink w:val="CurrentList21"/>
    <w:lvl w:ilvl="0" w:tplc="ECD4065E">
      <w:start w:val="8"/>
      <w:numFmt w:val="decimal"/>
      <w:lvlText w:val="%1."/>
      <w:lvlJc w:val="left"/>
      <w:pPr>
        <w:ind w:left="720" w:hanging="72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CF8287E"/>
    <w:multiLevelType w:val="hybridMultilevel"/>
    <w:tmpl w:val="19AE8E9A"/>
    <w:styleLink w:val="CurrentList11"/>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E33750E"/>
    <w:multiLevelType w:val="hybridMultilevel"/>
    <w:tmpl w:val="F2F6750C"/>
    <w:lvl w:ilvl="0" w:tplc="EE5CFBB8">
      <w:start w:val="1"/>
      <w:numFmt w:val="bullet"/>
      <w:pStyle w:val="Boxreversedte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8666264">
    <w:abstractNumId w:val="14"/>
  </w:num>
  <w:num w:numId="2" w16cid:durableId="585654748">
    <w:abstractNumId w:val="12"/>
  </w:num>
  <w:num w:numId="3" w16cid:durableId="1674411436">
    <w:abstractNumId w:val="10"/>
  </w:num>
  <w:num w:numId="4" w16cid:durableId="1672641317">
    <w:abstractNumId w:val="20"/>
  </w:num>
  <w:num w:numId="5" w16cid:durableId="197360763">
    <w:abstractNumId w:val="19"/>
  </w:num>
  <w:num w:numId="6" w16cid:durableId="174924647">
    <w:abstractNumId w:val="13"/>
  </w:num>
  <w:num w:numId="7" w16cid:durableId="991366926">
    <w:abstractNumId w:val="15"/>
  </w:num>
  <w:num w:numId="8" w16cid:durableId="18628044">
    <w:abstractNumId w:val="7"/>
  </w:num>
  <w:num w:numId="9" w16cid:durableId="1846360408">
    <w:abstractNumId w:val="5"/>
  </w:num>
  <w:num w:numId="10" w16cid:durableId="875855477">
    <w:abstractNumId w:val="11"/>
  </w:num>
  <w:num w:numId="11" w16cid:durableId="1691908010">
    <w:abstractNumId w:val="6"/>
  </w:num>
  <w:num w:numId="12" w16cid:durableId="101927016">
    <w:abstractNumId w:val="9"/>
  </w:num>
  <w:num w:numId="13" w16cid:durableId="567959723">
    <w:abstractNumId w:val="4"/>
  </w:num>
  <w:num w:numId="14" w16cid:durableId="513955183">
    <w:abstractNumId w:val="3"/>
  </w:num>
  <w:num w:numId="15" w16cid:durableId="2143036336">
    <w:abstractNumId w:val="2"/>
  </w:num>
  <w:num w:numId="16" w16cid:durableId="237595357">
    <w:abstractNumId w:val="1"/>
  </w:num>
  <w:num w:numId="17" w16cid:durableId="842549035">
    <w:abstractNumId w:val="0"/>
  </w:num>
  <w:num w:numId="18" w16cid:durableId="259679187">
    <w:abstractNumId w:val="17"/>
  </w:num>
  <w:num w:numId="19" w16cid:durableId="622879783">
    <w:abstractNumId w:val="21"/>
  </w:num>
  <w:num w:numId="20" w16cid:durableId="1393314512">
    <w:abstractNumId w:val="16"/>
  </w:num>
  <w:num w:numId="21" w16cid:durableId="293364892">
    <w:abstractNumId w:val="18"/>
  </w:num>
  <w:num w:numId="22" w16cid:durableId="624852735">
    <w:abstractNumId w:val="8"/>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B7"/>
    <w:rsid w:val="000016F9"/>
    <w:rsid w:val="00001F43"/>
    <w:rsid w:val="000024FE"/>
    <w:rsid w:val="00014DDC"/>
    <w:rsid w:val="00016964"/>
    <w:rsid w:val="0002270A"/>
    <w:rsid w:val="000246D0"/>
    <w:rsid w:val="000253CD"/>
    <w:rsid w:val="00032D13"/>
    <w:rsid w:val="000374A8"/>
    <w:rsid w:val="00040217"/>
    <w:rsid w:val="00044E5E"/>
    <w:rsid w:val="00052FAE"/>
    <w:rsid w:val="000601A4"/>
    <w:rsid w:val="000665A8"/>
    <w:rsid w:val="000752D8"/>
    <w:rsid w:val="00077B18"/>
    <w:rsid w:val="00077F90"/>
    <w:rsid w:val="00083E5A"/>
    <w:rsid w:val="00085147"/>
    <w:rsid w:val="00087ED1"/>
    <w:rsid w:val="000925A0"/>
    <w:rsid w:val="000A0D20"/>
    <w:rsid w:val="000A2C45"/>
    <w:rsid w:val="000A3A1E"/>
    <w:rsid w:val="000B03A0"/>
    <w:rsid w:val="000B0BB0"/>
    <w:rsid w:val="000B0F4A"/>
    <w:rsid w:val="000B54F8"/>
    <w:rsid w:val="000B5D73"/>
    <w:rsid w:val="000C2B3F"/>
    <w:rsid w:val="000C3390"/>
    <w:rsid w:val="000C36F5"/>
    <w:rsid w:val="000C49F6"/>
    <w:rsid w:val="000C7907"/>
    <w:rsid w:val="000D06CF"/>
    <w:rsid w:val="000D2CBB"/>
    <w:rsid w:val="000D4128"/>
    <w:rsid w:val="000D71BB"/>
    <w:rsid w:val="000D78AF"/>
    <w:rsid w:val="000E02EE"/>
    <w:rsid w:val="000E50F7"/>
    <w:rsid w:val="000E557D"/>
    <w:rsid w:val="000E7ED4"/>
    <w:rsid w:val="000F3342"/>
    <w:rsid w:val="000F4C2E"/>
    <w:rsid w:val="000F66DE"/>
    <w:rsid w:val="00100365"/>
    <w:rsid w:val="00100A34"/>
    <w:rsid w:val="001050CF"/>
    <w:rsid w:val="00110EBE"/>
    <w:rsid w:val="00112A4F"/>
    <w:rsid w:val="001130A7"/>
    <w:rsid w:val="001130E4"/>
    <w:rsid w:val="0011719B"/>
    <w:rsid w:val="001204B8"/>
    <w:rsid w:val="00120946"/>
    <w:rsid w:val="00121E5A"/>
    <w:rsid w:val="00123806"/>
    <w:rsid w:val="00123EE1"/>
    <w:rsid w:val="001262E8"/>
    <w:rsid w:val="001266C2"/>
    <w:rsid w:val="001319B9"/>
    <w:rsid w:val="00132B83"/>
    <w:rsid w:val="001376B2"/>
    <w:rsid w:val="00145D6F"/>
    <w:rsid w:val="00146A04"/>
    <w:rsid w:val="001550D5"/>
    <w:rsid w:val="00164FCC"/>
    <w:rsid w:val="00174C2D"/>
    <w:rsid w:val="00181956"/>
    <w:rsid w:val="00184393"/>
    <w:rsid w:val="00190E56"/>
    <w:rsid w:val="001948FA"/>
    <w:rsid w:val="001A2834"/>
    <w:rsid w:val="001A5E9F"/>
    <w:rsid w:val="001A61CB"/>
    <w:rsid w:val="001A7E52"/>
    <w:rsid w:val="001B20D4"/>
    <w:rsid w:val="001C15C2"/>
    <w:rsid w:val="001C3090"/>
    <w:rsid w:val="001C7340"/>
    <w:rsid w:val="001D20D3"/>
    <w:rsid w:val="001D405D"/>
    <w:rsid w:val="001D5B51"/>
    <w:rsid w:val="001E0BC0"/>
    <w:rsid w:val="001E7087"/>
    <w:rsid w:val="001F0AC4"/>
    <w:rsid w:val="001F18AE"/>
    <w:rsid w:val="001F2A3C"/>
    <w:rsid w:val="001F6B02"/>
    <w:rsid w:val="001F700A"/>
    <w:rsid w:val="00205DEC"/>
    <w:rsid w:val="00207F3B"/>
    <w:rsid w:val="00212DDD"/>
    <w:rsid w:val="002176E2"/>
    <w:rsid w:val="00223DF7"/>
    <w:rsid w:val="00224954"/>
    <w:rsid w:val="00230121"/>
    <w:rsid w:val="002331C6"/>
    <w:rsid w:val="00242EAA"/>
    <w:rsid w:val="00245228"/>
    <w:rsid w:val="00246F2B"/>
    <w:rsid w:val="00252043"/>
    <w:rsid w:val="0025209D"/>
    <w:rsid w:val="00256F21"/>
    <w:rsid w:val="00260776"/>
    <w:rsid w:val="0026648F"/>
    <w:rsid w:val="00266B43"/>
    <w:rsid w:val="002704F0"/>
    <w:rsid w:val="002706A5"/>
    <w:rsid w:val="00280568"/>
    <w:rsid w:val="00283805"/>
    <w:rsid w:val="00283FDA"/>
    <w:rsid w:val="00284977"/>
    <w:rsid w:val="00290BAD"/>
    <w:rsid w:val="00290CCF"/>
    <w:rsid w:val="00291A43"/>
    <w:rsid w:val="00294B25"/>
    <w:rsid w:val="00297EDD"/>
    <w:rsid w:val="002A4FB3"/>
    <w:rsid w:val="002B3707"/>
    <w:rsid w:val="002B6752"/>
    <w:rsid w:val="002B6884"/>
    <w:rsid w:val="002C0835"/>
    <w:rsid w:val="002C09DF"/>
    <w:rsid w:val="002C2183"/>
    <w:rsid w:val="002C396D"/>
    <w:rsid w:val="002D1577"/>
    <w:rsid w:val="002D1AFF"/>
    <w:rsid w:val="002D2974"/>
    <w:rsid w:val="002D4F0D"/>
    <w:rsid w:val="002D763B"/>
    <w:rsid w:val="002E0E53"/>
    <w:rsid w:val="002E69FE"/>
    <w:rsid w:val="002F19F4"/>
    <w:rsid w:val="002F71F6"/>
    <w:rsid w:val="00303EB7"/>
    <w:rsid w:val="0030794A"/>
    <w:rsid w:val="00316EFF"/>
    <w:rsid w:val="00317D53"/>
    <w:rsid w:val="0034511B"/>
    <w:rsid w:val="00346C59"/>
    <w:rsid w:val="00353144"/>
    <w:rsid w:val="0035454C"/>
    <w:rsid w:val="0035725E"/>
    <w:rsid w:val="0036340B"/>
    <w:rsid w:val="00372E91"/>
    <w:rsid w:val="00373DDB"/>
    <w:rsid w:val="00381AD9"/>
    <w:rsid w:val="0038218F"/>
    <w:rsid w:val="0038305C"/>
    <w:rsid w:val="003926C2"/>
    <w:rsid w:val="00392A4D"/>
    <w:rsid w:val="0039515F"/>
    <w:rsid w:val="003954BD"/>
    <w:rsid w:val="00397A31"/>
    <w:rsid w:val="003A10CC"/>
    <w:rsid w:val="003A1246"/>
    <w:rsid w:val="003B041F"/>
    <w:rsid w:val="003B3E42"/>
    <w:rsid w:val="003B5F5E"/>
    <w:rsid w:val="003C052A"/>
    <w:rsid w:val="003C2F79"/>
    <w:rsid w:val="003C415F"/>
    <w:rsid w:val="003C5423"/>
    <w:rsid w:val="003C658C"/>
    <w:rsid w:val="003D030C"/>
    <w:rsid w:val="003D46DC"/>
    <w:rsid w:val="003E2323"/>
    <w:rsid w:val="003E3009"/>
    <w:rsid w:val="003E3AC5"/>
    <w:rsid w:val="003E49C9"/>
    <w:rsid w:val="004030DA"/>
    <w:rsid w:val="00403E16"/>
    <w:rsid w:val="004077BC"/>
    <w:rsid w:val="00411966"/>
    <w:rsid w:val="0041674F"/>
    <w:rsid w:val="00416F0B"/>
    <w:rsid w:val="00417549"/>
    <w:rsid w:val="0042370F"/>
    <w:rsid w:val="00423BDF"/>
    <w:rsid w:val="00431A0B"/>
    <w:rsid w:val="00432831"/>
    <w:rsid w:val="00434540"/>
    <w:rsid w:val="00445FCF"/>
    <w:rsid w:val="00451795"/>
    <w:rsid w:val="00467665"/>
    <w:rsid w:val="0047616C"/>
    <w:rsid w:val="00487535"/>
    <w:rsid w:val="004972AD"/>
    <w:rsid w:val="004A2564"/>
    <w:rsid w:val="004A6A27"/>
    <w:rsid w:val="004A7CE4"/>
    <w:rsid w:val="004B339D"/>
    <w:rsid w:val="004D0570"/>
    <w:rsid w:val="004D2551"/>
    <w:rsid w:val="004D26AE"/>
    <w:rsid w:val="004D4DBF"/>
    <w:rsid w:val="004D7540"/>
    <w:rsid w:val="004E41CA"/>
    <w:rsid w:val="004E7735"/>
    <w:rsid w:val="004F1076"/>
    <w:rsid w:val="004F2817"/>
    <w:rsid w:val="005035B6"/>
    <w:rsid w:val="00506E71"/>
    <w:rsid w:val="00517242"/>
    <w:rsid w:val="005242CE"/>
    <w:rsid w:val="005248D2"/>
    <w:rsid w:val="005250D6"/>
    <w:rsid w:val="005347BA"/>
    <w:rsid w:val="005376D1"/>
    <w:rsid w:val="005465CB"/>
    <w:rsid w:val="00550D12"/>
    <w:rsid w:val="00556893"/>
    <w:rsid w:val="0056091A"/>
    <w:rsid w:val="0056312E"/>
    <w:rsid w:val="005662D7"/>
    <w:rsid w:val="00571B1A"/>
    <w:rsid w:val="00577814"/>
    <w:rsid w:val="00580ABD"/>
    <w:rsid w:val="00580F18"/>
    <w:rsid w:val="005815CF"/>
    <w:rsid w:val="00586AA3"/>
    <w:rsid w:val="00590980"/>
    <w:rsid w:val="00592F8F"/>
    <w:rsid w:val="00595E23"/>
    <w:rsid w:val="005A6EA8"/>
    <w:rsid w:val="005B08E0"/>
    <w:rsid w:val="005B3B1C"/>
    <w:rsid w:val="005C00B7"/>
    <w:rsid w:val="005C1429"/>
    <w:rsid w:val="005D3B5C"/>
    <w:rsid w:val="005D4673"/>
    <w:rsid w:val="005D5838"/>
    <w:rsid w:val="005E3908"/>
    <w:rsid w:val="005F272C"/>
    <w:rsid w:val="005F5311"/>
    <w:rsid w:val="005F6735"/>
    <w:rsid w:val="00602D6A"/>
    <w:rsid w:val="00604678"/>
    <w:rsid w:val="00606C03"/>
    <w:rsid w:val="006135A5"/>
    <w:rsid w:val="006372C1"/>
    <w:rsid w:val="00642E74"/>
    <w:rsid w:val="00643B64"/>
    <w:rsid w:val="00645FEC"/>
    <w:rsid w:val="00656463"/>
    <w:rsid w:val="00657E4A"/>
    <w:rsid w:val="00661780"/>
    <w:rsid w:val="00665B8A"/>
    <w:rsid w:val="00667FE6"/>
    <w:rsid w:val="00670D10"/>
    <w:rsid w:val="00673239"/>
    <w:rsid w:val="006738DC"/>
    <w:rsid w:val="00676590"/>
    <w:rsid w:val="006769C8"/>
    <w:rsid w:val="006774B1"/>
    <w:rsid w:val="00690DFA"/>
    <w:rsid w:val="006A0C0C"/>
    <w:rsid w:val="006A5272"/>
    <w:rsid w:val="006B13B3"/>
    <w:rsid w:val="006C3279"/>
    <w:rsid w:val="006C4B24"/>
    <w:rsid w:val="006C56E7"/>
    <w:rsid w:val="006C6EC4"/>
    <w:rsid w:val="006D289A"/>
    <w:rsid w:val="006D29C3"/>
    <w:rsid w:val="006E60AC"/>
    <w:rsid w:val="006E7E97"/>
    <w:rsid w:val="006F4B13"/>
    <w:rsid w:val="00701D4B"/>
    <w:rsid w:val="007028A7"/>
    <w:rsid w:val="00712206"/>
    <w:rsid w:val="0071379C"/>
    <w:rsid w:val="00717DA6"/>
    <w:rsid w:val="0072316F"/>
    <w:rsid w:val="007248B8"/>
    <w:rsid w:val="0073193E"/>
    <w:rsid w:val="00734913"/>
    <w:rsid w:val="00737571"/>
    <w:rsid w:val="00737E90"/>
    <w:rsid w:val="00744FAE"/>
    <w:rsid w:val="007502DE"/>
    <w:rsid w:val="00751DE9"/>
    <w:rsid w:val="00754243"/>
    <w:rsid w:val="007614EC"/>
    <w:rsid w:val="00765E35"/>
    <w:rsid w:val="00767317"/>
    <w:rsid w:val="00767EC5"/>
    <w:rsid w:val="00770520"/>
    <w:rsid w:val="00793072"/>
    <w:rsid w:val="0079364C"/>
    <w:rsid w:val="007A30E3"/>
    <w:rsid w:val="007B18ED"/>
    <w:rsid w:val="007B46B1"/>
    <w:rsid w:val="007B6485"/>
    <w:rsid w:val="007C3093"/>
    <w:rsid w:val="007C34B4"/>
    <w:rsid w:val="007C3EA4"/>
    <w:rsid w:val="007C442E"/>
    <w:rsid w:val="007C4492"/>
    <w:rsid w:val="007D6E7B"/>
    <w:rsid w:val="007E550C"/>
    <w:rsid w:val="007E596F"/>
    <w:rsid w:val="007E72A6"/>
    <w:rsid w:val="007F30D4"/>
    <w:rsid w:val="007F317A"/>
    <w:rsid w:val="00800029"/>
    <w:rsid w:val="00800172"/>
    <w:rsid w:val="00806314"/>
    <w:rsid w:val="00810C7A"/>
    <w:rsid w:val="00813F55"/>
    <w:rsid w:val="00814DF3"/>
    <w:rsid w:val="00820A71"/>
    <w:rsid w:val="0082485B"/>
    <w:rsid w:val="00825B26"/>
    <w:rsid w:val="00826A4F"/>
    <w:rsid w:val="008305D8"/>
    <w:rsid w:val="0084201A"/>
    <w:rsid w:val="00852D56"/>
    <w:rsid w:val="0085426C"/>
    <w:rsid w:val="00854DAD"/>
    <w:rsid w:val="00854DD1"/>
    <w:rsid w:val="00855A92"/>
    <w:rsid w:val="00856324"/>
    <w:rsid w:val="00856BEF"/>
    <w:rsid w:val="00861A25"/>
    <w:rsid w:val="0086733D"/>
    <w:rsid w:val="00875F61"/>
    <w:rsid w:val="00895BCA"/>
    <w:rsid w:val="0089749E"/>
    <w:rsid w:val="008A2D05"/>
    <w:rsid w:val="008A37C3"/>
    <w:rsid w:val="008C272F"/>
    <w:rsid w:val="008C37CC"/>
    <w:rsid w:val="008C37E3"/>
    <w:rsid w:val="008C6AF5"/>
    <w:rsid w:val="008C75B4"/>
    <w:rsid w:val="008D5E9B"/>
    <w:rsid w:val="008E192D"/>
    <w:rsid w:val="008E2C2E"/>
    <w:rsid w:val="008E761A"/>
    <w:rsid w:val="008E7B10"/>
    <w:rsid w:val="00900C8A"/>
    <w:rsid w:val="00902E7B"/>
    <w:rsid w:val="0090477D"/>
    <w:rsid w:val="00907F12"/>
    <w:rsid w:val="00913BE1"/>
    <w:rsid w:val="00917AC5"/>
    <w:rsid w:val="0092097D"/>
    <w:rsid w:val="00920A7A"/>
    <w:rsid w:val="00921403"/>
    <w:rsid w:val="009238A7"/>
    <w:rsid w:val="00930A1D"/>
    <w:rsid w:val="0093488E"/>
    <w:rsid w:val="00943A13"/>
    <w:rsid w:val="00960A35"/>
    <w:rsid w:val="00967590"/>
    <w:rsid w:val="00971FBF"/>
    <w:rsid w:val="009752F5"/>
    <w:rsid w:val="009829D3"/>
    <w:rsid w:val="00983405"/>
    <w:rsid w:val="009A1801"/>
    <w:rsid w:val="009C194F"/>
    <w:rsid w:val="009D1A69"/>
    <w:rsid w:val="009D2175"/>
    <w:rsid w:val="009D2EFA"/>
    <w:rsid w:val="009E5E75"/>
    <w:rsid w:val="009F434E"/>
    <w:rsid w:val="009F4A0D"/>
    <w:rsid w:val="009F636C"/>
    <w:rsid w:val="009F69DC"/>
    <w:rsid w:val="00A02E42"/>
    <w:rsid w:val="00A06387"/>
    <w:rsid w:val="00A06ED1"/>
    <w:rsid w:val="00A11EA5"/>
    <w:rsid w:val="00A2004E"/>
    <w:rsid w:val="00A25036"/>
    <w:rsid w:val="00A379ED"/>
    <w:rsid w:val="00A508F3"/>
    <w:rsid w:val="00A50FF0"/>
    <w:rsid w:val="00A51144"/>
    <w:rsid w:val="00A51FB5"/>
    <w:rsid w:val="00A547D3"/>
    <w:rsid w:val="00A549B1"/>
    <w:rsid w:val="00A578E9"/>
    <w:rsid w:val="00A61B8B"/>
    <w:rsid w:val="00A76C2B"/>
    <w:rsid w:val="00A814A4"/>
    <w:rsid w:val="00A81A9E"/>
    <w:rsid w:val="00A83AF8"/>
    <w:rsid w:val="00A935A2"/>
    <w:rsid w:val="00A94C77"/>
    <w:rsid w:val="00A94D63"/>
    <w:rsid w:val="00AA4BE1"/>
    <w:rsid w:val="00AA7F4B"/>
    <w:rsid w:val="00AB1146"/>
    <w:rsid w:val="00AB1BA8"/>
    <w:rsid w:val="00AB1EA0"/>
    <w:rsid w:val="00AC138B"/>
    <w:rsid w:val="00AC562D"/>
    <w:rsid w:val="00AC6224"/>
    <w:rsid w:val="00AD0B99"/>
    <w:rsid w:val="00AD472C"/>
    <w:rsid w:val="00AD5F7C"/>
    <w:rsid w:val="00AD6802"/>
    <w:rsid w:val="00AD7FD7"/>
    <w:rsid w:val="00AE3E7D"/>
    <w:rsid w:val="00AE6630"/>
    <w:rsid w:val="00AF57FA"/>
    <w:rsid w:val="00AF6B45"/>
    <w:rsid w:val="00AF7DE3"/>
    <w:rsid w:val="00B02375"/>
    <w:rsid w:val="00B06562"/>
    <w:rsid w:val="00B07F16"/>
    <w:rsid w:val="00B2134C"/>
    <w:rsid w:val="00B36D1A"/>
    <w:rsid w:val="00B42041"/>
    <w:rsid w:val="00B44251"/>
    <w:rsid w:val="00B4556E"/>
    <w:rsid w:val="00B54CCA"/>
    <w:rsid w:val="00B55793"/>
    <w:rsid w:val="00B60C8D"/>
    <w:rsid w:val="00B635DB"/>
    <w:rsid w:val="00B63816"/>
    <w:rsid w:val="00B671C2"/>
    <w:rsid w:val="00B750E6"/>
    <w:rsid w:val="00B77915"/>
    <w:rsid w:val="00B93764"/>
    <w:rsid w:val="00B96240"/>
    <w:rsid w:val="00BB0826"/>
    <w:rsid w:val="00BB0D18"/>
    <w:rsid w:val="00BB11D2"/>
    <w:rsid w:val="00BB1F22"/>
    <w:rsid w:val="00BB2C02"/>
    <w:rsid w:val="00BB69DC"/>
    <w:rsid w:val="00BB6F95"/>
    <w:rsid w:val="00BB70CA"/>
    <w:rsid w:val="00BB787B"/>
    <w:rsid w:val="00BC330A"/>
    <w:rsid w:val="00BC3863"/>
    <w:rsid w:val="00BC4EF1"/>
    <w:rsid w:val="00BC7EE8"/>
    <w:rsid w:val="00BD640A"/>
    <w:rsid w:val="00BE1512"/>
    <w:rsid w:val="00BE26A7"/>
    <w:rsid w:val="00BE77D9"/>
    <w:rsid w:val="00BF05F1"/>
    <w:rsid w:val="00BF0845"/>
    <w:rsid w:val="00BF1A21"/>
    <w:rsid w:val="00BF42BF"/>
    <w:rsid w:val="00C00512"/>
    <w:rsid w:val="00C0592F"/>
    <w:rsid w:val="00C11440"/>
    <w:rsid w:val="00C14BF9"/>
    <w:rsid w:val="00C20DB4"/>
    <w:rsid w:val="00C33B7B"/>
    <w:rsid w:val="00C369BC"/>
    <w:rsid w:val="00C444F5"/>
    <w:rsid w:val="00C44995"/>
    <w:rsid w:val="00C45056"/>
    <w:rsid w:val="00C45466"/>
    <w:rsid w:val="00C6013F"/>
    <w:rsid w:val="00C612E2"/>
    <w:rsid w:val="00C71C22"/>
    <w:rsid w:val="00C71E38"/>
    <w:rsid w:val="00C72961"/>
    <w:rsid w:val="00C82758"/>
    <w:rsid w:val="00C851CE"/>
    <w:rsid w:val="00C85F38"/>
    <w:rsid w:val="00C92173"/>
    <w:rsid w:val="00CA11E3"/>
    <w:rsid w:val="00CA2DBE"/>
    <w:rsid w:val="00CA48A4"/>
    <w:rsid w:val="00CA74F9"/>
    <w:rsid w:val="00CB0A67"/>
    <w:rsid w:val="00CB46F6"/>
    <w:rsid w:val="00CC3ABE"/>
    <w:rsid w:val="00CC54B7"/>
    <w:rsid w:val="00CC5667"/>
    <w:rsid w:val="00CD239A"/>
    <w:rsid w:val="00CD3198"/>
    <w:rsid w:val="00CD59C8"/>
    <w:rsid w:val="00CE03DA"/>
    <w:rsid w:val="00CE19E0"/>
    <w:rsid w:val="00CF0D23"/>
    <w:rsid w:val="00D02485"/>
    <w:rsid w:val="00D06613"/>
    <w:rsid w:val="00D11169"/>
    <w:rsid w:val="00D143C0"/>
    <w:rsid w:val="00D25541"/>
    <w:rsid w:val="00D26D9F"/>
    <w:rsid w:val="00D33567"/>
    <w:rsid w:val="00D3630B"/>
    <w:rsid w:val="00D36ABD"/>
    <w:rsid w:val="00D3754A"/>
    <w:rsid w:val="00D457A3"/>
    <w:rsid w:val="00D52DF0"/>
    <w:rsid w:val="00D5706A"/>
    <w:rsid w:val="00D654FC"/>
    <w:rsid w:val="00D73A0C"/>
    <w:rsid w:val="00D77625"/>
    <w:rsid w:val="00DA26C1"/>
    <w:rsid w:val="00DA4291"/>
    <w:rsid w:val="00DA5384"/>
    <w:rsid w:val="00DA5A9B"/>
    <w:rsid w:val="00DB006C"/>
    <w:rsid w:val="00DB7FED"/>
    <w:rsid w:val="00DC0A71"/>
    <w:rsid w:val="00DC23C5"/>
    <w:rsid w:val="00DC2B6C"/>
    <w:rsid w:val="00DC6C47"/>
    <w:rsid w:val="00DC6CCD"/>
    <w:rsid w:val="00DD133D"/>
    <w:rsid w:val="00DD7044"/>
    <w:rsid w:val="00DE4DAC"/>
    <w:rsid w:val="00DF1922"/>
    <w:rsid w:val="00E025E6"/>
    <w:rsid w:val="00E14FBB"/>
    <w:rsid w:val="00E20A3A"/>
    <w:rsid w:val="00E22417"/>
    <w:rsid w:val="00E26B34"/>
    <w:rsid w:val="00E30C56"/>
    <w:rsid w:val="00E30D83"/>
    <w:rsid w:val="00E34235"/>
    <w:rsid w:val="00E3603A"/>
    <w:rsid w:val="00E36217"/>
    <w:rsid w:val="00E36499"/>
    <w:rsid w:val="00E422CD"/>
    <w:rsid w:val="00E50413"/>
    <w:rsid w:val="00E53D86"/>
    <w:rsid w:val="00E53D8F"/>
    <w:rsid w:val="00E56E31"/>
    <w:rsid w:val="00E57855"/>
    <w:rsid w:val="00E61E52"/>
    <w:rsid w:val="00E62BA6"/>
    <w:rsid w:val="00E7023C"/>
    <w:rsid w:val="00E70694"/>
    <w:rsid w:val="00E71109"/>
    <w:rsid w:val="00E748EA"/>
    <w:rsid w:val="00E74A58"/>
    <w:rsid w:val="00E74EF4"/>
    <w:rsid w:val="00E75EF6"/>
    <w:rsid w:val="00E83609"/>
    <w:rsid w:val="00E905BD"/>
    <w:rsid w:val="00E976D7"/>
    <w:rsid w:val="00EA5EEB"/>
    <w:rsid w:val="00EA7A6C"/>
    <w:rsid w:val="00EB2CA2"/>
    <w:rsid w:val="00EB3883"/>
    <w:rsid w:val="00EB4BB5"/>
    <w:rsid w:val="00EC729F"/>
    <w:rsid w:val="00EC7AD8"/>
    <w:rsid w:val="00ED14BB"/>
    <w:rsid w:val="00ED2524"/>
    <w:rsid w:val="00ED30E5"/>
    <w:rsid w:val="00EE306C"/>
    <w:rsid w:val="00EE33D2"/>
    <w:rsid w:val="00EE5406"/>
    <w:rsid w:val="00EE760B"/>
    <w:rsid w:val="00EF3DEA"/>
    <w:rsid w:val="00F03C78"/>
    <w:rsid w:val="00F05C34"/>
    <w:rsid w:val="00F07922"/>
    <w:rsid w:val="00F103D2"/>
    <w:rsid w:val="00F14364"/>
    <w:rsid w:val="00F15194"/>
    <w:rsid w:val="00F32BE8"/>
    <w:rsid w:val="00F35CC9"/>
    <w:rsid w:val="00F37B65"/>
    <w:rsid w:val="00F40623"/>
    <w:rsid w:val="00F40769"/>
    <w:rsid w:val="00F51C90"/>
    <w:rsid w:val="00F537A7"/>
    <w:rsid w:val="00F53C0E"/>
    <w:rsid w:val="00F562FC"/>
    <w:rsid w:val="00F64642"/>
    <w:rsid w:val="00F804F4"/>
    <w:rsid w:val="00F8397F"/>
    <w:rsid w:val="00FA3DF2"/>
    <w:rsid w:val="00FB1B31"/>
    <w:rsid w:val="00FB606E"/>
    <w:rsid w:val="00FB6601"/>
    <w:rsid w:val="00FB7417"/>
    <w:rsid w:val="00FC068F"/>
    <w:rsid w:val="00FC24E7"/>
    <w:rsid w:val="00FC78C0"/>
    <w:rsid w:val="00FD573A"/>
    <w:rsid w:val="00FE10D4"/>
    <w:rsid w:val="00FE292C"/>
    <w:rsid w:val="00FE507F"/>
    <w:rsid w:val="00FE698B"/>
    <w:rsid w:val="00FF0585"/>
    <w:rsid w:val="00FF2CBF"/>
    <w:rsid w:val="00FF56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A9FA"/>
  <w15:chartTrackingRefBased/>
  <w15:docId w15:val="{9461FCD0-D82A-421C-9AAA-3694BF632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33D"/>
    <w:rPr>
      <w:rFonts w:ascii="Segoe UI" w:hAnsi="Segoe UI"/>
    </w:rPr>
  </w:style>
  <w:style w:type="paragraph" w:styleId="Heading1">
    <w:name w:val="heading 1"/>
    <w:basedOn w:val="Normal"/>
    <w:next w:val="BodyText"/>
    <w:link w:val="Heading1Char"/>
    <w:qFormat/>
    <w:rsid w:val="00A06387"/>
    <w:pPr>
      <w:keepNext/>
      <w:keepLines/>
      <w:pageBreakBefore/>
      <w:pBdr>
        <w:bottom w:val="single" w:sz="12" w:space="6" w:color="00DCA1"/>
      </w:pBdr>
      <w:spacing w:before="360" w:after="240" w:line="240" w:lineRule="auto"/>
      <w:outlineLvl w:val="0"/>
    </w:pPr>
    <w:rPr>
      <w:rFonts w:eastAsiaTheme="majorEastAsia" w:cs="Segoe UI"/>
      <w:b/>
      <w:color w:val="025F5D"/>
      <w:sz w:val="40"/>
      <w:szCs w:val="72"/>
    </w:rPr>
  </w:style>
  <w:style w:type="paragraph" w:styleId="Heading2">
    <w:name w:val="heading 2"/>
    <w:basedOn w:val="Normal"/>
    <w:next w:val="BodyText"/>
    <w:link w:val="Heading2Char"/>
    <w:unhideWhenUsed/>
    <w:qFormat/>
    <w:rsid w:val="00D73A0C"/>
    <w:pPr>
      <w:keepNext/>
      <w:keepLines/>
      <w:spacing w:before="360" w:after="160" w:line="240" w:lineRule="auto"/>
      <w:outlineLvl w:val="1"/>
    </w:pPr>
    <w:rPr>
      <w:rFonts w:eastAsiaTheme="majorEastAsia" w:cstheme="majorBidi"/>
      <w:b/>
      <w:color w:val="025F5D"/>
      <w:sz w:val="36"/>
      <w:szCs w:val="36"/>
    </w:rPr>
  </w:style>
  <w:style w:type="paragraph" w:styleId="Heading3">
    <w:name w:val="heading 3"/>
    <w:basedOn w:val="Normal"/>
    <w:next w:val="BodyText"/>
    <w:link w:val="Heading3Char"/>
    <w:unhideWhenUsed/>
    <w:qFormat/>
    <w:rsid w:val="00E75EF6"/>
    <w:pPr>
      <w:keepNext/>
      <w:keepLines/>
      <w:spacing w:before="360" w:after="120"/>
      <w:outlineLvl w:val="2"/>
    </w:pPr>
    <w:rPr>
      <w:rFonts w:eastAsiaTheme="majorEastAsia" w:cstheme="majorBidi"/>
      <w:b/>
      <w:bCs/>
      <w:color w:val="025F5D"/>
      <w:sz w:val="32"/>
      <w:szCs w:val="40"/>
    </w:rPr>
  </w:style>
  <w:style w:type="paragraph" w:styleId="Heading4">
    <w:name w:val="heading 4"/>
    <w:basedOn w:val="Normal"/>
    <w:next w:val="BodyText"/>
    <w:link w:val="Heading4Char"/>
    <w:unhideWhenUsed/>
    <w:qFormat/>
    <w:rsid w:val="00A61B8B"/>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A61B8B"/>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nhideWhenUsed/>
    <w:qFormat/>
    <w:rsid w:val="00A61B8B"/>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nhideWhenUsed/>
    <w:qFormat/>
    <w:rsid w:val="00D36ABD"/>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nhideWhenUsed/>
    <w:qFormat/>
    <w:rsid w:val="001A61CB"/>
    <w:pPr>
      <w:keepNext/>
      <w:keepLines/>
      <w:spacing w:before="40"/>
      <w:outlineLvl w:val="7"/>
    </w:pPr>
    <w:rPr>
      <w:rFonts w:eastAsiaTheme="majorEastAsia" w:cstheme="majorBidi"/>
      <w:color w:val="025F5D" w:themeColor="text2"/>
      <w:szCs w:val="21"/>
    </w:rPr>
  </w:style>
  <w:style w:type="paragraph" w:styleId="Heading9">
    <w:name w:val="heading 9"/>
    <w:basedOn w:val="Normal"/>
    <w:next w:val="BodyText"/>
    <w:link w:val="Heading9Char"/>
    <w:unhideWhenUsed/>
    <w:qFormat/>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6387"/>
    <w:rPr>
      <w:rFonts w:ascii="Segoe UI" w:eastAsiaTheme="majorEastAsia" w:hAnsi="Segoe UI" w:cs="Segoe UI"/>
      <w:b/>
      <w:color w:val="025F5D"/>
      <w:sz w:val="40"/>
      <w:szCs w:val="72"/>
    </w:rPr>
  </w:style>
  <w:style w:type="paragraph" w:styleId="NoSpacing">
    <w:name w:val="No Spacing"/>
    <w:uiPriority w:val="1"/>
    <w:qFormat/>
    <w:rsid w:val="00EE306C"/>
    <w:rPr>
      <w:rFonts w:ascii="Segoe UI" w:hAnsi="Segoe UI"/>
    </w:rPr>
  </w:style>
  <w:style w:type="character" w:customStyle="1" w:styleId="Heading2Char">
    <w:name w:val="Heading 2 Char"/>
    <w:basedOn w:val="DefaultParagraphFont"/>
    <w:link w:val="Heading2"/>
    <w:rsid w:val="00D73A0C"/>
    <w:rPr>
      <w:rFonts w:ascii="Segoe UI" w:eastAsiaTheme="majorEastAsia" w:hAnsi="Segoe UI" w:cstheme="majorBidi"/>
      <w:b/>
      <w:color w:val="025F5D"/>
      <w:sz w:val="36"/>
      <w:szCs w:val="36"/>
    </w:rPr>
  </w:style>
  <w:style w:type="paragraph" w:styleId="Title">
    <w:name w:val="Title"/>
    <w:basedOn w:val="Normal"/>
    <w:next w:val="Subtitle"/>
    <w:link w:val="TitleChar"/>
    <w:qFormat/>
    <w:rsid w:val="003C2F79"/>
    <w:pPr>
      <w:spacing w:before="3600" w:after="100" w:afterAutospacing="1" w:line="240" w:lineRule="auto"/>
      <w:contextualSpacing/>
    </w:pPr>
    <w:rPr>
      <w:rFonts w:ascii="Segoe UI Semibold" w:eastAsiaTheme="majorEastAsia" w:hAnsi="Segoe UI Semibold" w:cs="Segoe UI Semibold"/>
      <w:bCs/>
      <w:color w:val="FFFFFF" w:themeColor="background1"/>
      <w:spacing w:val="-10"/>
      <w:kern w:val="28"/>
      <w:sz w:val="56"/>
      <w:szCs w:val="56"/>
    </w:rPr>
  </w:style>
  <w:style w:type="character" w:customStyle="1" w:styleId="TitleChar">
    <w:name w:val="Title Char"/>
    <w:basedOn w:val="DefaultParagraphFont"/>
    <w:link w:val="Title"/>
    <w:rsid w:val="003C2F79"/>
    <w:rPr>
      <w:rFonts w:ascii="Segoe UI Semibold" w:eastAsiaTheme="majorEastAsia" w:hAnsi="Segoe UI Semibold" w:cs="Segoe UI Semibold"/>
      <w:bCs/>
      <w:color w:val="FFFFFF" w:themeColor="background1"/>
      <w:spacing w:val="-10"/>
      <w:kern w:val="28"/>
      <w:sz w:val="56"/>
      <w:szCs w:val="56"/>
    </w:rPr>
  </w:style>
  <w:style w:type="paragraph" w:styleId="Subtitle">
    <w:name w:val="Subtitle"/>
    <w:basedOn w:val="Normal"/>
    <w:next w:val="BodyText"/>
    <w:link w:val="SubtitleChar"/>
    <w:qFormat/>
    <w:rsid w:val="003C2F79"/>
    <w:pPr>
      <w:numPr>
        <w:ilvl w:val="1"/>
      </w:numPr>
      <w:spacing w:before="100" w:beforeAutospacing="1" w:after="100" w:afterAutospacing="1" w:line="240" w:lineRule="auto"/>
    </w:pPr>
    <w:rPr>
      <w:rFonts w:ascii="Segoe UI Semibold" w:eastAsiaTheme="minorEastAsia" w:hAnsi="Segoe UI Semibold" w:cs="Times New Roman (Body CS)"/>
      <w:color w:val="FFFFFF" w:themeColor="background1"/>
      <w:sz w:val="40"/>
      <w:szCs w:val="22"/>
    </w:rPr>
  </w:style>
  <w:style w:type="character" w:customStyle="1" w:styleId="SubtitleChar">
    <w:name w:val="Subtitle Char"/>
    <w:basedOn w:val="DefaultParagraphFont"/>
    <w:link w:val="Subtitle"/>
    <w:rsid w:val="003C2F79"/>
    <w:rPr>
      <w:rFonts w:ascii="Segoe UI Semibold" w:eastAsiaTheme="minorEastAsia" w:hAnsi="Segoe UI Semibold" w:cs="Times New Roman (Body CS)"/>
      <w:color w:val="FFFFFF" w:themeColor="background1"/>
      <w:sz w:val="40"/>
      <w:szCs w:val="22"/>
    </w:rPr>
  </w:style>
  <w:style w:type="character" w:styleId="SubtleEmphasis">
    <w:name w:val="Subtle Emphasis"/>
    <w:basedOn w:val="DefaultParagraphFont"/>
    <w:uiPriority w:val="19"/>
    <w:qFormat/>
    <w:rsid w:val="00CC3ABE"/>
    <w:rPr>
      <w:rFonts w:ascii="Segoe UI" w:hAnsi="Segoe UI"/>
      <w:i/>
      <w:iCs/>
      <w:color w:val="404040" w:themeColor="text1" w:themeTint="BF"/>
    </w:rPr>
  </w:style>
  <w:style w:type="character" w:styleId="Emphasis">
    <w:name w:val="Emphasis"/>
    <w:basedOn w:val="DefaultParagraphFont"/>
    <w:uiPriority w:val="20"/>
    <w:qFormat/>
    <w:rsid w:val="00FC068F"/>
    <w:rPr>
      <w:rFonts w:ascii="Segoe UI" w:hAnsi="Segoe UI"/>
      <w:i/>
      <w:iCs/>
    </w:rPr>
  </w:style>
  <w:style w:type="character" w:styleId="IntenseEmphasis">
    <w:name w:val="Intense Emphasis"/>
    <w:basedOn w:val="DefaultParagraphFont"/>
    <w:uiPriority w:val="21"/>
    <w:rsid w:val="00643B64"/>
    <w:rPr>
      <w:rFonts w:ascii="Segoe UI" w:hAnsi="Segoe UI"/>
      <w:i/>
      <w:iCs/>
      <w:color w:val="025F5D"/>
      <w:bdr w:val="none" w:sz="0" w:space="0" w:color="auto"/>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EE306C"/>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EE306C"/>
    <w:rPr>
      <w:rFonts w:ascii="Segoe UI" w:hAnsi="Segoe UI"/>
      <w:iCs/>
      <w:color w:val="025F5D"/>
      <w:sz w:val="28"/>
    </w:rPr>
  </w:style>
  <w:style w:type="paragraph" w:styleId="IntenseQuote">
    <w:name w:val="Intense Quote"/>
    <w:basedOn w:val="Normal"/>
    <w:next w:val="Normal"/>
    <w:link w:val="IntenseQuoteChar"/>
    <w:uiPriority w:val="30"/>
    <w:qFormat/>
    <w:rsid w:val="00920A7A"/>
    <w:pPr>
      <w:pBdr>
        <w:top w:val="single" w:sz="4" w:space="10" w:color="00DCA1" w:themeColor="accent1"/>
        <w:bottom w:val="single" w:sz="4" w:space="10" w:color="00DCA1" w:themeColor="accent1"/>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920A7A"/>
    <w:rPr>
      <w:rFonts w:ascii="Segoe UI Semibold" w:hAnsi="Segoe UI Semibold"/>
      <w:iCs/>
      <w:color w:val="025F5D"/>
      <w:sz w:val="28"/>
    </w:rPr>
  </w:style>
  <w:style w:type="character" w:customStyle="1" w:styleId="Heading3Char">
    <w:name w:val="Heading 3 Char"/>
    <w:basedOn w:val="DefaultParagraphFont"/>
    <w:link w:val="Heading3"/>
    <w:rsid w:val="00E75EF6"/>
    <w:rPr>
      <w:rFonts w:ascii="Segoe UI" w:eastAsiaTheme="majorEastAsia" w:hAnsi="Segoe UI" w:cstheme="majorBidi"/>
      <w:b/>
      <w:bCs/>
      <w:color w:val="025F5D"/>
      <w:sz w:val="32"/>
      <w:szCs w:val="40"/>
    </w:rPr>
  </w:style>
  <w:style w:type="character" w:customStyle="1" w:styleId="Heading4Char">
    <w:name w:val="Heading 4 Char"/>
    <w:basedOn w:val="DefaultParagraphFont"/>
    <w:link w:val="Heading4"/>
    <w:rsid w:val="00A61B8B"/>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A61B8B"/>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rsid w:val="00A61B8B"/>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rsid w:val="00D36ABD"/>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rsid w:val="001A61CB"/>
    <w:rPr>
      <w:rFonts w:ascii="Segoe UI" w:eastAsiaTheme="majorEastAsia" w:hAnsi="Segoe UI" w:cstheme="majorBidi"/>
      <w:color w:val="025F5D" w:themeColor="text2"/>
      <w:szCs w:val="21"/>
    </w:rPr>
  </w:style>
  <w:style w:type="character" w:customStyle="1" w:styleId="Heading9Char">
    <w:name w:val="Heading 9 Char"/>
    <w:basedOn w:val="DefaultParagraphFont"/>
    <w:link w:val="Heading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nhideWhenUsed/>
    <w:rsid w:val="000C7907"/>
    <w:pPr>
      <w:spacing w:line="240" w:lineRule="auto"/>
    </w:pPr>
  </w:style>
  <w:style w:type="character" w:customStyle="1" w:styleId="HeaderChar">
    <w:name w:val="Header Char"/>
    <w:basedOn w:val="DefaultParagraphFont"/>
    <w:link w:val="Header"/>
    <w:rsid w:val="000C7907"/>
    <w:rPr>
      <w:rFonts w:ascii="Segoe UI" w:hAnsi="Segoe UI"/>
    </w:rPr>
  </w:style>
  <w:style w:type="paragraph" w:styleId="Footer">
    <w:name w:val="footer"/>
    <w:basedOn w:val="Normal"/>
    <w:link w:val="FooterChar"/>
    <w:uiPriority w:val="99"/>
    <w:unhideWhenUsed/>
    <w:qFormat/>
    <w:rsid w:val="00BD640A"/>
    <w:pPr>
      <w:tabs>
        <w:tab w:val="center" w:pos="4513"/>
        <w:tab w:val="right" w:pos="9026"/>
      </w:tabs>
      <w:spacing w:line="240" w:lineRule="auto"/>
    </w:pPr>
  </w:style>
  <w:style w:type="character" w:customStyle="1" w:styleId="FooterChar">
    <w:name w:val="Footer Char"/>
    <w:basedOn w:val="DefaultParagraphFont"/>
    <w:link w:val="Footer"/>
    <w:uiPriority w:val="99"/>
    <w:rsid w:val="00BD640A"/>
    <w:rPr>
      <w:rFonts w:ascii="Arial" w:hAnsi="Arial"/>
    </w:rPr>
  </w:style>
  <w:style w:type="paragraph" w:customStyle="1" w:styleId="Copyrightbulletlist">
    <w:name w:val="Copyright bullet list"/>
    <w:basedOn w:val="Normal"/>
    <w:qFormat/>
    <w:rsid w:val="00F35CC9"/>
    <w:pPr>
      <w:numPr>
        <w:numId w:val="7"/>
      </w:numPr>
      <w:ind w:left="924" w:hanging="357"/>
    </w:pPr>
    <w:rPr>
      <w:sz w:val="18"/>
    </w:rPr>
  </w:style>
  <w:style w:type="character" w:styleId="PageNumber">
    <w:name w:val="page number"/>
    <w:basedOn w:val="DefaultParagraphFont"/>
    <w:unhideWhenUsed/>
    <w:rsid w:val="00DD7044"/>
  </w:style>
  <w:style w:type="paragraph" w:styleId="CommentSubject">
    <w:name w:val="annotation subject"/>
    <w:basedOn w:val="CommentText"/>
    <w:next w:val="CommentText"/>
    <w:link w:val="CommentSubjectChar"/>
    <w:unhideWhenUsed/>
    <w:rsid w:val="00FC068F"/>
    <w:pPr>
      <w:spacing w:after="120"/>
    </w:pPr>
    <w:rPr>
      <w:rFonts w:cstheme="minorBidi"/>
      <w:b/>
      <w:bCs/>
      <w:kern w:val="2"/>
      <w14:ligatures w14:val="standardContextual"/>
    </w:rPr>
  </w:style>
  <w:style w:type="character" w:styleId="Hyperlink">
    <w:name w:val="Hyperlink"/>
    <w:basedOn w:val="DefaultParagraphFont"/>
    <w:uiPriority w:val="99"/>
    <w:unhideWhenUsed/>
    <w:qFormat/>
    <w:rsid w:val="00737571"/>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link w:val="CopyrighttextChar"/>
    <w:qFormat/>
    <w:rsid w:val="00B63816"/>
    <w:pPr>
      <w:spacing w:before="120" w:after="120"/>
    </w:pPr>
    <w:rPr>
      <w:rFonts w:ascii="Segoe UI" w:eastAsia="Times New Roman" w:hAnsi="Segoe UI" w:cs="Arial"/>
      <w:color w:val="000000"/>
      <w:kern w:val="0"/>
      <w:sz w:val="18"/>
      <w:szCs w:val="18"/>
      <w:lang w:eastAsia="en-GB"/>
      <w14:ligatures w14:val="none"/>
    </w:rPr>
  </w:style>
  <w:style w:type="table" w:styleId="TableGrid">
    <w:name w:val="Table Grid"/>
    <w:basedOn w:val="TableNormal"/>
    <w:uiPriority w:val="39"/>
    <w:rsid w:val="001209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CC3ABE"/>
    <w:rPr>
      <w:rFonts w:ascii="Segoe UI" w:hAnsi="Segoe UI"/>
      <w:smallCaps/>
      <w:color w:val="5A5A5A" w:themeColor="text1" w:themeTint="A5"/>
    </w:rPr>
  </w:style>
  <w:style w:type="paragraph" w:customStyle="1" w:styleId="Tabletitle">
    <w:name w:val="Table title"/>
    <w:basedOn w:val="Normal"/>
    <w:qFormat/>
    <w:rsid w:val="001A2834"/>
    <w:pPr>
      <w:spacing w:before="240" w:after="160"/>
    </w:pPr>
    <w:rPr>
      <w:rFonts w:ascii="Segoe UI Semibold" w:hAnsi="Segoe UI Semibold"/>
      <w:bCs/>
      <w:color w:val="025F5D"/>
    </w:rPr>
  </w:style>
  <w:style w:type="paragraph" w:customStyle="1" w:styleId="Figuretitle">
    <w:name w:val="Figure title"/>
    <w:basedOn w:val="Normal"/>
    <w:qFormat/>
    <w:rsid w:val="00793072"/>
    <w:pPr>
      <w:numPr>
        <w:numId w:val="1"/>
      </w:numPr>
      <w:spacing w:before="240"/>
    </w:pPr>
    <w:rPr>
      <w:rFonts w:ascii="Segoe UI Semibold" w:hAnsi="Segoe UI Semibold"/>
      <w:noProof/>
      <w:color w:val="025F5D"/>
    </w:rPr>
  </w:style>
  <w:style w:type="numbering" w:customStyle="1" w:styleId="CurrentList1">
    <w:name w:val="Current List1"/>
    <w:uiPriority w:val="99"/>
    <w:rsid w:val="009752F5"/>
    <w:pPr>
      <w:numPr>
        <w:numId w:val="2"/>
      </w:numPr>
    </w:pPr>
  </w:style>
  <w:style w:type="character" w:customStyle="1" w:styleId="CommentSubjectChar">
    <w:name w:val="Comment Subject Char"/>
    <w:basedOn w:val="CommentTextChar"/>
    <w:link w:val="CommentSubject"/>
    <w:rsid w:val="00FC068F"/>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FC068F"/>
  </w:style>
  <w:style w:type="character" w:customStyle="1" w:styleId="DateChar">
    <w:name w:val="Date Char"/>
    <w:basedOn w:val="DefaultParagraphFont"/>
    <w:link w:val="Date"/>
    <w:uiPriority w:val="99"/>
    <w:rsid w:val="00FC068F"/>
    <w:rPr>
      <w:rFonts w:ascii="Segoe UI" w:hAnsi="Segoe UI"/>
    </w:rPr>
  </w:style>
  <w:style w:type="paragraph" w:customStyle="1" w:styleId="Boxgreenheading">
    <w:name w:val="Box green heading"/>
    <w:basedOn w:val="Normal"/>
    <w:qFormat/>
    <w:rsid w:val="00920A7A"/>
    <w:pPr>
      <w:keepNext/>
      <w:keepLines/>
      <w:pBdr>
        <w:top w:val="single" w:sz="12" w:space="4" w:color="00DCA1" w:themeColor="accent1"/>
        <w:left w:val="single" w:sz="12" w:space="4" w:color="00DCA1" w:themeColor="accent1"/>
        <w:bottom w:val="single" w:sz="12" w:space="5" w:color="00DCA1" w:themeColor="accent1"/>
        <w:right w:val="single" w:sz="12" w:space="4" w:color="00DCA1" w:themeColor="accent1"/>
      </w:pBdr>
      <w:spacing w:before="360"/>
      <w:outlineLvl w:val="2"/>
    </w:pPr>
    <w:rPr>
      <w:rFonts w:ascii="Segoe UI Semibold" w:eastAsiaTheme="majorEastAsia" w:hAnsi="Segoe UI Semibold" w:cstheme="majorBidi"/>
      <w:bCs/>
      <w:color w:val="025F5D"/>
      <w:sz w:val="32"/>
      <w:szCs w:val="40"/>
    </w:rPr>
  </w:style>
  <w:style w:type="paragraph" w:customStyle="1" w:styleId="Boxgreentext">
    <w:name w:val="Box green text"/>
    <w:basedOn w:val="Normal"/>
    <w:qFormat/>
    <w:rsid w:val="00D77625"/>
    <w:p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pPr>
  </w:style>
  <w:style w:type="paragraph" w:customStyle="1" w:styleId="Boxgreenbullet">
    <w:name w:val="Box green bullet"/>
    <w:basedOn w:val="Normal"/>
    <w:qFormat/>
    <w:rsid w:val="00D77625"/>
    <w:pPr>
      <w:numPr>
        <w:numId w:val="3"/>
      </w:numPr>
      <w:pBdr>
        <w:top w:val="single" w:sz="12" w:space="4" w:color="00DCA1" w:themeColor="accent1"/>
        <w:left w:val="single" w:sz="12" w:space="4" w:color="00DCA1" w:themeColor="accent1"/>
        <w:bottom w:val="single" w:sz="12" w:space="5" w:color="00DCA1" w:themeColor="accent1"/>
        <w:right w:val="single" w:sz="12" w:space="4" w:color="00DCA1" w:themeColor="accent1"/>
      </w:pBdr>
      <w:spacing w:after="240"/>
      <w:ind w:left="357" w:hanging="357"/>
      <w:contextualSpacing/>
    </w:pPr>
  </w:style>
  <w:style w:type="paragraph" w:customStyle="1" w:styleId="Boxpurpleheading">
    <w:name w:val="Box purple heading"/>
    <w:basedOn w:val="Normal"/>
    <w:qFormat/>
    <w:rsid w:val="00920A7A"/>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2"/>
      <w:szCs w:val="40"/>
    </w:rPr>
  </w:style>
  <w:style w:type="paragraph" w:customStyle="1" w:styleId="Boxpurpletext">
    <w:name w:val="Box purple text"/>
    <w:basedOn w:val="Normal"/>
    <w:qFormat/>
    <w:rsid w:val="0072316F"/>
    <w:pPr>
      <w:pBdr>
        <w:top w:val="single" w:sz="12" w:space="4" w:color="511D81"/>
        <w:left w:val="single" w:sz="12" w:space="4" w:color="511D81"/>
        <w:bottom w:val="single" w:sz="12" w:space="5" w:color="511D81"/>
        <w:right w:val="single" w:sz="12" w:space="4" w:color="511D81"/>
      </w:pBdr>
      <w:spacing w:after="240"/>
    </w:pPr>
  </w:style>
  <w:style w:type="paragraph" w:customStyle="1" w:styleId="Boxpurplebullet">
    <w:name w:val="Box purple bullet"/>
    <w:basedOn w:val="Normal"/>
    <w:qFormat/>
    <w:rsid w:val="009D1A69"/>
    <w:pPr>
      <w:numPr>
        <w:numId w:val="18"/>
      </w:numPr>
      <w:pBdr>
        <w:top w:val="single" w:sz="12" w:space="4" w:color="511D81"/>
        <w:left w:val="single" w:sz="12" w:space="4" w:color="511D81"/>
        <w:bottom w:val="single" w:sz="12" w:space="5" w:color="511D81"/>
        <w:right w:val="single" w:sz="12" w:space="4" w:color="511D81"/>
      </w:pBdr>
      <w:spacing w:after="240"/>
      <w:ind w:left="357" w:hanging="357"/>
      <w:contextualSpacing/>
    </w:pPr>
  </w:style>
  <w:style w:type="character" w:styleId="EndnoteReference">
    <w:name w:val="endnote reference"/>
    <w:basedOn w:val="DefaultParagraphFont"/>
    <w:uiPriority w:val="99"/>
    <w:unhideWhenUsed/>
    <w:rsid w:val="00FC068F"/>
    <w:rPr>
      <w:rFonts w:ascii="Segoe UI" w:hAnsi="Segoe UI"/>
      <w:vertAlign w:val="superscript"/>
    </w:rPr>
  </w:style>
  <w:style w:type="paragraph" w:styleId="EndnoteText">
    <w:name w:val="endnote text"/>
    <w:basedOn w:val="Normal"/>
    <w:link w:val="EndnoteTextChar"/>
    <w:uiPriority w:val="99"/>
    <w:semiHidden/>
    <w:unhideWhenUsed/>
    <w:rsid w:val="00FC068F"/>
    <w:pPr>
      <w:spacing w:line="240" w:lineRule="auto"/>
    </w:pPr>
    <w:rPr>
      <w:szCs w:val="20"/>
    </w:rPr>
  </w:style>
  <w:style w:type="character" w:customStyle="1" w:styleId="EndnoteTextChar">
    <w:name w:val="Endnote Text Char"/>
    <w:basedOn w:val="DefaultParagraphFont"/>
    <w:link w:val="EndnoteText"/>
    <w:uiPriority w:val="99"/>
    <w:semiHidden/>
    <w:rsid w:val="00FC068F"/>
    <w:rPr>
      <w:rFonts w:ascii="Segoe UI" w:hAnsi="Segoe UI"/>
      <w:szCs w:val="20"/>
    </w:rPr>
  </w:style>
  <w:style w:type="paragraph" w:customStyle="1" w:styleId="Boxreversedtealheading">
    <w:name w:val="Box reversed teal heading"/>
    <w:basedOn w:val="Normal"/>
    <w:qFormat/>
    <w:rsid w:val="00920A7A"/>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2"/>
      <w:szCs w:val="40"/>
    </w:rPr>
  </w:style>
  <w:style w:type="paragraph" w:customStyle="1" w:styleId="Boxreversedtealbullet">
    <w:name w:val="Box reversed teal bullet"/>
    <w:basedOn w:val="Normal"/>
    <w:qFormat/>
    <w:rsid w:val="009D1A69"/>
    <w:pPr>
      <w:numPr>
        <w:numId w:val="19"/>
      </w:numPr>
      <w:pBdr>
        <w:top w:val="single" w:sz="12" w:space="4" w:color="025F5D"/>
        <w:left w:val="single" w:sz="12" w:space="4" w:color="025F5D"/>
        <w:bottom w:val="single" w:sz="12" w:space="5" w:color="025F5D"/>
        <w:right w:val="single" w:sz="12" w:space="4" w:color="025F5D"/>
      </w:pBdr>
      <w:shd w:val="clear" w:color="auto" w:fill="025F5D"/>
      <w:spacing w:after="240"/>
      <w:ind w:left="357" w:hanging="357"/>
      <w:contextualSpacing/>
    </w:pPr>
    <w:rPr>
      <w:color w:val="FFFFFF" w:themeColor="background1"/>
    </w:rPr>
  </w:style>
  <w:style w:type="paragraph" w:customStyle="1" w:styleId="Boxreversedtealtext">
    <w:name w:val="Box reversed teal text"/>
    <w:basedOn w:val="Normal"/>
    <w:qFormat/>
    <w:rsid w:val="000B54F8"/>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styleId="TOCHeading">
    <w:name w:val="TOC Heading"/>
    <w:basedOn w:val="Heading1"/>
    <w:next w:val="Normal"/>
    <w:uiPriority w:val="39"/>
    <w:unhideWhenUsed/>
    <w:qFormat/>
    <w:rsid w:val="00920A7A"/>
    <w:pPr>
      <w:pBdr>
        <w:bottom w:val="single" w:sz="12" w:space="2" w:color="00DCA1" w:themeColor="accent1"/>
      </w:pBdr>
      <w:spacing w:before="480"/>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B63816"/>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ind w:left="480"/>
    </w:pPr>
    <w:rPr>
      <w:rFonts w:cstheme="minorHAnsi"/>
      <w:sz w:val="20"/>
      <w:szCs w:val="20"/>
    </w:rPr>
  </w:style>
  <w:style w:type="paragraph" w:styleId="TOC4">
    <w:name w:val="toc 4"/>
    <w:basedOn w:val="Normal"/>
    <w:next w:val="Normal"/>
    <w:autoRedefine/>
    <w:uiPriority w:val="39"/>
    <w:semiHidden/>
    <w:unhideWhenUsed/>
    <w:rsid w:val="000601A4"/>
    <w:pPr>
      <w:ind w:left="720"/>
    </w:pPr>
    <w:rPr>
      <w:rFonts w:cstheme="minorHAnsi"/>
      <w:sz w:val="20"/>
      <w:szCs w:val="20"/>
    </w:rPr>
  </w:style>
  <w:style w:type="paragraph" w:styleId="TOC5">
    <w:name w:val="toc 5"/>
    <w:basedOn w:val="Normal"/>
    <w:next w:val="Normal"/>
    <w:autoRedefine/>
    <w:uiPriority w:val="39"/>
    <w:semiHidden/>
    <w:unhideWhenUsed/>
    <w:rsid w:val="000601A4"/>
    <w:pPr>
      <w:ind w:left="960"/>
    </w:pPr>
    <w:rPr>
      <w:rFonts w:cstheme="minorHAnsi"/>
      <w:sz w:val="20"/>
      <w:szCs w:val="20"/>
    </w:rPr>
  </w:style>
  <w:style w:type="paragraph" w:styleId="TOC6">
    <w:name w:val="toc 6"/>
    <w:basedOn w:val="Normal"/>
    <w:next w:val="Normal"/>
    <w:autoRedefine/>
    <w:uiPriority w:val="39"/>
    <w:semiHidden/>
    <w:unhideWhenUsed/>
    <w:rsid w:val="000601A4"/>
    <w:pPr>
      <w:ind w:left="1200"/>
    </w:pPr>
    <w:rPr>
      <w:rFonts w:cstheme="minorHAnsi"/>
      <w:sz w:val="20"/>
      <w:szCs w:val="20"/>
    </w:rPr>
  </w:style>
  <w:style w:type="paragraph" w:styleId="TOC7">
    <w:name w:val="toc 7"/>
    <w:basedOn w:val="Normal"/>
    <w:next w:val="Normal"/>
    <w:autoRedefine/>
    <w:uiPriority w:val="39"/>
    <w:semiHidden/>
    <w:unhideWhenUsed/>
    <w:rsid w:val="000601A4"/>
    <w:pPr>
      <w:ind w:left="1440"/>
    </w:pPr>
    <w:rPr>
      <w:rFonts w:cstheme="minorHAnsi"/>
      <w:sz w:val="20"/>
      <w:szCs w:val="20"/>
    </w:rPr>
  </w:style>
  <w:style w:type="paragraph" w:styleId="TOC8">
    <w:name w:val="toc 8"/>
    <w:basedOn w:val="Normal"/>
    <w:next w:val="Normal"/>
    <w:autoRedefine/>
    <w:uiPriority w:val="39"/>
    <w:semiHidden/>
    <w:unhideWhenUsed/>
    <w:rsid w:val="000601A4"/>
    <w:pPr>
      <w:ind w:left="1680"/>
    </w:pPr>
    <w:rPr>
      <w:rFonts w:cstheme="minorHAnsi"/>
      <w:sz w:val="20"/>
      <w:szCs w:val="20"/>
    </w:rPr>
  </w:style>
  <w:style w:type="paragraph" w:styleId="TOC9">
    <w:name w:val="toc 9"/>
    <w:basedOn w:val="Normal"/>
    <w:next w:val="Normal"/>
    <w:autoRedefine/>
    <w:uiPriority w:val="39"/>
    <w:semiHidden/>
    <w:unhideWhenUsed/>
    <w:rsid w:val="000601A4"/>
    <w:pPr>
      <w:ind w:left="1920"/>
    </w:pPr>
    <w:rPr>
      <w:rFonts w:cstheme="minorHAnsi"/>
      <w:sz w:val="20"/>
      <w:szCs w:val="20"/>
    </w:rPr>
  </w:style>
  <w:style w:type="paragraph" w:styleId="TableofFigures">
    <w:name w:val="table of figures"/>
    <w:basedOn w:val="Normal"/>
    <w:next w:val="Normal"/>
    <w:uiPriority w:val="99"/>
    <w:unhideWhenUsed/>
    <w:rsid w:val="00F40769"/>
  </w:style>
  <w:style w:type="paragraph" w:styleId="TOAHeading">
    <w:name w:val="toa heading"/>
    <w:basedOn w:val="Normal"/>
    <w:next w:val="Normal"/>
    <w:uiPriority w:val="99"/>
    <w:unhideWhenUsed/>
    <w:rsid w:val="00920A7A"/>
    <w:pPr>
      <w:spacing w:after="240"/>
    </w:pPr>
    <w:rPr>
      <w:rFonts w:eastAsiaTheme="majorEastAsia"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styleId="EnvelopeAddress">
    <w:name w:val="envelope address"/>
    <w:basedOn w:val="Normal"/>
    <w:uiPriority w:val="99"/>
    <w:unhideWhenUsed/>
    <w:rsid w:val="00FC068F"/>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FC068F"/>
    <w:pPr>
      <w:spacing w:line="240" w:lineRule="auto"/>
    </w:pPr>
    <w:rPr>
      <w:rFonts w:ascii="Segoe UI Semibold" w:eastAsiaTheme="majorEastAsia" w:hAnsi="Segoe UI Semibold" w:cstheme="majorBidi"/>
      <w:sz w:val="20"/>
      <w:szCs w:val="20"/>
    </w:rPr>
  </w:style>
  <w:style w:type="paragraph" w:styleId="TableofAuthorities">
    <w:name w:val="table of authorities"/>
    <w:basedOn w:val="Normal"/>
    <w:next w:val="Normal"/>
    <w:uiPriority w:val="99"/>
    <w:unhideWhenUsed/>
    <w:rsid w:val="000601A4"/>
    <w:pPr>
      <w:ind w:left="240" w:hanging="240"/>
    </w:pPr>
  </w:style>
  <w:style w:type="paragraph" w:styleId="ListBullet2">
    <w:name w:val="List Bullet 2"/>
    <w:basedOn w:val="ListNumber2"/>
    <w:rsid w:val="004D4DBF"/>
    <w:pPr>
      <w:numPr>
        <w:numId w:val="10"/>
      </w:numPr>
      <w:ind w:left="1071" w:hanging="357"/>
    </w:pPr>
    <w:rPr>
      <w:rFonts w:eastAsia="Times New Roman" w:cs="Times New Roman"/>
      <w:kern w:val="0"/>
      <w14:ligatures w14:val="none"/>
    </w:rPr>
  </w:style>
  <w:style w:type="paragraph" w:customStyle="1" w:styleId="Tabletext">
    <w:name w:val="Table text"/>
    <w:basedOn w:val="Normal"/>
    <w:autoRedefine/>
    <w:qFormat/>
    <w:locked/>
    <w:rsid w:val="006769C8"/>
    <w:pPr>
      <w:spacing w:before="20" w:after="60" w:line="240" w:lineRule="auto"/>
    </w:pPr>
    <w:rPr>
      <w:rFonts w:eastAsia="Calibri" w:cs="Times New Roman"/>
      <w:bCs/>
      <w:iCs/>
      <w:kern w:val="0"/>
      <w:sz w:val="20"/>
      <w:szCs w:val="20"/>
      <w:lang w:eastAsia="en-AU"/>
      <w14:ligatures w14:val="none"/>
    </w:rPr>
  </w:style>
  <w:style w:type="paragraph" w:customStyle="1" w:styleId="Tablelistbullet">
    <w:name w:val="Table list bullet"/>
    <w:basedOn w:val="Tabletext"/>
    <w:qFormat/>
    <w:rsid w:val="006372C1"/>
    <w:pPr>
      <w:numPr>
        <w:numId w:val="4"/>
      </w:numPr>
      <w:spacing w:after="0"/>
      <w:ind w:left="397" w:hanging="227"/>
      <w:contextualSpacing/>
    </w:pPr>
  </w:style>
  <w:style w:type="table" w:styleId="GridTable5Dark-Accent2">
    <w:name w:val="Grid Table 5 Dark Accent 2"/>
    <w:basedOn w:val="TableNormal"/>
    <w:uiPriority w:val="50"/>
    <w:rsid w:val="00D3356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paragraph" w:customStyle="1" w:styleId="Tablelistbullet2">
    <w:name w:val="Table list bullet 2"/>
    <w:basedOn w:val="ListBullet2"/>
    <w:link w:val="Tablelistbullet2Char"/>
    <w:qFormat/>
    <w:rsid w:val="006372C1"/>
    <w:pPr>
      <w:spacing w:before="0"/>
      <w:ind w:left="624" w:hanging="227"/>
    </w:pPr>
    <w:rPr>
      <w:sz w:val="20"/>
    </w:rPr>
  </w:style>
  <w:style w:type="character" w:customStyle="1" w:styleId="Tablelistbullet2Char">
    <w:name w:val="Table list bullet 2 Char"/>
    <w:basedOn w:val="DefaultParagraphFont"/>
    <w:link w:val="Tablelistbullet2"/>
    <w:rsid w:val="006372C1"/>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6A5272"/>
    <w:pPr>
      <w:numPr>
        <w:numId w:val="12"/>
      </w:numPr>
      <w:spacing w:before="60" w:after="60"/>
      <w:contextualSpacing/>
    </w:pPr>
  </w:style>
  <w:style w:type="numbering" w:customStyle="1" w:styleId="CurrentList2">
    <w:name w:val="Current List2"/>
    <w:uiPriority w:val="99"/>
    <w:rsid w:val="001C3090"/>
    <w:pPr>
      <w:numPr>
        <w:numId w:val="5"/>
      </w:numPr>
    </w:pPr>
  </w:style>
  <w:style w:type="paragraph" w:styleId="CommentText">
    <w:name w:val="annotation text"/>
    <w:basedOn w:val="Normal"/>
    <w:link w:val="CommentTextChar"/>
    <w:uiPriority w:val="99"/>
    <w:unhideWhenUsed/>
    <w:rsid w:val="00ED30E5"/>
    <w:pPr>
      <w:spacing w:after="160"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ED30E5"/>
    <w:rPr>
      <w:rFonts w:ascii="Segoe UI" w:hAnsi="Segoe UI" w:cs="Times New Roman"/>
      <w:kern w:val="0"/>
      <w:sz w:val="20"/>
      <w:szCs w:val="20"/>
      <w14:ligatures w14:val="none"/>
    </w:rPr>
  </w:style>
  <w:style w:type="character" w:styleId="CommentReference">
    <w:name w:val="annotation reference"/>
    <w:basedOn w:val="DefaultParagraphFont"/>
    <w:unhideWhenUsed/>
    <w:rsid w:val="00FC068F"/>
    <w:rPr>
      <w:rFonts w:ascii="Segoe UI" w:hAnsi="Segoe UI"/>
      <w:sz w:val="16"/>
      <w:szCs w:val="16"/>
    </w:rPr>
  </w:style>
  <w:style w:type="character" w:styleId="Mention">
    <w:name w:val="Mention"/>
    <w:basedOn w:val="DefaultParagraphFont"/>
    <w:uiPriority w:val="99"/>
    <w:unhideWhenUsed/>
    <w:rsid w:val="00EE306C"/>
    <w:rPr>
      <w:color w:val="025F5D"/>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A51FB5"/>
    <w:pPr>
      <w:numPr>
        <w:numId w:val="6"/>
      </w:numPr>
    </w:pPr>
  </w:style>
  <w:style w:type="character" w:styleId="FollowedHyperlink">
    <w:name w:val="FollowedHyperlink"/>
    <w:basedOn w:val="Hyperlink"/>
    <w:unhideWhenUsed/>
    <w:rsid w:val="000C7907"/>
    <w:rPr>
      <w:color w:val="511D81"/>
      <w:u w:val="single"/>
    </w:rPr>
  </w:style>
  <w:style w:type="character" w:styleId="FootnoteReference">
    <w:name w:val="footnote reference"/>
    <w:basedOn w:val="DefaultParagraphFont"/>
    <w:uiPriority w:val="99"/>
    <w:unhideWhenUsed/>
    <w:rsid w:val="000C7907"/>
    <w:rPr>
      <w:vertAlign w:val="superscript"/>
    </w:rPr>
  </w:style>
  <w:style w:type="paragraph" w:styleId="FootnoteText">
    <w:name w:val="footnote text"/>
    <w:basedOn w:val="Normal"/>
    <w:link w:val="FootnoteTextChar"/>
    <w:unhideWhenUsed/>
    <w:rsid w:val="000C7907"/>
    <w:pPr>
      <w:spacing w:line="240" w:lineRule="auto"/>
    </w:pPr>
    <w:rPr>
      <w:sz w:val="20"/>
      <w:szCs w:val="20"/>
    </w:rPr>
  </w:style>
  <w:style w:type="paragraph" w:styleId="Caption">
    <w:name w:val="caption"/>
    <w:basedOn w:val="Normal"/>
    <w:next w:val="Normal"/>
    <w:link w:val="CaptionChar"/>
    <w:unhideWhenUsed/>
    <w:qFormat/>
    <w:rsid w:val="000B54F8"/>
    <w:pPr>
      <w:spacing w:after="240"/>
    </w:pPr>
    <w:rPr>
      <w:rFonts w:ascii="Segoe UI Semibold" w:hAnsi="Segoe UI Semibold"/>
      <w:iCs/>
      <w:sz w:val="20"/>
      <w:szCs w:val="18"/>
    </w:rPr>
  </w:style>
  <w:style w:type="paragraph" w:styleId="Bibliography">
    <w:name w:val="Bibliography"/>
    <w:basedOn w:val="Normal"/>
    <w:next w:val="Normal"/>
    <w:uiPriority w:val="37"/>
    <w:unhideWhenUsed/>
    <w:rsid w:val="00AB1BA8"/>
    <w:pPr>
      <w:ind w:left="567" w:hanging="567"/>
    </w:pPr>
  </w:style>
  <w:style w:type="paragraph" w:styleId="BodyText2">
    <w:name w:val="Body Text 2"/>
    <w:basedOn w:val="Normal"/>
    <w:link w:val="BodyText2Char"/>
    <w:unhideWhenUsed/>
    <w:rsid w:val="004A7CE4"/>
    <w:pPr>
      <w:spacing w:line="480" w:lineRule="auto"/>
    </w:pPr>
  </w:style>
  <w:style w:type="character" w:customStyle="1" w:styleId="BodyText2Char">
    <w:name w:val="Body Text 2 Char"/>
    <w:basedOn w:val="DefaultParagraphFont"/>
    <w:link w:val="BodyText2"/>
    <w:rsid w:val="004A7CE4"/>
    <w:rPr>
      <w:rFonts w:ascii="Segoe UI" w:hAnsi="Segoe UI"/>
    </w:rPr>
  </w:style>
  <w:style w:type="paragraph" w:styleId="BodyText">
    <w:name w:val="Body Text"/>
    <w:basedOn w:val="Normal"/>
    <w:link w:val="BodyTextChar"/>
    <w:unhideWhenUsed/>
    <w:rsid w:val="001A61CB"/>
    <w:pPr>
      <w:spacing w:after="160"/>
    </w:pPr>
  </w:style>
  <w:style w:type="character" w:customStyle="1" w:styleId="BodyTextChar">
    <w:name w:val="Body Text Char"/>
    <w:basedOn w:val="DefaultParagraphFont"/>
    <w:link w:val="BodyText"/>
    <w:rsid w:val="001A61CB"/>
    <w:rPr>
      <w:rFonts w:ascii="Segoe UI" w:hAnsi="Segoe UI"/>
    </w:rPr>
  </w:style>
  <w:style w:type="character" w:styleId="BookTitle">
    <w:name w:val="Book Title"/>
    <w:basedOn w:val="DefaultParagraphFont"/>
    <w:uiPriority w:val="33"/>
    <w:rsid w:val="0072316F"/>
    <w:rPr>
      <w:b w:val="0"/>
      <w:bCs/>
      <w:i/>
      <w:iCs/>
      <w:spacing w:val="5"/>
    </w:rPr>
  </w:style>
  <w:style w:type="character" w:customStyle="1" w:styleId="FootnoteTextChar">
    <w:name w:val="Footnote Text Char"/>
    <w:basedOn w:val="DefaultParagraphFont"/>
    <w:link w:val="FootnoteText"/>
    <w:rsid w:val="000C7907"/>
    <w:rPr>
      <w:rFonts w:ascii="Segoe UI" w:hAnsi="Segoe UI"/>
      <w:sz w:val="20"/>
      <w:szCs w:val="20"/>
    </w:rPr>
  </w:style>
  <w:style w:type="character" w:styleId="Hashtag">
    <w:name w:val="Hashtag"/>
    <w:basedOn w:val="DefaultParagraphFont"/>
    <w:uiPriority w:val="99"/>
    <w:semiHidden/>
    <w:unhideWhenUsed/>
    <w:rsid w:val="000C7907"/>
    <w:rPr>
      <w:color w:val="025F5D"/>
      <w:shd w:val="clear" w:color="auto" w:fill="E1DFDD"/>
    </w:rPr>
  </w:style>
  <w:style w:type="paragraph" w:styleId="Index1">
    <w:name w:val="index 1"/>
    <w:basedOn w:val="Normal"/>
    <w:next w:val="Normal"/>
    <w:autoRedefine/>
    <w:uiPriority w:val="99"/>
    <w:unhideWhenUsed/>
    <w:rsid w:val="002706A5"/>
    <w:pPr>
      <w:spacing w:line="240" w:lineRule="auto"/>
      <w:ind w:left="240" w:hanging="240"/>
    </w:pPr>
  </w:style>
  <w:style w:type="paragraph" w:styleId="Index2">
    <w:name w:val="index 2"/>
    <w:basedOn w:val="Normal"/>
    <w:next w:val="Normal"/>
    <w:autoRedefine/>
    <w:uiPriority w:val="99"/>
    <w:unhideWhenUsed/>
    <w:rsid w:val="00943A13"/>
    <w:pPr>
      <w:spacing w:line="240" w:lineRule="auto"/>
      <w:ind w:left="238"/>
    </w:pPr>
  </w:style>
  <w:style w:type="paragraph" w:styleId="Index3">
    <w:name w:val="index 3"/>
    <w:basedOn w:val="Normal"/>
    <w:next w:val="Normal"/>
    <w:autoRedefine/>
    <w:uiPriority w:val="99"/>
    <w:unhideWhenUsed/>
    <w:rsid w:val="00943A13"/>
    <w:pPr>
      <w:spacing w:line="240" w:lineRule="auto"/>
      <w:ind w:left="482"/>
    </w:pPr>
  </w:style>
  <w:style w:type="paragraph" w:styleId="IndexHeading">
    <w:name w:val="index heading"/>
    <w:basedOn w:val="Normal"/>
    <w:next w:val="Index1"/>
    <w:uiPriority w:val="99"/>
    <w:unhideWhenUsed/>
    <w:rsid w:val="002706A5"/>
    <w:rPr>
      <w:rFonts w:eastAsiaTheme="majorEastAsia" w:cstheme="majorBidi"/>
      <w:b/>
      <w:bCs/>
      <w:color w:val="025F5D"/>
    </w:rPr>
  </w:style>
  <w:style w:type="paragraph" w:styleId="Index6">
    <w:name w:val="index 6"/>
    <w:basedOn w:val="Normal"/>
    <w:next w:val="Normal"/>
    <w:autoRedefine/>
    <w:uiPriority w:val="99"/>
    <w:unhideWhenUsed/>
    <w:rsid w:val="00943A13"/>
    <w:pPr>
      <w:spacing w:line="240" w:lineRule="auto"/>
      <w:ind w:left="1202"/>
    </w:pPr>
  </w:style>
  <w:style w:type="paragraph" w:styleId="Index5">
    <w:name w:val="index 5"/>
    <w:basedOn w:val="Normal"/>
    <w:next w:val="Normal"/>
    <w:autoRedefine/>
    <w:uiPriority w:val="99"/>
    <w:unhideWhenUsed/>
    <w:rsid w:val="00943A13"/>
    <w:pPr>
      <w:spacing w:line="240" w:lineRule="auto"/>
      <w:ind w:left="958"/>
    </w:pPr>
  </w:style>
  <w:style w:type="character" w:styleId="IntenseReference">
    <w:name w:val="Intense Reference"/>
    <w:basedOn w:val="DefaultParagraphFont"/>
    <w:uiPriority w:val="32"/>
    <w:rsid w:val="00643B64"/>
    <w:rPr>
      <w:b/>
      <w:bCs/>
      <w:smallCaps/>
      <w:color w:val="025F5D"/>
      <w:spacing w:val="5"/>
    </w:rPr>
  </w:style>
  <w:style w:type="character" w:styleId="LineNumber">
    <w:name w:val="line number"/>
    <w:basedOn w:val="DefaultParagraphFont"/>
    <w:uiPriority w:val="99"/>
    <w:unhideWhenUsed/>
    <w:rsid w:val="00643B64"/>
  </w:style>
  <w:style w:type="paragraph" w:styleId="List">
    <w:name w:val="List"/>
    <w:basedOn w:val="Normal"/>
    <w:uiPriority w:val="99"/>
    <w:unhideWhenUsed/>
    <w:rsid w:val="006A5272"/>
    <w:pPr>
      <w:spacing w:before="60" w:after="60"/>
      <w:ind w:left="714" w:hanging="357"/>
      <w:contextualSpacing/>
    </w:pPr>
  </w:style>
  <w:style w:type="paragraph" w:styleId="List2">
    <w:name w:val="List 2"/>
    <w:basedOn w:val="Normal"/>
    <w:uiPriority w:val="99"/>
    <w:unhideWhenUsed/>
    <w:rsid w:val="006A5272"/>
    <w:pPr>
      <w:spacing w:before="60" w:after="60"/>
      <w:ind w:left="1071" w:hanging="357"/>
      <w:contextualSpacing/>
    </w:pPr>
  </w:style>
  <w:style w:type="paragraph" w:styleId="List3">
    <w:name w:val="List 3"/>
    <w:basedOn w:val="Normal"/>
    <w:uiPriority w:val="99"/>
    <w:unhideWhenUsed/>
    <w:rsid w:val="006A5272"/>
    <w:pPr>
      <w:spacing w:before="60" w:after="60"/>
      <w:ind w:left="1429" w:hanging="357"/>
      <w:contextualSpacing/>
    </w:pPr>
  </w:style>
  <w:style w:type="paragraph" w:styleId="List4">
    <w:name w:val="List 4"/>
    <w:basedOn w:val="Normal"/>
    <w:uiPriority w:val="99"/>
    <w:unhideWhenUsed/>
    <w:rsid w:val="006A5272"/>
    <w:pPr>
      <w:spacing w:before="60" w:after="60"/>
      <w:ind w:left="1786" w:hanging="357"/>
      <w:contextualSpacing/>
    </w:pPr>
  </w:style>
  <w:style w:type="paragraph" w:styleId="List5">
    <w:name w:val="List 5"/>
    <w:basedOn w:val="Normal"/>
    <w:uiPriority w:val="99"/>
    <w:unhideWhenUsed/>
    <w:rsid w:val="006A5272"/>
    <w:pPr>
      <w:spacing w:before="60" w:after="60"/>
      <w:ind w:left="2143" w:hanging="357"/>
      <w:contextualSpacing/>
    </w:pPr>
  </w:style>
  <w:style w:type="paragraph" w:styleId="Index4">
    <w:name w:val="index 4"/>
    <w:basedOn w:val="Normal"/>
    <w:next w:val="Normal"/>
    <w:autoRedefine/>
    <w:uiPriority w:val="99"/>
    <w:unhideWhenUsed/>
    <w:rsid w:val="00943A13"/>
    <w:pPr>
      <w:spacing w:line="240" w:lineRule="auto"/>
      <w:ind w:left="720"/>
    </w:pPr>
  </w:style>
  <w:style w:type="paragraph" w:styleId="Index7">
    <w:name w:val="index 7"/>
    <w:basedOn w:val="Normal"/>
    <w:next w:val="Normal"/>
    <w:autoRedefine/>
    <w:uiPriority w:val="99"/>
    <w:unhideWhenUsed/>
    <w:rsid w:val="00943A13"/>
    <w:pPr>
      <w:spacing w:line="240" w:lineRule="auto"/>
      <w:ind w:left="1440"/>
    </w:pPr>
  </w:style>
  <w:style w:type="paragraph" w:styleId="Index8">
    <w:name w:val="index 8"/>
    <w:basedOn w:val="Normal"/>
    <w:next w:val="Normal"/>
    <w:autoRedefine/>
    <w:uiPriority w:val="99"/>
    <w:unhideWhenUsed/>
    <w:rsid w:val="00943A13"/>
    <w:pPr>
      <w:spacing w:line="240" w:lineRule="auto"/>
      <w:ind w:left="1678"/>
    </w:pPr>
  </w:style>
  <w:style w:type="paragraph" w:styleId="Index9">
    <w:name w:val="index 9"/>
    <w:basedOn w:val="Normal"/>
    <w:next w:val="Normal"/>
    <w:autoRedefine/>
    <w:uiPriority w:val="99"/>
    <w:unhideWhenUsed/>
    <w:rsid w:val="00943A13"/>
    <w:pPr>
      <w:spacing w:line="240" w:lineRule="auto"/>
      <w:ind w:left="1922"/>
    </w:pPr>
  </w:style>
  <w:style w:type="paragraph" w:styleId="ListBullet">
    <w:name w:val="List Bullet"/>
    <w:basedOn w:val="Normal"/>
    <w:uiPriority w:val="99"/>
    <w:unhideWhenUsed/>
    <w:qFormat/>
    <w:rsid w:val="006A5272"/>
    <w:pPr>
      <w:numPr>
        <w:numId w:val="8"/>
      </w:numPr>
      <w:tabs>
        <w:tab w:val="clear" w:pos="360"/>
      </w:tabs>
      <w:spacing w:before="60" w:after="60"/>
      <w:ind w:left="714" w:hanging="357"/>
      <w:contextualSpacing/>
    </w:pPr>
  </w:style>
  <w:style w:type="paragraph" w:styleId="ListBullet3">
    <w:name w:val="List Bullet 3"/>
    <w:basedOn w:val="Normal"/>
    <w:uiPriority w:val="99"/>
    <w:unhideWhenUsed/>
    <w:rsid w:val="006A5272"/>
    <w:pPr>
      <w:numPr>
        <w:numId w:val="9"/>
      </w:numPr>
      <w:spacing w:before="60" w:after="60"/>
      <w:ind w:left="1429" w:hanging="357"/>
      <w:contextualSpacing/>
    </w:pPr>
  </w:style>
  <w:style w:type="paragraph" w:styleId="ListNumber">
    <w:name w:val="List Number"/>
    <w:basedOn w:val="Normal"/>
    <w:uiPriority w:val="99"/>
    <w:unhideWhenUsed/>
    <w:rsid w:val="006A5272"/>
    <w:pPr>
      <w:numPr>
        <w:numId w:val="11"/>
      </w:numPr>
      <w:spacing w:before="60" w:after="60"/>
      <w:ind w:left="714" w:hanging="357"/>
      <w:contextualSpacing/>
    </w:pPr>
  </w:style>
  <w:style w:type="paragraph" w:styleId="NormalWeb">
    <w:name w:val="Normal (Web)"/>
    <w:basedOn w:val="Normal"/>
    <w:uiPriority w:val="99"/>
    <w:unhideWhenUsed/>
    <w:rsid w:val="00EE306C"/>
    <w:rPr>
      <w:rFonts w:cs="Times New Roman"/>
    </w:rPr>
  </w:style>
  <w:style w:type="character" w:styleId="PlaceholderText">
    <w:name w:val="Placeholder Text"/>
    <w:basedOn w:val="DefaultParagraphFont"/>
    <w:uiPriority w:val="99"/>
    <w:semiHidden/>
    <w:rsid w:val="00EE306C"/>
    <w:rPr>
      <w:color w:val="666666"/>
    </w:rPr>
  </w:style>
  <w:style w:type="paragraph" w:styleId="PlainText">
    <w:name w:val="Plain Text"/>
    <w:basedOn w:val="Normal"/>
    <w:link w:val="PlainTextChar"/>
    <w:uiPriority w:val="99"/>
    <w:unhideWhenUsed/>
    <w:rsid w:val="00EE306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EE306C"/>
    <w:rPr>
      <w:rFonts w:ascii="Consolas" w:hAnsi="Consolas"/>
      <w:sz w:val="21"/>
      <w:szCs w:val="21"/>
    </w:rPr>
  </w:style>
  <w:style w:type="paragraph" w:customStyle="1" w:styleId="Boxreversedpurpleheading">
    <w:name w:val="Box reversed purple heading"/>
    <w:basedOn w:val="Boxreversedtealheading"/>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text">
    <w:name w:val="Box reversed purple text"/>
    <w:basedOn w:val="Boxreversedtealtext"/>
    <w:qFormat/>
    <w:rsid w:val="00E36217"/>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bullet">
    <w:name w:val="Box reversed purple bullet"/>
    <w:basedOn w:val="Boxreversedtealbullet"/>
    <w:qFormat/>
    <w:rsid w:val="004D26AE"/>
    <w:pPr>
      <w:pBdr>
        <w:top w:val="single" w:sz="12" w:space="4" w:color="511D81"/>
        <w:left w:val="single" w:sz="12" w:space="4" w:color="511D81"/>
        <w:bottom w:val="single" w:sz="12" w:space="5" w:color="511D81"/>
        <w:right w:val="single" w:sz="12" w:space="4" w:color="511D81"/>
      </w:pBdr>
      <w:shd w:val="clear" w:color="auto" w:fill="511D81"/>
    </w:pPr>
  </w:style>
  <w:style w:type="paragraph" w:styleId="ListBullet4">
    <w:name w:val="List Bullet 4"/>
    <w:basedOn w:val="Normal"/>
    <w:uiPriority w:val="99"/>
    <w:unhideWhenUsed/>
    <w:rsid w:val="006A5272"/>
    <w:pPr>
      <w:numPr>
        <w:numId w:val="13"/>
      </w:numPr>
      <w:spacing w:before="60" w:after="60"/>
      <w:ind w:left="1786" w:hanging="357"/>
      <w:contextualSpacing/>
    </w:pPr>
  </w:style>
  <w:style w:type="paragraph" w:styleId="ListBullet5">
    <w:name w:val="List Bullet 5"/>
    <w:basedOn w:val="Normal"/>
    <w:uiPriority w:val="99"/>
    <w:unhideWhenUsed/>
    <w:rsid w:val="006A5272"/>
    <w:pPr>
      <w:numPr>
        <w:numId w:val="14"/>
      </w:numPr>
      <w:spacing w:before="60" w:after="60"/>
      <w:ind w:left="2143" w:hanging="357"/>
      <w:contextualSpacing/>
    </w:pPr>
  </w:style>
  <w:style w:type="paragraph" w:styleId="ListContinue">
    <w:name w:val="List Continue"/>
    <w:basedOn w:val="Normal"/>
    <w:uiPriority w:val="99"/>
    <w:semiHidden/>
    <w:unhideWhenUsed/>
    <w:rsid w:val="006A5272"/>
    <w:pPr>
      <w:spacing w:before="60" w:after="60"/>
      <w:ind w:left="714" w:hanging="357"/>
      <w:contextualSpacing/>
    </w:pPr>
  </w:style>
  <w:style w:type="paragraph" w:styleId="ListContinue2">
    <w:name w:val="List Continue 2"/>
    <w:basedOn w:val="Normal"/>
    <w:uiPriority w:val="99"/>
    <w:semiHidden/>
    <w:unhideWhenUsed/>
    <w:rsid w:val="006A5272"/>
    <w:pPr>
      <w:spacing w:before="60" w:after="60"/>
      <w:ind w:left="1071" w:hanging="357"/>
      <w:contextualSpacing/>
    </w:pPr>
  </w:style>
  <w:style w:type="paragraph" w:styleId="ListContinue3">
    <w:name w:val="List Continue 3"/>
    <w:basedOn w:val="Normal"/>
    <w:uiPriority w:val="99"/>
    <w:semiHidden/>
    <w:unhideWhenUsed/>
    <w:rsid w:val="006A5272"/>
    <w:pPr>
      <w:spacing w:before="60" w:after="60"/>
      <w:ind w:left="1429" w:hanging="357"/>
      <w:contextualSpacing/>
    </w:pPr>
  </w:style>
  <w:style w:type="paragraph" w:styleId="ListContinue4">
    <w:name w:val="List Continue 4"/>
    <w:basedOn w:val="Normal"/>
    <w:uiPriority w:val="99"/>
    <w:semiHidden/>
    <w:unhideWhenUsed/>
    <w:rsid w:val="006A5272"/>
    <w:pPr>
      <w:spacing w:before="60" w:after="60"/>
      <w:ind w:left="1786" w:hanging="357"/>
      <w:contextualSpacing/>
    </w:pPr>
  </w:style>
  <w:style w:type="paragraph" w:styleId="ListContinue5">
    <w:name w:val="List Continue 5"/>
    <w:basedOn w:val="Normal"/>
    <w:uiPriority w:val="99"/>
    <w:semiHidden/>
    <w:unhideWhenUsed/>
    <w:rsid w:val="006A5272"/>
    <w:pPr>
      <w:spacing w:before="60" w:after="60"/>
      <w:ind w:left="2143" w:hanging="357"/>
      <w:contextualSpacing/>
    </w:pPr>
  </w:style>
  <w:style w:type="paragraph" w:styleId="ListNumber3">
    <w:name w:val="List Number 3"/>
    <w:basedOn w:val="Normal"/>
    <w:uiPriority w:val="99"/>
    <w:unhideWhenUsed/>
    <w:rsid w:val="009D1A69"/>
    <w:pPr>
      <w:numPr>
        <w:numId w:val="15"/>
      </w:numPr>
      <w:tabs>
        <w:tab w:val="clear" w:pos="926"/>
      </w:tabs>
      <w:spacing w:before="60" w:after="60"/>
      <w:ind w:left="1429" w:hanging="357"/>
      <w:contextualSpacing/>
    </w:pPr>
  </w:style>
  <w:style w:type="paragraph" w:styleId="ListNumber4">
    <w:name w:val="List Number 4"/>
    <w:basedOn w:val="Normal"/>
    <w:uiPriority w:val="99"/>
    <w:unhideWhenUsed/>
    <w:rsid w:val="009D1A69"/>
    <w:pPr>
      <w:numPr>
        <w:numId w:val="16"/>
      </w:numPr>
      <w:tabs>
        <w:tab w:val="clear" w:pos="1209"/>
      </w:tabs>
      <w:spacing w:before="60" w:after="60"/>
      <w:ind w:left="1786" w:hanging="357"/>
      <w:contextualSpacing/>
    </w:pPr>
  </w:style>
  <w:style w:type="paragraph" w:styleId="ListNumber5">
    <w:name w:val="List Number 5"/>
    <w:basedOn w:val="Normal"/>
    <w:uiPriority w:val="99"/>
    <w:unhideWhenUsed/>
    <w:rsid w:val="009D1A69"/>
    <w:pPr>
      <w:numPr>
        <w:numId w:val="17"/>
      </w:numPr>
      <w:tabs>
        <w:tab w:val="clear" w:pos="1492"/>
      </w:tabs>
      <w:spacing w:before="60" w:after="60"/>
      <w:ind w:left="2143" w:hanging="357"/>
      <w:contextualSpacing/>
    </w:pPr>
  </w:style>
  <w:style w:type="paragraph" w:styleId="ListParagraph">
    <w:name w:val="List Paragraph"/>
    <w:basedOn w:val="Normal"/>
    <w:link w:val="ListParagraphChar"/>
    <w:uiPriority w:val="34"/>
    <w:qFormat/>
    <w:rsid w:val="009D1A69"/>
    <w:pPr>
      <w:spacing w:before="60" w:after="60"/>
      <w:ind w:left="714" w:hanging="357"/>
      <w:contextualSpacing/>
    </w:pPr>
  </w:style>
  <w:style w:type="paragraph" w:styleId="Salutation">
    <w:name w:val="Salutation"/>
    <w:basedOn w:val="Normal"/>
    <w:next w:val="Normal"/>
    <w:link w:val="SalutationChar"/>
    <w:uiPriority w:val="99"/>
    <w:unhideWhenUsed/>
    <w:rsid w:val="00CC3ABE"/>
  </w:style>
  <w:style w:type="character" w:customStyle="1" w:styleId="SalutationChar">
    <w:name w:val="Salutation Char"/>
    <w:basedOn w:val="DefaultParagraphFont"/>
    <w:link w:val="Salutation"/>
    <w:uiPriority w:val="99"/>
    <w:rsid w:val="00CC3ABE"/>
    <w:rPr>
      <w:rFonts w:ascii="Segoe UI" w:hAnsi="Segoe UI"/>
    </w:rPr>
  </w:style>
  <w:style w:type="paragraph" w:styleId="Signature">
    <w:name w:val="Signature"/>
    <w:basedOn w:val="Normal"/>
    <w:link w:val="SignatureChar"/>
    <w:uiPriority w:val="99"/>
    <w:unhideWhenUsed/>
    <w:rsid w:val="00CC3ABE"/>
    <w:pPr>
      <w:spacing w:line="240" w:lineRule="auto"/>
      <w:ind w:left="4252"/>
    </w:pPr>
  </w:style>
  <w:style w:type="character" w:customStyle="1" w:styleId="SignatureChar">
    <w:name w:val="Signature Char"/>
    <w:basedOn w:val="DefaultParagraphFont"/>
    <w:link w:val="Signature"/>
    <w:uiPriority w:val="99"/>
    <w:rsid w:val="00CC3ABE"/>
    <w:rPr>
      <w:rFonts w:ascii="Segoe UI" w:hAnsi="Segoe UI"/>
    </w:rPr>
  </w:style>
  <w:style w:type="character" w:styleId="SmartHyperlink">
    <w:name w:val="Smart Hyperlink"/>
    <w:basedOn w:val="DefaultParagraphFont"/>
    <w:uiPriority w:val="99"/>
    <w:unhideWhenUsed/>
    <w:rsid w:val="00CC3ABE"/>
    <w:rPr>
      <w:u w:val="dotted"/>
    </w:rPr>
  </w:style>
  <w:style w:type="character" w:styleId="SmartLink">
    <w:name w:val="Smart Link"/>
    <w:basedOn w:val="DefaultParagraphFont"/>
    <w:uiPriority w:val="99"/>
    <w:unhideWhenUsed/>
    <w:rsid w:val="00CC3ABE"/>
    <w:rPr>
      <w:color w:val="0000EE"/>
      <w:u w:val="single"/>
      <w:shd w:val="clear" w:color="auto" w:fill="F3F2F1"/>
    </w:rPr>
  </w:style>
  <w:style w:type="paragraph" w:customStyle="1" w:styleId="Tableheaderrowblack">
    <w:name w:val="Table header row black"/>
    <w:basedOn w:val="Normal"/>
    <w:qFormat/>
    <w:rsid w:val="00283805"/>
    <w:rPr>
      <w:rFonts w:ascii="Segoe UI Semibold" w:eastAsia="Times New Roman" w:hAnsi="Segoe UI Semibold" w:cs="Times New Roman"/>
      <w:kern w:val="0"/>
      <w:sz w:val="20"/>
      <w:szCs w:val="20"/>
      <w:lang w:eastAsia="en-AU"/>
      <w14:ligatures w14:val="none"/>
    </w:rPr>
  </w:style>
  <w:style w:type="paragraph" w:customStyle="1" w:styleId="Tableheaderrowwhite">
    <w:name w:val="Table header row white"/>
    <w:basedOn w:val="Tableheaderrowblack"/>
    <w:qFormat/>
    <w:rsid w:val="006372C1"/>
    <w:rPr>
      <w:color w:val="FFFFFF" w:themeColor="background1"/>
    </w:rPr>
  </w:style>
  <w:style w:type="table" w:styleId="PlainTable3">
    <w:name w:val="Plain Table 3"/>
    <w:basedOn w:val="TableNormal"/>
    <w:uiPriority w:val="43"/>
    <w:rsid w:val="00001F4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01F4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1">
    <w:name w:val="Table Grid 1"/>
    <w:basedOn w:val="TableNormal"/>
    <w:uiPriority w:val="99"/>
    <w:semiHidden/>
    <w:unhideWhenUsed/>
    <w:rsid w:val="00001F4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1A61CB"/>
    <w:pPr>
      <w:spacing w:before="20" w:after="60"/>
    </w:pPr>
    <w:rPr>
      <w:kern w:val="0"/>
      <w:sz w:val="20"/>
      <w:szCs w:val="20"/>
      <w:lang w:eastAsia="en-AU"/>
      <w14:ligatures w14:val="none"/>
    </w:rPr>
    <w:tblPr>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style>
  <w:style w:type="paragraph" w:customStyle="1" w:styleId="Boxlightgreenheading">
    <w:name w:val="Box light green heading"/>
    <w:basedOn w:val="Boxreversedtealheading"/>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text">
    <w:name w:val="Box light green text"/>
    <w:basedOn w:val="Boxreversedtealtext"/>
    <w:qFormat/>
    <w:rsid w:val="00373DDB"/>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lightgreenbullet">
    <w:name w:val="Box light green bullet"/>
    <w:basedOn w:val="Boxreversedtealbullet"/>
    <w:qFormat/>
    <w:rsid w:val="00373DDB"/>
    <w:pPr>
      <w:numPr>
        <w:numId w:val="20"/>
      </w:numPr>
      <w:pBdr>
        <w:top w:val="single" w:sz="12" w:space="4" w:color="BEFEE9"/>
        <w:left w:val="single" w:sz="12" w:space="4" w:color="BEFEE9"/>
        <w:bottom w:val="single" w:sz="12" w:space="5" w:color="BEFEE9"/>
        <w:right w:val="single" w:sz="12" w:space="4" w:color="BEFEE9"/>
      </w:pBdr>
      <w:shd w:val="clear" w:color="auto" w:fill="BEFEE9"/>
      <w:ind w:left="357" w:hanging="357"/>
    </w:pPr>
    <w:rPr>
      <w:color w:val="000000"/>
    </w:rPr>
  </w:style>
  <w:style w:type="paragraph" w:customStyle="1" w:styleId="Tableheadinglightgreen">
    <w:name w:val="Table heading light green"/>
    <w:basedOn w:val="Tableheaderrowwhite"/>
    <w:qFormat/>
    <w:rsid w:val="00077B18"/>
    <w:pPr>
      <w:shd w:val="clear" w:color="auto" w:fill="BEFEE9"/>
      <w:spacing w:before="40" w:after="40"/>
    </w:pPr>
    <w:rPr>
      <w:color w:val="auto"/>
    </w:rPr>
  </w:style>
  <w:style w:type="table" w:styleId="GridTable1Light">
    <w:name w:val="Grid Table 1 Light"/>
    <w:basedOn w:val="TableNormal"/>
    <w:uiPriority w:val="46"/>
    <w:rsid w:val="00077B1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77B1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077B1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3">
    <w:name w:val="List Table 4 Accent 3"/>
    <w:basedOn w:val="TableNormal"/>
    <w:uiPriority w:val="49"/>
    <w:rsid w:val="0089749E"/>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tcBorders>
        <w:shd w:val="clear" w:color="auto" w:fill="8C68AC" w:themeFill="accent3"/>
      </w:tcPr>
    </w:tblStylePr>
    <w:tblStylePr w:type="lastRow">
      <w:rPr>
        <w:b/>
        <w:bCs/>
      </w:rPr>
      <w:tblPr/>
      <w:tcPr>
        <w:tcBorders>
          <w:top w:val="doub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styleId="TableGridLight">
    <w:name w:val="Grid Table Light"/>
    <w:basedOn w:val="TableNormal"/>
    <w:uiPriority w:val="40"/>
    <w:rsid w:val="00077B1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DCTable5">
    <w:name w:val="CDC Table 5"/>
    <w:basedOn w:val="PlainTable1"/>
    <w:uiPriority w:val="99"/>
    <w:rsid w:val="00223DF7"/>
    <w:rPr>
      <w:kern w:val="0"/>
      <w:sz w:val="20"/>
      <w:szCs w:val="20"/>
      <w:lang w:eastAsia="en-AU"/>
      <w14:ligatures w14:val="none"/>
    </w:rPr>
    <w:tblPr>
      <w:tblStyleColBandSize w:val="0"/>
      <w:tblBorders>
        <w:top w:val="none" w:sz="0" w:space="0" w:color="auto"/>
        <w:left w:val="none" w:sz="0" w:space="0" w:color="auto"/>
        <w:bottom w:val="single" w:sz="4" w:space="0" w:color="00DCA1"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tcPr>
    </w:tblStylePr>
    <w:tblStylePr w:type="lastRow">
      <w:rPr>
        <w:b/>
        <w:bCs/>
      </w:rPr>
      <w:tblPr/>
      <w:tcPr>
        <w:tcBorders>
          <w:top w:val="nil"/>
          <w:left w:val="nil"/>
          <w:bottom w:val="single" w:sz="12" w:space="0" w:color="00DCA1" w:themeColor="accent1"/>
          <w:right w:val="nil"/>
          <w:insideH w:val="single" w:sz="4" w:space="0" w:color="00DCA1"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BEFEE9"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ListTable3-Accent3">
    <w:name w:val="List Table 3 Accent 3"/>
    <w:basedOn w:val="TableNormal"/>
    <w:uiPriority w:val="48"/>
    <w:rsid w:val="00C612E2"/>
    <w:pPr>
      <w:spacing w:line="240" w:lineRule="auto"/>
    </w:pPr>
    <w:tblPr>
      <w:tblStyleRowBandSize w:val="1"/>
      <w:tblStyleColBandSize w:val="1"/>
      <w:tblBorders>
        <w:top w:val="single" w:sz="4" w:space="0" w:color="8C68AC" w:themeColor="accent3"/>
        <w:left w:val="single" w:sz="4" w:space="0" w:color="8C68AC" w:themeColor="accent3"/>
        <w:bottom w:val="single" w:sz="4" w:space="0" w:color="8C68AC" w:themeColor="accent3"/>
        <w:right w:val="single" w:sz="4" w:space="0" w:color="8C68AC" w:themeColor="accent3"/>
      </w:tblBorders>
    </w:tblPr>
    <w:tblStylePr w:type="firstRow">
      <w:rPr>
        <w:b/>
        <w:bCs/>
        <w:color w:val="FFFFFF" w:themeColor="background1"/>
      </w:rPr>
      <w:tblPr/>
      <w:tcPr>
        <w:shd w:val="clear" w:color="auto" w:fill="8C68AC" w:themeFill="accent3"/>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styleId="GridTable4-Accent2">
    <w:name w:val="Grid Table 4 Accent 2"/>
    <w:aliases w:val="List Table 4 - Accent 20"/>
    <w:basedOn w:val="ListTable4-Accent2"/>
    <w:uiPriority w:val="49"/>
    <w:rsid w:val="00856BEF"/>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ListTable4-Accent2">
    <w:name w:val="List Table 4 Accent 2"/>
    <w:basedOn w:val="TableNormal"/>
    <w:uiPriority w:val="49"/>
    <w:rsid w:val="00856BEF"/>
    <w:pPr>
      <w:spacing w:line="240" w:lineRule="auto"/>
    </w:pPr>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customStyle="1" w:styleId="CDCTable6">
    <w:name w:val="CDC Table 6"/>
    <w:basedOn w:val="TableGrid"/>
    <w:uiPriority w:val="99"/>
    <w:rsid w:val="001A61CB"/>
    <w:rPr>
      <w:kern w:val="0"/>
      <w:sz w:val="20"/>
      <w:szCs w:val="20"/>
      <w:lang w:eastAsia="en-AU"/>
      <w14:ligatures w14:val="none"/>
    </w:rPr>
    <w:tblPr>
      <w:tblBorders>
        <w:top w:val="none" w:sz="0" w:space="0" w:color="auto"/>
        <w:left w:val="none" w:sz="0" w:space="0" w:color="auto"/>
        <w:bottom w:val="single" w:sz="8" w:space="0" w:color="00DCA1" w:themeColor="accent1"/>
        <w:right w:val="none" w:sz="0" w:space="0" w:color="auto"/>
        <w:insideH w:val="single" w:sz="8" w:space="0" w:color="00DCA1" w:themeColor="accent1"/>
        <w:insideV w:val="none" w:sz="0" w:space="0" w:color="auto"/>
      </w:tblBorders>
    </w:tblPr>
    <w:tcPr>
      <w:shd w:val="clear" w:color="auto" w:fill="auto"/>
      <w:vAlign w:val="center"/>
    </w:tcPr>
    <w:tblStylePr w:type="firstRow">
      <w:pPr>
        <w:jc w:val="left"/>
      </w:pPr>
      <w:rPr>
        <w:b/>
        <w:bCs/>
        <w:color w:val="FFFFFF" w:themeColor="background1"/>
      </w:rPr>
      <w:tblPr/>
      <w:tcPr>
        <w:tcBorders>
          <w:bottom w:val="single" w:sz="4" w:space="0" w:color="00DCA1" w:themeColor="accent1"/>
          <w:insideH w:val="nil"/>
        </w:tcBorders>
        <w:shd w:val="clear" w:color="auto" w:fill="025F5D" w:themeFill="text2"/>
      </w:tcPr>
    </w:tblStylePr>
    <w:tblStylePr w:type="lastRow">
      <w:rPr>
        <w:b/>
        <w:bCs/>
      </w:rPr>
      <w:tblPr/>
      <w:tcPr>
        <w:tcBorders>
          <w:top w:val="single" w:sz="4" w:space="0" w:color="FFFFFF" w:themeColor="background1"/>
        </w:tcBorders>
      </w:tcPr>
    </w:tblStylePr>
    <w:tblStylePr w:type="firstCol">
      <w:rPr>
        <w:b/>
        <w:bCs/>
        <w:color w:val="FFFFFF" w:themeColor="background1"/>
      </w:rPr>
      <w:tblPr/>
      <w:tcPr>
        <w:tcBorders>
          <w:right w:val="single" w:sz="4" w:space="0" w:color="FFFFFF" w:themeColor="background1"/>
        </w:tcBorders>
        <w:shd w:val="clear" w:color="auto" w:fill="025F5D" w:themeFill="text2"/>
      </w:tcPr>
    </w:tblStylePr>
    <w:tblStylePr w:type="lastCol">
      <w:rPr>
        <w:b/>
        <w:bCs/>
      </w:rPr>
      <w:tblPr/>
      <w:tcPr>
        <w:tcBorders>
          <w:lef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2">
    <w:name w:val="Grid Table 1 Light Accent 2"/>
    <w:basedOn w:val="TableNormal"/>
    <w:uiPriority w:val="46"/>
    <w:rsid w:val="00856BEF"/>
    <w:pPr>
      <w:spacing w:line="240" w:lineRule="auto"/>
    </w:pPr>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661780"/>
    <w:pPr>
      <w:spacing w:line="240" w:lineRule="auto"/>
    </w:pPr>
    <w:tblPr>
      <w:tblStyleRowBandSize w:val="1"/>
      <w:tblStyleColBandSize w:val="1"/>
      <w:tblBorders>
        <w:top w:val="single" w:sz="4" w:space="0" w:color="B9A4CD" w:themeColor="accent3" w:themeTint="99"/>
        <w:left w:val="single" w:sz="4" w:space="0" w:color="B9A4CD" w:themeColor="accent3" w:themeTint="99"/>
        <w:bottom w:val="single" w:sz="4" w:space="0" w:color="B9A4CD" w:themeColor="accent3" w:themeTint="99"/>
        <w:right w:val="single" w:sz="4" w:space="0" w:color="B9A4CD" w:themeColor="accent3" w:themeTint="99"/>
        <w:insideH w:val="single" w:sz="4" w:space="0" w:color="B9A4CD" w:themeColor="accent3" w:themeTint="99"/>
        <w:insideV w:val="single" w:sz="4" w:space="0" w:color="B9A4CD" w:themeColor="accent3" w:themeTint="99"/>
      </w:tblBorders>
    </w:tblPr>
    <w:tblStylePr w:type="firstRow">
      <w:rPr>
        <w:b/>
        <w:bCs/>
        <w:color w:val="FFFFFF" w:themeColor="background1"/>
      </w:rPr>
      <w:tblPr/>
      <w:tcPr>
        <w:tcBorders>
          <w:top w:val="single" w:sz="4" w:space="0" w:color="8C68AC" w:themeColor="accent3"/>
          <w:left w:val="single" w:sz="4" w:space="0" w:color="8C68AC" w:themeColor="accent3"/>
          <w:bottom w:val="single" w:sz="4" w:space="0" w:color="8C68AC" w:themeColor="accent3"/>
          <w:right w:val="single" w:sz="4" w:space="0" w:color="8C68AC" w:themeColor="accent3"/>
          <w:insideH w:val="nil"/>
          <w:insideV w:val="nil"/>
        </w:tcBorders>
        <w:shd w:val="clear" w:color="auto" w:fill="8C68AC" w:themeFill="accent3"/>
      </w:tcPr>
    </w:tblStylePr>
    <w:tblStylePr w:type="lastRow">
      <w:rPr>
        <w:b/>
        <w:bCs/>
      </w:rPr>
      <w:tblPr/>
      <w:tcPr>
        <w:tcBorders>
          <w:top w:val="double" w:sz="4" w:space="0" w:color="8C68AC" w:themeColor="accent3"/>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4">
    <w:name w:val="CDC Table 4"/>
    <w:basedOn w:val="PlainTable1"/>
    <w:uiPriority w:val="99"/>
    <w:rsid w:val="00917AC5"/>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none" w:sz="0" w:space="0" w:color="auto"/>
      </w:tblBorders>
    </w:tblPr>
    <w:tblStylePr w:type="firstRow">
      <w:pPr>
        <w:jc w:val="left"/>
      </w:pPr>
      <w:rPr>
        <w:rFonts w:ascii="Segoe UI" w:hAnsi="Segoe UI"/>
        <w:b w:val="0"/>
        <w:bCs/>
        <w:color w:val="auto"/>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00DCA1" w:themeFill="accent1"/>
        <w:vAlign w:val="center"/>
      </w:tcPr>
    </w:tblStylePr>
    <w:tblStylePr w:type="lastRow">
      <w:rPr>
        <w:b/>
        <w:bCs/>
      </w:rPr>
      <w:tblPr/>
      <w:tcPr>
        <w:tcBorders>
          <w:top w:val="nil"/>
          <w:left w:val="nil"/>
          <w:bottom w:val="single" w:sz="12" w:space="0" w:color="00DCA1" w:themeColor="accent1"/>
          <w:right w:val="nil"/>
          <w:insideH w:val="nil"/>
          <w:insideV w:val="nil"/>
          <w:tl2br w:val="nil"/>
          <w:tr2bl w:val="nil"/>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3">
    <w:name w:val="List Table 5 Dark Accent 3"/>
    <w:basedOn w:val="TableNormal"/>
    <w:uiPriority w:val="50"/>
    <w:rsid w:val="00712206"/>
    <w:pPr>
      <w:spacing w:line="240" w:lineRule="auto"/>
    </w:pPr>
    <w:rPr>
      <w:color w:val="FFFFFF" w:themeColor="background1"/>
    </w:rPr>
    <w:tblPr>
      <w:tblStyleRowBandSize w:val="1"/>
      <w:tblStyleColBandSize w:val="1"/>
      <w:tblBorders>
        <w:top w:val="single" w:sz="24" w:space="0" w:color="8C68AC" w:themeColor="accent3"/>
        <w:left w:val="single" w:sz="24" w:space="0" w:color="8C68AC" w:themeColor="accent3"/>
        <w:bottom w:val="single" w:sz="24" w:space="0" w:color="8C68AC" w:themeColor="accent3"/>
        <w:right w:val="single" w:sz="24" w:space="0" w:color="8C68AC" w:themeColor="accent3"/>
      </w:tblBorders>
    </w:tblPr>
    <w:tcPr>
      <w:shd w:val="clear" w:color="auto" w:fill="8C68A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4-Accent6">
    <w:name w:val="Grid Table 4 Accent 6"/>
    <w:basedOn w:val="TableNormal"/>
    <w:uiPriority w:val="49"/>
    <w:rsid w:val="00550D12"/>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color w:val="FFFFFF" w:themeColor="background1"/>
      </w:rPr>
      <w:tblPr/>
      <w:tcPr>
        <w:tcBorders>
          <w:top w:val="single" w:sz="4" w:space="0" w:color="165CA6" w:themeColor="accent6"/>
          <w:left w:val="single" w:sz="4" w:space="0" w:color="165CA6" w:themeColor="accent6"/>
          <w:bottom w:val="single" w:sz="4" w:space="0" w:color="165CA6" w:themeColor="accent6"/>
          <w:right w:val="single" w:sz="4" w:space="0" w:color="165CA6" w:themeColor="accent6"/>
          <w:insideH w:val="nil"/>
          <w:insideV w:val="nil"/>
        </w:tcBorders>
        <w:shd w:val="clear" w:color="auto" w:fill="165CA6" w:themeFill="accent6"/>
      </w:tcPr>
    </w:tblStylePr>
    <w:tblStylePr w:type="lastRow">
      <w:rPr>
        <w:b/>
        <w:bCs/>
      </w:rPr>
      <w:tblPr/>
      <w:tcPr>
        <w:tcBorders>
          <w:top w:val="double" w:sz="4" w:space="0" w:color="165CA6" w:themeColor="accent6"/>
        </w:tcBorders>
      </w:tcPr>
    </w:tblStylePr>
    <w:tblStylePr w:type="firstCol">
      <w:rPr>
        <w:b/>
        <w:bCs/>
      </w:rPr>
    </w:tblStylePr>
    <w:tblStylePr w:type="lastCol">
      <w:rPr>
        <w:b/>
        <w:bCs/>
      </w:rPr>
    </w:tblStylePr>
    <w:tblStylePr w:type="band1Vert">
      <w:tblPr/>
      <w:tcPr>
        <w:shd w:val="clear" w:color="auto" w:fill="C5DDF7" w:themeFill="accent6" w:themeFillTint="33"/>
      </w:tcPr>
    </w:tblStylePr>
    <w:tblStylePr w:type="band1Horz">
      <w:tblPr/>
      <w:tcPr>
        <w:shd w:val="clear" w:color="auto" w:fill="C5DDF7" w:themeFill="accent6" w:themeFillTint="33"/>
      </w:tcPr>
    </w:tblStylePr>
  </w:style>
  <w:style w:type="table" w:customStyle="1" w:styleId="CDCTable7">
    <w:name w:val="CDC Table 7"/>
    <w:basedOn w:val="ListTable5Dark-Accent6"/>
    <w:uiPriority w:val="99"/>
    <w:rsid w:val="00260776"/>
    <w:rPr>
      <w:color w:val="000000" w:themeColor="text1"/>
      <w:kern w:val="0"/>
      <w:sz w:val="20"/>
      <w:szCs w:val="20"/>
      <w:lang w:eastAsia="en-AU"/>
      <w14:ligatures w14:val="none"/>
    </w:rPr>
    <w:tblPr>
      <w:tblBorders>
        <w:top w:val="none" w:sz="0" w:space="0" w:color="auto"/>
        <w:left w:val="none" w:sz="0" w:space="0" w:color="auto"/>
        <w:bottom w:val="single" w:sz="8" w:space="0" w:color="025F5D" w:themeColor="text2"/>
        <w:right w:val="none" w:sz="0" w:space="0" w:color="auto"/>
        <w:insideH w:val="single" w:sz="8" w:space="0" w:color="025F5D" w:themeColor="text2"/>
      </w:tblBorders>
    </w:tblPr>
    <w:tcPr>
      <w:shd w:val="clear" w:color="auto" w:fill="auto"/>
    </w:tcPr>
    <w:tblStylePr w:type="firstRow">
      <w:pPr>
        <w:jc w:val="left"/>
      </w:pPr>
      <w:rPr>
        <w:b/>
        <w:bCs/>
      </w:rPr>
      <w:tblPr/>
      <w:tcPr>
        <w:tcBorders>
          <w:top w:val="nil"/>
          <w:left w:val="nil"/>
          <w:bottom w:val="single" w:sz="12" w:space="0" w:color="025F5D" w:themeColor="text2"/>
          <w:right w:val="nil"/>
          <w:insideH w:val="nil"/>
          <w:insideV w:val="nil"/>
          <w:tl2br w:val="nil"/>
          <w:tr2bl w:val="nil"/>
        </w:tcBorders>
        <w:shd w:val="clear" w:color="auto" w:fill="00DCA1"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0DCA1"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0413"/>
    <w:pPr>
      <w:spacing w:line="240" w:lineRule="auto"/>
    </w:pPr>
    <w:rPr>
      <w:color w:val="FFFFFF" w:themeColor="background1"/>
    </w:rPr>
    <w:tblPr>
      <w:tblStyleRowBandSize w:val="1"/>
      <w:tblStyleColBandSize w:val="1"/>
      <w:tblBorders>
        <w:top w:val="single" w:sz="24" w:space="0" w:color="165CA6" w:themeColor="accent6"/>
        <w:left w:val="single" w:sz="24" w:space="0" w:color="165CA6" w:themeColor="accent6"/>
        <w:bottom w:val="single" w:sz="24" w:space="0" w:color="165CA6" w:themeColor="accent6"/>
        <w:right w:val="single" w:sz="24" w:space="0" w:color="165CA6" w:themeColor="accent6"/>
      </w:tblBorders>
    </w:tblPr>
    <w:tcPr>
      <w:shd w:val="clear" w:color="auto" w:fill="165CA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8">
    <w:name w:val="CDC Table 8"/>
    <w:basedOn w:val="ListTable3-Accent3"/>
    <w:uiPriority w:val="99"/>
    <w:rsid w:val="00223DF7"/>
    <w:rPr>
      <w:sz w:val="20"/>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25F5D" w:themeFill="text2"/>
        <w:vAlign w:val="center"/>
      </w:tcPr>
    </w:tblStylePr>
    <w:tblStylePr w:type="lastRow">
      <w:rPr>
        <w:b/>
        <w:bCs/>
      </w:rPr>
      <w:tblPr/>
      <w:tcPr>
        <w:tcBorders>
          <w:top w:val="double" w:sz="4" w:space="0" w:color="8C68A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68AC" w:themeColor="accent3"/>
          <w:right w:val="single" w:sz="4" w:space="0" w:color="8C68AC" w:themeColor="accent3"/>
        </w:tcBorders>
      </w:tcPr>
    </w:tblStylePr>
    <w:tblStylePr w:type="band1Horz">
      <w:tblPr/>
      <w:tcPr>
        <w:tcBorders>
          <w:top w:val="single" w:sz="4" w:space="0" w:color="8C68AC" w:themeColor="accent3"/>
          <w:bottom w:val="single" w:sz="4" w:space="0" w:color="8C68A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68AC" w:themeColor="accent3"/>
          <w:left w:val="nil"/>
        </w:tcBorders>
      </w:tcPr>
    </w:tblStylePr>
    <w:tblStylePr w:type="swCell">
      <w:tblPr/>
      <w:tcPr>
        <w:tcBorders>
          <w:top w:val="double" w:sz="4" w:space="0" w:color="8C68AC" w:themeColor="accent3"/>
          <w:right w:val="nil"/>
        </w:tcBorders>
      </w:tcPr>
    </w:tblStylePr>
  </w:style>
  <w:style w:type="table" w:customStyle="1" w:styleId="CDCTable9">
    <w:name w:val="CDC Table 9"/>
    <w:basedOn w:val="PlainTable1"/>
    <w:uiPriority w:val="99"/>
    <w:rsid w:val="00223DF7"/>
    <w:rPr>
      <w:kern w:val="0"/>
      <w:sz w:val="20"/>
      <w:szCs w:val="20"/>
      <w:lang w:eastAsia="en-AU"/>
      <w14:ligatures w14:val="none"/>
    </w:rPr>
    <w:tblPr>
      <w:tblStyleRowBandSize w:val="0"/>
      <w:tblStyleColBandSize w:val="0"/>
      <w:tblBorders>
        <w:top w:val="single" w:sz="8" w:space="0" w:color="00DCA1" w:themeColor="accent1"/>
        <w:left w:val="none" w:sz="0" w:space="0" w:color="auto"/>
        <w:bottom w:val="single" w:sz="8" w:space="0" w:color="00DCA1" w:themeColor="accent1"/>
        <w:right w:val="none" w:sz="0" w:space="0" w:color="auto"/>
        <w:insideH w:val="single" w:sz="8" w:space="0" w:color="00DCA1" w:themeColor="accent1"/>
        <w:insideV w:val="single" w:sz="8" w:space="0" w:color="00DCA1"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0DCA1" w:themeFill="accent1"/>
        <w:vAlign w:val="center"/>
      </w:tcPr>
    </w:tblStylePr>
    <w:tblStylePr w:type="lastRow">
      <w:rPr>
        <w:b/>
        <w:bCs/>
      </w:rPr>
      <w:tblPr/>
      <w:tcPr>
        <w:tcBorders>
          <w:top w:val="double" w:sz="4" w:space="0" w:color="165CA6" w:themeColor="accent6"/>
        </w:tcBorders>
        <w:shd w:val="clear" w:color="auto" w:fill="FFFFFF" w:themeFill="background1"/>
      </w:tcPr>
    </w:tblStylePr>
    <w:tblStylePr w:type="firstCol">
      <w:pPr>
        <w:wordWrap/>
        <w:jc w:val="left"/>
      </w:pPr>
      <w:rPr>
        <w:rFonts w:ascii="Segoe UI" w:hAnsi="Segoe UI"/>
        <w:b/>
        <w:bCs/>
        <w:i w:val="0"/>
        <w:iCs/>
        <w:color w:val="auto"/>
        <w:sz w:val="20"/>
      </w:rPr>
      <w:tblPr/>
      <w:tcPr>
        <w:tcBorders>
          <w:top w:val="nil"/>
          <w:left w:val="nil"/>
          <w:bottom w:val="single" w:sz="8" w:space="0" w:color="00DCA1" w:themeColor="accent1"/>
          <w:right w:val="nil"/>
          <w:insideH w:val="single" w:sz="8" w:space="0" w:color="00DCA1" w:themeColor="accent1"/>
          <w:insideV w:val="single" w:sz="8" w:space="0" w:color="00DCA1"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549BE8" w:themeColor="accent6" w:themeTint="99"/>
        </w:tcBorders>
      </w:tcPr>
    </w:tblStylePr>
    <w:tblStylePr w:type="nwCell">
      <w:tblPr/>
      <w:tcPr>
        <w:tcBorders>
          <w:bottom w:val="single" w:sz="4" w:space="0" w:color="549BE8" w:themeColor="accent6" w:themeTint="99"/>
          <w:right w:val="nil"/>
        </w:tcBorders>
      </w:tcPr>
    </w:tblStylePr>
    <w:tblStylePr w:type="seCell">
      <w:tblPr/>
      <w:tcPr>
        <w:tcBorders>
          <w:top w:val="single" w:sz="4" w:space="0" w:color="549BE8" w:themeColor="accent6" w:themeTint="99"/>
          <w:left w:val="nil"/>
        </w:tcBorders>
      </w:tcPr>
    </w:tblStylePr>
    <w:tblStylePr w:type="swCell">
      <w:tblPr/>
      <w:tcPr>
        <w:tcBorders>
          <w:top w:val="single" w:sz="4" w:space="0" w:color="549BE8" w:themeColor="accent6" w:themeTint="99"/>
          <w:right w:val="nil"/>
        </w:tcBorders>
      </w:tcPr>
    </w:tblStylePr>
  </w:style>
  <w:style w:type="table" w:styleId="GridTable3-Accent6">
    <w:name w:val="Grid Table 3 Accent 6"/>
    <w:basedOn w:val="TableNormal"/>
    <w:uiPriority w:val="48"/>
    <w:rsid w:val="00083E5A"/>
    <w:pPr>
      <w:spacing w:line="240" w:lineRule="auto"/>
    </w:pPr>
    <w:tblPr>
      <w:tblStyleRowBandSize w:val="1"/>
      <w:tblStyleColBandSize w:val="1"/>
      <w:tblBorders>
        <w:top w:val="single" w:sz="4" w:space="0" w:color="549BE8" w:themeColor="accent6" w:themeTint="99"/>
        <w:left w:val="single" w:sz="4" w:space="0" w:color="549BE8" w:themeColor="accent6" w:themeTint="99"/>
        <w:bottom w:val="single" w:sz="4" w:space="0" w:color="549BE8" w:themeColor="accent6" w:themeTint="99"/>
        <w:right w:val="single" w:sz="4" w:space="0" w:color="549BE8" w:themeColor="accent6" w:themeTint="99"/>
        <w:insideH w:val="single" w:sz="4" w:space="0" w:color="549BE8" w:themeColor="accent6" w:themeTint="99"/>
        <w:insideV w:val="single" w:sz="4" w:space="0" w:color="549BE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DF7" w:themeFill="accent6" w:themeFillTint="33"/>
      </w:tcPr>
    </w:tblStylePr>
    <w:tblStylePr w:type="band1Horz">
      <w:tblPr/>
      <w:tcPr>
        <w:shd w:val="clear" w:color="auto" w:fill="C5DDF7" w:themeFill="accent6" w:themeFillTint="33"/>
      </w:tcPr>
    </w:tblStylePr>
    <w:tblStylePr w:type="neCell">
      <w:tblPr/>
      <w:tcPr>
        <w:tcBorders>
          <w:bottom w:val="single" w:sz="4" w:space="0" w:color="549BE8" w:themeColor="accent6" w:themeTint="99"/>
        </w:tcBorders>
      </w:tcPr>
    </w:tblStylePr>
    <w:tblStylePr w:type="nwCell">
      <w:tblPr/>
      <w:tcPr>
        <w:tcBorders>
          <w:bottom w:val="single" w:sz="4" w:space="0" w:color="549BE8" w:themeColor="accent6" w:themeTint="99"/>
        </w:tcBorders>
      </w:tcPr>
    </w:tblStylePr>
    <w:tblStylePr w:type="seCell">
      <w:tblPr/>
      <w:tcPr>
        <w:tcBorders>
          <w:top w:val="single" w:sz="4" w:space="0" w:color="549BE8" w:themeColor="accent6" w:themeTint="99"/>
        </w:tcBorders>
      </w:tcPr>
    </w:tblStylePr>
    <w:tblStylePr w:type="swCell">
      <w:tblPr/>
      <w:tcPr>
        <w:tcBorders>
          <w:top w:val="single" w:sz="4" w:space="0" w:color="549BE8" w:themeColor="accent6" w:themeTint="99"/>
        </w:tcBorders>
      </w:tcPr>
    </w:tblStylePr>
  </w:style>
  <w:style w:type="table" w:styleId="ListTable3-Accent6">
    <w:name w:val="List Table 3 Accent 6"/>
    <w:basedOn w:val="TableNormal"/>
    <w:uiPriority w:val="48"/>
    <w:rsid w:val="00083E5A"/>
    <w:pPr>
      <w:spacing w:line="240" w:lineRule="auto"/>
    </w:pPr>
    <w:tblPr>
      <w:tblStyleRowBandSize w:val="1"/>
      <w:tblStyleColBandSize w:val="1"/>
      <w:tblBorders>
        <w:top w:val="single" w:sz="4" w:space="0" w:color="165CA6" w:themeColor="accent6"/>
        <w:left w:val="single" w:sz="4" w:space="0" w:color="165CA6" w:themeColor="accent6"/>
        <w:bottom w:val="single" w:sz="4" w:space="0" w:color="165CA6" w:themeColor="accent6"/>
        <w:right w:val="single" w:sz="4" w:space="0" w:color="165CA6" w:themeColor="accent6"/>
      </w:tblBorders>
    </w:tblPr>
    <w:tblStylePr w:type="firstRow">
      <w:rPr>
        <w:b/>
        <w:bCs/>
        <w:color w:val="FFFFFF" w:themeColor="background1"/>
      </w:rPr>
      <w:tblPr/>
      <w:tcPr>
        <w:shd w:val="clear" w:color="auto" w:fill="165CA6" w:themeFill="accent6"/>
      </w:tcPr>
    </w:tblStylePr>
    <w:tblStylePr w:type="lastRow">
      <w:rPr>
        <w:b/>
        <w:bCs/>
      </w:rPr>
      <w:tblPr/>
      <w:tcPr>
        <w:tcBorders>
          <w:top w:val="double" w:sz="4" w:space="0" w:color="165CA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CA6" w:themeColor="accent6"/>
          <w:right w:val="single" w:sz="4" w:space="0" w:color="165CA6" w:themeColor="accent6"/>
        </w:tcBorders>
      </w:tcPr>
    </w:tblStylePr>
    <w:tblStylePr w:type="band1Horz">
      <w:tblPr/>
      <w:tcPr>
        <w:tcBorders>
          <w:top w:val="single" w:sz="4" w:space="0" w:color="165CA6" w:themeColor="accent6"/>
          <w:bottom w:val="single" w:sz="4" w:space="0" w:color="165CA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CA6" w:themeColor="accent6"/>
          <w:left w:val="nil"/>
        </w:tcBorders>
      </w:tcPr>
    </w:tblStylePr>
    <w:tblStylePr w:type="swCell">
      <w:tblPr/>
      <w:tcPr>
        <w:tcBorders>
          <w:top w:val="double" w:sz="4" w:space="0" w:color="165CA6" w:themeColor="accent6"/>
          <w:right w:val="nil"/>
        </w:tcBorders>
      </w:tcPr>
    </w:tblStylePr>
  </w:style>
  <w:style w:type="paragraph" w:customStyle="1" w:styleId="Tablesubheadinglightgreen">
    <w:name w:val="Table subheading light green"/>
    <w:basedOn w:val="Normal"/>
    <w:next w:val="Tabletext"/>
    <w:qFormat/>
    <w:rsid w:val="006C6EC4"/>
    <w:pPr>
      <w:shd w:val="clear" w:color="auto" w:fill="BEFEE9" w:themeFill="background2"/>
      <w:spacing w:before="120" w:after="120" w:line="240" w:lineRule="auto"/>
    </w:pPr>
    <w:rPr>
      <w:rFonts w:ascii="Segoe UI Semibold" w:hAnsi="Segoe UI Semibold"/>
      <w:bCs/>
      <w:kern w:val="0"/>
      <w:sz w:val="20"/>
      <w:szCs w:val="20"/>
      <w:lang w:eastAsia="en-AU"/>
      <w14:ligatures w14:val="none"/>
    </w:rPr>
  </w:style>
  <w:style w:type="paragraph" w:customStyle="1" w:styleId="Tablesubheadingmidgreen">
    <w:name w:val="Table subheading mid green"/>
    <w:basedOn w:val="Tablesubheadinglightgreen"/>
    <w:next w:val="Tabletext"/>
    <w:qFormat/>
    <w:rsid w:val="00DC0A71"/>
    <w:pPr>
      <w:shd w:val="clear" w:color="auto" w:fill="00DCA1" w:themeFill="accent1"/>
    </w:pPr>
    <w:rPr>
      <w:b/>
      <w:bCs w:val="0"/>
    </w:rPr>
  </w:style>
  <w:style w:type="table" w:styleId="ListTable1Light-Accent3">
    <w:name w:val="List Table 1 Light Accent 3"/>
    <w:basedOn w:val="TableNormal"/>
    <w:uiPriority w:val="46"/>
    <w:rsid w:val="00CC5667"/>
    <w:pPr>
      <w:spacing w:line="240" w:lineRule="auto"/>
    </w:pPr>
    <w:tblPr>
      <w:tblStyleRowBandSize w:val="1"/>
      <w:tblStyleColBandSize w:val="1"/>
    </w:tblPr>
    <w:tblStylePr w:type="firstRow">
      <w:rPr>
        <w:b/>
        <w:bCs/>
      </w:rPr>
      <w:tblPr/>
      <w:tcPr>
        <w:tcBorders>
          <w:bottom w:val="single" w:sz="4" w:space="0" w:color="B9A4CD" w:themeColor="accent3" w:themeTint="99"/>
        </w:tcBorders>
      </w:tcPr>
    </w:tblStylePr>
    <w:tblStylePr w:type="lastRow">
      <w:rPr>
        <w:b/>
        <w:bCs/>
      </w:rPr>
      <w:tblPr/>
      <w:tcPr>
        <w:tcBorders>
          <w:top w:val="single" w:sz="4" w:space="0" w:color="B9A4CD" w:themeColor="accent3" w:themeTint="99"/>
        </w:tcBorders>
      </w:tcPr>
    </w:tblStylePr>
    <w:tblStylePr w:type="firstCol">
      <w:rPr>
        <w:b/>
        <w:bCs/>
      </w:rPr>
    </w:tblStylePr>
    <w:tblStylePr w:type="lastCol">
      <w:rPr>
        <w:b/>
        <w:bCs/>
      </w:rPr>
    </w:tblStylePr>
    <w:tblStylePr w:type="band1Vert">
      <w:tblPr/>
      <w:tcPr>
        <w:shd w:val="clear" w:color="auto" w:fill="E7E0EE" w:themeFill="accent3" w:themeFillTint="33"/>
      </w:tcPr>
    </w:tblStylePr>
    <w:tblStylePr w:type="band1Horz">
      <w:tblPr/>
      <w:tcPr>
        <w:shd w:val="clear" w:color="auto" w:fill="E7E0EE" w:themeFill="accent3" w:themeFillTint="33"/>
      </w:tcPr>
    </w:tblStylePr>
  </w:style>
  <w:style w:type="table" w:customStyle="1" w:styleId="CDCTable2">
    <w:name w:val="CDC Table 2"/>
    <w:basedOn w:val="TableGrid1"/>
    <w:uiPriority w:val="99"/>
    <w:rsid w:val="00917AC5"/>
    <w:pPr>
      <w:spacing w:after="60" w:line="240" w:lineRule="auto"/>
    </w:pPr>
    <w:rPr>
      <w:rFonts w:ascii="Segoe UI" w:hAnsi="Segoe UI"/>
      <w:sz w:val="20"/>
    </w:rPr>
    <w:tblPr>
      <w:tblBorders>
        <w:top w:val="none" w:sz="0" w:space="0" w:color="auto"/>
        <w:left w:val="none" w:sz="0" w:space="0" w:color="auto"/>
        <w:bottom w:val="single" w:sz="6" w:space="0" w:color="00DCA1" w:themeColor="accent1"/>
        <w:right w:val="none" w:sz="0" w:space="0" w:color="auto"/>
        <w:insideH w:val="single" w:sz="4" w:space="0" w:color="00DCA1" w:themeColor="accent1"/>
        <w:insideV w:val="none" w:sz="0" w:space="0" w:color="auto"/>
      </w:tblBorders>
      <w:tblCellMar>
        <w:top w:w="57" w:type="dxa"/>
        <w:bottom w:w="85" w:type="dxa"/>
      </w:tblCellMar>
    </w:tblPr>
    <w:trPr>
      <w:cantSplit/>
    </w:trPr>
    <w:tcPr>
      <w:vAlign w:val="center"/>
    </w:tcPr>
    <w:tblStylePr w:type="firstRow">
      <w:rPr>
        <w:rFonts w:ascii="Segoe UI" w:hAnsi="Segoe UI"/>
        <w:sz w:val="20"/>
      </w:rPr>
      <w:tblPr/>
      <w:tcPr>
        <w:shd w:val="clear" w:color="auto" w:fill="BEFEE9" w:themeFill="background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MessageHeader">
    <w:name w:val="Message Header"/>
    <w:basedOn w:val="Normal"/>
    <w:link w:val="MessageHeaderChar"/>
    <w:uiPriority w:val="99"/>
    <w:unhideWhenUsed/>
    <w:rsid w:val="00BF08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BF0845"/>
    <w:rPr>
      <w:rFonts w:asciiTheme="majorHAnsi" w:eastAsiaTheme="majorEastAsia" w:hAnsiTheme="majorHAnsi" w:cstheme="majorBidi"/>
      <w:shd w:val="pct20" w:color="auto" w:fill="auto"/>
    </w:rPr>
  </w:style>
  <w:style w:type="paragraph" w:customStyle="1" w:styleId="Tablefootnote">
    <w:name w:val="Table footnote"/>
    <w:basedOn w:val="Caption"/>
    <w:next w:val="BodyText"/>
    <w:link w:val="TablefootnoteChar"/>
    <w:qFormat/>
    <w:rsid w:val="00D25541"/>
    <w:pPr>
      <w:spacing w:before="60" w:after="120"/>
    </w:pPr>
    <w:rPr>
      <w:rFonts w:ascii="Segoe UI" w:hAnsi="Segoe UI"/>
    </w:rPr>
  </w:style>
  <w:style w:type="paragraph" w:customStyle="1" w:styleId="Securityclassification">
    <w:name w:val="Security classification"/>
    <w:basedOn w:val="Footer"/>
    <w:qFormat/>
    <w:rsid w:val="002A4FB3"/>
    <w:pPr>
      <w:jc w:val="center"/>
    </w:pPr>
    <w:rPr>
      <w:rFonts w:ascii="Segoe UI Semibold" w:eastAsia="Times New Roman" w:hAnsi="Segoe UI Semibold" w:cs="Segoe UI Semibold"/>
      <w:bCs/>
      <w:color w:val="FF0000"/>
      <w:kern w:val="0"/>
      <w:sz w:val="22"/>
      <w:szCs w:val="22"/>
      <w:lang w:eastAsia="en-AU"/>
      <w14:ligatures w14:val="none"/>
    </w:rPr>
  </w:style>
  <w:style w:type="table" w:customStyle="1" w:styleId="CDCTable1new">
    <w:name w:val="CDC Table 1 new"/>
    <w:basedOn w:val="TableGrid1"/>
    <w:uiPriority w:val="99"/>
    <w:rsid w:val="00087ED1"/>
    <w:pPr>
      <w:spacing w:line="240" w:lineRule="auto"/>
    </w:pPr>
    <w:tblPr>
      <w:tblBorders>
        <w:top w:val="none" w:sz="0" w:space="0" w:color="auto"/>
        <w:left w:val="none" w:sz="0" w:space="0" w:color="auto"/>
        <w:bottom w:val="single" w:sz="4" w:space="0" w:color="00DCA1" w:themeColor="accent1"/>
        <w:right w:val="none" w:sz="0" w:space="0" w:color="auto"/>
        <w:insideH w:val="single" w:sz="4" w:space="0" w:color="00DCA1" w:themeColor="accent1"/>
        <w:insideV w:val="none" w:sz="0" w:space="0" w:color="auto"/>
      </w:tblBorders>
      <w:tblCellMar>
        <w:bottom w:w="113" w:type="dxa"/>
      </w:tblCellMar>
    </w:tblPr>
    <w:tblStylePr w:type="firstRow">
      <w:rPr>
        <w:rFonts w:ascii="Segoe UI" w:hAnsi="Segoe UI"/>
        <w:b/>
        <w:color w:val="FFFFFF" w:themeColor="background1"/>
        <w:sz w:val="20"/>
      </w:rPr>
      <w:tblPr/>
      <w:tcPr>
        <w:tcBorders>
          <w:top w:val="nil"/>
          <w:left w:val="nil"/>
          <w:bottom w:val="nil"/>
          <w:right w:val="nil"/>
          <w:insideH w:val="nil"/>
          <w:insideV w:val="nil"/>
          <w:tl2br w:val="nil"/>
          <w:tr2bl w:val="nil"/>
        </w:tcBorders>
        <w:shd w:val="clear" w:color="auto" w:fill="025F5D" w:themeFill="text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Textbeforetable">
    <w:name w:val="Body Text before table"/>
    <w:basedOn w:val="BodyText"/>
    <w:qFormat/>
    <w:rsid w:val="00800029"/>
    <w:pPr>
      <w:spacing w:after="240"/>
    </w:pPr>
  </w:style>
  <w:style w:type="paragraph" w:customStyle="1" w:styleId="BodyTextaftertable">
    <w:name w:val="Body Text after table"/>
    <w:basedOn w:val="BodyText"/>
    <w:next w:val="BodyText"/>
    <w:qFormat/>
    <w:rsid w:val="00A547D3"/>
    <w:pPr>
      <w:spacing w:before="240"/>
    </w:pPr>
  </w:style>
  <w:style w:type="paragraph" w:styleId="BodyText3">
    <w:name w:val="Body Text 3"/>
    <w:basedOn w:val="Normal"/>
    <w:link w:val="BodyText3Char"/>
    <w:uiPriority w:val="99"/>
    <w:unhideWhenUsed/>
    <w:rsid w:val="00A547D3"/>
    <w:pPr>
      <w:spacing w:after="120"/>
    </w:pPr>
    <w:rPr>
      <w:sz w:val="16"/>
      <w:szCs w:val="16"/>
    </w:rPr>
  </w:style>
  <w:style w:type="character" w:customStyle="1" w:styleId="BodyText3Char">
    <w:name w:val="Body Text 3 Char"/>
    <w:basedOn w:val="DefaultParagraphFont"/>
    <w:link w:val="BodyText3"/>
    <w:uiPriority w:val="99"/>
    <w:rsid w:val="00A547D3"/>
    <w:rPr>
      <w:rFonts w:ascii="Segoe UI" w:hAnsi="Segoe UI"/>
      <w:sz w:val="16"/>
      <w:szCs w:val="16"/>
    </w:rPr>
  </w:style>
  <w:style w:type="paragraph" w:customStyle="1" w:styleId="Covertext">
    <w:name w:val="Cover text"/>
    <w:basedOn w:val="Normal"/>
    <w:qFormat/>
    <w:rsid w:val="00AD6802"/>
    <w:rPr>
      <w:rFonts w:ascii="Segoe UI Semibold" w:hAnsi="Segoe UI Semibold"/>
      <w:bCs/>
      <w:color w:val="FFFFFF"/>
      <w:sz w:val="32"/>
    </w:rPr>
  </w:style>
  <w:style w:type="character" w:customStyle="1" w:styleId="ListParagraphChar">
    <w:name w:val="List Paragraph Char"/>
    <w:basedOn w:val="DefaultParagraphFont"/>
    <w:link w:val="ListParagraph"/>
    <w:uiPriority w:val="34"/>
    <w:qFormat/>
    <w:locked/>
    <w:rsid w:val="00AD6802"/>
    <w:rPr>
      <w:rFonts w:ascii="Segoe UI" w:hAnsi="Segoe UI"/>
    </w:rPr>
  </w:style>
  <w:style w:type="paragraph" w:customStyle="1" w:styleId="EndNoteBibliography">
    <w:name w:val="EndNote Bibliography"/>
    <w:basedOn w:val="Normal"/>
    <w:link w:val="EndNoteBibliographyChar"/>
    <w:rsid w:val="00AD6802"/>
    <w:pPr>
      <w:spacing w:line="240" w:lineRule="auto"/>
    </w:pPr>
    <w:rPr>
      <w:rFonts w:cs="Segoe UI"/>
      <w:noProof/>
      <w:lang w:val="en-US"/>
    </w:rPr>
  </w:style>
  <w:style w:type="character" w:customStyle="1" w:styleId="EndNoteBibliographyChar">
    <w:name w:val="EndNote Bibliography Char"/>
    <w:basedOn w:val="DefaultParagraphFont"/>
    <w:link w:val="EndNoteBibliography"/>
    <w:rsid w:val="00AD6802"/>
    <w:rPr>
      <w:rFonts w:ascii="Segoe UI" w:hAnsi="Segoe UI" w:cs="Segoe UI"/>
      <w:noProof/>
      <w:lang w:val="en-US"/>
    </w:rPr>
  </w:style>
  <w:style w:type="paragraph" w:customStyle="1" w:styleId="Paragraphtext">
    <w:name w:val="Paragraph text"/>
    <w:basedOn w:val="Normal"/>
    <w:next w:val="Normal"/>
    <w:link w:val="ParagraphtextChar"/>
    <w:qFormat/>
    <w:rsid w:val="00CC54B7"/>
    <w:pPr>
      <w:spacing w:before="120" w:after="120"/>
    </w:pPr>
    <w:rPr>
      <w:rFonts w:ascii="Arial" w:eastAsia="Times New Roman" w:hAnsi="Arial" w:cs="Times New Roman"/>
      <w:color w:val="000000" w:themeColor="text1"/>
      <w:kern w:val="0"/>
      <w14:ligatures w14:val="none"/>
    </w:rPr>
  </w:style>
  <w:style w:type="character" w:customStyle="1" w:styleId="ParagraphtextChar">
    <w:name w:val="Paragraph text Char"/>
    <w:basedOn w:val="DefaultParagraphFont"/>
    <w:link w:val="Paragraphtext"/>
    <w:rsid w:val="00CC54B7"/>
    <w:rPr>
      <w:rFonts w:ascii="Arial" w:eastAsia="Times New Roman" w:hAnsi="Arial" w:cs="Times New Roman"/>
      <w:color w:val="000000" w:themeColor="text1"/>
      <w:kern w:val="0"/>
      <w14:ligatures w14:val="none"/>
    </w:rPr>
  </w:style>
  <w:style w:type="paragraph" w:customStyle="1" w:styleId="Smalltext">
    <w:name w:val="Small text"/>
    <w:basedOn w:val="BodyText"/>
    <w:qFormat/>
    <w:rsid w:val="00A11EA5"/>
    <w:rPr>
      <w:sz w:val="20"/>
      <w:szCs w:val="20"/>
    </w:rPr>
  </w:style>
  <w:style w:type="paragraph" w:styleId="BlockText">
    <w:name w:val="Block Text"/>
    <w:basedOn w:val="Normal"/>
    <w:uiPriority w:val="99"/>
    <w:unhideWhenUsed/>
    <w:rsid w:val="00913BE1"/>
    <w:pPr>
      <w:pBdr>
        <w:top w:val="single" w:sz="2" w:space="10" w:color="00DCA1" w:themeColor="accent1"/>
        <w:left w:val="single" w:sz="2" w:space="10" w:color="00DCA1" w:themeColor="accent1"/>
        <w:bottom w:val="single" w:sz="2" w:space="10" w:color="00DCA1" w:themeColor="accent1"/>
        <w:right w:val="single" w:sz="2" w:space="10" w:color="00DCA1" w:themeColor="accent1"/>
      </w:pBdr>
      <w:ind w:left="1152" w:right="1152"/>
    </w:pPr>
    <w:rPr>
      <w:rFonts w:asciiTheme="minorHAnsi" w:eastAsiaTheme="minorEastAsia" w:hAnsiTheme="minorHAnsi"/>
      <w:i/>
      <w:iCs/>
      <w:color w:val="00DCA1" w:themeColor="accent1"/>
    </w:rPr>
  </w:style>
  <w:style w:type="table" w:customStyle="1" w:styleId="TableGrid10">
    <w:name w:val="Table Grid1"/>
    <w:basedOn w:val="TableNormal"/>
    <w:next w:val="TableGrid"/>
    <w:uiPriority w:val="39"/>
    <w:rsid w:val="00B96240"/>
    <w:pPr>
      <w:spacing w:before="40" w:after="40" w:line="240" w:lineRule="auto"/>
    </w:pPr>
    <w:rPr>
      <w:rFonts w:eastAsia="Times New Roman" w:cs="Times New Roman"/>
      <w:kern w:val="0"/>
      <w:sz w:val="20"/>
      <w:szCs w:val="20"/>
      <w14:ligatures w14:val="none"/>
    </w:rPr>
    <w:tblPr>
      <w:tblStyleRowBandSize w:val="1"/>
      <w:tblInd w:w="0" w:type="nil"/>
      <w:tblBorders>
        <w:top w:val="single" w:sz="6" w:space="0" w:color="BEFEE9" w:themeColor="background2"/>
        <w:bottom w:val="single" w:sz="6" w:space="0" w:color="BEFEE9" w:themeColor="background2"/>
        <w:insideH w:val="single" w:sz="6" w:space="0" w:color="BEFEE9" w:themeColor="background2"/>
      </w:tblBorders>
    </w:tblPr>
    <w:tcPr>
      <w:vAlign w:val="center"/>
    </w:tcPr>
    <w:tblStylePr w:type="firstRow">
      <w:tblPr/>
      <w:tcPr>
        <w:shd w:val="clear" w:color="auto" w:fill="BEFEE9" w:themeFill="background2"/>
        <w:vAlign w:val="center"/>
      </w:tcPr>
    </w:tblStylePr>
    <w:tblStylePr w:type="lastRow">
      <w:rPr>
        <w:rFonts w:asciiTheme="minorHAnsi" w:hAnsiTheme="minorHAnsi" w:cs="Arial" w:hint="default"/>
        <w:b/>
        <w:sz w:val="20"/>
        <w:szCs w:val="20"/>
      </w:rPr>
    </w:tblStylePr>
    <w:tblStylePr w:type="band1Horz">
      <w:tblPr/>
      <w:tcPr>
        <w:tcBorders>
          <w:top w:val="single" w:sz="4" w:space="0" w:color="BEFEE9" w:themeColor="background2"/>
          <w:left w:val="nil"/>
          <w:bottom w:val="single" w:sz="4" w:space="0" w:color="BEFEE9" w:themeColor="background2"/>
          <w:right w:val="nil"/>
          <w:insideH w:val="nil"/>
          <w:insideV w:val="nil"/>
          <w:tl2br w:val="nil"/>
          <w:tr2bl w:val="nil"/>
        </w:tcBorders>
      </w:tcPr>
    </w:tblStylePr>
  </w:style>
  <w:style w:type="numbering" w:customStyle="1" w:styleId="NoList1">
    <w:name w:val="No List1"/>
    <w:next w:val="NoList"/>
    <w:uiPriority w:val="99"/>
    <w:semiHidden/>
    <w:unhideWhenUsed/>
    <w:rsid w:val="00FC78C0"/>
  </w:style>
  <w:style w:type="paragraph" w:customStyle="1" w:styleId="Copyrightversotext">
    <w:name w:val="Copyright_verso text"/>
    <w:qFormat/>
    <w:rsid w:val="00FC78C0"/>
    <w:pPr>
      <w:spacing w:before="120" w:after="120"/>
    </w:pPr>
    <w:rPr>
      <w:rFonts w:ascii="Arial" w:eastAsia="Times New Roman" w:hAnsi="Arial" w:cs="Arial"/>
      <w:color w:val="000000"/>
      <w:kern w:val="0"/>
      <w:sz w:val="18"/>
      <w:szCs w:val="18"/>
      <w:lang w:eastAsia="en-GB"/>
      <w14:ligatures w14:val="none"/>
    </w:rPr>
  </w:style>
  <w:style w:type="table" w:customStyle="1" w:styleId="TableGrid2">
    <w:name w:val="Table Grid2"/>
    <w:basedOn w:val="TableNormal"/>
    <w:next w:val="TableGrid"/>
    <w:uiPriority w:val="39"/>
    <w:rsid w:val="00FC78C0"/>
    <w:pPr>
      <w:spacing w:before="40" w:after="40" w:line="240" w:lineRule="auto"/>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numbering" w:customStyle="1" w:styleId="CurrentList11">
    <w:name w:val="Current List11"/>
    <w:uiPriority w:val="99"/>
    <w:rsid w:val="00FC78C0"/>
    <w:pPr>
      <w:numPr>
        <w:numId w:val="4"/>
      </w:numPr>
    </w:pPr>
  </w:style>
  <w:style w:type="paragraph" w:customStyle="1" w:styleId="Boxreversedbullet">
    <w:name w:val="Box reversed bullet"/>
    <w:basedOn w:val="Normal"/>
    <w:qFormat/>
    <w:rsid w:val="00E53D8F"/>
    <w:pPr>
      <w:pBdr>
        <w:top w:val="single" w:sz="8" w:space="1" w:color="033636"/>
        <w:left w:val="single" w:sz="8" w:space="4" w:color="033636"/>
        <w:bottom w:val="single" w:sz="8" w:space="1" w:color="033636"/>
        <w:right w:val="single" w:sz="8" w:space="4" w:color="033636"/>
      </w:pBdr>
      <w:shd w:val="clear" w:color="auto" w:fill="033636"/>
      <w:spacing w:before="120" w:after="120"/>
      <w:ind w:left="360" w:hanging="360"/>
      <w:contextualSpacing/>
    </w:pPr>
    <w:rPr>
      <w:rFonts w:ascii="Arial" w:hAnsi="Arial"/>
      <w:color w:val="FFFFFF"/>
    </w:rPr>
  </w:style>
  <w:style w:type="paragraph" w:customStyle="1" w:styleId="Tabletext-Indented">
    <w:name w:val="Table text-Indented"/>
    <w:basedOn w:val="Normal"/>
    <w:qFormat/>
    <w:rsid w:val="00967590"/>
    <w:pPr>
      <w:ind w:left="397"/>
    </w:pPr>
    <w:rPr>
      <w:rFonts w:ascii="Arial" w:eastAsia="Times New Roman" w:hAnsi="Arial" w:cs="Times New Roman"/>
      <w:kern w:val="0"/>
      <w:sz w:val="20"/>
      <w:szCs w:val="20"/>
      <w:lang w:eastAsia="en-AU"/>
      <w14:ligatures w14:val="none"/>
    </w:rPr>
  </w:style>
  <w:style w:type="table" w:customStyle="1" w:styleId="DepartmentofHealthtable">
    <w:name w:val="Department of Health table"/>
    <w:basedOn w:val="TableNormal"/>
    <w:uiPriority w:val="99"/>
    <w:rsid w:val="00FC78C0"/>
    <w:pPr>
      <w:spacing w:line="240" w:lineRule="auto"/>
    </w:pPr>
    <w:rPr>
      <w:rFonts w:eastAsia="Times New Roman" w:cs="Times New Roman"/>
      <w:color w:val="000000"/>
      <w:kern w:val="0"/>
      <w:sz w:val="20"/>
      <w:szCs w:val="20"/>
      <w:lang w:eastAsia="en-AU"/>
      <w14:ligatures w14:val="none"/>
    </w:rPr>
    <w:tblPr/>
    <w:tblStylePr w:type="firstRow">
      <w:rPr>
        <w:rFonts w:ascii="Arial" w:hAnsi="Arial"/>
        <w:color w:val="F2F2F2"/>
        <w:sz w:val="22"/>
      </w:rPr>
    </w:tblStylePr>
    <w:tblStylePr w:type="lastRow">
      <w:rPr>
        <w:rFonts w:ascii="Arial" w:hAnsi="Arial"/>
        <w:color w:val="000000"/>
      </w:rPr>
    </w:tblStylePr>
  </w:style>
  <w:style w:type="numbering" w:customStyle="1" w:styleId="CurrentList21">
    <w:name w:val="Current List21"/>
    <w:uiPriority w:val="99"/>
    <w:rsid w:val="00FC78C0"/>
    <w:pPr>
      <w:numPr>
        <w:numId w:val="21"/>
      </w:numPr>
    </w:pPr>
  </w:style>
  <w:style w:type="table" w:customStyle="1" w:styleId="GridTable4-Accent11">
    <w:name w:val="Grid Table 4 - Accent 11"/>
    <w:basedOn w:val="TableNormal"/>
    <w:next w:val="GridTable4-Accent1"/>
    <w:uiPriority w:val="49"/>
    <w:rsid w:val="00FC78C0"/>
    <w:pPr>
      <w:spacing w:line="240" w:lineRule="auto"/>
    </w:pPr>
    <w:rPr>
      <w:rFonts w:eastAsia="Times New Roman" w:cs="Times New Roman"/>
      <w:kern w:val="0"/>
      <w:sz w:val="20"/>
      <w:szCs w:val="20"/>
      <w:lang w:eastAsia="en-AU"/>
      <w14:ligatures w14:val="none"/>
    </w:rPr>
    <w:tblPr>
      <w:tblStyleRowBandSize w:val="1"/>
      <w:tblStyleColBandSize w:val="1"/>
    </w:tblPr>
    <w:tcPr>
      <w:shd w:val="clear" w:color="auto" w:fill="BDD3FB"/>
    </w:tcPr>
    <w:tblStylePr w:type="firstRow">
      <w:rPr>
        <w:b/>
        <w:bCs/>
        <w:color w:val="FFFFFF"/>
      </w:rPr>
      <w:tblPr/>
      <w:tcPr>
        <w:tcBorders>
          <w:top w:val="single" w:sz="4" w:space="0" w:color="083E9C"/>
          <w:left w:val="single" w:sz="4" w:space="0" w:color="083E9C"/>
          <w:bottom w:val="single" w:sz="4" w:space="0" w:color="083E9C"/>
          <w:right w:val="single" w:sz="4" w:space="0" w:color="083E9C"/>
          <w:insideH w:val="nil"/>
          <w:insideV w:val="nil"/>
        </w:tcBorders>
        <w:shd w:val="clear" w:color="auto" w:fill="083E9C"/>
      </w:tcPr>
    </w:tblStylePr>
    <w:tblStylePr w:type="lastRow">
      <w:rPr>
        <w:b/>
        <w:bCs/>
      </w:rPr>
      <w:tblPr/>
      <w:tcPr>
        <w:tcBorders>
          <w:top w:val="double" w:sz="4" w:space="0" w:color="083E9C"/>
        </w:tcBorders>
      </w:tcPr>
    </w:tblStylePr>
    <w:tblStylePr w:type="firstCol">
      <w:rPr>
        <w:b/>
        <w:bCs/>
      </w:rPr>
    </w:tblStylePr>
    <w:tblStylePr w:type="lastCol">
      <w:rPr>
        <w:b/>
        <w:bCs/>
      </w:rPr>
    </w:tblStylePr>
  </w:style>
  <w:style w:type="paragraph" w:customStyle="1" w:styleId="paragraph">
    <w:name w:val="paragraph"/>
    <w:basedOn w:val="Normal"/>
    <w:rsid w:val="00FC78C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FC78C0"/>
  </w:style>
  <w:style w:type="character" w:customStyle="1" w:styleId="FootnoteTextChar1">
    <w:name w:val="Footnote Text Char1"/>
    <w:basedOn w:val="DefaultParagraphFont"/>
    <w:uiPriority w:val="99"/>
    <w:semiHidden/>
    <w:rsid w:val="00FC78C0"/>
    <w:rPr>
      <w:rFonts w:ascii="Arial" w:hAnsi="Arial"/>
      <w:sz w:val="20"/>
      <w:szCs w:val="20"/>
    </w:rPr>
  </w:style>
  <w:style w:type="paragraph" w:styleId="Revision">
    <w:name w:val="Revision"/>
    <w:hidden/>
    <w:uiPriority w:val="99"/>
    <w:semiHidden/>
    <w:rsid w:val="00FC78C0"/>
    <w:pPr>
      <w:spacing w:line="240" w:lineRule="auto"/>
    </w:pPr>
    <w:rPr>
      <w:rFonts w:ascii="Arial" w:hAnsi="Arial"/>
    </w:rPr>
  </w:style>
  <w:style w:type="paragraph" w:customStyle="1" w:styleId="Tablelistnumber">
    <w:name w:val="Table list number"/>
    <w:basedOn w:val="Normal"/>
    <w:qFormat/>
    <w:rsid w:val="0042370F"/>
    <w:pPr>
      <w:numPr>
        <w:numId w:val="22"/>
      </w:numPr>
      <w:spacing w:before="60" w:after="60" w:line="240" w:lineRule="auto"/>
      <w:ind w:left="598"/>
    </w:pPr>
    <w:rPr>
      <w:rFonts w:ascii="Arial" w:eastAsia="Times New Roman" w:hAnsi="Arial" w:cs="Times New Roman"/>
      <w:bCs/>
      <w:color w:val="000000" w:themeColor="text1"/>
      <w:kern w:val="0"/>
      <w:sz w:val="21"/>
      <w14:ligatures w14:val="none"/>
      <w14:numSpacing w14:val="proportional"/>
    </w:rPr>
  </w:style>
  <w:style w:type="paragraph" w:customStyle="1" w:styleId="TableHeader">
    <w:name w:val="Table Header"/>
    <w:basedOn w:val="Normal"/>
    <w:next w:val="Normal"/>
    <w:qFormat/>
    <w:rsid w:val="00FC78C0"/>
    <w:pPr>
      <w:spacing w:before="240" w:after="80"/>
    </w:pPr>
    <w:rPr>
      <w:rFonts w:ascii="Arial" w:eastAsia="Cambria" w:hAnsi="Arial" w:cs="Times New Roman"/>
      <w:b/>
      <w:color w:val="033636"/>
      <w:kern w:val="0"/>
      <w:lang w:val="en-US"/>
      <w14:ligatures w14:val="none"/>
    </w:rPr>
  </w:style>
  <w:style w:type="paragraph" w:customStyle="1" w:styleId="VisionBox">
    <w:name w:val="VisionBox"/>
    <w:basedOn w:val="Normal"/>
    <w:qFormat/>
    <w:rsid w:val="00FC78C0"/>
    <w:pPr>
      <w:pBdr>
        <w:top w:val="single" w:sz="4" w:space="15" w:color="FFFFFF"/>
        <w:bottom w:val="single" w:sz="4" w:space="10" w:color="FFFFFF"/>
      </w:pBdr>
      <w:spacing w:before="240" w:after="240" w:line="340" w:lineRule="exact"/>
    </w:pPr>
    <w:rPr>
      <w:rFonts w:ascii="Arial" w:hAnsi="Arial" w:cs="Times New Roman"/>
      <w:color w:val="000000"/>
      <w:kern w:val="0"/>
      <w:sz w:val="22"/>
      <w14:ligatures w14:val="none"/>
    </w:rPr>
  </w:style>
  <w:style w:type="paragraph" w:customStyle="1" w:styleId="PolicyStatement">
    <w:name w:val="PolicyStatement"/>
    <w:basedOn w:val="Normal"/>
    <w:qFormat/>
    <w:rsid w:val="00FC78C0"/>
    <w:pPr>
      <w:pBdr>
        <w:top w:val="single" w:sz="4" w:space="20" w:color="000000"/>
        <w:left w:val="single" w:sz="4" w:space="10" w:color="000000"/>
        <w:bottom w:val="single" w:sz="4" w:space="10" w:color="000000"/>
        <w:right w:val="single" w:sz="4" w:space="10" w:color="000000"/>
      </w:pBdr>
      <w:shd w:val="clear" w:color="auto" w:fill="000000"/>
      <w:spacing w:before="240" w:after="120" w:line="260" w:lineRule="auto"/>
      <w:ind w:left="227" w:right="227"/>
    </w:pPr>
    <w:rPr>
      <w:rFonts w:ascii="Arial" w:eastAsia="Times New Roman" w:hAnsi="Arial" w:cs="Times New Roman"/>
      <w:b/>
      <w:color w:val="FFFFFF"/>
      <w:kern w:val="0"/>
      <w:sz w:val="22"/>
      <w14:ligatures w14:val="none"/>
    </w:rPr>
  </w:style>
  <w:style w:type="paragraph" w:customStyle="1" w:styleId="IntroPara">
    <w:name w:val="Intro Para"/>
    <w:basedOn w:val="Normal"/>
    <w:next w:val="Normal"/>
    <w:qFormat/>
    <w:rsid w:val="00FC78C0"/>
    <w:pPr>
      <w:spacing w:before="480" w:after="120" w:line="400" w:lineRule="exact"/>
    </w:pPr>
    <w:rPr>
      <w:rFonts w:ascii="Arial" w:eastAsia="Times New Roman" w:hAnsi="Arial" w:cs="Times New Roman"/>
      <w:color w:val="000000"/>
      <w:kern w:val="0"/>
      <w:sz w:val="28"/>
      <w14:ligatures w14:val="none"/>
    </w:rPr>
  </w:style>
  <w:style w:type="table" w:customStyle="1" w:styleId="DepartmentofHealthtable1">
    <w:name w:val="Department of Health table1"/>
    <w:basedOn w:val="TableNormal"/>
    <w:uiPriority w:val="99"/>
    <w:rsid w:val="00FC78C0"/>
    <w:pPr>
      <w:spacing w:line="240" w:lineRule="auto"/>
    </w:pPr>
    <w:rPr>
      <w:rFonts w:ascii="Arial" w:eastAsia="Times New Roman" w:hAnsi="Arial" w:cs="Times New Roman"/>
      <w:color w:val="000000"/>
      <w:kern w:val="0"/>
      <w:sz w:val="21"/>
      <w:szCs w:val="20"/>
      <w:lang w:eastAsia="en-AU"/>
      <w14:ligatures w14:val="none"/>
    </w:rPr>
    <w:tblPr>
      <w:tblStyleRowBandSize w:val="1"/>
      <w:tblStyleColBandSize w:val="1"/>
      <w:tblBorders>
        <w:top w:val="single" w:sz="4" w:space="0" w:color="FFFFFF"/>
        <w:bottom w:val="single" w:sz="4" w:space="0" w:color="FFFFFF"/>
        <w:insideH w:val="single" w:sz="4" w:space="0" w:color="FFFFFF"/>
      </w:tblBorders>
    </w:tblPr>
    <w:tcPr>
      <w:shd w:val="clear" w:color="auto" w:fill="auto"/>
    </w:tcPr>
    <w:tblStylePr w:type="firstRow">
      <w:rPr>
        <w:rFonts w:ascii="Arial" w:hAnsi="Arial"/>
        <w:b/>
        <w:color w:val="033636"/>
        <w:sz w:val="22"/>
      </w:rPr>
      <w:tblPr/>
      <w:tcPr>
        <w:shd w:val="clear" w:color="auto" w:fill="FFFFFF"/>
      </w:tcPr>
    </w:tblStylePr>
    <w:tblStylePr w:type="lastRow">
      <w:rPr>
        <w:rFonts w:ascii="Arial" w:hAnsi="Arial"/>
        <w:b w:val="0"/>
        <w:color w:val="000000"/>
      </w:rPr>
      <w:tblPr/>
      <w:tcPr>
        <w:tcBorders>
          <w:top w:val="nil"/>
          <w:left w:val="nil"/>
          <w:bottom w:val="nil"/>
          <w:right w:val="nil"/>
          <w:insideH w:val="nil"/>
          <w:insideV w:val="nil"/>
          <w:tl2br w:val="nil"/>
          <w:tr2bl w:val="nil"/>
        </w:tcBorders>
      </w:tcPr>
    </w:tblStylePr>
    <w:tblStylePr w:type="band1Vert">
      <w:tblPr/>
      <w:tcPr>
        <w:tcBorders>
          <w:top w:val="single" w:sz="4" w:space="0" w:color="FFFFFF"/>
          <w:left w:val="nil"/>
          <w:bottom w:val="single" w:sz="4" w:space="0" w:color="FFFFFF"/>
          <w:right w:val="nil"/>
          <w:insideH w:val="nil"/>
          <w:insideV w:val="nil"/>
          <w:tl2br w:val="nil"/>
          <w:tr2bl w:val="nil"/>
        </w:tcBorders>
        <w:shd w:val="clear" w:color="auto" w:fill="auto"/>
      </w:tcPr>
    </w:tblStylePr>
  </w:style>
  <w:style w:type="paragraph" w:styleId="BodyTextIndent">
    <w:name w:val="Body Text Indent"/>
    <w:basedOn w:val="Normal"/>
    <w:link w:val="BodyTextIndentChar"/>
    <w:rsid w:val="00FC78C0"/>
    <w:pPr>
      <w:widowControl w:val="0"/>
      <w:autoSpaceDE w:val="0"/>
      <w:autoSpaceDN w:val="0"/>
      <w:adjustRightInd w:val="0"/>
      <w:spacing w:before="1" w:line="276" w:lineRule="exact"/>
      <w:ind w:left="720" w:right="198"/>
      <w:jc w:val="both"/>
    </w:pPr>
    <w:rPr>
      <w:rFonts w:ascii="Times New Roman" w:eastAsia="Times New Roman" w:hAnsi="Times New Roman" w:cs="Tahoma"/>
      <w:kern w:val="0"/>
      <w:sz w:val="22"/>
      <w:szCs w:val="20"/>
      <w14:ligatures w14:val="none"/>
    </w:rPr>
  </w:style>
  <w:style w:type="character" w:customStyle="1" w:styleId="BodyTextIndentChar">
    <w:name w:val="Body Text Indent Char"/>
    <w:basedOn w:val="DefaultParagraphFont"/>
    <w:link w:val="BodyTextIndent"/>
    <w:rsid w:val="00FC78C0"/>
    <w:rPr>
      <w:rFonts w:ascii="Times New Roman" w:eastAsia="Times New Roman" w:hAnsi="Times New Roman" w:cs="Tahoma"/>
      <w:kern w:val="0"/>
      <w:sz w:val="22"/>
      <w:szCs w:val="20"/>
      <w14:ligatures w14:val="none"/>
    </w:rPr>
  </w:style>
  <w:style w:type="paragraph" w:styleId="BalloonText">
    <w:name w:val="Balloon Text"/>
    <w:basedOn w:val="Normal"/>
    <w:link w:val="BalloonTextChar"/>
    <w:semiHidden/>
    <w:rsid w:val="00FC78C0"/>
    <w:pPr>
      <w:widowControl w:val="0"/>
      <w:autoSpaceDE w:val="0"/>
      <w:autoSpaceDN w:val="0"/>
      <w:adjustRightInd w:val="0"/>
      <w:spacing w:before="1" w:line="276" w:lineRule="exact"/>
      <w:ind w:right="198"/>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FC78C0"/>
    <w:rPr>
      <w:rFonts w:ascii="Tahoma" w:eastAsia="Times New Roman" w:hAnsi="Tahoma" w:cs="Tahoma"/>
      <w:kern w:val="0"/>
      <w:sz w:val="16"/>
      <w:szCs w:val="16"/>
      <w14:ligatures w14:val="none"/>
    </w:rPr>
  </w:style>
  <w:style w:type="paragraph" w:styleId="BodyTextIndent2">
    <w:name w:val="Body Text Indent 2"/>
    <w:basedOn w:val="Normal"/>
    <w:link w:val="BodyTextIndent2Char"/>
    <w:rsid w:val="00FC78C0"/>
    <w:pPr>
      <w:widowControl w:val="0"/>
      <w:autoSpaceDE w:val="0"/>
      <w:autoSpaceDN w:val="0"/>
      <w:adjustRightInd w:val="0"/>
      <w:spacing w:before="1" w:line="276" w:lineRule="exact"/>
      <w:ind w:right="198" w:firstLine="360"/>
    </w:pPr>
    <w:rPr>
      <w:rFonts w:ascii="Times New Roman" w:eastAsia="Times New Roman" w:hAnsi="Times New Roman" w:cs="Tahoma"/>
      <w:kern w:val="0"/>
      <w:sz w:val="20"/>
      <w:szCs w:val="20"/>
      <w14:ligatures w14:val="none"/>
    </w:rPr>
  </w:style>
  <w:style w:type="character" w:customStyle="1" w:styleId="BodyTextIndent2Char">
    <w:name w:val="Body Text Indent 2 Char"/>
    <w:basedOn w:val="DefaultParagraphFont"/>
    <w:link w:val="BodyTextIndent2"/>
    <w:rsid w:val="00FC78C0"/>
    <w:rPr>
      <w:rFonts w:ascii="Times New Roman" w:eastAsia="Times New Roman" w:hAnsi="Times New Roman" w:cs="Tahoma"/>
      <w:kern w:val="0"/>
      <w:sz w:val="20"/>
      <w:szCs w:val="20"/>
      <w14:ligatures w14:val="none"/>
    </w:rPr>
  </w:style>
  <w:style w:type="paragraph" w:styleId="BodyTextIndent3">
    <w:name w:val="Body Text Indent 3"/>
    <w:basedOn w:val="Normal"/>
    <w:link w:val="BodyTextIndent3Char"/>
    <w:rsid w:val="00FC78C0"/>
    <w:pPr>
      <w:widowControl w:val="0"/>
      <w:autoSpaceDE w:val="0"/>
      <w:autoSpaceDN w:val="0"/>
      <w:adjustRightInd w:val="0"/>
      <w:spacing w:before="1" w:line="276" w:lineRule="exact"/>
      <w:ind w:left="360" w:right="198"/>
    </w:pPr>
    <w:rPr>
      <w:rFonts w:ascii="Tahoma" w:eastAsia="Times New Roman" w:hAnsi="Tahoma" w:cs="Tahoma"/>
      <w:kern w:val="0"/>
      <w:sz w:val="22"/>
      <w:szCs w:val="22"/>
      <w14:ligatures w14:val="none"/>
    </w:rPr>
  </w:style>
  <w:style w:type="character" w:customStyle="1" w:styleId="BodyTextIndent3Char">
    <w:name w:val="Body Text Indent 3 Char"/>
    <w:basedOn w:val="DefaultParagraphFont"/>
    <w:link w:val="BodyTextIndent3"/>
    <w:rsid w:val="00FC78C0"/>
    <w:rPr>
      <w:rFonts w:ascii="Tahoma" w:eastAsia="Times New Roman" w:hAnsi="Tahoma" w:cs="Tahoma"/>
      <w:kern w:val="0"/>
      <w:sz w:val="22"/>
      <w:szCs w:val="22"/>
      <w14:ligatures w14:val="none"/>
    </w:rPr>
  </w:style>
  <w:style w:type="paragraph" w:customStyle="1" w:styleId="Default">
    <w:name w:val="Default"/>
    <w:rsid w:val="00FC78C0"/>
    <w:pPr>
      <w:autoSpaceDE w:val="0"/>
      <w:autoSpaceDN w:val="0"/>
      <w:adjustRightInd w:val="0"/>
      <w:spacing w:line="240" w:lineRule="auto"/>
    </w:pPr>
    <w:rPr>
      <w:rFonts w:ascii="JKZZLT+Helvetica" w:eastAsia="Times New Roman" w:hAnsi="JKZZLT+Helvetica" w:cs="JKZZLT+Helvetica"/>
      <w:color w:val="000000"/>
      <w:kern w:val="0"/>
      <w:lang w:eastAsia="en-AU"/>
      <w14:ligatures w14:val="none"/>
    </w:rPr>
  </w:style>
  <w:style w:type="paragraph" w:styleId="DocumentMap">
    <w:name w:val="Document Map"/>
    <w:basedOn w:val="Normal"/>
    <w:link w:val="DocumentMapChar"/>
    <w:semiHidden/>
    <w:rsid w:val="00FC78C0"/>
    <w:pPr>
      <w:widowControl w:val="0"/>
      <w:shd w:val="clear" w:color="auto" w:fill="000080"/>
      <w:autoSpaceDE w:val="0"/>
      <w:autoSpaceDN w:val="0"/>
      <w:adjustRightInd w:val="0"/>
      <w:spacing w:before="1" w:line="276" w:lineRule="exact"/>
      <w:ind w:right="198"/>
    </w:pPr>
    <w:rPr>
      <w:rFonts w:ascii="Tahoma" w:eastAsia="Times New Roman" w:hAnsi="Tahoma" w:cs="Tahoma"/>
      <w:kern w:val="0"/>
      <w:sz w:val="20"/>
      <w:szCs w:val="20"/>
      <w14:ligatures w14:val="none"/>
    </w:rPr>
  </w:style>
  <w:style w:type="character" w:customStyle="1" w:styleId="DocumentMapChar">
    <w:name w:val="Document Map Char"/>
    <w:basedOn w:val="DefaultParagraphFont"/>
    <w:link w:val="DocumentMap"/>
    <w:semiHidden/>
    <w:rsid w:val="00FC78C0"/>
    <w:rPr>
      <w:rFonts w:ascii="Tahoma" w:eastAsia="Times New Roman" w:hAnsi="Tahoma" w:cs="Tahoma"/>
      <w:kern w:val="0"/>
      <w:sz w:val="20"/>
      <w:szCs w:val="20"/>
      <w:shd w:val="clear" w:color="auto" w:fill="000080"/>
      <w14:ligatures w14:val="none"/>
    </w:rPr>
  </w:style>
  <w:style w:type="table" w:styleId="Table3Deffects2">
    <w:name w:val="Table 3D effects 2"/>
    <w:basedOn w:val="TableNormal"/>
    <w:rsid w:val="00FC78C0"/>
    <w:pPr>
      <w:spacing w:line="240" w:lineRule="auto"/>
    </w:pPr>
    <w:rPr>
      <w:rFonts w:ascii="Times New Roman" w:eastAsia="Times New Roman" w:hAnsi="Times New Roman" w:cs="Times New Roman"/>
      <w:kern w:val="0"/>
      <w:sz w:val="20"/>
      <w:szCs w:val="20"/>
      <w:lang w:eastAsia="en-AU"/>
      <w14:ligatures w14:val="none"/>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pyrighttextChar">
    <w:name w:val="Copyright text Char"/>
    <w:basedOn w:val="DefaultParagraphFont"/>
    <w:link w:val="Copyrighttext"/>
    <w:rsid w:val="00FC78C0"/>
    <w:rPr>
      <w:rFonts w:ascii="Segoe UI" w:eastAsia="Times New Roman" w:hAnsi="Segoe UI" w:cs="Arial"/>
      <w:color w:val="000000"/>
      <w:kern w:val="0"/>
      <w:sz w:val="18"/>
      <w:szCs w:val="18"/>
      <w:lang w:eastAsia="en-GB"/>
      <w14:ligatures w14:val="none"/>
    </w:rPr>
  </w:style>
  <w:style w:type="table" w:customStyle="1" w:styleId="TableGridLight1">
    <w:name w:val="Table Grid Light1"/>
    <w:basedOn w:val="TableNormal"/>
    <w:next w:val="TableGridLight"/>
    <w:uiPriority w:val="40"/>
    <w:rsid w:val="00FC78C0"/>
    <w:pPr>
      <w:spacing w:line="240" w:lineRule="auto"/>
    </w:pPr>
    <w:tblPr/>
    <w:tblStylePr w:type="firstRow">
      <w:rPr>
        <w:b/>
      </w:rPr>
    </w:tblStylePr>
    <w:tblStylePr w:type="firstCol">
      <w:rPr>
        <w:rFonts w:ascii="Arial" w:hAnsi="Arial"/>
        <w:b/>
      </w:rPr>
    </w:tblStylePr>
  </w:style>
  <w:style w:type="paragraph" w:customStyle="1" w:styleId="EndNoteBibliographyTitle">
    <w:name w:val="EndNote Bibliography Title"/>
    <w:basedOn w:val="Normal"/>
    <w:link w:val="EndNoteBibliographyTitleChar"/>
    <w:rsid w:val="00FC78C0"/>
    <w:pPr>
      <w:spacing w:before="12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FC78C0"/>
    <w:rPr>
      <w:rFonts w:ascii="Arial" w:hAnsi="Arial" w:cs="Arial"/>
      <w:noProof/>
      <w:lang w:val="en-US"/>
    </w:rPr>
  </w:style>
  <w:style w:type="paragraph" w:customStyle="1" w:styleId="Superscript">
    <w:name w:val="Superscript"/>
    <w:basedOn w:val="Tablefootnote"/>
    <w:link w:val="SuperscriptChar"/>
    <w:qFormat/>
    <w:rsid w:val="00917AC5"/>
    <w:rPr>
      <w:iCs w:val="0"/>
      <w:vertAlign w:val="superscript"/>
    </w:rPr>
  </w:style>
  <w:style w:type="character" w:customStyle="1" w:styleId="CaptionChar">
    <w:name w:val="Caption Char"/>
    <w:basedOn w:val="DefaultParagraphFont"/>
    <w:link w:val="Caption"/>
    <w:rsid w:val="00917AC5"/>
    <w:rPr>
      <w:rFonts w:ascii="Segoe UI Semibold" w:hAnsi="Segoe UI Semibold"/>
      <w:iCs/>
      <w:sz w:val="20"/>
      <w:szCs w:val="18"/>
    </w:rPr>
  </w:style>
  <w:style w:type="character" w:customStyle="1" w:styleId="TablefootnoteChar">
    <w:name w:val="Table footnote Char"/>
    <w:basedOn w:val="CaptionChar"/>
    <w:link w:val="Tablefootnote"/>
    <w:rsid w:val="00917AC5"/>
    <w:rPr>
      <w:rFonts w:ascii="Segoe UI" w:hAnsi="Segoe UI"/>
      <w:iCs/>
      <w:sz w:val="20"/>
      <w:szCs w:val="18"/>
    </w:rPr>
  </w:style>
  <w:style w:type="character" w:customStyle="1" w:styleId="SuperscriptChar">
    <w:name w:val="Superscript Char"/>
    <w:basedOn w:val="TablefootnoteChar"/>
    <w:link w:val="Superscript"/>
    <w:rsid w:val="00917AC5"/>
    <w:rPr>
      <w:rFonts w:ascii="Segoe UI" w:hAnsi="Segoe UI"/>
      <w:iCs w:val="0"/>
      <w:sz w:val="20"/>
      <w:szCs w:val="18"/>
      <w:vertAlign w:val="superscript"/>
    </w:rPr>
  </w:style>
  <w:style w:type="paragraph" w:styleId="BodyTextFirstIndent">
    <w:name w:val="Body Text First Indent"/>
    <w:basedOn w:val="BodyText"/>
    <w:link w:val="BodyTextFirstIndentChar"/>
    <w:uiPriority w:val="99"/>
    <w:semiHidden/>
    <w:unhideWhenUsed/>
    <w:rsid w:val="001550D5"/>
    <w:pPr>
      <w:spacing w:after="0"/>
      <w:ind w:firstLine="360"/>
    </w:pPr>
  </w:style>
  <w:style w:type="character" w:customStyle="1" w:styleId="BodyTextFirstIndentChar">
    <w:name w:val="Body Text First Indent Char"/>
    <w:basedOn w:val="BodyTextChar"/>
    <w:link w:val="BodyTextFirstIndent"/>
    <w:uiPriority w:val="99"/>
    <w:semiHidden/>
    <w:rsid w:val="001550D5"/>
    <w:rPr>
      <w:rFonts w:ascii="Segoe UI" w:hAnsi="Segoe UI"/>
    </w:rPr>
  </w:style>
  <w:style w:type="paragraph" w:styleId="BodyTextFirstIndent2">
    <w:name w:val="Body Text First Indent 2"/>
    <w:basedOn w:val="BodyTextIndent"/>
    <w:link w:val="BodyTextFirstIndent2Char"/>
    <w:uiPriority w:val="99"/>
    <w:semiHidden/>
    <w:unhideWhenUsed/>
    <w:rsid w:val="001550D5"/>
    <w:pPr>
      <w:widowControl/>
      <w:autoSpaceDE/>
      <w:autoSpaceDN/>
      <w:adjustRightInd/>
      <w:spacing w:before="0" w:line="276" w:lineRule="auto"/>
      <w:ind w:left="360" w:right="0" w:firstLine="360"/>
      <w:jc w:val="left"/>
    </w:pPr>
    <w:rPr>
      <w:rFonts w:ascii="Segoe UI" w:eastAsiaTheme="minorHAnsi" w:hAnsi="Segoe UI" w:cstheme="minorBidi"/>
      <w:kern w:val="2"/>
      <w:sz w:val="24"/>
      <w:szCs w:val="24"/>
      <w14:ligatures w14:val="standardContextual"/>
    </w:rPr>
  </w:style>
  <w:style w:type="character" w:customStyle="1" w:styleId="BodyTextFirstIndent2Char">
    <w:name w:val="Body Text First Indent 2 Char"/>
    <w:basedOn w:val="BodyTextIndentChar"/>
    <w:link w:val="BodyTextFirstIndent2"/>
    <w:uiPriority w:val="99"/>
    <w:semiHidden/>
    <w:rsid w:val="001550D5"/>
    <w:rPr>
      <w:rFonts w:ascii="Segoe UI" w:eastAsia="Times New Roman" w:hAnsi="Segoe UI" w:cs="Tahoma"/>
      <w:kern w:val="0"/>
      <w:sz w:val="22"/>
      <w:szCs w:val="20"/>
      <w14:ligatures w14:val="none"/>
    </w:rPr>
  </w:style>
  <w:style w:type="paragraph" w:styleId="Closing">
    <w:name w:val="Closing"/>
    <w:basedOn w:val="Normal"/>
    <w:link w:val="ClosingChar"/>
    <w:uiPriority w:val="99"/>
    <w:semiHidden/>
    <w:unhideWhenUsed/>
    <w:rsid w:val="001550D5"/>
    <w:pPr>
      <w:spacing w:line="240" w:lineRule="auto"/>
      <w:ind w:left="4252"/>
    </w:pPr>
  </w:style>
  <w:style w:type="character" w:customStyle="1" w:styleId="ClosingChar">
    <w:name w:val="Closing Char"/>
    <w:basedOn w:val="DefaultParagraphFont"/>
    <w:link w:val="Closing"/>
    <w:uiPriority w:val="99"/>
    <w:semiHidden/>
    <w:rsid w:val="001550D5"/>
    <w:rPr>
      <w:rFonts w:ascii="Segoe UI" w:hAnsi="Segoe UI"/>
    </w:rPr>
  </w:style>
  <w:style w:type="paragraph" w:styleId="EmailSignature">
    <w:name w:val="E-mail Signature"/>
    <w:basedOn w:val="Normal"/>
    <w:link w:val="EmailSignatureChar"/>
    <w:uiPriority w:val="99"/>
    <w:semiHidden/>
    <w:unhideWhenUsed/>
    <w:rsid w:val="001550D5"/>
    <w:pPr>
      <w:spacing w:line="240" w:lineRule="auto"/>
    </w:pPr>
  </w:style>
  <w:style w:type="character" w:customStyle="1" w:styleId="EmailSignatureChar">
    <w:name w:val="Email Signature Char"/>
    <w:basedOn w:val="DefaultParagraphFont"/>
    <w:link w:val="EmailSignature"/>
    <w:uiPriority w:val="99"/>
    <w:semiHidden/>
    <w:rsid w:val="001550D5"/>
    <w:rPr>
      <w:rFonts w:ascii="Segoe UI" w:hAnsi="Segoe UI"/>
    </w:rPr>
  </w:style>
  <w:style w:type="paragraph" w:styleId="HTMLAddress">
    <w:name w:val="HTML Address"/>
    <w:basedOn w:val="Normal"/>
    <w:link w:val="HTMLAddressChar"/>
    <w:uiPriority w:val="99"/>
    <w:semiHidden/>
    <w:unhideWhenUsed/>
    <w:rsid w:val="001550D5"/>
    <w:pPr>
      <w:spacing w:line="240" w:lineRule="auto"/>
    </w:pPr>
    <w:rPr>
      <w:i/>
      <w:iCs/>
    </w:rPr>
  </w:style>
  <w:style w:type="character" w:customStyle="1" w:styleId="HTMLAddressChar">
    <w:name w:val="HTML Address Char"/>
    <w:basedOn w:val="DefaultParagraphFont"/>
    <w:link w:val="HTMLAddress"/>
    <w:uiPriority w:val="99"/>
    <w:semiHidden/>
    <w:rsid w:val="001550D5"/>
    <w:rPr>
      <w:rFonts w:ascii="Segoe UI" w:hAnsi="Segoe UI"/>
      <w:i/>
      <w:iCs/>
    </w:rPr>
  </w:style>
  <w:style w:type="paragraph" w:styleId="HTMLPreformatted">
    <w:name w:val="HTML Preformatted"/>
    <w:basedOn w:val="Normal"/>
    <w:link w:val="HTMLPreformattedChar"/>
    <w:uiPriority w:val="99"/>
    <w:semiHidden/>
    <w:unhideWhenUsed/>
    <w:rsid w:val="001550D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550D5"/>
    <w:rPr>
      <w:rFonts w:ascii="Consolas" w:hAnsi="Consolas"/>
      <w:sz w:val="20"/>
      <w:szCs w:val="20"/>
    </w:rPr>
  </w:style>
  <w:style w:type="paragraph" w:styleId="MacroText">
    <w:name w:val="macro"/>
    <w:link w:val="MacroTextChar"/>
    <w:uiPriority w:val="99"/>
    <w:semiHidden/>
    <w:unhideWhenUsed/>
    <w:rsid w:val="001550D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1550D5"/>
    <w:rPr>
      <w:rFonts w:ascii="Consolas" w:hAnsi="Consolas"/>
      <w:sz w:val="20"/>
      <w:szCs w:val="20"/>
    </w:rPr>
  </w:style>
  <w:style w:type="paragraph" w:styleId="NormalIndent">
    <w:name w:val="Normal Indent"/>
    <w:basedOn w:val="Normal"/>
    <w:uiPriority w:val="99"/>
    <w:semiHidden/>
    <w:unhideWhenUsed/>
    <w:rsid w:val="001550D5"/>
    <w:pPr>
      <w:ind w:left="720"/>
    </w:pPr>
  </w:style>
  <w:style w:type="paragraph" w:styleId="NoteHeading">
    <w:name w:val="Note Heading"/>
    <w:basedOn w:val="Normal"/>
    <w:next w:val="Normal"/>
    <w:link w:val="NoteHeadingChar"/>
    <w:uiPriority w:val="99"/>
    <w:semiHidden/>
    <w:unhideWhenUsed/>
    <w:rsid w:val="001550D5"/>
    <w:pPr>
      <w:spacing w:line="240" w:lineRule="auto"/>
    </w:pPr>
  </w:style>
  <w:style w:type="character" w:customStyle="1" w:styleId="NoteHeadingChar">
    <w:name w:val="Note Heading Char"/>
    <w:basedOn w:val="DefaultParagraphFont"/>
    <w:link w:val="NoteHeading"/>
    <w:uiPriority w:val="99"/>
    <w:semiHidden/>
    <w:rsid w:val="001550D5"/>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indss.health.gov.au/pbi-dashboard/" TargetMode="External"/><Relationship Id="rId18" Type="http://schemas.openxmlformats.org/officeDocument/2006/relationships/hyperlink" Target="https://www.cdc.gov.au/resources/publications/monkeypox-laboratory-case-definition" TargetMode="External"/><Relationship Id="rId26" Type="http://schemas.openxmlformats.org/officeDocument/2006/relationships/hyperlink" Target="https://immunisationhandbook.health.gov.au/contents/vaccine-preventable-diseases/mpox-previously-known-as-monkeypox" TargetMode="External"/><Relationship Id="rId39" Type="http://schemas.openxmlformats.org/officeDocument/2006/relationships/hyperlink" Target="https://www.cdc.gov.au/topics/mpox" TargetMode="External"/><Relationship Id="rId21" Type="http://schemas.openxmlformats.org/officeDocument/2006/relationships/hyperlink" Target="mailto:health.ops@health.gov.au" TargetMode="External"/><Relationship Id="rId34" Type="http://schemas.openxmlformats.org/officeDocument/2006/relationships/hyperlink" Target="https://immunisationhandbook.health.gov.au/contents/vaccine-preventable-diseases/mpox-previously-known-as-monkeypox" TargetMode="External"/><Relationship Id="rId42" Type="http://schemas.openxmlformats.org/officeDocument/2006/relationships/hyperlink" Target="https://www.lifeblood.com.au/faq/eligibility/medical-conditions-and-procedures/mpox"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c.gov.au/resources/publications/surveillance-case-definition-monkeypox-virus" TargetMode="External"/><Relationship Id="rId29" Type="http://schemas.openxmlformats.org/officeDocument/2006/relationships/hyperlink" Target="https://immunisationhandbook.health.gov.au/contents/vaccine-preventable-diseases/mpox-previously-known-as-monkeypox" TargetMode="External"/><Relationship Id="rId11" Type="http://schemas.openxmlformats.org/officeDocument/2006/relationships/hyperlink" Target="https://creativecommons.org/licenses/by/4.0/legalcode" TargetMode="External"/><Relationship Id="rId24" Type="http://schemas.openxmlformats.org/officeDocument/2006/relationships/hyperlink" Target="http://www.health.gov.au/resources/publications/monkeypox-treatment-guidelines" TargetMode="External"/><Relationship Id="rId32" Type="http://schemas.openxmlformats.org/officeDocument/2006/relationships/hyperlink" Target="https://immunisationhandbook.health.gov.au/contents/vaccine-preventable-diseases/mpox-previously-known-as-monkeypox" TargetMode="External"/><Relationship Id="rId37" Type="http://schemas.openxmlformats.org/officeDocument/2006/relationships/hyperlink" Target="https://www.healthdirect.gov.au/monkeypox" TargetMode="External"/><Relationship Id="rId40" Type="http://schemas.openxmlformats.org/officeDocument/2006/relationships/hyperlink" Target="https://www.lifeblood.com.au/faq/eligibility/medical-conditions-and-procedures/mpox"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thelancet.com/journals/lancet/article/PIIS0140-6736(22)02187-0/fulltext" TargetMode="External"/><Relationship Id="rId23" Type="http://schemas.openxmlformats.org/officeDocument/2006/relationships/hyperlink" Target="https://www.lifeblood.com.au/faq/eligibility/medical-conditions-and-procedures/mpox" TargetMode="External"/><Relationship Id="rId28" Type="http://schemas.openxmlformats.org/officeDocument/2006/relationships/hyperlink" Target="https://www.lifeblood.com.au/faq/eligibility/medical-conditions-and-procedures/mpox" TargetMode="External"/><Relationship Id="rId36" Type="http://schemas.openxmlformats.org/officeDocument/2006/relationships/hyperlink" Target="https://www.cdc.gov.au/topics/mpox"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dc.gov.au/resources/publications/phln-guidance-mpox-referral-collection-test" TargetMode="External"/><Relationship Id="rId31" Type="http://schemas.openxmlformats.org/officeDocument/2006/relationships/hyperlink" Target="https://www.lifeblood.com.au/faq/eligibility/medical-conditions-and-procedures/mpox"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emergencies/disease-outbreak-news/item/2026-DON595" TargetMode="External"/><Relationship Id="rId22" Type="http://schemas.openxmlformats.org/officeDocument/2006/relationships/hyperlink" Target="https://www.health.gov.au/topics/mental-health-and-suicide-prevention/mental-health-and-suicide-prevention-contacts" TargetMode="External"/><Relationship Id="rId27" Type="http://schemas.openxmlformats.org/officeDocument/2006/relationships/hyperlink" Target="https://www.health.gov.au/resources/publications/monkeypox-treatment-guidelines?language=en" TargetMode="External"/><Relationship Id="rId30" Type="http://schemas.openxmlformats.org/officeDocument/2006/relationships/hyperlink" Target="https://www.health.gov.au/resources/publications/monkeypox-treatment-guidelines?language=en" TargetMode="External"/><Relationship Id="rId35" Type="http://schemas.openxmlformats.org/officeDocument/2006/relationships/hyperlink" Target="https://www.health.gov.au/resources/publications/monkeypox-treatment-guidelines"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omms@cdc.gov.au" TargetMode="External"/><Relationship Id="rId17" Type="http://schemas.openxmlformats.org/officeDocument/2006/relationships/hyperlink" Target="https://www.cdc.gov.au/resources/publications/monkeypox-laboratory-case-definition" TargetMode="External"/><Relationship Id="rId25" Type="http://schemas.openxmlformats.org/officeDocument/2006/relationships/hyperlink" Target="https://www.safetyandquality.gov.au/publications-and-resources/resource-library/australian-guidelines-prevention-and-control-infection-healthcare" TargetMode="External"/><Relationship Id="rId33" Type="http://schemas.openxmlformats.org/officeDocument/2006/relationships/hyperlink" Target="https://www.smartraveller.gov.au/news-and-updates/mpox-global-public-health-emergency" TargetMode="External"/><Relationship Id="rId38" Type="http://schemas.openxmlformats.org/officeDocument/2006/relationships/hyperlink" Target="https://www.gov.uk/government/collections/monkeypox-guidance" TargetMode="External"/><Relationship Id="rId46" Type="http://schemas.openxmlformats.org/officeDocument/2006/relationships/header" Target="header2.xml"/><Relationship Id="rId20" Type="http://schemas.openxmlformats.org/officeDocument/2006/relationships/hyperlink" Target="https://www.cdc.gov.au/resources/publications/phln-guidance-mpox-referral-collection-test" TargetMode="External"/><Relationship Id="rId41" Type="http://schemas.openxmlformats.org/officeDocument/2006/relationships/hyperlink" Target="https://www.cdc.gov.au/topics/mpox"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CAYM\OneDrive%20-%20Department%20of%20Health\Downloads\CDNA\CDNA%20SoNG%20template%20v3.2_new%20branding.dotx" TargetMode="External"/></Relationships>
</file>

<file path=word/theme/theme1.xml><?xml version="1.0" encoding="utf-8"?>
<a:theme xmlns:a="http://schemas.openxmlformats.org/drawingml/2006/main" name="CDC">
  <a:themeElements>
    <a:clrScheme name="Australian CDC">
      <a:dk1>
        <a:srgbClr val="000000"/>
      </a:dk1>
      <a:lt1>
        <a:sysClr val="window" lastClr="FFFFFF"/>
      </a:lt1>
      <a:dk2>
        <a:srgbClr val="025F5D"/>
      </a:dk2>
      <a:lt2>
        <a:srgbClr val="BEFEE9"/>
      </a:lt2>
      <a:accent1>
        <a:srgbClr val="00DCA1"/>
      </a:accent1>
      <a:accent2>
        <a:srgbClr val="511D81"/>
      </a:accent2>
      <a:accent3>
        <a:srgbClr val="8C68AC"/>
      </a:accent3>
      <a:accent4>
        <a:srgbClr val="B91E47"/>
      </a:accent4>
      <a:accent5>
        <a:srgbClr val="FF75AB"/>
      </a:accent5>
      <a:accent6>
        <a:srgbClr val="165CA6"/>
      </a:accent6>
      <a:hlink>
        <a:srgbClr val="0000EE"/>
      </a:hlink>
      <a:folHlink>
        <a:srgbClr val="551A8B"/>
      </a:folHlink>
    </a:clrScheme>
    <a:fontScheme name="Australian CDC">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98AFB7EF1ABD4B99D9DCC53D50ABAC" ma:contentTypeVersion="13" ma:contentTypeDescription="Create a new document." ma:contentTypeScope="" ma:versionID="c1b49b89ab4410121e188f31433928e2">
  <xsd:schema xmlns:xsd="http://www.w3.org/2001/XMLSchema" xmlns:xs="http://www.w3.org/2001/XMLSchema" xmlns:p="http://schemas.microsoft.com/office/2006/metadata/properties" xmlns:ns2="45d75515-7ac1-4cd2-80d2-f1481ca63a2b" xmlns:ns3="cc6f4cb4-b61c-41b1-b566-1e52ad8831f2" targetNamespace="http://schemas.microsoft.com/office/2006/metadata/properties" ma:root="true" ma:fieldsID="88269311b8438a05cac092a3c5d7d3fc" ns2:_="" ns3:_="">
    <xsd:import namespace="45d75515-7ac1-4cd2-80d2-f1481ca63a2b"/>
    <xsd:import namespace="cc6f4cb4-b61c-41b1-b566-1e52ad883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75515-7ac1-4cd2-80d2-f1481ca63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f4cb4-b61c-41b1-b566-1e52ad8831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c66a6e6-44cd-4943-9fd7-2a1b8d452e9c}" ma:internalName="TaxCatchAll" ma:showField="CatchAllData" ma:web="cc6f4cb4-b61c-41b1-b566-1e52ad883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d75515-7ac1-4cd2-80d2-f1481ca63a2b">
      <Terms xmlns="http://schemas.microsoft.com/office/infopath/2007/PartnerControls"/>
    </lcf76f155ced4ddcb4097134ff3c332f>
    <TaxCatchAll xmlns="cc6f4cb4-b61c-41b1-b566-1e52ad8831f2" xsi:nil="true"/>
  </documentManagement>
</p:properties>
</file>

<file path=customXml/itemProps1.xml><?xml version="1.0" encoding="utf-8"?>
<ds:datastoreItem xmlns:ds="http://schemas.openxmlformats.org/officeDocument/2006/customXml" ds:itemID="{8D6F3CCB-7F8F-48D1-8B94-88416FF80199}">
  <ds:schemaRefs>
    <ds:schemaRef ds:uri="http://schemas.microsoft.com/sharepoint/v3/contenttype/forms"/>
  </ds:schemaRefs>
</ds:datastoreItem>
</file>

<file path=customXml/itemProps2.xml><?xml version="1.0" encoding="utf-8"?>
<ds:datastoreItem xmlns:ds="http://schemas.openxmlformats.org/officeDocument/2006/customXml" ds:itemID="{797EFC34-22FB-4B94-90F0-0833AF329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75515-7ac1-4cd2-80d2-f1481ca63a2b"/>
    <ds:schemaRef ds:uri="cc6f4cb4-b61c-41b1-b566-1e52ad883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4.xml><?xml version="1.0" encoding="utf-8"?>
<ds:datastoreItem xmlns:ds="http://schemas.openxmlformats.org/officeDocument/2006/customXml" ds:itemID="{BFBD92DB-F044-4C25-90BD-2AAFCEDE1D47}">
  <ds:schemaRefs>
    <ds:schemaRef ds:uri="http://schemas.microsoft.com/office/2006/metadata/properties"/>
    <ds:schemaRef ds:uri="http://schemas.microsoft.com/office/infopath/2007/PartnerControls"/>
    <ds:schemaRef ds:uri="45d75515-7ac1-4cd2-80d2-f1481ca63a2b"/>
    <ds:schemaRef ds:uri="cc6f4cb4-b61c-41b1-b566-1e52ad8831f2"/>
  </ds:schemaRefs>
</ds:datastoreItem>
</file>

<file path=docProps/app.xml><?xml version="1.0" encoding="utf-8"?>
<Properties xmlns="http://schemas.openxmlformats.org/officeDocument/2006/extended-properties" xmlns:vt="http://schemas.openxmlformats.org/officeDocument/2006/docPropsVTypes">
  <Template>CDNA SoNG template v3.2_new branding.dotx</Template>
  <TotalTime>1</TotalTime>
  <Pages>55</Pages>
  <Words>52785</Words>
  <Characters>304575</Characters>
  <Application>Microsoft Office Word</Application>
  <DocSecurity>0</DocSecurity>
  <Lines>7614</Lines>
  <Paragraphs>4305</Paragraphs>
  <ScaleCrop>false</ScaleCrop>
  <HeadingPairs>
    <vt:vector size="2" baseType="variant">
      <vt:variant>
        <vt:lpstr>Title</vt:lpstr>
      </vt:variant>
      <vt:variant>
        <vt:i4>1</vt:i4>
      </vt:variant>
    </vt:vector>
  </HeadingPairs>
  <TitlesOfParts>
    <vt:vector size="1" baseType="lpstr">
      <vt:lpstr>Mpox CDNA National Guidelines for Public Health Units</vt:lpstr>
    </vt:vector>
  </TitlesOfParts>
  <Company/>
  <LinksUpToDate>false</LinksUpToDate>
  <CharactersWithSpaces>353055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Mpox CDNA National Guidelines for Public Health Units</dc:title>
  <dc:subject>Communicable diseases prevention and control</dc:subject>
  <dc:creator>Australian Centre for Disease Control</dc:creator>
  <cp:keywords/>
  <dc:description/>
  <cp:lastModifiedBy>MASCHKE, Elvia</cp:lastModifiedBy>
  <cp:revision>3</cp:revision>
  <cp:lastPrinted>2026-10-02T07:50:00Z</cp:lastPrinted>
  <dcterms:created xsi:type="dcterms:W3CDTF">2026-10-05T22:06:00Z</dcterms:created>
  <dcterms:modified xsi:type="dcterms:W3CDTF">2026-10-05T22:07:00Z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569c6f3c,2a163bef,521109a4,5472ac6e</vt:lpwstr>
  </property>
  <property fmtid="{D5CDD505-2E9C-101B-9397-08002B2CF9AE}" pid="3" name="ClassificationContentMarkingHeaderFontProps">
    <vt:lpwstr>#ff0000,12,Aptos</vt:lpwstr>
  </property>
  <property fmtid="{D5CDD505-2E9C-101B-9397-08002B2CF9AE}" pid="4" name="ClassificationContentMarkingHeaderText">
    <vt:lpwstr>UNOFFICIAL</vt:lpwstr>
  </property>
  <property fmtid="{D5CDD505-2E9C-101B-9397-08002B2CF9AE}" pid="5" name="ClassificationContentMarkingFooterShapeIds">
    <vt:lpwstr>2b8d9e65,1bfea56a,ed2948b,6fccf5b2</vt:lpwstr>
  </property>
  <property fmtid="{D5CDD505-2E9C-101B-9397-08002B2CF9AE}" pid="6" name="ClassificationContentMarkingFooterFontProps">
    <vt:lpwstr>#ff0000,12,Aptos</vt:lpwstr>
  </property>
  <property fmtid="{D5CDD505-2E9C-101B-9397-08002B2CF9AE}" pid="7" name="ClassificationContentMarkingFooterText">
    <vt:lpwstr>UNOFFICIAL</vt:lpwstr>
  </property>
  <property fmtid="{D5CDD505-2E9C-101B-9397-08002B2CF9AE}" pid="8" name="MSIP_Label_edd204cd-6aa2-46a1-bfaf-a0d9bcf7e7ca_Enabled">
    <vt:lpwstr>true</vt:lpwstr>
  </property>
  <property fmtid="{D5CDD505-2E9C-101B-9397-08002B2CF9AE}" pid="9" name="MSIP_Label_edd204cd-6aa2-46a1-bfaf-a0d9bcf7e7ca_SetDate">
    <vt:lpwstr>2026-10-02T07:58:47Z</vt:lpwstr>
  </property>
  <property fmtid="{D5CDD505-2E9C-101B-9397-08002B2CF9AE}" pid="10" name="MSIP_Label_edd204cd-6aa2-46a1-bfaf-a0d9bcf7e7ca_Method">
    <vt:lpwstr>Privileged</vt:lpwstr>
  </property>
  <property fmtid="{D5CDD505-2E9C-101B-9397-08002B2CF9AE}" pid="11" name="MSIP_Label_edd204cd-6aa2-46a1-bfaf-a0d9bcf7e7ca_Name">
    <vt:lpwstr>U</vt:lpwstr>
  </property>
  <property fmtid="{D5CDD505-2E9C-101B-9397-08002B2CF9AE}" pid="12" name="MSIP_Label_edd204cd-6aa2-46a1-bfaf-a0d9bcf7e7ca_SiteId">
    <vt:lpwstr>34a3929c-73cf-4954-abfe-147dc3517892</vt:lpwstr>
  </property>
  <property fmtid="{D5CDD505-2E9C-101B-9397-08002B2CF9AE}" pid="13" name="MSIP_Label_edd204cd-6aa2-46a1-bfaf-a0d9bcf7e7ca_ActionId">
    <vt:lpwstr>f41bdb15-5438-49c0-b011-1db9299cca45</vt:lpwstr>
  </property>
  <property fmtid="{D5CDD505-2E9C-101B-9397-08002B2CF9AE}" pid="14" name="MSIP_Label_edd204cd-6aa2-46a1-bfaf-a0d9bcf7e7ca_ContentBits">
    <vt:lpwstr>3</vt:lpwstr>
  </property>
  <property fmtid="{D5CDD505-2E9C-101B-9397-08002B2CF9AE}" pid="15" name="MSIP_Label_edd204cd-6aa2-46a1-bfaf-a0d9bcf7e7ca_Tag">
    <vt:lpwstr>10, 0, 1, 1</vt:lpwstr>
  </property>
</Properties>
</file>