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6ABBC0" w14:textId="77777777" w:rsidR="009F44F5" w:rsidRDefault="008A621A" w:rsidP="001A4387">
      <w:pPr>
        <w:pStyle w:val="Title"/>
      </w:pPr>
      <w:r>
        <w:t>Australian Respiratory Surveillance Report</w:t>
      </w:r>
    </w:p>
    <w:p w14:paraId="046ABBC1" w14:textId="77777777" w:rsidR="009F44F5" w:rsidRDefault="008A621A">
      <w:r>
        <w:t>Viral Respiratory Diseases Epidemiology and Surveillance Section</w:t>
      </w:r>
    </w:p>
    <w:p w14:paraId="046ABBC2" w14:textId="77777777" w:rsidR="009F44F5" w:rsidRDefault="008A621A">
      <w:r>
        <w:t>Report 6, 2024</w:t>
      </w:r>
    </w:p>
    <w:p w14:paraId="046ABBC3" w14:textId="77777777" w:rsidR="009F44F5" w:rsidRDefault="008A621A">
      <w:r>
        <w:br w:type="page"/>
      </w:r>
    </w:p>
    <w:p w14:paraId="046ABBC4" w14:textId="77777777" w:rsidR="009F44F5" w:rsidRPr="00950E4A" w:rsidRDefault="008A621A">
      <w:pPr>
        <w:pStyle w:val="Heading2"/>
      </w:pPr>
      <w:bookmarkStart w:id="0" w:name="key-messages"/>
      <w:r w:rsidRPr="00950E4A">
        <w:lastRenderedPageBreak/>
        <w:t>Key messages</w:t>
      </w:r>
    </w:p>
    <w:p w14:paraId="046ABBC5" w14:textId="77777777" w:rsidR="009F44F5" w:rsidRPr="00950E4A" w:rsidRDefault="008A621A">
      <w:r w:rsidRPr="00950E4A">
        <w:t>This report presents a national epidemiological update for coronavirus disease 2019 (COVID-19), influenza and respiratory syncytial virus (RSV) with a focus on the current reporting period (3 June to 16 June 2024) and earlier severity reporting periods (up to 2 June 2024).</w:t>
      </w:r>
    </w:p>
    <w:p w14:paraId="046ABBC6" w14:textId="27B26BC7" w:rsidR="009F44F5" w:rsidRPr="0086559E" w:rsidRDefault="008A621A">
      <w:pPr>
        <w:pStyle w:val="Boxtype"/>
        <w:rPr>
          <w:lang w:val="en-US"/>
        </w:rPr>
      </w:pPr>
      <w:r w:rsidRPr="00760898">
        <w:rPr>
          <w:b/>
          <w:lang w:val="en-US"/>
        </w:rPr>
        <w:t>Activity:</w:t>
      </w:r>
      <w:r w:rsidRPr="00760898">
        <w:rPr>
          <w:lang w:val="en-US"/>
        </w:rPr>
        <w:t xml:space="preserve"> In </w:t>
      </w:r>
      <w:r w:rsidR="00032EB4" w:rsidRPr="00760898">
        <w:rPr>
          <w:lang w:val="en-US"/>
        </w:rPr>
        <w:t>th</w:t>
      </w:r>
      <w:r w:rsidR="00032EB4">
        <w:rPr>
          <w:lang w:val="en-US"/>
        </w:rPr>
        <w:t>e</w:t>
      </w:r>
      <w:r w:rsidRPr="00760898">
        <w:rPr>
          <w:lang w:val="en-US"/>
        </w:rPr>
        <w:t xml:space="preserve"> year to date, respiratory illness activity (self-reported new fever and cough symptoms) in the community has been higher than, or </w:t>
      </w:r>
      <w:proofErr w:type="gramStart"/>
      <w:r w:rsidRPr="00760898">
        <w:rPr>
          <w:lang w:val="en-US"/>
        </w:rPr>
        <w:t>similar to</w:t>
      </w:r>
      <w:proofErr w:type="gramEnd"/>
      <w:r w:rsidRPr="00760898">
        <w:rPr>
          <w:lang w:val="en-US"/>
        </w:rPr>
        <w:t xml:space="preserve">, the levels of activity observed at the same time </w:t>
      </w:r>
      <w:r w:rsidR="00760898" w:rsidRPr="00760898">
        <w:rPr>
          <w:lang w:val="en-US"/>
        </w:rPr>
        <w:t>in previous years (excluding 2022)</w:t>
      </w:r>
      <w:r w:rsidRPr="00760898">
        <w:rPr>
          <w:lang w:val="en-US"/>
        </w:rPr>
        <w:t xml:space="preserve">. </w:t>
      </w:r>
      <w:r w:rsidRPr="0054689F">
        <w:rPr>
          <w:lang w:val="en-US"/>
        </w:rPr>
        <w:t xml:space="preserve">General practice consultation rates for respiratory illnesses (new fever and cough symptoms) monitored through sentinel surveillance sites have </w:t>
      </w:r>
      <w:r w:rsidR="00760898" w:rsidRPr="0054689F">
        <w:rPr>
          <w:lang w:val="en-US"/>
        </w:rPr>
        <w:t>decreased</w:t>
      </w:r>
      <w:r w:rsidRPr="0054689F">
        <w:rPr>
          <w:lang w:val="en-US"/>
        </w:rPr>
        <w:t xml:space="preserve"> in the last fortnight</w:t>
      </w:r>
      <w:r w:rsidR="00760898" w:rsidRPr="0054689F">
        <w:rPr>
          <w:lang w:val="en-US"/>
        </w:rPr>
        <w:t xml:space="preserve">, though </w:t>
      </w:r>
      <w:r w:rsidRPr="0054689F">
        <w:rPr>
          <w:lang w:val="en-US"/>
        </w:rPr>
        <w:t xml:space="preserve">are slightly higher than consultation rates observed in most previous years. </w:t>
      </w:r>
      <w:r w:rsidR="00B70BD8">
        <w:rPr>
          <w:lang w:val="en-US"/>
        </w:rPr>
        <w:t xml:space="preserve">Nationally, </w:t>
      </w:r>
      <w:r w:rsidR="00DB1363" w:rsidRPr="0086559E">
        <w:rPr>
          <w:lang w:val="en-US"/>
        </w:rPr>
        <w:t xml:space="preserve">there was a decreasing trend in the number of </w:t>
      </w:r>
      <w:r w:rsidRPr="0086559E">
        <w:rPr>
          <w:lang w:val="en-US"/>
        </w:rPr>
        <w:t xml:space="preserve">notified COVID-19 cases and </w:t>
      </w:r>
      <w:r w:rsidR="0086559E" w:rsidRPr="0086559E">
        <w:rPr>
          <w:lang w:val="en-US"/>
        </w:rPr>
        <w:t xml:space="preserve">the number of </w:t>
      </w:r>
      <w:r w:rsidRPr="0086559E">
        <w:rPr>
          <w:lang w:val="en-US"/>
        </w:rPr>
        <w:t>notified RSV cases</w:t>
      </w:r>
      <w:r w:rsidR="007C0207">
        <w:rPr>
          <w:lang w:val="en-US"/>
        </w:rPr>
        <w:t xml:space="preserve"> this fortnight</w:t>
      </w:r>
      <w:r w:rsidR="001E59AF" w:rsidRPr="0086559E">
        <w:rPr>
          <w:lang w:val="en-US"/>
        </w:rPr>
        <w:t xml:space="preserve">, while </w:t>
      </w:r>
      <w:r w:rsidR="00DB1363" w:rsidRPr="0086559E">
        <w:rPr>
          <w:lang w:val="en-US"/>
        </w:rPr>
        <w:t xml:space="preserve">the number of </w:t>
      </w:r>
      <w:r w:rsidR="001E59AF" w:rsidRPr="0086559E">
        <w:rPr>
          <w:lang w:val="en-US"/>
        </w:rPr>
        <w:t xml:space="preserve">notified influenza cases continued to </w:t>
      </w:r>
      <w:r w:rsidRPr="0086559E">
        <w:rPr>
          <w:lang w:val="en-US"/>
        </w:rPr>
        <w:t>increas</w:t>
      </w:r>
      <w:r w:rsidR="001E59AF" w:rsidRPr="0086559E">
        <w:rPr>
          <w:lang w:val="en-US"/>
        </w:rPr>
        <w:t>e steadily</w:t>
      </w:r>
      <w:r w:rsidRPr="0086559E">
        <w:rPr>
          <w:lang w:val="en-US"/>
        </w:rPr>
        <w:t xml:space="preserve">. </w:t>
      </w:r>
      <w:r w:rsidR="00F872A2">
        <w:rPr>
          <w:lang w:val="en-US"/>
        </w:rPr>
        <w:t xml:space="preserve">However, </w:t>
      </w:r>
      <w:r w:rsidRPr="0086559E">
        <w:rPr>
          <w:lang w:val="en-US"/>
        </w:rPr>
        <w:t xml:space="preserve">this increasing trend </w:t>
      </w:r>
      <w:r w:rsidR="00F765D9">
        <w:rPr>
          <w:lang w:val="en-US"/>
        </w:rPr>
        <w:t xml:space="preserve">in influenza activity </w:t>
      </w:r>
      <w:r w:rsidRPr="0086559E">
        <w:rPr>
          <w:lang w:val="en-US"/>
        </w:rPr>
        <w:t>has not yet been observed across all jurisdictions.</w:t>
      </w:r>
    </w:p>
    <w:p w14:paraId="046ABBC7" w14:textId="2B53C69F" w:rsidR="009F44F5" w:rsidRPr="00C20709" w:rsidRDefault="008A621A">
      <w:pPr>
        <w:pStyle w:val="Boxtype"/>
        <w:rPr>
          <w:highlight w:val="yellow"/>
          <w:lang w:val="en-US"/>
        </w:rPr>
      </w:pPr>
      <w:r w:rsidRPr="008A621A">
        <w:rPr>
          <w:b/>
          <w:lang w:val="en-US"/>
        </w:rPr>
        <w:t>Severity:</w:t>
      </w:r>
      <w:r w:rsidRPr="008A621A">
        <w:rPr>
          <w:lang w:val="en-US"/>
        </w:rPr>
        <w:t xml:space="preserve"> Since late April 2024, the number of patients hospitalised with a severe acute respiratory infection (SARI) monitored through sentinel hospital-based surveillance has increased. In</w:t>
      </w:r>
      <w:r w:rsidRPr="59CE9A54">
        <w:rPr>
          <w:lang w:val="en-US"/>
        </w:rPr>
        <w:t xml:space="preserve"> 2024, the proportion of those patients with a SARI monitored through sentinel hospital-based surveillance admitted directly to an intensive care has remained low and stable. Nationally, since early 2024, the number of patients admitted to sentinel intensive care surveillance sites with a SARI have followed an overall decreasing trend. Patients with COVID-19 accounted for more than half of the SARI admissions at sentinel intensive care surveillance sites.</w:t>
      </w:r>
    </w:p>
    <w:p w14:paraId="046ABBC8" w14:textId="77777777" w:rsidR="009F44F5" w:rsidRPr="00C46AA7" w:rsidRDefault="008A621A">
      <w:pPr>
        <w:pStyle w:val="Boxtype"/>
      </w:pPr>
      <w:r w:rsidRPr="00C46AA7">
        <w:rPr>
          <w:b/>
          <w:bCs/>
        </w:rPr>
        <w:t>At-risk populations:</w:t>
      </w:r>
      <w:r w:rsidRPr="00C46AA7">
        <w:t xml:space="preserve"> For patients admitted with a SARI to sentinel intensive care sites, the largest proportion of in-hospital mortality has been in those aged 60 years or over. Nationally, age-specific mortality rates for COVID-19, influenza and RSV cases have been highest among those aged 70 years or over.</w:t>
      </w:r>
    </w:p>
    <w:p w14:paraId="046ABBC9" w14:textId="4E3BD076" w:rsidR="009F44F5" w:rsidRPr="00B001F9" w:rsidRDefault="008A621A">
      <w:pPr>
        <w:pStyle w:val="Boxtype"/>
      </w:pPr>
      <w:r w:rsidRPr="00417E1B">
        <w:rPr>
          <w:b/>
          <w:bCs/>
        </w:rPr>
        <w:t>Impact:</w:t>
      </w:r>
      <w:r w:rsidRPr="00417E1B">
        <w:t xml:space="preserve"> The proportion of people taking time off work due to respiratory illness (self-reported new fever and cough symptoms) has </w:t>
      </w:r>
      <w:r w:rsidR="00417E1B" w:rsidRPr="00417E1B">
        <w:t>decreased this fortnight</w:t>
      </w:r>
      <w:r w:rsidRPr="00417E1B">
        <w:t xml:space="preserve">. Nationally, the mean number of COVID-19 cases in intensive care </w:t>
      </w:r>
      <w:r w:rsidR="0077056F" w:rsidRPr="00417E1B">
        <w:t>has increased</w:t>
      </w:r>
      <w:r w:rsidR="00083A03" w:rsidRPr="00417E1B">
        <w:t xml:space="preserve"> this fortnight, while the</w:t>
      </w:r>
      <w:r w:rsidRPr="00417E1B">
        <w:t xml:space="preserve"> mean number of</w:t>
      </w:r>
      <w:r w:rsidRPr="00B001F9">
        <w:t xml:space="preserve"> intensive care staff unavailable due to COVID-19 illness or exposure </w:t>
      </w:r>
      <w:r w:rsidR="00B001F9" w:rsidRPr="00B001F9">
        <w:t>has decreased this fortnight</w:t>
      </w:r>
      <w:r w:rsidRPr="00B001F9">
        <w:t>.</w:t>
      </w:r>
    </w:p>
    <w:p w14:paraId="046ABBCA" w14:textId="6017816B" w:rsidR="009F44F5" w:rsidRPr="00B964FD" w:rsidRDefault="008A621A">
      <w:pPr>
        <w:pStyle w:val="Boxtype"/>
      </w:pPr>
      <w:r w:rsidRPr="00B964FD">
        <w:rPr>
          <w:b/>
          <w:bCs/>
        </w:rPr>
        <w:t>Genomic surveillance and virology:</w:t>
      </w:r>
      <w:r w:rsidRPr="00B964FD">
        <w:t xml:space="preserve"> </w:t>
      </w:r>
      <w:r w:rsidR="00B964FD" w:rsidRPr="00B964FD">
        <w:rPr>
          <w:lang w:val="en-US"/>
        </w:rPr>
        <w:t>Nationally, the Omicron BA.2.86 sublineage, JN.1, remains the dominant circulating sublineage. Of t</w:t>
      </w:r>
      <w:r w:rsidR="00B964FD" w:rsidRPr="00B964FD">
        <w:rPr>
          <w:lang w:val="en-AU"/>
        </w:rPr>
        <w:t>he newly named variants under monitoring, JN.1 sublineages KP.2 and KP.3 are most common in Australia.</w:t>
      </w:r>
      <w:r w:rsidRPr="00B964FD">
        <w:t xml:space="preserve"> Since early 2024, influenza A has accounted for most influenza notifications nationally.</w:t>
      </w:r>
    </w:p>
    <w:p w14:paraId="046ABBCB" w14:textId="77777777" w:rsidR="009F44F5" w:rsidRPr="00B964FD" w:rsidRDefault="008A621A">
      <w:pPr>
        <w:pStyle w:val="Boxtype"/>
      </w:pPr>
      <w:r w:rsidRPr="59CE9A54">
        <w:rPr>
          <w:b/>
          <w:lang w:val="en-US"/>
        </w:rPr>
        <w:t>Vaccine coverage, effectiveness and match:</w:t>
      </w:r>
      <w:r w:rsidRPr="59CE9A54">
        <w:rPr>
          <w:lang w:val="en-US"/>
        </w:rPr>
        <w:t xml:space="preserve"> It is too early to assess influenza vaccine coverage or effectiveness for the 2024 influenza season. COVID-19 and RSV vaccination data will be included in future iterations of the Australian Respiratory Surveillance Report.</w:t>
      </w:r>
    </w:p>
    <w:p w14:paraId="229DC1CA" w14:textId="77777777" w:rsidR="00676AD0" w:rsidRPr="00C20709" w:rsidRDefault="00676AD0">
      <w:pPr>
        <w:spacing w:before="0" w:after="0" w:line="240" w:lineRule="auto"/>
        <w:rPr>
          <w:rFonts w:cs="Arial"/>
          <w:b/>
          <w:bCs/>
          <w:iCs/>
          <w:sz w:val="36"/>
          <w:szCs w:val="28"/>
          <w:highlight w:val="yellow"/>
        </w:rPr>
      </w:pPr>
      <w:bookmarkStart w:id="1" w:name="introduction"/>
      <w:bookmarkEnd w:id="0"/>
      <w:r w:rsidRPr="00C20709">
        <w:rPr>
          <w:highlight w:val="yellow"/>
        </w:rPr>
        <w:br w:type="page"/>
      </w:r>
    </w:p>
    <w:p w14:paraId="046ABBCC" w14:textId="6ED5FED2" w:rsidR="009F44F5" w:rsidRPr="00950E4A" w:rsidRDefault="008A621A">
      <w:pPr>
        <w:pStyle w:val="Heading2"/>
      </w:pPr>
      <w:r w:rsidRPr="00950E4A">
        <w:lastRenderedPageBreak/>
        <w:t>Introduction</w:t>
      </w:r>
    </w:p>
    <w:p w14:paraId="06ADE1EC" w14:textId="5E4550E4" w:rsidR="00DB42CB" w:rsidRDefault="00DB42CB" w:rsidP="00DB42CB">
      <w:bookmarkStart w:id="2" w:name="data-considerations"/>
      <w:r>
        <w:t xml:space="preserve">This Australian Respiratory Surveillance Report was prepared by Tracy Tsang, Jenna Hassall and Siobhan St George on behalf of the interim Australian Centre for Disease Control. We thank the staff and participants from the surveillance systems who contribute data for acute respiratory illness surveillance across Australia. </w:t>
      </w:r>
    </w:p>
    <w:p w14:paraId="57C0CC69" w14:textId="77777777" w:rsidR="00DB42CB" w:rsidRDefault="00DB42CB" w:rsidP="00DB42CB">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severe disease, and the impact of acute respiratory illness on the community and health system in Australia. Surveillance indicators presented in this report are based on the </w:t>
      </w:r>
      <w:hyperlink r:id="rId11" w:history="1">
        <w:r w:rsidRPr="00C44D05">
          <w:rPr>
            <w:rStyle w:val="Hyperlink"/>
          </w:rPr>
          <w:t>Australian National Surveillance Plan for COVID-19, Influenza and RSV</w:t>
        </w:r>
      </w:hyperlink>
      <w:r>
        <w:t>.</w:t>
      </w:r>
    </w:p>
    <w:p w14:paraId="1A6EC265" w14:textId="77777777" w:rsidR="00DB42CB" w:rsidRDefault="00DB42CB" w:rsidP="00DB42CB">
      <w:pPr>
        <w:pStyle w:val="BodyText"/>
      </w:pPr>
      <w:r>
        <w:t xml:space="preserve">A summary of data considerations for this Australian Respiratory Surveillance Report are provided below. Refer to the </w:t>
      </w:r>
      <w:hyperlink r:id="rId12">
        <w:r>
          <w:rPr>
            <w:rStyle w:val="Hyperlink"/>
          </w:rPr>
          <w:t>Technical Supplement – Australian Respiratory Surveillance Report</w:t>
        </w:r>
      </w:hyperlink>
      <w:r>
        <w:t xml:space="preserve"> for further detail on our surveillance sources and data considerations, including the impacts of the COVID-19 pandemic on acute respiratory infection surveillance in Australia.</w:t>
      </w:r>
    </w:p>
    <w:p w14:paraId="046ABBCF" w14:textId="77777777" w:rsidR="009F44F5" w:rsidRPr="00A36C63" w:rsidRDefault="008A621A">
      <w:pPr>
        <w:pStyle w:val="Heading3"/>
      </w:pPr>
      <w:r w:rsidRPr="00A36C63">
        <w:t>Data considerations</w:t>
      </w:r>
    </w:p>
    <w:p w14:paraId="2A5DAD70" w14:textId="77777777" w:rsidR="00DB42CB" w:rsidRPr="00DB42CB" w:rsidRDefault="00DB42CB" w:rsidP="00DB42CB">
      <w:pPr>
        <w:pStyle w:val="ListParagraph"/>
        <w:numPr>
          <w:ilvl w:val="0"/>
          <w:numId w:val="7"/>
        </w:numPr>
        <w:rPr>
          <w:szCs w:val="22"/>
        </w:rPr>
      </w:pPr>
      <w:r w:rsidRPr="00DB42CB">
        <w:rPr>
          <w:szCs w:val="22"/>
        </w:rP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International Organization for Standardization (ISO) 8601 weeks, with the week ending on Sunday.</w:t>
      </w:r>
    </w:p>
    <w:p w14:paraId="046ABBD2" w14:textId="6E8ACB1A" w:rsidR="009F44F5" w:rsidRPr="00DB42CB" w:rsidRDefault="008A621A" w:rsidP="00806003">
      <w:pPr>
        <w:numPr>
          <w:ilvl w:val="0"/>
          <w:numId w:val="7"/>
        </w:numPr>
        <w:rPr>
          <w:szCs w:val="22"/>
        </w:rPr>
      </w:pPr>
      <w:r w:rsidRPr="00DB42CB">
        <w:rPr>
          <w:szCs w:val="22"/>
        </w:rPr>
        <w:t xml:space="preserve">In Australia, states and territories report notified cases to the </w:t>
      </w:r>
      <w:r w:rsidRPr="00DB42CB">
        <w:rPr>
          <w:b/>
          <w:bCs/>
          <w:szCs w:val="22"/>
        </w:rPr>
        <w:t>National Notifiable Diseases Surveillance System (NNDSS)</w:t>
      </w:r>
      <w:r w:rsidRPr="00DB42CB">
        <w:rPr>
          <w:szCs w:val="22"/>
        </w:rPr>
        <w:t xml:space="preserve"> based on the </w:t>
      </w:r>
      <w:hyperlink r:id="rId13">
        <w:r w:rsidRPr="00DB42CB">
          <w:rPr>
            <w:rStyle w:val="Hyperlink"/>
            <w:szCs w:val="22"/>
          </w:rPr>
          <w:t>Australian national surveillance case definitions</w:t>
        </w:r>
      </w:hyperlink>
      <w:r w:rsidRPr="00DB42CB">
        <w:rPr>
          <w:szCs w:val="22"/>
        </w:rPr>
        <w:t xml:space="preserve">. </w:t>
      </w:r>
      <w:r w:rsidRPr="00DB42CB">
        <w:rPr>
          <w:b/>
          <w:bCs/>
          <w:szCs w:val="22"/>
        </w:rPr>
        <w:t>For COVID-19, both laboratory-confirmed and probable cases are notified to the NNDSS; however, from Report 5 onward only laboratory-confirmed COVID-19 cases are included in this report (except where specified otherwise).</w:t>
      </w:r>
      <w:r w:rsidRPr="00DB42CB">
        <w:rPr>
          <w:szCs w:val="22"/>
        </w:rPr>
        <w:t xml:space="preserve"> </w:t>
      </w:r>
    </w:p>
    <w:p w14:paraId="046ABBD3" w14:textId="00A7B3B5" w:rsidR="009F44F5" w:rsidRPr="00DB42CB" w:rsidRDefault="008A621A" w:rsidP="00806003">
      <w:pPr>
        <w:numPr>
          <w:ilvl w:val="0"/>
          <w:numId w:val="7"/>
        </w:numPr>
        <w:rPr>
          <w:szCs w:val="22"/>
        </w:rPr>
      </w:pPr>
      <w:r w:rsidRPr="00DB42CB">
        <w:rPr>
          <w:szCs w:val="22"/>
        </w:rPr>
        <w:t>Data from the NNDSS are analysed and reported based on diagnosis date, which is the true onset date of a case if known, otherwise it is the earliest of the specimen date, the notification date, or the notification received date. NNDSS data were extracted on 19 June 2024.</w:t>
      </w:r>
    </w:p>
    <w:p w14:paraId="046ABBD4" w14:textId="39D8DA61" w:rsidR="009F44F5" w:rsidRPr="00DB42CB" w:rsidRDefault="008A621A" w:rsidP="00806003">
      <w:pPr>
        <w:numPr>
          <w:ilvl w:val="0"/>
          <w:numId w:val="7"/>
        </w:numPr>
        <w:rPr>
          <w:szCs w:val="22"/>
        </w:rPr>
      </w:pPr>
      <w:r w:rsidRPr="00DB42CB">
        <w:rPr>
          <w:szCs w:val="22"/>
        </w:rP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DB42CB" w:rsidRPr="00DB42CB">
        <w:rPr>
          <w:szCs w:val="22"/>
        </w:rPr>
        <w:t>For this report, severity reporting includes data up to</w:t>
      </w:r>
      <w:r w:rsidRPr="00DB42CB">
        <w:rPr>
          <w:szCs w:val="22"/>
        </w:rPr>
        <w:t xml:space="preserve"> 2 June 2024.</w:t>
      </w:r>
    </w:p>
    <w:p w14:paraId="3170F5E8" w14:textId="77777777" w:rsidR="00DB42CB" w:rsidRPr="00DB42CB" w:rsidRDefault="00DB42CB" w:rsidP="00DB42CB">
      <w:pPr>
        <w:numPr>
          <w:ilvl w:val="0"/>
          <w:numId w:val="7"/>
        </w:numPr>
        <w:rPr>
          <w:szCs w:val="22"/>
        </w:rPr>
      </w:pPr>
      <w:bookmarkStart w:id="3" w:name="activity"/>
      <w:bookmarkEnd w:id="1"/>
      <w:bookmarkEnd w:id="2"/>
      <w:r w:rsidRPr="00DB42CB">
        <w:rPr>
          <w:szCs w:val="22"/>
        </w:rP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details about information contained in this report please refer to the </w:t>
      </w:r>
      <w:hyperlink r:id="rId14">
        <w:r w:rsidRPr="00DB42CB">
          <w:rPr>
            <w:rStyle w:val="Hyperlink"/>
            <w:szCs w:val="22"/>
          </w:rPr>
          <w:t>Technical Supplement – Australian Respiratory Surveillance Report</w:t>
        </w:r>
      </w:hyperlink>
      <w:r w:rsidRPr="00DB42CB">
        <w:rPr>
          <w:szCs w:val="22"/>
        </w:rPr>
        <w:t xml:space="preserve"> or contact </w:t>
      </w:r>
      <w:hyperlink r:id="rId15">
        <w:r w:rsidRPr="00DB42CB">
          <w:rPr>
            <w:rStyle w:val="Hyperlink"/>
            <w:szCs w:val="22"/>
          </w:rPr>
          <w:t>respiratory.surveillance@health.gov.au</w:t>
        </w:r>
      </w:hyperlink>
      <w:r w:rsidRPr="00DB42CB">
        <w:rPr>
          <w:szCs w:val="22"/>
        </w:rPr>
        <w:t>.</w:t>
      </w:r>
    </w:p>
    <w:p w14:paraId="046ABBD6" w14:textId="77777777" w:rsidR="009F44F5" w:rsidRPr="008D08C6" w:rsidRDefault="008A621A">
      <w:pPr>
        <w:pStyle w:val="Heading2"/>
      </w:pPr>
      <w:r w:rsidRPr="008D08C6">
        <w:lastRenderedPageBreak/>
        <w:t>1. Activity</w:t>
      </w:r>
    </w:p>
    <w:p w14:paraId="046ABBD7" w14:textId="77777777" w:rsidR="009F44F5" w:rsidRPr="008D08C6" w:rsidRDefault="008A621A">
      <w:pPr>
        <w:pStyle w:val="Boxheading"/>
      </w:pPr>
      <w:r w:rsidRPr="59CE9A54">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046ABBD8" w14:textId="77777777" w:rsidR="009F44F5" w:rsidRPr="008D08C6" w:rsidRDefault="008A621A">
      <w:pPr>
        <w:pStyle w:val="Heading3"/>
      </w:pPr>
      <w:bookmarkStart w:id="4" w:name="community-based-surveillance"/>
      <w:r w:rsidRPr="008D08C6">
        <w:t>1.1 Community-based surveillance</w:t>
      </w:r>
    </w:p>
    <w:p w14:paraId="046ABBD9" w14:textId="77777777" w:rsidR="009F44F5" w:rsidRPr="00105868" w:rsidRDefault="008A621A">
      <w:pPr>
        <w:pStyle w:val="Heading4"/>
      </w:pPr>
      <w:bookmarkStart w:id="5" w:name="flutracking"/>
      <w:r w:rsidRPr="00105868">
        <w:t>FluTracking</w:t>
      </w:r>
    </w:p>
    <w:p w14:paraId="046ABBDA" w14:textId="31652BB5" w:rsidR="009F44F5" w:rsidRPr="00105868" w:rsidRDefault="008A621A" w:rsidP="00806003">
      <w:pPr>
        <w:numPr>
          <w:ilvl w:val="0"/>
          <w:numId w:val="8"/>
        </w:numPr>
      </w:pPr>
      <w:r w:rsidRPr="00105868">
        <w:t xml:space="preserve">This fortnight (3 June to 16 June 2024), the mean incidence of new fever and cough among FluTracking participants was 2.3%, a </w:t>
      </w:r>
      <w:r w:rsidR="00583AEB">
        <w:t xml:space="preserve">slight </w:t>
      </w:r>
      <w:r w:rsidRPr="00105868">
        <w:t>decrease compared with the mean incidence of 2.2% in the previous fortnight (Figure 1). Note, FluTracking data are age standardised.</w:t>
      </w:r>
    </w:p>
    <w:p w14:paraId="046ABBDB" w14:textId="77777777" w:rsidR="009F44F5" w:rsidRPr="00591116" w:rsidRDefault="008A621A" w:rsidP="00806003">
      <w:pPr>
        <w:numPr>
          <w:ilvl w:val="0"/>
          <w:numId w:val="8"/>
        </w:numPr>
      </w:pPr>
      <w:r w:rsidRPr="000C54ED">
        <w:t xml:space="preserve">This fortnight, 12.2% (197/1,613) of FluTracking participants who reported new fever and cough symptoms reported testing for severe acute respiratory syndrome coronavirus 2 (SARS-CoV-2) with a polymerase chain reaction (PCR) test and 71.2% (1,149/1,613) reported testing with a rapid antigen test (RAT) (noting that in some instances a RAT will be </w:t>
      </w:r>
      <w:r w:rsidRPr="00591116">
        <w:t>followed by a PCR test for the same participant, or vice versa).</w:t>
      </w:r>
    </w:p>
    <w:p w14:paraId="046ABBDC" w14:textId="2FB880A0" w:rsidR="009F44F5" w:rsidRPr="00591116" w:rsidRDefault="008A621A" w:rsidP="00806003">
      <w:pPr>
        <w:numPr>
          <w:ilvl w:val="1"/>
          <w:numId w:val="9"/>
        </w:numPr>
      </w:pPr>
      <w:r w:rsidRPr="00591116">
        <w:t>This fortnight, the self-reported percent positivity among participants with new fever and cough symptoms increased</w:t>
      </w:r>
      <w:r w:rsidR="00591116" w:rsidRPr="00591116">
        <w:t xml:space="preserve"> </w:t>
      </w:r>
      <w:r w:rsidRPr="00591116">
        <w:t>for SARS-CoV-2 PCR tests (24.9%; 49/197) and decreased for RATs (40.1%; 461/1,149) compared with the previous fortnight (23.7% [54/228] and 47.3% [632/1,337] respectively).</w:t>
      </w:r>
    </w:p>
    <w:p w14:paraId="046ABBDD" w14:textId="77777777" w:rsidR="009F44F5" w:rsidRPr="00C62A1A" w:rsidRDefault="008A621A" w:rsidP="00806003">
      <w:pPr>
        <w:numPr>
          <w:ilvl w:val="0"/>
          <w:numId w:val="8"/>
        </w:numPr>
      </w:pPr>
      <w:r w:rsidRPr="00C62A1A">
        <w:t>This fortnight, 15.1% (243/1,613) of FluTracking participants with new fever and cough symptoms reported testing for influenza with a PCR test.</w:t>
      </w:r>
    </w:p>
    <w:p w14:paraId="046ABBDE" w14:textId="1CC730CE" w:rsidR="009F44F5" w:rsidRPr="00C62A1A" w:rsidRDefault="008A621A" w:rsidP="00806003">
      <w:pPr>
        <w:numPr>
          <w:ilvl w:val="1"/>
          <w:numId w:val="10"/>
        </w:numPr>
      </w:pPr>
      <w:r w:rsidRPr="00C62A1A">
        <w:t xml:space="preserve">This fortnight, the self-reported percent positivity among participants with new fever and cough symptoms increased </w:t>
      </w:r>
      <w:r w:rsidR="00C62A1A" w:rsidRPr="00C62A1A">
        <w:t xml:space="preserve">considerably </w:t>
      </w:r>
      <w:r w:rsidRPr="00C62A1A">
        <w:t>for influenza PCR tests (25.5%; 62/243), compared with the previous fortnight (16.9%; 51/302).</w:t>
      </w:r>
    </w:p>
    <w:p w14:paraId="046ABBDF" w14:textId="7AE6922B" w:rsidR="009F44F5" w:rsidRPr="00973013" w:rsidRDefault="008A621A" w:rsidP="00806003">
      <w:pPr>
        <w:numPr>
          <w:ilvl w:val="0"/>
          <w:numId w:val="8"/>
        </w:numPr>
      </w:pPr>
      <w:r w:rsidRPr="00973013">
        <w:t xml:space="preserve">In the year to date, the incidence of new fever and cough symptoms reported to FluTracking has fluctuated, peaking in the week ending </w:t>
      </w:r>
      <w:r w:rsidR="00FA0C7C" w:rsidRPr="00973013">
        <w:t>9 June</w:t>
      </w:r>
      <w:r w:rsidRPr="00973013">
        <w:t xml:space="preserve"> 2024 at 2.4% (Figure 1). The incidence of fever and cough is currently </w:t>
      </w:r>
      <w:r w:rsidR="00943DC9" w:rsidRPr="00973013">
        <w:t>higher</w:t>
      </w:r>
      <w:r w:rsidR="00973013" w:rsidRPr="00973013">
        <w:t xml:space="preserve"> than or similar to </w:t>
      </w:r>
      <w:r w:rsidRPr="00973013">
        <w:t xml:space="preserve">the proportion observed in the same period in </w:t>
      </w:r>
      <w:r w:rsidR="00973013" w:rsidRPr="00973013">
        <w:t>all</w:t>
      </w:r>
      <w:r w:rsidRPr="00973013">
        <w:t xml:space="preserve"> previous years</w:t>
      </w:r>
      <w:r w:rsidR="00973013" w:rsidRPr="00973013">
        <w:t xml:space="preserve"> (excluding 2022)</w:t>
      </w:r>
      <w:r w:rsidRPr="00973013">
        <w:t xml:space="preserve"> </w:t>
      </w:r>
      <w:r w:rsidR="00973013" w:rsidRPr="00973013">
        <w:t>and</w:t>
      </w:r>
      <w:r w:rsidRPr="00973013">
        <w:t xml:space="preserve"> the five-year mean (Figure 1).</w:t>
      </w:r>
    </w:p>
    <w:p w14:paraId="046ABBE0" w14:textId="77777777" w:rsidR="009F44F5" w:rsidRPr="00C20709" w:rsidRDefault="008A621A">
      <w:pPr>
        <w:rPr>
          <w:highlight w:val="yellow"/>
        </w:rPr>
      </w:pPr>
      <w:r w:rsidRPr="00C20709">
        <w:rPr>
          <w:highlight w:val="yellow"/>
        </w:rPr>
        <w:br w:type="page"/>
      </w:r>
    </w:p>
    <w:p w14:paraId="046ABBE1" w14:textId="77777777" w:rsidR="009F44F5" w:rsidRPr="00E31CE4" w:rsidRDefault="008A621A">
      <w:r w:rsidRPr="00E31CE4">
        <w:rPr>
          <w:b/>
          <w:bCs/>
        </w:rPr>
        <w:lastRenderedPageBreak/>
        <w:t>Figure 1: Age standardised percentage of FluTracking participants reporting new fever and cough symptoms compared with the five-year mean by year and week of report*, Australia, 2017 to 16 June 2024</w:t>
      </w:r>
    </w:p>
    <w:p w14:paraId="046ABBE2" w14:textId="77777777" w:rsidR="009F44F5" w:rsidRPr="00E31CE4" w:rsidRDefault="008A621A">
      <w:pPr>
        <w:pStyle w:val="BodyText"/>
      </w:pPr>
      <w:r w:rsidRPr="00E31CE4">
        <w:rPr>
          <w:noProof/>
        </w:rPr>
        <w:drawing>
          <wp:inline distT="0" distB="0" distL="0" distR="0" wp14:anchorId="046ABEEC" wp14:editId="7D840753">
            <wp:extent cx="6184900" cy="2731980"/>
            <wp:effectExtent l="0" t="0" r="0" b="0"/>
            <wp:doc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4% of survey respondents in the week ending 9 June 2024. The age standardised rate of fever and cough for the current reporting period is above the corresponding weeks of the 2017–2019, 2022, 2023 historical five-year mean for the first time in 2024."/>
            <wp:cNvGraphicFramePr/>
            <a:graphic xmlns:a="http://schemas.openxmlformats.org/drawingml/2006/main">
              <a:graphicData uri="http://schemas.openxmlformats.org/drawingml/2006/picture">
                <pic:pic xmlns:pic="http://schemas.openxmlformats.org/drawingml/2006/picture">
                  <pic:nvPicPr>
                    <pic:cNv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4% of survey respondents in the week ending 9 June 2024. The age standardised rate of fever and cough for the current reporting period is above the corresponding weeks of the 2017–2019, 2022, 2023 historical five-year mean for the first time in 2024."/>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BE3" w14:textId="77777777" w:rsidR="009F44F5" w:rsidRPr="00E31CE4" w:rsidRDefault="008A621A">
      <w:pPr>
        <w:pStyle w:val="Smalltext"/>
      </w:pPr>
      <w:r w:rsidRPr="00E31CE4">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046ABBE4" w14:textId="77777777" w:rsidR="009F44F5" w:rsidRPr="00221095" w:rsidRDefault="009F44F5">
      <w:pPr>
        <w:pStyle w:val="Smalltext"/>
      </w:pPr>
    </w:p>
    <w:p w14:paraId="046ABBE5" w14:textId="77777777" w:rsidR="009F44F5" w:rsidRPr="00221095" w:rsidRDefault="008A621A">
      <w:pPr>
        <w:pStyle w:val="Heading4"/>
      </w:pPr>
      <w:bookmarkStart w:id="6" w:name="Xd23077d57510771b8eac36b0c692964a7c92ff0"/>
      <w:bookmarkEnd w:id="5"/>
      <w:r w:rsidRPr="00221095">
        <w:t>Australian Sentinel Practice Research Network (ASPREN)</w:t>
      </w:r>
    </w:p>
    <w:p w14:paraId="046ABBE6" w14:textId="018EC5DA" w:rsidR="009F44F5" w:rsidRPr="00B92D55" w:rsidRDefault="008A621A" w:rsidP="00806003">
      <w:pPr>
        <w:numPr>
          <w:ilvl w:val="0"/>
          <w:numId w:val="11"/>
        </w:numPr>
      </w:pPr>
      <w:r w:rsidRPr="00B92D55">
        <w:t xml:space="preserve">This fortnight (3 June to 16 June 2024), a mean rate of 7.4 per 1,000 consultations per fortnight due to new fever and cough symptoms were reported by ASPREN sentinel general practitioners and nurse practitioners. This is a </w:t>
      </w:r>
      <w:r w:rsidR="00B92D55" w:rsidRPr="00B92D55">
        <w:t>small decrease</w:t>
      </w:r>
      <w:r w:rsidRPr="00B92D55">
        <w:t xml:space="preserve"> compared with 7.8 per 1,000 consultations in the previous fortnight (Figure 2).</w:t>
      </w:r>
    </w:p>
    <w:p w14:paraId="046ABBE7" w14:textId="43CDE6DA" w:rsidR="009F44F5" w:rsidRPr="006E1894" w:rsidRDefault="008A621A" w:rsidP="00806003">
      <w:pPr>
        <w:numPr>
          <w:ilvl w:val="0"/>
          <w:numId w:val="11"/>
        </w:numPr>
      </w:pPr>
      <w:r w:rsidRPr="006E1894">
        <w:t xml:space="preserve">This fortnight, 91 people presented to ASPREN sentinel general practitioners and nurse practitioners with new fever and cough symptoms and were tested for respiratory pathogens. Of those, 70.3% (64/91) </w:t>
      </w:r>
      <w:r w:rsidR="00173AC4">
        <w:t xml:space="preserve">have </w:t>
      </w:r>
      <w:r w:rsidRPr="006E1894">
        <w:t>tested positive for a respiratory pathogen.</w:t>
      </w:r>
    </w:p>
    <w:p w14:paraId="046ABBE8" w14:textId="77777777" w:rsidR="009F44F5" w:rsidRPr="001F2E94" w:rsidRDefault="008A621A" w:rsidP="00806003">
      <w:pPr>
        <w:numPr>
          <w:ilvl w:val="1"/>
          <w:numId w:val="12"/>
        </w:numPr>
      </w:pPr>
      <w:r w:rsidRPr="001F2E94">
        <w:t>Among those positive for a respiratory pathogen, the most common respiratory pathogen reported was rhinovirus (32.8%; 21/64). Other respiratory pathogens detected included influenza (28.1%; 18/64), RSV (17.2%; 11/64), and SARS-CoV-2 (9.4%; 6/64).</w:t>
      </w:r>
    </w:p>
    <w:p w14:paraId="046ABBE9" w14:textId="7F05A8CA" w:rsidR="009F44F5" w:rsidRPr="002F5A07" w:rsidRDefault="008A621A" w:rsidP="00806003">
      <w:pPr>
        <w:numPr>
          <w:ilvl w:val="0"/>
          <w:numId w:val="11"/>
        </w:numPr>
      </w:pPr>
      <w:r w:rsidRPr="002F5A07">
        <w:t xml:space="preserve">In the year to date, the rate of new fever and cough symptoms per 1,000 consultations per week has </w:t>
      </w:r>
      <w:r w:rsidR="00B25329" w:rsidRPr="002F5A07">
        <w:t xml:space="preserve">been similar to </w:t>
      </w:r>
      <w:r w:rsidRPr="002F5A07">
        <w:t>the rate observed in the corresponding weeks of earlier years (excluding 2019 and 2022 in recent weeks) and the five-year mean (Figure 2).</w:t>
      </w:r>
    </w:p>
    <w:p w14:paraId="046ABBEA" w14:textId="77777777" w:rsidR="009F44F5" w:rsidRPr="000D0BF8" w:rsidRDefault="008A621A" w:rsidP="00806003">
      <w:pPr>
        <w:numPr>
          <w:ilvl w:val="0"/>
          <w:numId w:val="11"/>
        </w:numPr>
      </w:pPr>
      <w:r w:rsidRPr="000D0BF8">
        <w:t>In the year to date, 897 people presented to ASPREN sentinel general practitioners and nurse practitioners with new fever and cough symptoms and have been tested for respiratory pathogens. Of those, 67.1% (602/897) have tested positive for a respiratory pathogen.</w:t>
      </w:r>
    </w:p>
    <w:p w14:paraId="046ABBEB" w14:textId="4B93505C" w:rsidR="009F44F5" w:rsidRPr="000D0BF8" w:rsidRDefault="008A621A" w:rsidP="00806003">
      <w:pPr>
        <w:numPr>
          <w:ilvl w:val="1"/>
          <w:numId w:val="13"/>
        </w:numPr>
      </w:pPr>
      <w:r w:rsidRPr="000D0BF8">
        <w:t xml:space="preserve">Among those positive for a respiratory pathogen, the most common respiratory pathogen reported has been rhinovirus (35.4%; 213/602). Other respiratory pathogens detected included SARS-CoV-2 (15.6%; 94/602), influenza (14.6%; 88/602), RSV (11.8%; 71/602), </w:t>
      </w:r>
      <w:r w:rsidR="000D0BF8" w:rsidRPr="000D0BF8">
        <w:rPr>
          <w:i/>
          <w:iCs/>
        </w:rPr>
        <w:t>M</w:t>
      </w:r>
      <w:r w:rsidRPr="000D0BF8">
        <w:rPr>
          <w:i/>
          <w:iCs/>
        </w:rPr>
        <w:t>ycoplasma pneumoniae</w:t>
      </w:r>
      <w:r w:rsidRPr="000D0BF8">
        <w:t xml:space="preserve"> (8.0%; 48/602) and adenovirus (4.5%; 27/602).</w:t>
      </w:r>
    </w:p>
    <w:p w14:paraId="046ABBEC" w14:textId="77777777" w:rsidR="009F44F5" w:rsidRPr="002F5A07" w:rsidRDefault="008A621A">
      <w:r w:rsidRPr="002F5A07">
        <w:rPr>
          <w:b/>
          <w:bCs/>
        </w:rPr>
        <w:lastRenderedPageBreak/>
        <w:t>Figure 2: Rate of new fever and cough symptoms per 1,000 consultations per week with ASPREN sentinel general practitioners and nurse practitioners compared with the five-year mean by year and week of consultation*</w:t>
      </w:r>
      <w:r w:rsidRPr="002F5A07">
        <w:rPr>
          <w:b/>
          <w:bCs/>
          <w:vertAlign w:val="superscript"/>
        </w:rPr>
        <w:t>†</w:t>
      </w:r>
      <w:r w:rsidRPr="002F5A07">
        <w:rPr>
          <w:b/>
          <w:bCs/>
        </w:rPr>
        <w:t>, Australia, 2017 to 16 June 2024</w:t>
      </w:r>
    </w:p>
    <w:p w14:paraId="046ABBED" w14:textId="77777777" w:rsidR="009F44F5" w:rsidRPr="002F5A07" w:rsidRDefault="008A621A">
      <w:pPr>
        <w:pStyle w:val="BodyText"/>
      </w:pPr>
      <w:r w:rsidRPr="002F5A07">
        <w:rPr>
          <w:noProof/>
        </w:rPr>
        <w:drawing>
          <wp:inline distT="0" distB="0" distL="0" distR="0" wp14:anchorId="046ABEEE" wp14:editId="46B95766">
            <wp:extent cx="6184900" cy="2731980"/>
            <wp:effectExtent l="0" t="0" r="0" b="0"/>
            <wp:docPr id="32" name="Graphic 32"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consistent with or lower than the interrupted five-year mean in the current reporting fortnight.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26 May 2024 and again in the week ending 16 June 2024 at approximately 7.5 per 1,000 consultations, largely exceeding the rate for the corresponding weeks in 2017 and 2018."/>
            <wp:cNvGraphicFramePr/>
            <a:graphic xmlns:a="http://schemas.openxmlformats.org/drawingml/2006/main">
              <a:graphicData uri="http://schemas.openxmlformats.org/drawingml/2006/picture">
                <pic:pic xmlns:pic="http://schemas.openxmlformats.org/drawingml/2006/picture">
                  <pic:nvPicPr>
                    <pic:cNvPr id="32" name="Graphic 32"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consistent with or lower than the interrupted five-year mean in the current reporting fortnight.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26 May 2024 and again in the week ending 16 June 2024 at approximately 7.5 per 1,000 consultations, largely exceeding the rate for the corresponding weeks in 2017 and 2018."/>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BEE" w14:textId="77777777" w:rsidR="009F44F5" w:rsidRPr="002F5A07" w:rsidRDefault="008A621A">
      <w:pPr>
        <w:pStyle w:val="Smalltext"/>
      </w:pPr>
      <w:r w:rsidRPr="002F5A07">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rsidRPr="002F5A07">
        <w:br/>
        <w:t>† Please refer to the Technical Supplement for notes on impact of COVID-19 on ASPREN data.</w:t>
      </w:r>
    </w:p>
    <w:p w14:paraId="046ABBEF" w14:textId="77777777" w:rsidR="009F44F5" w:rsidRPr="00C20709" w:rsidRDefault="009F44F5">
      <w:pPr>
        <w:pStyle w:val="Smalltext"/>
        <w:rPr>
          <w:highlight w:val="yellow"/>
        </w:rPr>
      </w:pPr>
    </w:p>
    <w:p w14:paraId="046ABBF0" w14:textId="77777777" w:rsidR="009F44F5" w:rsidRPr="008D08C6" w:rsidRDefault="008A621A">
      <w:pPr>
        <w:pStyle w:val="Heading4"/>
      </w:pPr>
      <w:bookmarkStart w:id="7" w:name="wastewater-surveillance"/>
      <w:bookmarkEnd w:id="6"/>
      <w:r w:rsidRPr="008D08C6">
        <w:t>Wastewater surveillance</w:t>
      </w:r>
    </w:p>
    <w:p w14:paraId="046ABBF1" w14:textId="77777777" w:rsidR="009F44F5" w:rsidRPr="008D08C6" w:rsidRDefault="008A621A">
      <w:r w:rsidRPr="008D08C6">
        <w:t xml:space="preserve">Wastewater surveillance data for SARS-CoV-2 are only received from Victoria and Western Australia, and therefore, wastewater surveillance data are not nationally representative. In addition, SARS-CoV-2 wastewater surveillance methods in Victoria and Western Australia are not directly comparable and have different reporting periods. Refer to the </w:t>
      </w:r>
      <w:hyperlink r:id="rId20">
        <w:r w:rsidRPr="008D08C6">
          <w:rPr>
            <w:rStyle w:val="Hyperlink"/>
          </w:rPr>
          <w:t>Technical Supplement – Australian Respiratory Surveillance Report</w:t>
        </w:r>
      </w:hyperlink>
      <w:r w:rsidRPr="008D08C6">
        <w:t xml:space="preserve"> for further detail on SARS-CoV-2 wastewater surveillance methods in Victoria and Western Australia. At present, there are no wastewater surveillance data for influenza or RSV.</w:t>
      </w:r>
    </w:p>
    <w:p w14:paraId="046ABBF2" w14:textId="77777777" w:rsidR="009F44F5" w:rsidRPr="00BE0428" w:rsidRDefault="008A621A" w:rsidP="00806003">
      <w:pPr>
        <w:numPr>
          <w:ilvl w:val="0"/>
          <w:numId w:val="14"/>
        </w:numPr>
      </w:pPr>
      <w:r w:rsidRPr="00BE0428">
        <w:t>Levels of SARS-CoV-2 in wastewater have been increasing since early April 2024, suggesting increasing prevalence of COVID-19 in the Victorian and Western Australian communities.</w:t>
      </w:r>
    </w:p>
    <w:p w14:paraId="046ABBF3" w14:textId="5FB55AAE" w:rsidR="009F44F5" w:rsidRPr="00BE0428" w:rsidRDefault="008A621A" w:rsidP="00806003">
      <w:pPr>
        <w:numPr>
          <w:ilvl w:val="1"/>
          <w:numId w:val="15"/>
        </w:numPr>
      </w:pPr>
      <w:r w:rsidRPr="00BE0428">
        <w:t xml:space="preserve">Quantitative wastewater measures in Victoria indicate levels of circulating SARS-CoV-2 in the Victorian community have </w:t>
      </w:r>
      <w:r w:rsidR="00BE0428" w:rsidRPr="00BE0428">
        <w:t xml:space="preserve">followed a </w:t>
      </w:r>
      <w:r w:rsidR="000D6861">
        <w:t>sharp</w:t>
      </w:r>
      <w:r w:rsidR="00BE0428" w:rsidRPr="00BE0428">
        <w:t xml:space="preserve"> increasing trend </w:t>
      </w:r>
      <w:r w:rsidR="00B73EEB" w:rsidRPr="00BE0428">
        <w:t>since mid-May</w:t>
      </w:r>
      <w:r w:rsidRPr="00BE0428">
        <w:t xml:space="preserve"> </w:t>
      </w:r>
      <w:r w:rsidR="00C50DC9">
        <w:t xml:space="preserve">2024 </w:t>
      </w:r>
      <w:r w:rsidRPr="00BE0428">
        <w:t>(Figure 3A).</w:t>
      </w:r>
    </w:p>
    <w:p w14:paraId="046ABBF4" w14:textId="730977D3" w:rsidR="009F44F5" w:rsidRPr="00AE60BE" w:rsidRDefault="008A621A" w:rsidP="00806003">
      <w:pPr>
        <w:numPr>
          <w:ilvl w:val="1"/>
          <w:numId w:val="15"/>
        </w:numPr>
      </w:pPr>
      <w:r w:rsidRPr="00AE60BE">
        <w:t xml:space="preserve">Quantitative wastewater measures in Western Australia indicate levels of circulating SARS-CoV-2 in the Western Australian community have </w:t>
      </w:r>
      <w:r w:rsidR="00AE60BE" w:rsidRPr="00AE60BE">
        <w:t>stabilised in recent weeks,</w:t>
      </w:r>
      <w:r w:rsidR="00C50DC9" w:rsidRPr="00AE60BE">
        <w:t xml:space="preserve"> after appearing to increase </w:t>
      </w:r>
      <w:r w:rsidR="00FD7131">
        <w:t>rapid</w:t>
      </w:r>
      <w:r w:rsidR="00C50DC9" w:rsidRPr="00AE60BE">
        <w:t xml:space="preserve">ly since </w:t>
      </w:r>
      <w:r w:rsidR="00AE60BE" w:rsidRPr="00AE60BE">
        <w:t xml:space="preserve">mid-April 2024 </w:t>
      </w:r>
      <w:r w:rsidR="00C50DC9" w:rsidRPr="00AE60BE">
        <w:t xml:space="preserve">(Figure 3B). </w:t>
      </w:r>
      <w:r w:rsidR="003E6901" w:rsidRPr="00AE60BE">
        <w:t>N</w:t>
      </w:r>
      <w:r w:rsidRPr="00AE60BE">
        <w:t>ot</w:t>
      </w:r>
      <w:r w:rsidR="003E6901" w:rsidRPr="00AE60BE">
        <w:t xml:space="preserve">e, </w:t>
      </w:r>
      <w:r w:rsidRPr="00AE60BE">
        <w:t>quantitative data were unavailable from Western Australia from the week ending 28 April 2024 to the week ending 5 May 2024 (Figure 3B).</w:t>
      </w:r>
    </w:p>
    <w:p w14:paraId="046ABBF5" w14:textId="77777777" w:rsidR="009F44F5" w:rsidRPr="00C20709" w:rsidRDefault="008A621A">
      <w:pPr>
        <w:rPr>
          <w:highlight w:val="yellow"/>
        </w:rPr>
      </w:pPr>
      <w:r w:rsidRPr="00C20709">
        <w:rPr>
          <w:highlight w:val="yellow"/>
        </w:rPr>
        <w:br w:type="page"/>
      </w:r>
    </w:p>
    <w:p w14:paraId="046ABBF6" w14:textId="77777777" w:rsidR="009F44F5" w:rsidRPr="004A2831" w:rsidRDefault="008A621A">
      <w:r w:rsidRPr="004A2831">
        <w:rPr>
          <w:b/>
          <w:bCs/>
        </w:rPr>
        <w:lastRenderedPageBreak/>
        <w:t>Figure 3: Quantitative wastewater surveillance trends for SARS-CoV-2 by sample collection week, (A) Victoria*, 1 January to 9 June 2024 and (B) Western Australia</w:t>
      </w:r>
      <w:r w:rsidRPr="004A2831">
        <w:rPr>
          <w:b/>
          <w:bCs/>
          <w:vertAlign w:val="superscript"/>
        </w:rPr>
        <w:t>†‡</w:t>
      </w:r>
      <w:r w:rsidRPr="004A2831">
        <w:rPr>
          <w:b/>
          <w:bCs/>
        </w:rPr>
        <w:t>, 1 January to 16 June 2024</w:t>
      </w:r>
    </w:p>
    <w:p w14:paraId="035FF04F" w14:textId="344EB695" w:rsidR="00AA1E88" w:rsidRPr="00B9493D" w:rsidRDefault="000009D3">
      <w:pPr>
        <w:pStyle w:val="Smalltext"/>
      </w:pPr>
      <w:r w:rsidRPr="00B9493D">
        <w:rPr>
          <w:noProof/>
        </w:rPr>
        <w:drawing>
          <wp:inline distT="0" distB="0" distL="0" distR="0" wp14:anchorId="52D5C6F0" wp14:editId="20506B36">
            <wp:extent cx="6192520" cy="1964690"/>
            <wp:effectExtent l="0" t="0" r="0" b="0"/>
            <wp:docPr id="1" name="Graphic 1" descr="Figure 3A, a line graph, shows the smoothed median SARS-CoV-2 quantitative wastewater surveillance trends in Victoria, by week of sample of collection, from 1 January to 9 June 2024. Since the beginning of 2024 to mid-February 2024, the smoothed median SARS-CoV-2 concentration normalised by PMMoV (pepper mild mottle virus; a non-pathogenic virus that is shed consistently by the population) has followed a decreasing trend, from 0.013 to 0.004. Since the week ending 14 April 2024, the smoothed median SARS-CoV-2 concentration normalised by PMMoV has increased steadily and reached an apparent peak in the week ending 9 June 2024 at 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igure 3A, a line graph, shows the smoothed median SARS-CoV-2 quantitative wastewater surveillance trends in Victoria, by week of sample of collection, from 1 January to 9 June 2024. Since the beginning of 2024 to mid-February 2024, the smoothed median SARS-CoV-2 concentration normalised by PMMoV (pepper mild mottle virus; a non-pathogenic virus that is shed consistently by the population) has followed a decreasing trend, from 0.013 to 0.004. Since the week ending 14 April 2024, the smoothed median SARS-CoV-2 concentration normalised by PMMoV has increased steadily and reached an apparent peak in the week ending 9 June 2024 at 0.025."/>
                    <pic:cNvPicPr/>
                  </pic:nvPicPr>
                  <pic:blipFill>
                    <a:blip r:embed="rId21">
                      <a:extLst>
                        <a:ext uri="{96DAC541-7B7A-43D3-8B79-37D633B846F1}">
                          <asvg:svgBlip xmlns:asvg="http://schemas.microsoft.com/office/drawing/2016/SVG/main" r:embed="rId22"/>
                        </a:ext>
                      </a:extLst>
                    </a:blip>
                    <a:stretch>
                      <a:fillRect/>
                    </a:stretch>
                  </pic:blipFill>
                  <pic:spPr>
                    <a:xfrm>
                      <a:off x="0" y="0"/>
                      <a:ext cx="6192520" cy="1964690"/>
                    </a:xfrm>
                    <a:prstGeom prst="rect">
                      <a:avLst/>
                    </a:prstGeom>
                  </pic:spPr>
                </pic:pic>
              </a:graphicData>
            </a:graphic>
          </wp:inline>
        </w:drawing>
      </w:r>
      <w:r w:rsidR="00B36A27" w:rsidRPr="00B9493D">
        <w:rPr>
          <w:noProof/>
        </w:rPr>
        <w:drawing>
          <wp:inline distT="0" distB="0" distL="0" distR="0" wp14:anchorId="4ABF3557" wp14:editId="651165FC">
            <wp:extent cx="6192520" cy="1957070"/>
            <wp:effectExtent l="0" t="0" r="0" b="5080"/>
            <wp:docPr id="2" name="Graphic 2" descr="Figure 3B, a line graph, shows the SARS-CoV-2 quantitative wastewater surveillance trends in Western Australia, by week of sample collection, from 1 January to 16 June 2024. Since the beginning of 2024, the weighted average of wastewater SARS-CoV-2 genome copies per 50mL sample has followed a decreasing trend. The weighted average of wastewater SARS-CoV-2 genome copies per 50mL sample for the week ending 2 June was 16,670 genome copies per 50mL sample. This is the highest weighted average reported in 2024. Since this apparent peak, the weighted average of wastewater SARS-CoV-2 genome copies per 50mL sample has been trending down. Quantitative results in Western Australia could not be determined for the 14-day period ending 7 January 2024, 28 April 2024 and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igure 3B, a line graph, shows the SARS-CoV-2 quantitative wastewater surveillance trends in Western Australia, by week of sample collection, from 1 January to 16 June 2024. Since the beginning of 2024, the weighted average of wastewater SARS-CoV-2 genome copies per 50mL sample has followed a decreasing trend. The weighted average of wastewater SARS-CoV-2 genome copies per 50mL sample for the week ending 2 June was 16,670 genome copies per 50mL sample. This is the highest weighted average reported in 2024. Since this apparent peak, the weighted average of wastewater SARS-CoV-2 genome copies per 50mL sample has been trending down. Quantitative results in Western Australia could not be determined for the 14-day period ending 7 January 2024, 28 April 2024 and 5 May 2024."/>
                    <pic:cNvPicPr/>
                  </pic:nvPicPr>
                  <pic:blipFill>
                    <a:blip r:embed="rId23">
                      <a:extLst>
                        <a:ext uri="{96DAC541-7B7A-43D3-8B79-37D633B846F1}">
                          <asvg:svgBlip xmlns:asvg="http://schemas.microsoft.com/office/drawing/2016/SVG/main" r:embed="rId24"/>
                        </a:ext>
                      </a:extLst>
                    </a:blip>
                    <a:stretch>
                      <a:fillRect/>
                    </a:stretch>
                  </pic:blipFill>
                  <pic:spPr>
                    <a:xfrm>
                      <a:off x="0" y="0"/>
                      <a:ext cx="6192520" cy="1957070"/>
                    </a:xfrm>
                    <a:prstGeom prst="rect">
                      <a:avLst/>
                    </a:prstGeom>
                  </pic:spPr>
                </pic:pic>
              </a:graphicData>
            </a:graphic>
          </wp:inline>
        </w:drawing>
      </w:r>
    </w:p>
    <w:p w14:paraId="046ABBF7" w14:textId="1807EEC6" w:rsidR="009F44F5" w:rsidRPr="00B9493D" w:rsidRDefault="008A621A">
      <w:pPr>
        <w:pStyle w:val="Smalltext"/>
      </w:pPr>
      <w:r w:rsidRPr="00B9493D">
        <w:t xml:space="preserve">* Quantitative results in Victoria are normalised by </w:t>
      </w:r>
      <w:proofErr w:type="spellStart"/>
      <w:r w:rsidRPr="00B9493D">
        <w:t>PMMoV</w:t>
      </w:r>
      <w:proofErr w:type="spellEnd"/>
      <w:r w:rsidRPr="00B9493D">
        <w:t xml:space="preserve"> (pepper mild mottle virus; a non-pathogenic virus that is shed consistently by the population) and smoothed over the read period to account for rainfall, population movements and catchment size.</w:t>
      </w:r>
      <w:r w:rsidRPr="00B9493D">
        <w:br/>
        <w:t>† Quantitative results in Western Australia generally have a maximum delay of up to three days.</w:t>
      </w:r>
      <w:r w:rsidRPr="00B9493D">
        <w:br/>
        <w:t>‡ Quantitative results in Western Australia could not be determined for the 14-day period ending 7 January 2024, the 14-day period ending 28 April 2024, or the 14-day period ending 5 May 2024.</w:t>
      </w:r>
    </w:p>
    <w:p w14:paraId="046ABBF8" w14:textId="77777777" w:rsidR="009F44F5" w:rsidRPr="00C20709" w:rsidRDefault="009F44F5">
      <w:pPr>
        <w:pStyle w:val="Smalltext"/>
        <w:rPr>
          <w:highlight w:val="yellow"/>
        </w:rPr>
      </w:pPr>
    </w:p>
    <w:p w14:paraId="046ABBF9" w14:textId="77777777" w:rsidR="009F44F5" w:rsidRPr="003B0B0A" w:rsidRDefault="008A621A" w:rsidP="00806003">
      <w:pPr>
        <w:numPr>
          <w:ilvl w:val="0"/>
          <w:numId w:val="16"/>
        </w:numPr>
      </w:pPr>
      <w:r w:rsidRPr="003B0B0A">
        <w:t>In the year to date, detections of specific strains of SARS-CoV-2 in wastewater samples in Victoria and Western Australia showed that the newly emerged sublineages of JN.1, including KP.3, have been increasing in relative abundance in the community in these jurisdictions since early April 2024 (Figure 4).</w:t>
      </w:r>
    </w:p>
    <w:p w14:paraId="046ABBFA" w14:textId="77777777" w:rsidR="009F44F5" w:rsidRPr="009A6327" w:rsidRDefault="008A621A" w:rsidP="00806003">
      <w:pPr>
        <w:numPr>
          <w:ilvl w:val="1"/>
          <w:numId w:val="17"/>
        </w:numPr>
      </w:pPr>
      <w:r w:rsidRPr="009A6327">
        <w:t>In Victoria, JN.1 sublineages remain the dominant variant in wastewater samples, though the JN.1 sublineage KP.3 has been detected in increasing abundance (Figure 4A).</w:t>
      </w:r>
    </w:p>
    <w:p w14:paraId="046ABBFB" w14:textId="3B115AE6" w:rsidR="009F44F5" w:rsidRPr="007D57E7" w:rsidRDefault="008A621A" w:rsidP="00806003">
      <w:pPr>
        <w:numPr>
          <w:ilvl w:val="1"/>
          <w:numId w:val="17"/>
        </w:numPr>
      </w:pPr>
      <w:r w:rsidRPr="007D57E7">
        <w:t xml:space="preserve">In Western Australia, KP.X </w:t>
      </w:r>
      <w:r w:rsidR="00026328" w:rsidRPr="009A6327">
        <w:t>sublineages</w:t>
      </w:r>
      <w:r w:rsidRPr="007D57E7">
        <w:t xml:space="preserve"> </w:t>
      </w:r>
      <w:r w:rsidR="00026328">
        <w:t xml:space="preserve">have recently become </w:t>
      </w:r>
      <w:r w:rsidR="007D57E7" w:rsidRPr="007D57E7">
        <w:t xml:space="preserve">the </w:t>
      </w:r>
      <w:r w:rsidRPr="007D57E7">
        <w:t xml:space="preserve">dominant </w:t>
      </w:r>
      <w:r w:rsidR="007D57E7" w:rsidRPr="007D57E7">
        <w:t>sublineages</w:t>
      </w:r>
      <w:r w:rsidRPr="007D57E7">
        <w:t xml:space="preserve"> in wastewater samples (Figure 4B).</w:t>
      </w:r>
    </w:p>
    <w:p w14:paraId="046ABBFC" w14:textId="77777777" w:rsidR="009F44F5" w:rsidRPr="00441F27" w:rsidRDefault="008A621A" w:rsidP="00806003">
      <w:pPr>
        <w:numPr>
          <w:ilvl w:val="1"/>
          <w:numId w:val="17"/>
        </w:numPr>
      </w:pPr>
      <w:r w:rsidRPr="00441F27">
        <w:t>Due to the time required to perform genome sequencing and analyses, wastewater surveillance variant trend data for SARS-CoV-2 are only available for the period two weeks behind the current reporting period; therefore, reporting periods presented here may not align with other sections of the report.</w:t>
      </w:r>
    </w:p>
    <w:p w14:paraId="046ABBFD" w14:textId="77777777" w:rsidR="009F44F5" w:rsidRPr="00C20709" w:rsidRDefault="008A621A">
      <w:pPr>
        <w:rPr>
          <w:highlight w:val="yellow"/>
        </w:rPr>
      </w:pPr>
      <w:r w:rsidRPr="00C20709">
        <w:rPr>
          <w:highlight w:val="yellow"/>
        </w:rPr>
        <w:br w:type="page"/>
      </w:r>
    </w:p>
    <w:p w14:paraId="046ABBFE" w14:textId="77777777" w:rsidR="009F44F5" w:rsidRPr="00441F27" w:rsidRDefault="008A621A">
      <w:r w:rsidRPr="00441F27">
        <w:rPr>
          <w:b/>
          <w:bCs/>
        </w:rPr>
        <w:lastRenderedPageBreak/>
        <w:t>Figure 4: Quantitative wastewater surveillance trends for SARS-CoV-2 by variant and sample collection week or fortnight*</w:t>
      </w:r>
      <w:r w:rsidRPr="00441F27">
        <w:rPr>
          <w:b/>
          <w:bCs/>
          <w:vertAlign w:val="superscript"/>
        </w:rPr>
        <w:t>†</w:t>
      </w:r>
      <w:r w:rsidRPr="00441F27">
        <w:rPr>
          <w:b/>
          <w:bCs/>
        </w:rPr>
        <w:t>, (A) Victoria and (B) Western Australia, 1 January to 2 June 2024</w:t>
      </w:r>
    </w:p>
    <w:p w14:paraId="3EE2DBB3" w14:textId="3F46C8C0" w:rsidR="00940C13" w:rsidRPr="00455CC6" w:rsidRDefault="00766B7B">
      <w:pPr>
        <w:pStyle w:val="Smalltext"/>
      </w:pPr>
      <w:r w:rsidRPr="00455CC6">
        <w:rPr>
          <w:noProof/>
        </w:rPr>
        <w:drawing>
          <wp:inline distT="0" distB="0" distL="0" distR="0" wp14:anchorId="19903E86" wp14:editId="5263C8AC">
            <wp:extent cx="6192520" cy="2885440"/>
            <wp:effectExtent l="0" t="0" r="0" b="0"/>
            <wp:docPr id="4" name="Graphic 4" descr="Figure 4A, a 100% stacked bar chart, plots the proportions of SARS-CoV-2 wastewater surveillance samples sequenced by variant and sample collection fortnight in Victoria, from 1 January to 2 June 2024. Since the beginning of 2024 to the fortnight ending 5 May 2024, approximately 75–95% of sequenced samples from Victoria have been the JN.1 variant each fortnight. The remaining 5–25% sequenced samples have been a combination of BA.2.86, KP.3, XBB.1.16, XBB.1.9.X and other sublineages. In the most recent fortnight ending 2 June 2024, JN.1 remains the dominant variant in Victorian wastewater samples with a relative abundance of approximately 54% of sequenced samples. Sublineages of JN.1 including KP.3 have also been detected in Victorian wastewater in increasing abundance, with approximately 42% of sequenced samples assigned to KP.3 in the fortnight ending 2 June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igure 4A, a 100% stacked bar chart, plots the proportions of SARS-CoV-2 wastewater surveillance samples sequenced by variant and sample collection fortnight in Victoria, from 1 January to 2 June 2024. Since the beginning of 2024 to the fortnight ending 5 May 2024, approximately 75–95% of sequenced samples from Victoria have been the JN.1 variant each fortnight. The remaining 5–25% sequenced samples have been a combination of BA.2.86, KP.3, XBB.1.16, XBB.1.9.X and other sublineages. In the most recent fortnight ending 2 June 2024, JN.1 remains the dominant variant in Victorian wastewater samples with a relative abundance of approximately 54% of sequenced samples. Sublineages of JN.1 including KP.3 have also been detected in Victorian wastewater in increasing abundance, with approximately 42% of sequenced samples assigned to KP.3 in the fortnight ending 2 June 2024. "/>
                    <pic:cNvPicPr/>
                  </pic:nvPicPr>
                  <pic:blipFill>
                    <a:blip r:embed="rId25">
                      <a:extLst>
                        <a:ext uri="{96DAC541-7B7A-43D3-8B79-37D633B846F1}">
                          <asvg:svgBlip xmlns:asvg="http://schemas.microsoft.com/office/drawing/2016/SVG/main" r:embed="rId26"/>
                        </a:ext>
                      </a:extLst>
                    </a:blip>
                    <a:stretch>
                      <a:fillRect/>
                    </a:stretch>
                  </pic:blipFill>
                  <pic:spPr>
                    <a:xfrm>
                      <a:off x="0" y="0"/>
                      <a:ext cx="6192520" cy="2885440"/>
                    </a:xfrm>
                    <a:prstGeom prst="rect">
                      <a:avLst/>
                    </a:prstGeom>
                  </pic:spPr>
                </pic:pic>
              </a:graphicData>
            </a:graphic>
          </wp:inline>
        </w:drawing>
      </w:r>
    </w:p>
    <w:p w14:paraId="3DB8E34E" w14:textId="4B12EC0E" w:rsidR="00766B7B" w:rsidRPr="00455CC6" w:rsidRDefault="00803D9D">
      <w:pPr>
        <w:pStyle w:val="Smalltext"/>
      </w:pPr>
      <w:r w:rsidRPr="00455CC6">
        <w:rPr>
          <w:noProof/>
        </w:rPr>
        <w:drawing>
          <wp:inline distT="0" distB="0" distL="0" distR="0" wp14:anchorId="2FF6A6C2" wp14:editId="35F649FF">
            <wp:extent cx="6192520" cy="2648585"/>
            <wp:effectExtent l="0" t="0" r="0" b="0"/>
            <wp:docPr id="5" name="Graphic 5" descr="Figure 4B, a 100% stacked bar chart, plots the proportions of SARS-CoV-2 wastewater surveillance samples sequenced by variant and sample collection week in Western Australia, from 1 January to 2 June 2024. Since the beginning of 2024, the proportion of JN.1.X sequences have been increasing each week from approximately 70% in the week ending 7 January 2024, to 97% in the week ending 10 March 2024. From mid-March, the proportion of KP.X sequences have been increasing each week. KP.X sequences became the dominant circulating variant in Western Australia in the week ending 19 May 2024. Approximately 60% of sequenced samples were assigned to KP.X in the week ending 2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Figure 4B, a 100% stacked bar chart, plots the proportions of SARS-CoV-2 wastewater surveillance samples sequenced by variant and sample collection week in Western Australia, from 1 January to 2 June 2024. Since the beginning of 2024, the proportion of JN.1.X sequences have been increasing each week from approximately 70% in the week ending 7 January 2024, to 97% in the week ending 10 March 2024. From mid-March, the proportion of KP.X sequences have been increasing each week. KP.X sequences became the dominant circulating variant in Western Australia in the week ending 19 May 2024. Approximately 60% of sequenced samples were assigned to KP.X in the week ending 2 June 2024."/>
                    <pic:cNvPicPr/>
                  </pic:nvPicPr>
                  <pic:blipFill>
                    <a:blip r:embed="rId27">
                      <a:extLst>
                        <a:ext uri="{96DAC541-7B7A-43D3-8B79-37D633B846F1}">
                          <asvg:svgBlip xmlns:asvg="http://schemas.microsoft.com/office/drawing/2016/SVG/main" r:embed="rId28"/>
                        </a:ext>
                      </a:extLst>
                    </a:blip>
                    <a:stretch>
                      <a:fillRect/>
                    </a:stretch>
                  </pic:blipFill>
                  <pic:spPr>
                    <a:xfrm>
                      <a:off x="0" y="0"/>
                      <a:ext cx="6192520" cy="2648585"/>
                    </a:xfrm>
                    <a:prstGeom prst="rect">
                      <a:avLst/>
                    </a:prstGeom>
                  </pic:spPr>
                </pic:pic>
              </a:graphicData>
            </a:graphic>
          </wp:inline>
        </w:drawing>
      </w:r>
    </w:p>
    <w:p w14:paraId="046ABBFF" w14:textId="6AFE7531" w:rsidR="009F44F5" w:rsidRPr="00701C14" w:rsidRDefault="008A621A">
      <w:pPr>
        <w:pStyle w:val="Smalltext"/>
      </w:pPr>
      <w:r w:rsidRPr="00701C14">
        <w:t>* The .X following the lineage name indicates the inclusion of all respective sub-lineages.</w:t>
      </w:r>
      <w:r w:rsidRPr="00701C14">
        <w:br/>
        <w:t>† Genomic results in Victoria and Western Australia may be delayed up to 14 days as sequencing occurs fortnightly.</w:t>
      </w:r>
    </w:p>
    <w:p w14:paraId="046ABC00" w14:textId="77777777" w:rsidR="009F44F5" w:rsidRPr="00C20709" w:rsidRDefault="009F44F5">
      <w:pPr>
        <w:pStyle w:val="Smalltext"/>
        <w:rPr>
          <w:highlight w:val="yellow"/>
        </w:rPr>
      </w:pPr>
    </w:p>
    <w:p w14:paraId="046ABC01" w14:textId="77777777" w:rsidR="009F44F5" w:rsidRPr="00701C14" w:rsidRDefault="008A621A">
      <w:pPr>
        <w:pStyle w:val="Heading3"/>
      </w:pPr>
      <w:bookmarkStart w:id="8" w:name="laboratory-based-surveillance"/>
      <w:bookmarkEnd w:id="4"/>
      <w:bookmarkEnd w:id="7"/>
      <w:r w:rsidRPr="00701C14">
        <w:t>1.2 Laboratory-based surveillance</w:t>
      </w:r>
    </w:p>
    <w:p w14:paraId="046ABC02" w14:textId="77777777" w:rsidR="009F44F5" w:rsidRPr="00701C14" w:rsidRDefault="008A621A">
      <w:pPr>
        <w:pStyle w:val="Heading4"/>
      </w:pPr>
      <w:bookmarkStart w:id="9" w:name="Xe26c365f2fc725ff56923a02a88adf6e38446e9"/>
      <w:r w:rsidRPr="00701C14">
        <w:t>Sentinel laboratories, including National Influenza Centres</w:t>
      </w:r>
    </w:p>
    <w:p w14:paraId="046ABC03" w14:textId="07B6E85E" w:rsidR="009F44F5" w:rsidRPr="003B63EC" w:rsidRDefault="008A621A" w:rsidP="00806003">
      <w:pPr>
        <w:numPr>
          <w:ilvl w:val="0"/>
          <w:numId w:val="18"/>
        </w:numPr>
      </w:pPr>
      <w:r w:rsidRPr="00494013">
        <w:t>This fortnight (3 June to 16 June 2024), 6.7% (1</w:t>
      </w:r>
      <w:r w:rsidR="004D2A50" w:rsidRPr="00494013">
        <w:t>,</w:t>
      </w:r>
      <w:r w:rsidRPr="00494013">
        <w:t>213/18,002) of samples tested for SARS-CoV-2 across sentinel laboratories have been positive for SARS-CoV-2, a</w:t>
      </w:r>
      <w:r w:rsidR="00494013" w:rsidRPr="00494013">
        <w:t xml:space="preserve"> small </w:t>
      </w:r>
      <w:r w:rsidRPr="00494013">
        <w:t xml:space="preserve">increase in </w:t>
      </w:r>
      <w:r w:rsidRPr="003B63EC">
        <w:t>positivity compared with the previous fortnight (6.2%; 1</w:t>
      </w:r>
      <w:r w:rsidR="004D2A50" w:rsidRPr="003B63EC">
        <w:t>,</w:t>
      </w:r>
      <w:r w:rsidRPr="003B63EC">
        <w:t>039/16,640) (Figure 5).</w:t>
      </w:r>
    </w:p>
    <w:p w14:paraId="046ABC04" w14:textId="5AB511A3" w:rsidR="009F44F5" w:rsidRPr="003B63EC" w:rsidRDefault="008A621A" w:rsidP="00806003">
      <w:pPr>
        <w:numPr>
          <w:ilvl w:val="0"/>
          <w:numId w:val="18"/>
        </w:numPr>
      </w:pPr>
      <w:r w:rsidRPr="003B63EC">
        <w:t>This fortnight, 9.1% (1,870/20,648) of the samples tested for influenza across sentinel laboratories have been positive for influenza, a</w:t>
      </w:r>
      <w:r w:rsidR="003B63EC" w:rsidRPr="003B63EC">
        <w:t xml:space="preserve">n </w:t>
      </w:r>
      <w:r w:rsidRPr="003B63EC">
        <w:t>increase in positivity compared with the previous fortnight (6.7%; 1,299/19,330) (Figure 5).</w:t>
      </w:r>
    </w:p>
    <w:p w14:paraId="046ABC05" w14:textId="61E5EB3D" w:rsidR="009F44F5" w:rsidRPr="00F06740" w:rsidRDefault="008A621A" w:rsidP="00806003">
      <w:pPr>
        <w:numPr>
          <w:ilvl w:val="0"/>
          <w:numId w:val="18"/>
        </w:numPr>
      </w:pPr>
      <w:r w:rsidRPr="00F06740">
        <w:lastRenderedPageBreak/>
        <w:t>This fortnight, 4.1% (737/18,002) of the samples tested for RSV across sentinel laboratories have been positive for RSV, a</w:t>
      </w:r>
      <w:r w:rsidR="00F06740" w:rsidRPr="00F06740">
        <w:t xml:space="preserve">n </w:t>
      </w:r>
      <w:r w:rsidRPr="00F06740">
        <w:t>increase in positivity compared with the previous fortnight (3.7%; 616/16,640) (Figure 5).</w:t>
      </w:r>
    </w:p>
    <w:p w14:paraId="046ABC06" w14:textId="77777777" w:rsidR="009F44F5" w:rsidRPr="00F06740" w:rsidRDefault="008A621A" w:rsidP="00806003">
      <w:pPr>
        <w:numPr>
          <w:ilvl w:val="0"/>
          <w:numId w:val="18"/>
        </w:numPr>
      </w:pPr>
      <w:r w:rsidRPr="00F06740">
        <w:t>This fortnight, the most commonly detected respiratory viruses by sentinel laboratory site and week were:</w:t>
      </w:r>
    </w:p>
    <w:p w14:paraId="046ABC07" w14:textId="7EF21FFC" w:rsidR="009F44F5" w:rsidRPr="00F06740" w:rsidRDefault="008A621A" w:rsidP="00806003">
      <w:pPr>
        <w:numPr>
          <w:ilvl w:val="1"/>
          <w:numId w:val="19"/>
        </w:numPr>
      </w:pPr>
      <w:r w:rsidRPr="00F06740">
        <w:t>New South Wales: influenza A (</w:t>
      </w:r>
      <w:r w:rsidR="00F06740" w:rsidRPr="00F06740">
        <w:t>both weeks</w:t>
      </w:r>
      <w:r w:rsidRPr="00F06740">
        <w:t>)</w:t>
      </w:r>
    </w:p>
    <w:p w14:paraId="046ABC08" w14:textId="7D743BAD" w:rsidR="009F44F5" w:rsidRPr="00F06740" w:rsidRDefault="008A621A" w:rsidP="00806003">
      <w:pPr>
        <w:numPr>
          <w:ilvl w:val="1"/>
          <w:numId w:val="19"/>
        </w:numPr>
      </w:pPr>
      <w:r w:rsidRPr="00F06740">
        <w:t>South Australia: rhinovirus (</w:t>
      </w:r>
      <w:r w:rsidR="00F06740" w:rsidRPr="00F06740">
        <w:t>both weeks</w:t>
      </w:r>
      <w:r w:rsidRPr="00F06740">
        <w:t>)</w:t>
      </w:r>
    </w:p>
    <w:p w14:paraId="046ABC09" w14:textId="0E47AF8F" w:rsidR="009F44F5" w:rsidRPr="00F06740" w:rsidRDefault="008A621A" w:rsidP="00806003">
      <w:pPr>
        <w:numPr>
          <w:ilvl w:val="1"/>
          <w:numId w:val="19"/>
        </w:numPr>
      </w:pPr>
      <w:r w:rsidRPr="00F06740">
        <w:t>Tasmania: rhinovirus (</w:t>
      </w:r>
      <w:r w:rsidR="00F06740" w:rsidRPr="00F06740">
        <w:t>both weeks</w:t>
      </w:r>
      <w:r w:rsidRPr="00F06740">
        <w:t>)</w:t>
      </w:r>
    </w:p>
    <w:p w14:paraId="046ABC0A" w14:textId="77777777" w:rsidR="009F44F5" w:rsidRPr="00F06740" w:rsidRDefault="008A621A" w:rsidP="00806003">
      <w:pPr>
        <w:numPr>
          <w:ilvl w:val="1"/>
          <w:numId w:val="19"/>
        </w:numPr>
      </w:pPr>
      <w:r w:rsidRPr="00F06740">
        <w:t>Victoria: influenza A, SARS-CoV-2, parainfluenza, picornavirus (week 23) and influenza A (week 24)</w:t>
      </w:r>
    </w:p>
    <w:p w14:paraId="046ABC0B" w14:textId="55EC2523" w:rsidR="009F44F5" w:rsidRPr="00B00A9B" w:rsidRDefault="008A621A" w:rsidP="00806003">
      <w:pPr>
        <w:numPr>
          <w:ilvl w:val="1"/>
          <w:numId w:val="19"/>
        </w:numPr>
      </w:pPr>
      <w:r w:rsidRPr="00B00A9B">
        <w:t>Western Australia: SARS-CoV-2 (</w:t>
      </w:r>
      <w:r w:rsidR="00F06740" w:rsidRPr="00B00A9B">
        <w:t>both weeks</w:t>
      </w:r>
      <w:r w:rsidRPr="00B00A9B">
        <w:t>).</w:t>
      </w:r>
    </w:p>
    <w:p w14:paraId="046ABC0C" w14:textId="77777777" w:rsidR="009F44F5" w:rsidRPr="00B00A9B" w:rsidRDefault="008A621A" w:rsidP="00806003">
      <w:pPr>
        <w:numPr>
          <w:ilvl w:val="0"/>
          <w:numId w:val="18"/>
        </w:numPr>
      </w:pPr>
      <w:r w:rsidRPr="00B00A9B">
        <w:t>In the year to date, 5.4% (8,399/154,716) of samples tested for SARS-CoV-2 have been positive for SARS-CoV-2, 4.2% (7,575/180,762) of samples tested for influenza have been positive for influenza and 2.4% (3,724/154,716) of samples tested for RSV have been positive for RSV (Figure 5).</w:t>
      </w:r>
    </w:p>
    <w:p w14:paraId="046ABC0D" w14:textId="77777777" w:rsidR="009F44F5" w:rsidRPr="00B00A9B" w:rsidRDefault="008A621A">
      <w:pPr>
        <w:rPr>
          <w:b/>
          <w:bCs/>
        </w:rPr>
      </w:pPr>
      <w:r w:rsidRPr="00B00A9B">
        <w:rPr>
          <w:b/>
          <w:bCs/>
        </w:rPr>
        <w:t>Figure 5: Total number of specimens tested by sentinel laboratories and proportion of positive sentinel laboratory tests by pathogen and week of report*</w:t>
      </w:r>
      <w:r w:rsidRPr="00B00A9B">
        <w:rPr>
          <w:b/>
          <w:bCs/>
          <w:vertAlign w:val="superscript"/>
        </w:rPr>
        <w:t>†</w:t>
      </w:r>
      <w:r w:rsidRPr="00B00A9B">
        <w:rPr>
          <w:b/>
          <w:bCs/>
        </w:rPr>
        <w:t>, 1 January to 16 June 2024</w:t>
      </w:r>
    </w:p>
    <w:p w14:paraId="4E8F5F75" w14:textId="3C2EB9A2" w:rsidR="00F06740" w:rsidRPr="00C20709" w:rsidRDefault="00C24522">
      <w:pPr>
        <w:rPr>
          <w:highlight w:val="yellow"/>
        </w:rPr>
      </w:pPr>
      <w:r>
        <w:rPr>
          <w:noProof/>
        </w:rPr>
        <w:drawing>
          <wp:inline distT="0" distB="0" distL="0" distR="0" wp14:anchorId="67943E16" wp14:editId="2842D395">
            <wp:extent cx="6184900" cy="2731980"/>
            <wp:effectExtent l="0" t="0" r="0" b="0"/>
            <wp:docPr id="38" name="Graphic 38" descr="A stacked bar chart showing the weekly proportion of sentinel laboratory tests positive for SARS-CoV-2, influenza, or RSV by week of report, from 1 January to 16 June 2024. A line graph plotted on the secondary (right) axis shows the total number of specimens tested, by week of report, from 1 January to 16 June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SARS-CoV-2 positivity per week has slightly increased to approximately 6.5% in the most recent fortnight. The weekly proportion of influenza positive tests has followed a gradual increasing trend since mid-February 2024. Influenza test positivity in the most recent fortnight increased to almost 9%. The weekly proportion of RSV positive tests has followed an increasing trend since mid-February 2024, with test positivity remaining stable at 4% in the most recent fortnight. The total number of specimens tested gradually increased since late March 2024 at approximately 5,300 tests per week to 9,0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Graphic 38" descr="A stacked bar chart showing the weekly proportion of sentinel laboratory tests positive for SARS-CoV-2, influenza, or RSV by week of report, from 1 January to 16 June 2024. A line graph plotted on the secondary (right) axis shows the total number of specimens tested, by week of report, from 1 January to 16 June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SARS-CoV-2 positivity per week has slightly increased to approximately 6.5% in the most recent fortnight. The weekly proportion of influenza positive tests has followed a gradual increasing trend since mid-February 2024. Influenza test positivity in the most recent fortnight increased to almost 9%. The weekly proportion of RSV positive tests has followed an increasing trend since mid-February 2024, with test positivity remaining stable at 4% in the most recent fortnight. The total number of specimens tested gradually increased since late March 2024 at approximately 5,300 tests per week to 9,000 tests per week in the most recent fortnight."/>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C0F" w14:textId="77777777" w:rsidR="009F44F5" w:rsidRPr="00B00A9B" w:rsidRDefault="008A621A">
      <w:pPr>
        <w:pStyle w:val="Smalltext"/>
      </w:pPr>
      <w:r w:rsidRPr="00B00A9B">
        <w:t>* Number of specimens tested excludes data from Western Australia as testing denominator data are different for the three pathogens in Western Australia.</w:t>
      </w:r>
      <w:r w:rsidRPr="00B00A9B">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rsidRPr="00B00A9B">
        <w:br/>
      </w:r>
    </w:p>
    <w:p w14:paraId="046ABC10" w14:textId="77777777" w:rsidR="009F44F5" w:rsidRPr="00751D6A" w:rsidRDefault="008A621A">
      <w:pPr>
        <w:pStyle w:val="Heading3"/>
      </w:pPr>
      <w:bookmarkStart w:id="10" w:name="case-based-surveillance"/>
      <w:bookmarkEnd w:id="8"/>
      <w:bookmarkEnd w:id="9"/>
      <w:r w:rsidRPr="00751D6A">
        <w:t>1.3 Case-based surveillance</w:t>
      </w:r>
    </w:p>
    <w:p w14:paraId="046ABC11" w14:textId="77777777" w:rsidR="009F44F5" w:rsidRPr="002117C7" w:rsidRDefault="008A621A">
      <w:pPr>
        <w:pStyle w:val="Heading4"/>
      </w:pPr>
      <w:bookmarkStart w:id="11" w:name="nndss"/>
      <w:r w:rsidRPr="002117C7">
        <w:t>NNDSS</w:t>
      </w:r>
    </w:p>
    <w:p w14:paraId="58E42792" w14:textId="2E8EA1CE" w:rsidR="002117C7" w:rsidRPr="0086559E" w:rsidRDefault="0086559E" w:rsidP="008A621A">
      <w:pPr>
        <w:numPr>
          <w:ilvl w:val="0"/>
          <w:numId w:val="20"/>
        </w:numPr>
        <w:spacing w:before="0" w:after="0" w:line="240" w:lineRule="auto"/>
        <w:rPr>
          <w:b/>
          <w:bCs/>
        </w:rPr>
      </w:pPr>
      <w:r w:rsidRPr="0086559E">
        <w:rPr>
          <w:lang w:val="en-US"/>
        </w:rPr>
        <w:t>Nationally, this fortnight there was a decreasing trend in the number of notified COVID-19 cases and the number of notified RSV cases, while the number of notified influenza cases continued to increase steadily.</w:t>
      </w:r>
    </w:p>
    <w:p w14:paraId="29775D17" w14:textId="633B1006" w:rsidR="0086559E" w:rsidRDefault="0086559E">
      <w:pPr>
        <w:spacing w:before="0" w:after="0" w:line="240" w:lineRule="auto"/>
        <w:rPr>
          <w:highlight w:val="yellow"/>
        </w:rPr>
      </w:pPr>
      <w:r>
        <w:rPr>
          <w:highlight w:val="yellow"/>
        </w:rPr>
        <w:br w:type="page"/>
      </w:r>
    </w:p>
    <w:p w14:paraId="046ABC14" w14:textId="5EB1750C" w:rsidR="009F44F5" w:rsidRPr="002117C7" w:rsidRDefault="008A621A">
      <w:r w:rsidRPr="002117C7">
        <w:rPr>
          <w:b/>
          <w:bCs/>
        </w:rPr>
        <w:lastRenderedPageBreak/>
        <w:t>Table 1: Notifications to the NNDSS and notification rate per 100,000 population by disease, five-year age group, and jurisdiction*</w:t>
      </w:r>
      <w:r w:rsidRPr="002117C7">
        <w:rPr>
          <w:b/>
          <w:bCs/>
          <w:vertAlign w:val="superscript"/>
        </w:rPr>
        <w:t>†</w:t>
      </w:r>
      <w:r w:rsidRPr="002117C7">
        <w:rPr>
          <w:b/>
          <w:bCs/>
        </w:rPr>
        <w:t>, Australia, 1 January to 16 June 2024</w:t>
      </w:r>
    </w:p>
    <w:tbl>
      <w:tblPr>
        <w:tblStyle w:val="DepartmentofHealthtable"/>
        <w:tblW w:w="5000" w:type="pct"/>
        <w:tblLook w:val="04A0" w:firstRow="1" w:lastRow="0" w:firstColumn="1"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3 June to 16 June 2024) and for year to date (1 January to 16 June 2024). There were 20,097 COVID-19 notifications with a diagnosis date this fortnight. In the year to date, the national notification rate of COVID-19 is 562.6 notifications per 100,000 population. Since the beginning of 2024, COVID-19 notification rates have been highest among those aged 70 years or over (1,645.7 notifications per 100,000 population), followed by those aged 0–4 years (800.3 notifications per 100,000 population). In the year to date, COVID-19 notification rates were highest in New South Wales (771.6 notifications per 100,000 population) and lowest in Western Australia (301.5 notifications per 100,000 population). There were 25,929 influenza notifications with a diagnosis date this fortnight. In the year to date, the national notification rate of influenza is 379.2 notifications per 100,000 population. Influenza notification rates have been highest among those aged 5–9 (921.7 notifications per 100,000 population) followed by those aged 0–4 years (840.1 notifications per 100,000 population). In the year to date, influenza notification rates have been highest in the Northern Territory (787.4 notifications per 100,000 population) and lowest in Western Australia (129.5 notifications per 100,000 population). There were 12,672 RSV notifications with a diagnosis date this fortnight. In the year to date, the national notification rate of RSV is 374.1 notifications per 100,000 population. RSV notification rates have been highest among those aged 0–4 years (3,592.8 notifications per 100,000 population), followed by those aged 5–9 years (478.7 notifications per 100,000 population). In the year to date, RSV notification rates have been highest in New South Wales (575.4 notifications per 100,000 population), followed by the Northern Territory (443.2 notifications per 100,000 population), and lowest in Western Australia (61.6 notifications per 100,000 population)."/>
      </w:tblPr>
      <w:tblGrid>
        <w:gridCol w:w="976"/>
        <w:gridCol w:w="976"/>
        <w:gridCol w:w="975"/>
        <w:gridCol w:w="977"/>
        <w:gridCol w:w="975"/>
        <w:gridCol w:w="975"/>
        <w:gridCol w:w="979"/>
        <w:gridCol w:w="975"/>
        <w:gridCol w:w="975"/>
        <w:gridCol w:w="969"/>
      </w:tblGrid>
      <w:tr w:rsidR="007A7D7F" w:rsidRPr="007A7D7F" w14:paraId="2E7EF37B" w14:textId="77777777" w:rsidTr="007A7D7F">
        <w:trPr>
          <w:cnfStyle w:val="100000000000" w:firstRow="1" w:lastRow="0" w:firstColumn="0" w:lastColumn="0" w:oddVBand="0" w:evenVBand="0" w:oddHBand="0" w:evenHBand="0" w:firstRowFirstColumn="0" w:firstRowLastColumn="0" w:lastRowFirstColumn="0" w:lastRowLastColumn="0"/>
          <w:trHeight w:val="368"/>
        </w:trPr>
        <w:tc>
          <w:tcPr>
            <w:tcW w:w="500" w:type="pct"/>
          </w:tcPr>
          <w:p w14:paraId="4A1D5D05" w14:textId="77777777" w:rsidR="00512CAE" w:rsidRPr="007A7D7F" w:rsidRDefault="00512CAE" w:rsidP="008A621A">
            <w:pPr>
              <w:spacing w:before="100" w:after="100"/>
              <w:rPr>
                <w:rFonts w:cs="Arial"/>
                <w:b w:val="0"/>
                <w:sz w:val="18"/>
                <w:szCs w:val="18"/>
              </w:rPr>
            </w:pPr>
          </w:p>
        </w:tc>
        <w:tc>
          <w:tcPr>
            <w:tcW w:w="1501" w:type="pct"/>
            <w:gridSpan w:val="3"/>
            <w:tcBorders>
              <w:bottom w:val="single" w:sz="8" w:space="0" w:color="27F3F3" w:themeColor="text1" w:themeTint="80"/>
            </w:tcBorders>
          </w:tcPr>
          <w:p w14:paraId="6386784F" w14:textId="77777777" w:rsidR="00512CAE" w:rsidRPr="007A7D7F" w:rsidRDefault="00512CAE" w:rsidP="008A621A">
            <w:pPr>
              <w:spacing w:before="100" w:after="100"/>
              <w:jc w:val="center"/>
              <w:rPr>
                <w:rFonts w:cs="Arial"/>
                <w:b w:val="0"/>
                <w:sz w:val="18"/>
                <w:szCs w:val="18"/>
              </w:rPr>
            </w:pPr>
            <w:r w:rsidRPr="007A7D7F">
              <w:rPr>
                <w:rFonts w:cs="Arial"/>
                <w:sz w:val="18"/>
                <w:szCs w:val="18"/>
              </w:rPr>
              <w:t>COVID-19</w:t>
            </w:r>
          </w:p>
        </w:tc>
        <w:tc>
          <w:tcPr>
            <w:tcW w:w="1502" w:type="pct"/>
            <w:gridSpan w:val="3"/>
            <w:tcBorders>
              <w:bottom w:val="single" w:sz="8" w:space="0" w:color="27F3F3" w:themeColor="text1" w:themeTint="80"/>
            </w:tcBorders>
          </w:tcPr>
          <w:p w14:paraId="38C25354" w14:textId="77777777" w:rsidR="00512CAE" w:rsidRPr="007A7D7F" w:rsidRDefault="00512CAE" w:rsidP="008A621A">
            <w:pPr>
              <w:spacing w:before="100" w:after="100"/>
              <w:jc w:val="center"/>
              <w:rPr>
                <w:rFonts w:cs="Arial"/>
                <w:b w:val="0"/>
                <w:sz w:val="18"/>
                <w:szCs w:val="18"/>
              </w:rPr>
            </w:pPr>
            <w:r w:rsidRPr="007A7D7F">
              <w:rPr>
                <w:rFonts w:cs="Arial"/>
                <w:sz w:val="18"/>
                <w:szCs w:val="18"/>
              </w:rPr>
              <w:t>Influenza</w:t>
            </w:r>
          </w:p>
        </w:tc>
        <w:tc>
          <w:tcPr>
            <w:tcW w:w="1498" w:type="pct"/>
            <w:gridSpan w:val="3"/>
            <w:tcBorders>
              <w:bottom w:val="single" w:sz="8" w:space="0" w:color="27F3F3" w:themeColor="text1" w:themeTint="80"/>
            </w:tcBorders>
          </w:tcPr>
          <w:p w14:paraId="1203952F" w14:textId="77777777" w:rsidR="00512CAE" w:rsidRPr="007A7D7F" w:rsidRDefault="00512CAE" w:rsidP="008A621A">
            <w:pPr>
              <w:spacing w:before="100" w:after="100"/>
              <w:jc w:val="center"/>
              <w:rPr>
                <w:rFonts w:cs="Arial"/>
                <w:b w:val="0"/>
                <w:sz w:val="18"/>
                <w:szCs w:val="18"/>
              </w:rPr>
            </w:pPr>
            <w:r w:rsidRPr="007A7D7F">
              <w:rPr>
                <w:rFonts w:cs="Arial"/>
                <w:sz w:val="18"/>
                <w:szCs w:val="18"/>
              </w:rPr>
              <w:t>RSV</w:t>
            </w:r>
          </w:p>
        </w:tc>
      </w:tr>
      <w:tr w:rsidR="007A7D7F" w:rsidRPr="007A7D7F" w14:paraId="50B2C81F" w14:textId="77777777" w:rsidTr="007A7D7F">
        <w:trPr>
          <w:trHeight w:val="841"/>
        </w:trPr>
        <w:tc>
          <w:tcPr>
            <w:tcW w:w="500" w:type="pct"/>
            <w:shd w:val="clear" w:color="auto" w:fill="00DCA1" w:themeFill="background1"/>
          </w:tcPr>
          <w:p w14:paraId="574F937E" w14:textId="77777777" w:rsidR="00512CAE" w:rsidRPr="007A7D7F" w:rsidRDefault="00512CAE" w:rsidP="008A621A">
            <w:pPr>
              <w:spacing w:before="100" w:after="100"/>
              <w:rPr>
                <w:rFonts w:cs="Arial"/>
                <w:b/>
                <w:sz w:val="16"/>
                <w:szCs w:val="16"/>
              </w:rPr>
            </w:pP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2DA3280" w14:textId="77777777" w:rsidR="00512CAE" w:rsidRPr="007A7D7F" w:rsidRDefault="00512CAE" w:rsidP="008A621A">
            <w:pPr>
              <w:spacing w:before="100" w:after="100"/>
              <w:jc w:val="right"/>
              <w:rPr>
                <w:rFonts w:cs="Arial"/>
                <w:b/>
                <w:sz w:val="14"/>
                <w:szCs w:val="14"/>
              </w:rPr>
            </w:pPr>
            <w:r w:rsidRPr="007A7D7F">
              <w:rPr>
                <w:rFonts w:cs="Arial"/>
                <w:b/>
                <w:sz w:val="14"/>
                <w:szCs w:val="14"/>
              </w:rPr>
              <w:t>Reporting fortnight</w:t>
            </w:r>
            <w:r w:rsidRPr="007A7D7F">
              <w:rPr>
                <w:rFonts w:cs="Arial"/>
                <w:b/>
                <w:sz w:val="14"/>
                <w:szCs w:val="14"/>
              </w:rPr>
              <w:br/>
              <w:t xml:space="preserve">(n) </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7D0174B" w14:textId="77777777" w:rsidR="00512CAE" w:rsidRPr="007A7D7F" w:rsidRDefault="00512CAE" w:rsidP="008A621A">
            <w:pPr>
              <w:spacing w:before="100" w:after="100"/>
              <w:jc w:val="right"/>
              <w:rPr>
                <w:rFonts w:cs="Arial"/>
                <w:b/>
                <w:sz w:val="14"/>
                <w:szCs w:val="14"/>
              </w:rPr>
            </w:pPr>
            <w:r w:rsidRPr="007A7D7F">
              <w:rPr>
                <w:rFonts w:cs="Arial"/>
                <w:b/>
                <w:sz w:val="14"/>
                <w:szCs w:val="14"/>
              </w:rPr>
              <w:t>Year to date</w:t>
            </w:r>
            <w:r w:rsidRPr="007A7D7F">
              <w:rPr>
                <w:rFonts w:cs="Arial"/>
                <w:b/>
                <w:sz w:val="14"/>
                <w:szCs w:val="14"/>
              </w:rPr>
              <w:br/>
              <w:t>(n)</w:t>
            </w:r>
          </w:p>
        </w:tc>
        <w:tc>
          <w:tcPr>
            <w:tcW w:w="501" w:type="pct"/>
            <w:tcBorders>
              <w:top w:val="single" w:sz="8" w:space="0" w:color="27F3F3" w:themeColor="text1" w:themeTint="80"/>
              <w:bottom w:val="single" w:sz="8" w:space="0" w:color="27F3F3" w:themeColor="text1" w:themeTint="80"/>
            </w:tcBorders>
            <w:shd w:val="clear" w:color="auto" w:fill="00DCA1" w:themeFill="background1"/>
          </w:tcPr>
          <w:p w14:paraId="751A53F6" w14:textId="77777777" w:rsidR="00512CAE" w:rsidRPr="007A7D7F" w:rsidRDefault="00512CAE" w:rsidP="008A621A">
            <w:pPr>
              <w:spacing w:before="100" w:after="100"/>
              <w:jc w:val="right"/>
              <w:rPr>
                <w:rFonts w:cs="Arial"/>
                <w:b/>
                <w:sz w:val="14"/>
                <w:szCs w:val="14"/>
              </w:rPr>
            </w:pPr>
            <w:r w:rsidRPr="007A7D7F">
              <w:rPr>
                <w:rFonts w:cs="Arial"/>
                <w:b/>
                <w:sz w:val="14"/>
                <w:szCs w:val="14"/>
              </w:rPr>
              <w:t>Year to date</w:t>
            </w:r>
            <w:r w:rsidRPr="007A7D7F">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0E13FBA8" w14:textId="77777777" w:rsidR="00512CAE" w:rsidRPr="007A7D7F" w:rsidRDefault="00512CAE" w:rsidP="008A621A">
            <w:pPr>
              <w:spacing w:before="100" w:after="100"/>
              <w:jc w:val="right"/>
              <w:rPr>
                <w:rFonts w:cs="Arial"/>
                <w:b/>
                <w:sz w:val="14"/>
                <w:szCs w:val="14"/>
              </w:rPr>
            </w:pPr>
            <w:r w:rsidRPr="007A7D7F">
              <w:rPr>
                <w:rFonts w:cs="Arial"/>
                <w:b/>
                <w:sz w:val="14"/>
                <w:szCs w:val="14"/>
              </w:rPr>
              <w:t>Reporting fortnight</w:t>
            </w:r>
            <w:r w:rsidRPr="007A7D7F">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FAA161A" w14:textId="77777777" w:rsidR="00512CAE" w:rsidRPr="007A7D7F" w:rsidRDefault="00512CAE" w:rsidP="008A621A">
            <w:pPr>
              <w:spacing w:before="100" w:after="100"/>
              <w:jc w:val="right"/>
              <w:rPr>
                <w:rFonts w:cs="Arial"/>
                <w:b/>
                <w:sz w:val="14"/>
                <w:szCs w:val="14"/>
              </w:rPr>
            </w:pPr>
            <w:r w:rsidRPr="007A7D7F">
              <w:rPr>
                <w:rFonts w:cs="Arial"/>
                <w:b/>
                <w:sz w:val="14"/>
                <w:szCs w:val="14"/>
              </w:rPr>
              <w:t>Year to date</w:t>
            </w:r>
            <w:r w:rsidRPr="007A7D7F">
              <w:rPr>
                <w:rFonts w:cs="Arial"/>
                <w:b/>
                <w:sz w:val="14"/>
                <w:szCs w:val="14"/>
              </w:rPr>
              <w:br/>
              <w:t>(n)</w:t>
            </w:r>
          </w:p>
        </w:tc>
        <w:tc>
          <w:tcPr>
            <w:tcW w:w="502" w:type="pct"/>
            <w:tcBorders>
              <w:top w:val="single" w:sz="8" w:space="0" w:color="27F3F3" w:themeColor="text1" w:themeTint="80"/>
              <w:bottom w:val="single" w:sz="8" w:space="0" w:color="27F3F3" w:themeColor="text1" w:themeTint="80"/>
            </w:tcBorders>
            <w:shd w:val="clear" w:color="auto" w:fill="00DCA1" w:themeFill="background1"/>
          </w:tcPr>
          <w:p w14:paraId="2B1EB485" w14:textId="77777777" w:rsidR="00512CAE" w:rsidRPr="007A7D7F" w:rsidRDefault="00512CAE" w:rsidP="008A621A">
            <w:pPr>
              <w:spacing w:before="100" w:after="100"/>
              <w:jc w:val="right"/>
              <w:rPr>
                <w:rFonts w:cs="Arial"/>
                <w:b/>
                <w:sz w:val="14"/>
                <w:szCs w:val="14"/>
              </w:rPr>
            </w:pPr>
            <w:r w:rsidRPr="007A7D7F">
              <w:rPr>
                <w:rFonts w:cs="Arial"/>
                <w:b/>
                <w:sz w:val="14"/>
                <w:szCs w:val="14"/>
              </w:rPr>
              <w:t>Year to date</w:t>
            </w:r>
            <w:r w:rsidRPr="007A7D7F">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54001A52" w14:textId="77777777" w:rsidR="00512CAE" w:rsidRPr="007A7D7F" w:rsidRDefault="00512CAE" w:rsidP="008A621A">
            <w:pPr>
              <w:spacing w:before="100" w:after="100"/>
              <w:jc w:val="right"/>
              <w:rPr>
                <w:rFonts w:cs="Arial"/>
                <w:b/>
                <w:sz w:val="14"/>
                <w:szCs w:val="14"/>
              </w:rPr>
            </w:pPr>
            <w:r w:rsidRPr="007A7D7F">
              <w:rPr>
                <w:rFonts w:cs="Arial"/>
                <w:b/>
                <w:sz w:val="14"/>
                <w:szCs w:val="14"/>
              </w:rPr>
              <w:t>Reporting fortnight</w:t>
            </w:r>
            <w:r w:rsidRPr="007A7D7F">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2FEAAFC" w14:textId="77777777" w:rsidR="00512CAE" w:rsidRPr="007A7D7F" w:rsidRDefault="00512CAE" w:rsidP="008A621A">
            <w:pPr>
              <w:spacing w:before="100" w:after="100"/>
              <w:jc w:val="right"/>
              <w:rPr>
                <w:rFonts w:cs="Arial"/>
                <w:b/>
                <w:sz w:val="14"/>
                <w:szCs w:val="14"/>
              </w:rPr>
            </w:pPr>
            <w:r w:rsidRPr="007A7D7F">
              <w:rPr>
                <w:rFonts w:cs="Arial"/>
                <w:b/>
                <w:sz w:val="14"/>
                <w:szCs w:val="14"/>
              </w:rPr>
              <w:t>Year to date</w:t>
            </w:r>
            <w:r w:rsidRPr="007A7D7F">
              <w:rPr>
                <w:rFonts w:cs="Arial"/>
                <w:b/>
                <w:sz w:val="14"/>
                <w:szCs w:val="14"/>
              </w:rPr>
              <w:br/>
              <w:t>(n)</w:t>
            </w:r>
          </w:p>
        </w:tc>
        <w:tc>
          <w:tcPr>
            <w:tcW w:w="497" w:type="pct"/>
            <w:tcBorders>
              <w:top w:val="single" w:sz="8" w:space="0" w:color="27F3F3" w:themeColor="text1" w:themeTint="80"/>
              <w:bottom w:val="single" w:sz="8" w:space="0" w:color="27F3F3" w:themeColor="text1" w:themeTint="80"/>
            </w:tcBorders>
            <w:shd w:val="clear" w:color="auto" w:fill="00DCA1" w:themeFill="background1"/>
          </w:tcPr>
          <w:p w14:paraId="1EF24E4E" w14:textId="77777777" w:rsidR="00512CAE" w:rsidRPr="007A7D7F" w:rsidRDefault="00512CAE" w:rsidP="008A621A">
            <w:pPr>
              <w:spacing w:before="100" w:after="100"/>
              <w:jc w:val="right"/>
              <w:rPr>
                <w:rFonts w:cs="Arial"/>
                <w:b/>
                <w:sz w:val="14"/>
                <w:szCs w:val="14"/>
              </w:rPr>
            </w:pPr>
            <w:r w:rsidRPr="007A7D7F">
              <w:rPr>
                <w:rFonts w:cs="Arial"/>
                <w:b/>
                <w:sz w:val="14"/>
                <w:szCs w:val="14"/>
              </w:rPr>
              <w:t>Year to date</w:t>
            </w:r>
            <w:r w:rsidRPr="007A7D7F">
              <w:rPr>
                <w:rFonts w:cs="Arial"/>
                <w:b/>
                <w:sz w:val="14"/>
                <w:szCs w:val="14"/>
              </w:rPr>
              <w:br/>
              <w:t>(rate)</w:t>
            </w:r>
          </w:p>
        </w:tc>
      </w:tr>
      <w:tr w:rsidR="007A7D7F" w:rsidRPr="007A7D7F" w14:paraId="1E10024E" w14:textId="77777777" w:rsidTr="007A7D7F">
        <w:trPr>
          <w:trHeight w:val="283"/>
        </w:trPr>
        <w:tc>
          <w:tcPr>
            <w:tcW w:w="5000" w:type="pct"/>
            <w:gridSpan w:val="10"/>
            <w:shd w:val="clear" w:color="auto" w:fill="00DCA1" w:themeFill="background1"/>
          </w:tcPr>
          <w:p w14:paraId="75B43988" w14:textId="77777777" w:rsidR="00512CAE" w:rsidRPr="007A7D7F" w:rsidRDefault="00512CAE" w:rsidP="008A621A">
            <w:pPr>
              <w:spacing w:before="100" w:after="100"/>
              <w:rPr>
                <w:rFonts w:cs="Arial"/>
                <w:b/>
                <w:sz w:val="16"/>
                <w:szCs w:val="16"/>
              </w:rPr>
            </w:pPr>
            <w:r w:rsidRPr="007A7D7F">
              <w:rPr>
                <w:rFonts w:cs="Arial"/>
                <w:b/>
                <w:sz w:val="18"/>
                <w:szCs w:val="18"/>
              </w:rPr>
              <w:t>Age group (years)</w:t>
            </w:r>
          </w:p>
        </w:tc>
      </w:tr>
      <w:tr w:rsidR="00512CAE" w:rsidRPr="002117C7" w14:paraId="602183FE" w14:textId="77777777" w:rsidTr="007A7D7F">
        <w:trPr>
          <w:trHeight w:val="283"/>
        </w:trPr>
        <w:tc>
          <w:tcPr>
            <w:tcW w:w="500" w:type="pct"/>
          </w:tcPr>
          <w:p w14:paraId="67353364"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0–</w:t>
            </w:r>
            <w:r w:rsidRPr="002117C7">
              <w:rPr>
                <w:color w:val="033636"/>
                <w:sz w:val="18"/>
                <w:szCs w:val="18"/>
              </w:rPr>
              <w:t>4</w:t>
            </w:r>
          </w:p>
        </w:tc>
        <w:tc>
          <w:tcPr>
            <w:tcW w:w="500" w:type="pct"/>
          </w:tcPr>
          <w:p w14:paraId="7F0160F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1,526</w:t>
            </w:r>
          </w:p>
        </w:tc>
        <w:tc>
          <w:tcPr>
            <w:tcW w:w="500" w:type="pct"/>
          </w:tcPr>
          <w:p w14:paraId="72F2A5B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12,132</w:t>
            </w:r>
          </w:p>
        </w:tc>
        <w:tc>
          <w:tcPr>
            <w:tcW w:w="501" w:type="pct"/>
          </w:tcPr>
          <w:p w14:paraId="61CB8B2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800.3</w:t>
            </w:r>
          </w:p>
        </w:tc>
        <w:tc>
          <w:tcPr>
            <w:tcW w:w="500" w:type="pct"/>
          </w:tcPr>
          <w:p w14:paraId="58A57FB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3,759</w:t>
            </w:r>
          </w:p>
        </w:tc>
        <w:tc>
          <w:tcPr>
            <w:tcW w:w="500" w:type="pct"/>
          </w:tcPr>
          <w:p w14:paraId="6021DD6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12,736</w:t>
            </w:r>
          </w:p>
        </w:tc>
        <w:tc>
          <w:tcPr>
            <w:tcW w:w="502" w:type="pct"/>
          </w:tcPr>
          <w:p w14:paraId="0E36D82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840.1</w:t>
            </w:r>
          </w:p>
        </w:tc>
        <w:tc>
          <w:tcPr>
            <w:tcW w:w="500" w:type="pct"/>
          </w:tcPr>
          <w:p w14:paraId="690E80E4"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5,752</w:t>
            </w:r>
          </w:p>
        </w:tc>
        <w:tc>
          <w:tcPr>
            <w:tcW w:w="500" w:type="pct"/>
          </w:tcPr>
          <w:p w14:paraId="6C73A44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54,467</w:t>
            </w:r>
          </w:p>
        </w:tc>
        <w:tc>
          <w:tcPr>
            <w:tcW w:w="497" w:type="pct"/>
          </w:tcPr>
          <w:p w14:paraId="2B726F3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3,592.8</w:t>
            </w:r>
          </w:p>
        </w:tc>
      </w:tr>
      <w:tr w:rsidR="00512CAE" w:rsidRPr="002117C7" w14:paraId="78F23994" w14:textId="77777777" w:rsidTr="007A7D7F">
        <w:trPr>
          <w:trHeight w:val="283"/>
        </w:trPr>
        <w:tc>
          <w:tcPr>
            <w:tcW w:w="500" w:type="pct"/>
          </w:tcPr>
          <w:p w14:paraId="00D1A083"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5–9</w:t>
            </w:r>
            <w:r w:rsidRPr="002117C7">
              <w:rPr>
                <w:rFonts w:cs="Arial"/>
                <w:color w:val="033636"/>
                <w:sz w:val="18"/>
                <w:szCs w:val="18"/>
              </w:rPr>
              <w:t> </w:t>
            </w:r>
          </w:p>
        </w:tc>
        <w:tc>
          <w:tcPr>
            <w:tcW w:w="500" w:type="pct"/>
          </w:tcPr>
          <w:p w14:paraId="0507710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527</w:t>
            </w:r>
          </w:p>
        </w:tc>
        <w:tc>
          <w:tcPr>
            <w:tcW w:w="500" w:type="pct"/>
          </w:tcPr>
          <w:p w14:paraId="0987A5D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3,132</w:t>
            </w:r>
          </w:p>
        </w:tc>
        <w:tc>
          <w:tcPr>
            <w:tcW w:w="501" w:type="pct"/>
          </w:tcPr>
          <w:p w14:paraId="33F1B9A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194.5</w:t>
            </w:r>
          </w:p>
        </w:tc>
        <w:tc>
          <w:tcPr>
            <w:tcW w:w="500" w:type="pct"/>
          </w:tcPr>
          <w:p w14:paraId="5B6AF02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4,818</w:t>
            </w:r>
          </w:p>
        </w:tc>
        <w:tc>
          <w:tcPr>
            <w:tcW w:w="500" w:type="pct"/>
          </w:tcPr>
          <w:p w14:paraId="308B904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14,843</w:t>
            </w:r>
          </w:p>
        </w:tc>
        <w:tc>
          <w:tcPr>
            <w:tcW w:w="502" w:type="pct"/>
          </w:tcPr>
          <w:p w14:paraId="752A257D"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921.7</w:t>
            </w:r>
          </w:p>
        </w:tc>
        <w:tc>
          <w:tcPr>
            <w:tcW w:w="500" w:type="pct"/>
          </w:tcPr>
          <w:p w14:paraId="6CED33B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1,376</w:t>
            </w:r>
          </w:p>
        </w:tc>
        <w:tc>
          <w:tcPr>
            <w:tcW w:w="500" w:type="pct"/>
          </w:tcPr>
          <w:p w14:paraId="62E6689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7,709</w:t>
            </w:r>
          </w:p>
        </w:tc>
        <w:tc>
          <w:tcPr>
            <w:tcW w:w="497" w:type="pct"/>
          </w:tcPr>
          <w:p w14:paraId="3C46889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478.7</w:t>
            </w:r>
          </w:p>
        </w:tc>
      </w:tr>
      <w:tr w:rsidR="00512CAE" w:rsidRPr="002117C7" w14:paraId="28DBDF33" w14:textId="77777777" w:rsidTr="007A7D7F">
        <w:trPr>
          <w:trHeight w:val="283"/>
        </w:trPr>
        <w:tc>
          <w:tcPr>
            <w:tcW w:w="500" w:type="pct"/>
          </w:tcPr>
          <w:p w14:paraId="7F97DC39" w14:textId="77777777" w:rsidR="00512CAE" w:rsidRPr="002117C7" w:rsidRDefault="00512CAE" w:rsidP="008A621A">
            <w:pPr>
              <w:spacing w:before="100" w:after="100"/>
              <w:rPr>
                <w:rFonts w:eastAsia="Yu Gothic Light" w:cs="Arial"/>
                <w:color w:val="033636"/>
                <w:sz w:val="16"/>
                <w:szCs w:val="16"/>
              </w:rPr>
            </w:pPr>
            <w:r w:rsidRPr="002117C7">
              <w:rPr>
                <w:rFonts w:eastAsia="Yu Gothic Light" w:cs="Arial"/>
                <w:color w:val="033636"/>
                <w:sz w:val="18"/>
                <w:szCs w:val="18"/>
              </w:rPr>
              <w:t>10–14</w:t>
            </w:r>
          </w:p>
        </w:tc>
        <w:tc>
          <w:tcPr>
            <w:tcW w:w="500" w:type="pct"/>
          </w:tcPr>
          <w:p w14:paraId="7FE8617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578</w:t>
            </w:r>
          </w:p>
        </w:tc>
        <w:tc>
          <w:tcPr>
            <w:tcW w:w="500" w:type="pct"/>
          </w:tcPr>
          <w:p w14:paraId="10F07F6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3,298</w:t>
            </w:r>
          </w:p>
        </w:tc>
        <w:tc>
          <w:tcPr>
            <w:tcW w:w="501" w:type="pct"/>
          </w:tcPr>
          <w:p w14:paraId="7553820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199.0</w:t>
            </w:r>
          </w:p>
        </w:tc>
        <w:tc>
          <w:tcPr>
            <w:tcW w:w="500" w:type="pct"/>
          </w:tcPr>
          <w:p w14:paraId="1FB045E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3,147</w:t>
            </w:r>
          </w:p>
        </w:tc>
        <w:tc>
          <w:tcPr>
            <w:tcW w:w="500" w:type="pct"/>
          </w:tcPr>
          <w:p w14:paraId="4877407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9,430</w:t>
            </w:r>
          </w:p>
        </w:tc>
        <w:tc>
          <w:tcPr>
            <w:tcW w:w="502" w:type="pct"/>
          </w:tcPr>
          <w:p w14:paraId="21F18F0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569.0</w:t>
            </w:r>
          </w:p>
        </w:tc>
        <w:tc>
          <w:tcPr>
            <w:tcW w:w="500" w:type="pct"/>
          </w:tcPr>
          <w:p w14:paraId="4B09631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778</w:t>
            </w:r>
          </w:p>
        </w:tc>
        <w:tc>
          <w:tcPr>
            <w:tcW w:w="500" w:type="pct"/>
          </w:tcPr>
          <w:p w14:paraId="422BA89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3,314</w:t>
            </w:r>
          </w:p>
        </w:tc>
        <w:tc>
          <w:tcPr>
            <w:tcW w:w="497" w:type="pct"/>
          </w:tcPr>
          <w:p w14:paraId="1FEED7D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200.0</w:t>
            </w:r>
          </w:p>
        </w:tc>
      </w:tr>
      <w:tr w:rsidR="00512CAE" w:rsidRPr="002117C7" w14:paraId="23F8961C" w14:textId="77777777" w:rsidTr="007A7D7F">
        <w:trPr>
          <w:trHeight w:val="283"/>
        </w:trPr>
        <w:tc>
          <w:tcPr>
            <w:tcW w:w="500" w:type="pct"/>
          </w:tcPr>
          <w:p w14:paraId="160E7DEC"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15–19</w:t>
            </w:r>
            <w:r w:rsidRPr="002117C7">
              <w:rPr>
                <w:rFonts w:cs="Arial"/>
                <w:color w:val="033636"/>
                <w:sz w:val="18"/>
                <w:szCs w:val="18"/>
              </w:rPr>
              <w:t> </w:t>
            </w:r>
          </w:p>
        </w:tc>
        <w:tc>
          <w:tcPr>
            <w:tcW w:w="500" w:type="pct"/>
          </w:tcPr>
          <w:p w14:paraId="45018AC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587</w:t>
            </w:r>
          </w:p>
        </w:tc>
        <w:tc>
          <w:tcPr>
            <w:tcW w:w="500" w:type="pct"/>
          </w:tcPr>
          <w:p w14:paraId="67357EB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4,152</w:t>
            </w:r>
          </w:p>
        </w:tc>
        <w:tc>
          <w:tcPr>
            <w:tcW w:w="501" w:type="pct"/>
          </w:tcPr>
          <w:p w14:paraId="0A4AC91D"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258.1</w:t>
            </w:r>
          </w:p>
        </w:tc>
        <w:tc>
          <w:tcPr>
            <w:tcW w:w="500" w:type="pct"/>
          </w:tcPr>
          <w:p w14:paraId="72120B7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1,802</w:t>
            </w:r>
          </w:p>
        </w:tc>
        <w:tc>
          <w:tcPr>
            <w:tcW w:w="500" w:type="pct"/>
          </w:tcPr>
          <w:p w14:paraId="394EBB5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6,154</w:t>
            </w:r>
          </w:p>
        </w:tc>
        <w:tc>
          <w:tcPr>
            <w:tcW w:w="502" w:type="pct"/>
          </w:tcPr>
          <w:p w14:paraId="1C75835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382.5</w:t>
            </w:r>
          </w:p>
        </w:tc>
        <w:tc>
          <w:tcPr>
            <w:tcW w:w="500" w:type="pct"/>
          </w:tcPr>
          <w:p w14:paraId="633BB9A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318</w:t>
            </w:r>
          </w:p>
        </w:tc>
        <w:tc>
          <w:tcPr>
            <w:tcW w:w="500" w:type="pct"/>
          </w:tcPr>
          <w:p w14:paraId="054E25D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1,889</w:t>
            </w:r>
          </w:p>
        </w:tc>
        <w:tc>
          <w:tcPr>
            <w:tcW w:w="497" w:type="pct"/>
          </w:tcPr>
          <w:p w14:paraId="220E91B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117.4</w:t>
            </w:r>
          </w:p>
        </w:tc>
      </w:tr>
      <w:tr w:rsidR="00512CAE" w:rsidRPr="002117C7" w14:paraId="33A5CD86" w14:textId="77777777" w:rsidTr="007A7D7F">
        <w:trPr>
          <w:trHeight w:val="283"/>
        </w:trPr>
        <w:tc>
          <w:tcPr>
            <w:tcW w:w="500" w:type="pct"/>
          </w:tcPr>
          <w:p w14:paraId="12A38358" w14:textId="77777777" w:rsidR="00512CAE" w:rsidRPr="002117C7" w:rsidRDefault="00512CAE" w:rsidP="008A621A">
            <w:pPr>
              <w:spacing w:before="100" w:after="100"/>
              <w:rPr>
                <w:rFonts w:eastAsia="Yu Gothic Light" w:cs="Arial"/>
                <w:color w:val="033636"/>
                <w:sz w:val="16"/>
                <w:szCs w:val="16"/>
              </w:rPr>
            </w:pPr>
            <w:r w:rsidRPr="002117C7">
              <w:rPr>
                <w:rFonts w:eastAsia="Yu Gothic Light" w:cs="Arial"/>
                <w:color w:val="033636"/>
                <w:sz w:val="18"/>
                <w:szCs w:val="18"/>
              </w:rPr>
              <w:t>20–24</w:t>
            </w:r>
          </w:p>
        </w:tc>
        <w:tc>
          <w:tcPr>
            <w:tcW w:w="500" w:type="pct"/>
          </w:tcPr>
          <w:p w14:paraId="25F2924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630</w:t>
            </w:r>
          </w:p>
        </w:tc>
        <w:tc>
          <w:tcPr>
            <w:tcW w:w="500" w:type="pct"/>
          </w:tcPr>
          <w:p w14:paraId="65E24FF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5,049</w:t>
            </w:r>
          </w:p>
        </w:tc>
        <w:tc>
          <w:tcPr>
            <w:tcW w:w="501" w:type="pct"/>
          </w:tcPr>
          <w:p w14:paraId="3622639D"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291.5</w:t>
            </w:r>
          </w:p>
        </w:tc>
        <w:tc>
          <w:tcPr>
            <w:tcW w:w="500" w:type="pct"/>
          </w:tcPr>
          <w:p w14:paraId="6054504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1,041</w:t>
            </w:r>
          </w:p>
        </w:tc>
        <w:tc>
          <w:tcPr>
            <w:tcW w:w="500" w:type="pct"/>
          </w:tcPr>
          <w:p w14:paraId="1D99AB1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4,624</w:t>
            </w:r>
          </w:p>
        </w:tc>
        <w:tc>
          <w:tcPr>
            <w:tcW w:w="502" w:type="pct"/>
          </w:tcPr>
          <w:p w14:paraId="2B4624C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267.0</w:t>
            </w:r>
          </w:p>
        </w:tc>
        <w:tc>
          <w:tcPr>
            <w:tcW w:w="500" w:type="pct"/>
          </w:tcPr>
          <w:p w14:paraId="3CFE4E7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203</w:t>
            </w:r>
          </w:p>
        </w:tc>
        <w:tc>
          <w:tcPr>
            <w:tcW w:w="500" w:type="pct"/>
          </w:tcPr>
          <w:p w14:paraId="0316344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1,500</w:t>
            </w:r>
          </w:p>
        </w:tc>
        <w:tc>
          <w:tcPr>
            <w:tcW w:w="497" w:type="pct"/>
          </w:tcPr>
          <w:p w14:paraId="05E169D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86.6</w:t>
            </w:r>
          </w:p>
        </w:tc>
      </w:tr>
      <w:tr w:rsidR="00512CAE" w:rsidRPr="002117C7" w14:paraId="4A656E0E" w14:textId="77777777" w:rsidTr="007A7D7F">
        <w:trPr>
          <w:trHeight w:val="283"/>
        </w:trPr>
        <w:tc>
          <w:tcPr>
            <w:tcW w:w="500" w:type="pct"/>
          </w:tcPr>
          <w:p w14:paraId="7ACA608A"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25–29</w:t>
            </w:r>
            <w:r w:rsidRPr="002117C7">
              <w:rPr>
                <w:rFonts w:cs="Arial"/>
                <w:color w:val="033636"/>
                <w:sz w:val="18"/>
                <w:szCs w:val="18"/>
              </w:rPr>
              <w:t> </w:t>
            </w:r>
          </w:p>
        </w:tc>
        <w:tc>
          <w:tcPr>
            <w:tcW w:w="500" w:type="pct"/>
          </w:tcPr>
          <w:p w14:paraId="40E67B0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744</w:t>
            </w:r>
          </w:p>
        </w:tc>
        <w:tc>
          <w:tcPr>
            <w:tcW w:w="500" w:type="pct"/>
          </w:tcPr>
          <w:p w14:paraId="650B1C4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6,459</w:t>
            </w:r>
          </w:p>
        </w:tc>
        <w:tc>
          <w:tcPr>
            <w:tcW w:w="501" w:type="pct"/>
          </w:tcPr>
          <w:p w14:paraId="7647B97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336.1</w:t>
            </w:r>
          </w:p>
        </w:tc>
        <w:tc>
          <w:tcPr>
            <w:tcW w:w="500" w:type="pct"/>
          </w:tcPr>
          <w:p w14:paraId="38A3BC0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1,173</w:t>
            </w:r>
          </w:p>
        </w:tc>
        <w:tc>
          <w:tcPr>
            <w:tcW w:w="500" w:type="pct"/>
          </w:tcPr>
          <w:p w14:paraId="7C70A39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4,995</w:t>
            </w:r>
          </w:p>
        </w:tc>
        <w:tc>
          <w:tcPr>
            <w:tcW w:w="502" w:type="pct"/>
          </w:tcPr>
          <w:p w14:paraId="083FE1C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259.9</w:t>
            </w:r>
          </w:p>
        </w:tc>
        <w:tc>
          <w:tcPr>
            <w:tcW w:w="500" w:type="pct"/>
          </w:tcPr>
          <w:p w14:paraId="15C5123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244</w:t>
            </w:r>
          </w:p>
        </w:tc>
        <w:tc>
          <w:tcPr>
            <w:tcW w:w="500" w:type="pct"/>
          </w:tcPr>
          <w:p w14:paraId="4458A50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1,777</w:t>
            </w:r>
          </w:p>
        </w:tc>
        <w:tc>
          <w:tcPr>
            <w:tcW w:w="497" w:type="pct"/>
          </w:tcPr>
          <w:p w14:paraId="17C0616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92.5</w:t>
            </w:r>
          </w:p>
        </w:tc>
      </w:tr>
      <w:tr w:rsidR="00512CAE" w:rsidRPr="002117C7" w14:paraId="3D6311E4" w14:textId="77777777" w:rsidTr="007A7D7F">
        <w:trPr>
          <w:trHeight w:val="283"/>
        </w:trPr>
        <w:tc>
          <w:tcPr>
            <w:tcW w:w="500" w:type="pct"/>
          </w:tcPr>
          <w:p w14:paraId="303BED6C"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30–34</w:t>
            </w:r>
            <w:r w:rsidRPr="002117C7">
              <w:rPr>
                <w:rFonts w:cs="Arial"/>
                <w:color w:val="033636"/>
                <w:sz w:val="18"/>
                <w:szCs w:val="18"/>
              </w:rPr>
              <w:t> </w:t>
            </w:r>
          </w:p>
        </w:tc>
        <w:tc>
          <w:tcPr>
            <w:tcW w:w="500" w:type="pct"/>
          </w:tcPr>
          <w:p w14:paraId="06101604"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940</w:t>
            </w:r>
          </w:p>
        </w:tc>
        <w:tc>
          <w:tcPr>
            <w:tcW w:w="500" w:type="pct"/>
          </w:tcPr>
          <w:p w14:paraId="3229396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7,474</w:t>
            </w:r>
          </w:p>
        </w:tc>
        <w:tc>
          <w:tcPr>
            <w:tcW w:w="501" w:type="pct"/>
          </w:tcPr>
          <w:p w14:paraId="728BBC64"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377.0</w:t>
            </w:r>
          </w:p>
        </w:tc>
        <w:tc>
          <w:tcPr>
            <w:tcW w:w="500" w:type="pct"/>
          </w:tcPr>
          <w:p w14:paraId="75C74D5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1,387</w:t>
            </w:r>
          </w:p>
        </w:tc>
        <w:tc>
          <w:tcPr>
            <w:tcW w:w="500" w:type="pct"/>
          </w:tcPr>
          <w:p w14:paraId="79EE52D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5,709</w:t>
            </w:r>
          </w:p>
        </w:tc>
        <w:tc>
          <w:tcPr>
            <w:tcW w:w="502" w:type="pct"/>
          </w:tcPr>
          <w:p w14:paraId="46EE409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288.0</w:t>
            </w:r>
          </w:p>
        </w:tc>
        <w:tc>
          <w:tcPr>
            <w:tcW w:w="500" w:type="pct"/>
          </w:tcPr>
          <w:p w14:paraId="3D313D1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292</w:t>
            </w:r>
          </w:p>
        </w:tc>
        <w:tc>
          <w:tcPr>
            <w:tcW w:w="500" w:type="pct"/>
          </w:tcPr>
          <w:p w14:paraId="2500AF5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2,347</w:t>
            </w:r>
          </w:p>
        </w:tc>
        <w:tc>
          <w:tcPr>
            <w:tcW w:w="497" w:type="pct"/>
          </w:tcPr>
          <w:p w14:paraId="2652466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118.4</w:t>
            </w:r>
          </w:p>
        </w:tc>
      </w:tr>
      <w:tr w:rsidR="00512CAE" w:rsidRPr="002117C7" w14:paraId="72D5F799" w14:textId="77777777" w:rsidTr="007A7D7F">
        <w:trPr>
          <w:trHeight w:val="283"/>
        </w:trPr>
        <w:tc>
          <w:tcPr>
            <w:tcW w:w="500" w:type="pct"/>
          </w:tcPr>
          <w:p w14:paraId="1CB22E13" w14:textId="77777777" w:rsidR="00512CAE" w:rsidRPr="002117C7" w:rsidRDefault="00512CAE" w:rsidP="008A621A">
            <w:pPr>
              <w:spacing w:before="100" w:after="100"/>
              <w:rPr>
                <w:rFonts w:eastAsia="Yu Gothic Light" w:cs="Arial"/>
                <w:color w:val="033636"/>
                <w:sz w:val="16"/>
                <w:szCs w:val="16"/>
              </w:rPr>
            </w:pPr>
            <w:r w:rsidRPr="002117C7">
              <w:rPr>
                <w:rFonts w:eastAsia="Yu Gothic Light" w:cs="Arial"/>
                <w:color w:val="033636"/>
                <w:sz w:val="18"/>
                <w:szCs w:val="18"/>
              </w:rPr>
              <w:t>35–39</w:t>
            </w:r>
            <w:r w:rsidRPr="002117C7">
              <w:rPr>
                <w:rFonts w:cs="Arial"/>
                <w:color w:val="033636"/>
                <w:sz w:val="18"/>
                <w:szCs w:val="18"/>
              </w:rPr>
              <w:t> </w:t>
            </w:r>
          </w:p>
        </w:tc>
        <w:tc>
          <w:tcPr>
            <w:tcW w:w="500" w:type="pct"/>
          </w:tcPr>
          <w:p w14:paraId="7A9E44F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1,129</w:t>
            </w:r>
          </w:p>
        </w:tc>
        <w:tc>
          <w:tcPr>
            <w:tcW w:w="500" w:type="pct"/>
          </w:tcPr>
          <w:p w14:paraId="24C9F06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8,084</w:t>
            </w:r>
          </w:p>
        </w:tc>
        <w:tc>
          <w:tcPr>
            <w:tcW w:w="501" w:type="pct"/>
          </w:tcPr>
          <w:p w14:paraId="7217C24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417.2</w:t>
            </w:r>
          </w:p>
        </w:tc>
        <w:tc>
          <w:tcPr>
            <w:tcW w:w="500" w:type="pct"/>
          </w:tcPr>
          <w:p w14:paraId="1485267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1,622</w:t>
            </w:r>
          </w:p>
        </w:tc>
        <w:tc>
          <w:tcPr>
            <w:tcW w:w="500" w:type="pct"/>
          </w:tcPr>
          <w:p w14:paraId="532162B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6,488</w:t>
            </w:r>
          </w:p>
        </w:tc>
        <w:tc>
          <w:tcPr>
            <w:tcW w:w="502" w:type="pct"/>
          </w:tcPr>
          <w:p w14:paraId="42D41AB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334.8</w:t>
            </w:r>
          </w:p>
        </w:tc>
        <w:tc>
          <w:tcPr>
            <w:tcW w:w="500" w:type="pct"/>
          </w:tcPr>
          <w:p w14:paraId="5E12707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301</w:t>
            </w:r>
          </w:p>
        </w:tc>
        <w:tc>
          <w:tcPr>
            <w:tcW w:w="500" w:type="pct"/>
          </w:tcPr>
          <w:p w14:paraId="0472759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2,316</w:t>
            </w:r>
          </w:p>
        </w:tc>
        <w:tc>
          <w:tcPr>
            <w:tcW w:w="497" w:type="pct"/>
          </w:tcPr>
          <w:p w14:paraId="3615868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119.5</w:t>
            </w:r>
          </w:p>
        </w:tc>
      </w:tr>
      <w:tr w:rsidR="00512CAE" w:rsidRPr="002117C7" w14:paraId="19AE9BB5" w14:textId="77777777" w:rsidTr="007A7D7F">
        <w:trPr>
          <w:trHeight w:val="283"/>
        </w:trPr>
        <w:tc>
          <w:tcPr>
            <w:tcW w:w="500" w:type="pct"/>
          </w:tcPr>
          <w:p w14:paraId="1588A8A3"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40–44</w:t>
            </w:r>
            <w:r w:rsidRPr="002117C7">
              <w:rPr>
                <w:rFonts w:cs="Arial"/>
                <w:color w:val="033636"/>
                <w:sz w:val="18"/>
                <w:szCs w:val="18"/>
              </w:rPr>
              <w:t> </w:t>
            </w:r>
          </w:p>
        </w:tc>
        <w:tc>
          <w:tcPr>
            <w:tcW w:w="500" w:type="pct"/>
          </w:tcPr>
          <w:p w14:paraId="36BA390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1,005</w:t>
            </w:r>
          </w:p>
        </w:tc>
        <w:tc>
          <w:tcPr>
            <w:tcW w:w="500" w:type="pct"/>
          </w:tcPr>
          <w:p w14:paraId="212A83C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7,698</w:t>
            </w:r>
          </w:p>
        </w:tc>
        <w:tc>
          <w:tcPr>
            <w:tcW w:w="501" w:type="pct"/>
          </w:tcPr>
          <w:p w14:paraId="770E590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432.4</w:t>
            </w:r>
          </w:p>
        </w:tc>
        <w:tc>
          <w:tcPr>
            <w:tcW w:w="500" w:type="pct"/>
          </w:tcPr>
          <w:p w14:paraId="7C799B4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1,586</w:t>
            </w:r>
          </w:p>
        </w:tc>
        <w:tc>
          <w:tcPr>
            <w:tcW w:w="500" w:type="pct"/>
          </w:tcPr>
          <w:p w14:paraId="604624C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6,139</w:t>
            </w:r>
          </w:p>
        </w:tc>
        <w:tc>
          <w:tcPr>
            <w:tcW w:w="502" w:type="pct"/>
          </w:tcPr>
          <w:p w14:paraId="7DFE564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344.8</w:t>
            </w:r>
          </w:p>
        </w:tc>
        <w:tc>
          <w:tcPr>
            <w:tcW w:w="500" w:type="pct"/>
          </w:tcPr>
          <w:p w14:paraId="214126D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269</w:t>
            </w:r>
          </w:p>
        </w:tc>
        <w:tc>
          <w:tcPr>
            <w:tcW w:w="500" w:type="pct"/>
          </w:tcPr>
          <w:p w14:paraId="5B7C6E9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1,871</w:t>
            </w:r>
          </w:p>
        </w:tc>
        <w:tc>
          <w:tcPr>
            <w:tcW w:w="497" w:type="pct"/>
          </w:tcPr>
          <w:p w14:paraId="4FAC225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105.1</w:t>
            </w:r>
          </w:p>
        </w:tc>
      </w:tr>
      <w:tr w:rsidR="00512CAE" w:rsidRPr="002117C7" w14:paraId="3E722407" w14:textId="77777777" w:rsidTr="007A7D7F">
        <w:trPr>
          <w:trHeight w:val="283"/>
        </w:trPr>
        <w:tc>
          <w:tcPr>
            <w:tcW w:w="500" w:type="pct"/>
          </w:tcPr>
          <w:p w14:paraId="5A982D65" w14:textId="77777777" w:rsidR="00512CAE" w:rsidRPr="002117C7" w:rsidRDefault="00512CAE" w:rsidP="008A621A">
            <w:pPr>
              <w:spacing w:before="100" w:after="100"/>
              <w:rPr>
                <w:rFonts w:eastAsia="Yu Gothic Light" w:cs="Arial"/>
                <w:color w:val="033636"/>
                <w:sz w:val="16"/>
                <w:szCs w:val="16"/>
              </w:rPr>
            </w:pPr>
            <w:r w:rsidRPr="002117C7">
              <w:rPr>
                <w:rFonts w:eastAsia="Yu Gothic Light" w:cs="Arial"/>
                <w:color w:val="033636"/>
                <w:sz w:val="18"/>
                <w:szCs w:val="18"/>
              </w:rPr>
              <w:t>45–49</w:t>
            </w:r>
            <w:r w:rsidRPr="002117C7">
              <w:rPr>
                <w:rFonts w:cs="Arial"/>
                <w:color w:val="033636"/>
                <w:sz w:val="18"/>
                <w:szCs w:val="18"/>
              </w:rPr>
              <w:t> </w:t>
            </w:r>
          </w:p>
        </w:tc>
        <w:tc>
          <w:tcPr>
            <w:tcW w:w="500" w:type="pct"/>
          </w:tcPr>
          <w:p w14:paraId="1B124FD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999</w:t>
            </w:r>
          </w:p>
        </w:tc>
        <w:tc>
          <w:tcPr>
            <w:tcW w:w="500" w:type="pct"/>
          </w:tcPr>
          <w:p w14:paraId="288D9DE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7,137</w:t>
            </w:r>
          </w:p>
        </w:tc>
        <w:tc>
          <w:tcPr>
            <w:tcW w:w="501" w:type="pct"/>
          </w:tcPr>
          <w:p w14:paraId="5BEFACF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442.1</w:t>
            </w:r>
          </w:p>
        </w:tc>
        <w:tc>
          <w:tcPr>
            <w:tcW w:w="500" w:type="pct"/>
          </w:tcPr>
          <w:p w14:paraId="14CB57D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1,126</w:t>
            </w:r>
          </w:p>
        </w:tc>
        <w:tc>
          <w:tcPr>
            <w:tcW w:w="500" w:type="pct"/>
          </w:tcPr>
          <w:p w14:paraId="57F5EAA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4,907</w:t>
            </w:r>
          </w:p>
        </w:tc>
        <w:tc>
          <w:tcPr>
            <w:tcW w:w="502" w:type="pct"/>
          </w:tcPr>
          <w:p w14:paraId="1039270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304.0</w:t>
            </w:r>
          </w:p>
        </w:tc>
        <w:tc>
          <w:tcPr>
            <w:tcW w:w="500" w:type="pct"/>
          </w:tcPr>
          <w:p w14:paraId="7B9AD6C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300</w:t>
            </w:r>
          </w:p>
        </w:tc>
        <w:tc>
          <w:tcPr>
            <w:tcW w:w="500" w:type="pct"/>
          </w:tcPr>
          <w:p w14:paraId="7E2ED36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1,804</w:t>
            </w:r>
          </w:p>
        </w:tc>
        <w:tc>
          <w:tcPr>
            <w:tcW w:w="497" w:type="pct"/>
          </w:tcPr>
          <w:p w14:paraId="6571165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111.8</w:t>
            </w:r>
          </w:p>
        </w:tc>
      </w:tr>
      <w:tr w:rsidR="00512CAE" w:rsidRPr="002117C7" w14:paraId="10CF42AA" w14:textId="77777777" w:rsidTr="007A7D7F">
        <w:trPr>
          <w:trHeight w:val="283"/>
        </w:trPr>
        <w:tc>
          <w:tcPr>
            <w:tcW w:w="500" w:type="pct"/>
          </w:tcPr>
          <w:p w14:paraId="3BDCEB06"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50–54</w:t>
            </w:r>
            <w:r w:rsidRPr="002117C7">
              <w:rPr>
                <w:rFonts w:cs="Arial"/>
                <w:color w:val="033636"/>
                <w:sz w:val="18"/>
                <w:szCs w:val="18"/>
              </w:rPr>
              <w:t> </w:t>
            </w:r>
          </w:p>
        </w:tc>
        <w:tc>
          <w:tcPr>
            <w:tcW w:w="500" w:type="pct"/>
          </w:tcPr>
          <w:p w14:paraId="25310DC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1,028</w:t>
            </w:r>
          </w:p>
        </w:tc>
        <w:tc>
          <w:tcPr>
            <w:tcW w:w="500" w:type="pct"/>
          </w:tcPr>
          <w:p w14:paraId="65EAB23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7,697</w:t>
            </w:r>
          </w:p>
        </w:tc>
        <w:tc>
          <w:tcPr>
            <w:tcW w:w="501" w:type="pct"/>
          </w:tcPr>
          <w:p w14:paraId="77C475F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458.1</w:t>
            </w:r>
          </w:p>
        </w:tc>
        <w:tc>
          <w:tcPr>
            <w:tcW w:w="500" w:type="pct"/>
          </w:tcPr>
          <w:p w14:paraId="46EDB01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1,000</w:t>
            </w:r>
          </w:p>
        </w:tc>
        <w:tc>
          <w:tcPr>
            <w:tcW w:w="500" w:type="pct"/>
          </w:tcPr>
          <w:p w14:paraId="2788261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4,713</w:t>
            </w:r>
          </w:p>
        </w:tc>
        <w:tc>
          <w:tcPr>
            <w:tcW w:w="502" w:type="pct"/>
          </w:tcPr>
          <w:p w14:paraId="2D28FBE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280.5</w:t>
            </w:r>
          </w:p>
        </w:tc>
        <w:tc>
          <w:tcPr>
            <w:tcW w:w="500" w:type="pct"/>
          </w:tcPr>
          <w:p w14:paraId="18544FF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307</w:t>
            </w:r>
          </w:p>
        </w:tc>
        <w:tc>
          <w:tcPr>
            <w:tcW w:w="500" w:type="pct"/>
          </w:tcPr>
          <w:p w14:paraId="758D87E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2,214</w:t>
            </w:r>
          </w:p>
        </w:tc>
        <w:tc>
          <w:tcPr>
            <w:tcW w:w="497" w:type="pct"/>
          </w:tcPr>
          <w:p w14:paraId="51A3B7C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131.8</w:t>
            </w:r>
          </w:p>
        </w:tc>
      </w:tr>
      <w:tr w:rsidR="00512CAE" w:rsidRPr="002117C7" w14:paraId="5CC8BF9B" w14:textId="77777777" w:rsidTr="007A7D7F">
        <w:trPr>
          <w:trHeight w:val="283"/>
        </w:trPr>
        <w:tc>
          <w:tcPr>
            <w:tcW w:w="500" w:type="pct"/>
          </w:tcPr>
          <w:p w14:paraId="7A3D2BA7" w14:textId="77777777" w:rsidR="00512CAE" w:rsidRPr="002117C7" w:rsidRDefault="00512CAE" w:rsidP="008A621A">
            <w:pPr>
              <w:spacing w:before="100" w:after="100"/>
              <w:rPr>
                <w:rFonts w:eastAsia="Yu Gothic Light" w:cs="Arial"/>
                <w:color w:val="033636"/>
                <w:sz w:val="16"/>
                <w:szCs w:val="16"/>
              </w:rPr>
            </w:pPr>
            <w:r w:rsidRPr="002117C7">
              <w:rPr>
                <w:rFonts w:eastAsia="Yu Gothic Light" w:cs="Arial"/>
                <w:color w:val="033636"/>
                <w:sz w:val="18"/>
                <w:szCs w:val="18"/>
              </w:rPr>
              <w:t>55–59</w:t>
            </w:r>
            <w:r w:rsidRPr="002117C7">
              <w:rPr>
                <w:rFonts w:cs="Arial"/>
                <w:color w:val="033636"/>
                <w:sz w:val="18"/>
                <w:szCs w:val="18"/>
              </w:rPr>
              <w:t> </w:t>
            </w:r>
          </w:p>
        </w:tc>
        <w:tc>
          <w:tcPr>
            <w:tcW w:w="500" w:type="pct"/>
          </w:tcPr>
          <w:p w14:paraId="17C092D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924</w:t>
            </w:r>
          </w:p>
        </w:tc>
        <w:tc>
          <w:tcPr>
            <w:tcW w:w="500" w:type="pct"/>
          </w:tcPr>
          <w:p w14:paraId="51CE0E9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7,564</w:t>
            </w:r>
          </w:p>
        </w:tc>
        <w:tc>
          <w:tcPr>
            <w:tcW w:w="501" w:type="pct"/>
          </w:tcPr>
          <w:p w14:paraId="69133B9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496.5</w:t>
            </w:r>
          </w:p>
        </w:tc>
        <w:tc>
          <w:tcPr>
            <w:tcW w:w="500" w:type="pct"/>
          </w:tcPr>
          <w:p w14:paraId="21E2875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766</w:t>
            </w:r>
          </w:p>
        </w:tc>
        <w:tc>
          <w:tcPr>
            <w:tcW w:w="500" w:type="pct"/>
          </w:tcPr>
          <w:p w14:paraId="0A6F133D"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3,975</w:t>
            </w:r>
          </w:p>
        </w:tc>
        <w:tc>
          <w:tcPr>
            <w:tcW w:w="502" w:type="pct"/>
          </w:tcPr>
          <w:p w14:paraId="6241BD9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260.9</w:t>
            </w:r>
          </w:p>
        </w:tc>
        <w:tc>
          <w:tcPr>
            <w:tcW w:w="500" w:type="pct"/>
          </w:tcPr>
          <w:p w14:paraId="0F1306B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329</w:t>
            </w:r>
          </w:p>
        </w:tc>
        <w:tc>
          <w:tcPr>
            <w:tcW w:w="500" w:type="pct"/>
          </w:tcPr>
          <w:p w14:paraId="67F4C76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2,285</w:t>
            </w:r>
          </w:p>
        </w:tc>
        <w:tc>
          <w:tcPr>
            <w:tcW w:w="497" w:type="pct"/>
          </w:tcPr>
          <w:p w14:paraId="3491E9F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150.0</w:t>
            </w:r>
          </w:p>
        </w:tc>
      </w:tr>
      <w:tr w:rsidR="00512CAE" w:rsidRPr="002117C7" w14:paraId="569F64EB" w14:textId="77777777" w:rsidTr="007A7D7F">
        <w:trPr>
          <w:trHeight w:val="283"/>
        </w:trPr>
        <w:tc>
          <w:tcPr>
            <w:tcW w:w="500" w:type="pct"/>
          </w:tcPr>
          <w:p w14:paraId="1C6B7D38"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60–6</w:t>
            </w:r>
            <w:r w:rsidRPr="002117C7">
              <w:rPr>
                <w:color w:val="033636"/>
                <w:sz w:val="18"/>
                <w:szCs w:val="18"/>
              </w:rPr>
              <w:t>4</w:t>
            </w:r>
          </w:p>
        </w:tc>
        <w:tc>
          <w:tcPr>
            <w:tcW w:w="500" w:type="pct"/>
          </w:tcPr>
          <w:p w14:paraId="62AF940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1,061</w:t>
            </w:r>
          </w:p>
        </w:tc>
        <w:tc>
          <w:tcPr>
            <w:tcW w:w="500" w:type="pct"/>
          </w:tcPr>
          <w:p w14:paraId="04CDA8D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8,021</w:t>
            </w:r>
          </w:p>
        </w:tc>
        <w:tc>
          <w:tcPr>
            <w:tcW w:w="501" w:type="pct"/>
          </w:tcPr>
          <w:p w14:paraId="60D39FC4"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528.8</w:t>
            </w:r>
          </w:p>
        </w:tc>
        <w:tc>
          <w:tcPr>
            <w:tcW w:w="500" w:type="pct"/>
          </w:tcPr>
          <w:p w14:paraId="31A5039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708</w:t>
            </w:r>
          </w:p>
        </w:tc>
        <w:tc>
          <w:tcPr>
            <w:tcW w:w="500" w:type="pct"/>
          </w:tcPr>
          <w:p w14:paraId="2288569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3,789</w:t>
            </w:r>
          </w:p>
        </w:tc>
        <w:tc>
          <w:tcPr>
            <w:tcW w:w="502" w:type="pct"/>
          </w:tcPr>
          <w:p w14:paraId="636F577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249.8</w:t>
            </w:r>
          </w:p>
        </w:tc>
        <w:tc>
          <w:tcPr>
            <w:tcW w:w="500" w:type="pct"/>
          </w:tcPr>
          <w:p w14:paraId="417B644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352</w:t>
            </w:r>
          </w:p>
        </w:tc>
        <w:tc>
          <w:tcPr>
            <w:tcW w:w="500" w:type="pct"/>
          </w:tcPr>
          <w:p w14:paraId="35C378F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2,611</w:t>
            </w:r>
          </w:p>
        </w:tc>
        <w:tc>
          <w:tcPr>
            <w:tcW w:w="497" w:type="pct"/>
          </w:tcPr>
          <w:p w14:paraId="2703C4B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172.1</w:t>
            </w:r>
          </w:p>
        </w:tc>
      </w:tr>
      <w:tr w:rsidR="00512CAE" w:rsidRPr="002117C7" w14:paraId="2DC5707E" w14:textId="77777777" w:rsidTr="007A7D7F">
        <w:trPr>
          <w:trHeight w:val="283"/>
        </w:trPr>
        <w:tc>
          <w:tcPr>
            <w:tcW w:w="500" w:type="pct"/>
          </w:tcPr>
          <w:p w14:paraId="3BEF788B" w14:textId="77777777" w:rsidR="00512CAE" w:rsidRPr="002117C7" w:rsidRDefault="00512CAE" w:rsidP="008A621A">
            <w:pPr>
              <w:spacing w:before="100" w:after="100"/>
              <w:rPr>
                <w:rFonts w:eastAsia="Yu Gothic Light" w:cs="Arial"/>
                <w:color w:val="033636"/>
                <w:sz w:val="16"/>
                <w:szCs w:val="16"/>
              </w:rPr>
            </w:pPr>
            <w:r w:rsidRPr="002117C7">
              <w:rPr>
                <w:rFonts w:eastAsia="Yu Gothic Light" w:cs="Arial"/>
                <w:color w:val="033636"/>
                <w:sz w:val="18"/>
                <w:szCs w:val="18"/>
              </w:rPr>
              <w:t>65–69</w:t>
            </w:r>
          </w:p>
        </w:tc>
        <w:tc>
          <w:tcPr>
            <w:tcW w:w="500" w:type="pct"/>
          </w:tcPr>
          <w:p w14:paraId="6CF038E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1,103</w:t>
            </w:r>
          </w:p>
        </w:tc>
        <w:tc>
          <w:tcPr>
            <w:tcW w:w="500" w:type="pct"/>
          </w:tcPr>
          <w:p w14:paraId="56C49A1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8,517</w:t>
            </w:r>
          </w:p>
        </w:tc>
        <w:tc>
          <w:tcPr>
            <w:tcW w:w="501" w:type="pct"/>
          </w:tcPr>
          <w:p w14:paraId="4F573A0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641.8</w:t>
            </w:r>
          </w:p>
        </w:tc>
        <w:tc>
          <w:tcPr>
            <w:tcW w:w="500" w:type="pct"/>
          </w:tcPr>
          <w:p w14:paraId="605A96D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523</w:t>
            </w:r>
          </w:p>
        </w:tc>
        <w:tc>
          <w:tcPr>
            <w:tcW w:w="500" w:type="pct"/>
          </w:tcPr>
          <w:p w14:paraId="0E5A27C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3,123</w:t>
            </w:r>
          </w:p>
        </w:tc>
        <w:tc>
          <w:tcPr>
            <w:tcW w:w="502" w:type="pct"/>
          </w:tcPr>
          <w:p w14:paraId="33B3C29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235.4</w:t>
            </w:r>
          </w:p>
        </w:tc>
        <w:tc>
          <w:tcPr>
            <w:tcW w:w="500" w:type="pct"/>
          </w:tcPr>
          <w:p w14:paraId="123C425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345</w:t>
            </w:r>
          </w:p>
        </w:tc>
        <w:tc>
          <w:tcPr>
            <w:tcW w:w="500" w:type="pct"/>
          </w:tcPr>
          <w:p w14:paraId="2CCAD62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2,627</w:t>
            </w:r>
          </w:p>
        </w:tc>
        <w:tc>
          <w:tcPr>
            <w:tcW w:w="497" w:type="pct"/>
          </w:tcPr>
          <w:p w14:paraId="7C85A2D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198.0</w:t>
            </w:r>
          </w:p>
        </w:tc>
      </w:tr>
      <w:tr w:rsidR="00512CAE" w:rsidRPr="002117C7" w14:paraId="56CFBB36" w14:textId="77777777" w:rsidTr="007A7D7F">
        <w:trPr>
          <w:trHeight w:val="283"/>
        </w:trPr>
        <w:tc>
          <w:tcPr>
            <w:tcW w:w="500" w:type="pct"/>
          </w:tcPr>
          <w:p w14:paraId="0A796FD0" w14:textId="77777777" w:rsidR="00512CAE" w:rsidRPr="002117C7" w:rsidRDefault="00512CAE" w:rsidP="008A621A">
            <w:pPr>
              <w:spacing w:before="100" w:after="100"/>
              <w:rPr>
                <w:rFonts w:cs="Arial"/>
                <w:color w:val="033636"/>
                <w:sz w:val="16"/>
                <w:szCs w:val="16"/>
              </w:rPr>
            </w:pPr>
            <w:r w:rsidRPr="002117C7">
              <w:rPr>
                <w:rFonts w:eastAsia="Yu Gothic Light" w:cs="Arial"/>
                <w:color w:val="033636"/>
                <w:sz w:val="18"/>
                <w:szCs w:val="18"/>
              </w:rPr>
              <w:t>70+</w:t>
            </w:r>
            <w:r w:rsidRPr="002117C7">
              <w:rPr>
                <w:rFonts w:cs="Arial"/>
                <w:color w:val="033636"/>
                <w:sz w:val="18"/>
                <w:szCs w:val="18"/>
              </w:rPr>
              <w:t> </w:t>
            </w:r>
          </w:p>
        </w:tc>
        <w:tc>
          <w:tcPr>
            <w:tcW w:w="500" w:type="pct"/>
          </w:tcPr>
          <w:p w14:paraId="6FC3307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7,307</w:t>
            </w:r>
          </w:p>
        </w:tc>
        <w:tc>
          <w:tcPr>
            <w:tcW w:w="500" w:type="pct"/>
          </w:tcPr>
          <w:p w14:paraId="2E271E0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53,154</w:t>
            </w:r>
          </w:p>
        </w:tc>
        <w:tc>
          <w:tcPr>
            <w:tcW w:w="501" w:type="pct"/>
          </w:tcPr>
          <w:p w14:paraId="2DB7891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1,645.7</w:t>
            </w:r>
          </w:p>
        </w:tc>
        <w:tc>
          <w:tcPr>
            <w:tcW w:w="500" w:type="pct"/>
          </w:tcPr>
          <w:p w14:paraId="7513516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1,469</w:t>
            </w:r>
          </w:p>
        </w:tc>
        <w:tc>
          <w:tcPr>
            <w:tcW w:w="500" w:type="pct"/>
          </w:tcPr>
          <w:p w14:paraId="0126EE0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9,389</w:t>
            </w:r>
          </w:p>
        </w:tc>
        <w:tc>
          <w:tcPr>
            <w:tcW w:w="502" w:type="pct"/>
          </w:tcPr>
          <w:p w14:paraId="4D85738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290.7</w:t>
            </w:r>
          </w:p>
        </w:tc>
        <w:tc>
          <w:tcPr>
            <w:tcW w:w="500" w:type="pct"/>
          </w:tcPr>
          <w:p w14:paraId="13ACFF3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1,506</w:t>
            </w:r>
          </w:p>
        </w:tc>
        <w:tc>
          <w:tcPr>
            <w:tcW w:w="500" w:type="pct"/>
          </w:tcPr>
          <w:p w14:paraId="6EC7E71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10,897</w:t>
            </w:r>
          </w:p>
        </w:tc>
        <w:tc>
          <w:tcPr>
            <w:tcW w:w="497" w:type="pct"/>
          </w:tcPr>
          <w:p w14:paraId="05F9AF8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337.4</w:t>
            </w:r>
          </w:p>
        </w:tc>
      </w:tr>
      <w:tr w:rsidR="00512CAE" w:rsidRPr="002117C7" w14:paraId="1C65EF1D" w14:textId="77777777" w:rsidTr="007A7D7F">
        <w:trPr>
          <w:trHeight w:val="283"/>
        </w:trPr>
        <w:tc>
          <w:tcPr>
            <w:tcW w:w="5000" w:type="pct"/>
            <w:gridSpan w:val="10"/>
            <w:shd w:val="clear" w:color="auto" w:fill="00DCA1" w:themeFill="background1"/>
          </w:tcPr>
          <w:p w14:paraId="7A4DF967" w14:textId="77777777" w:rsidR="00512CAE" w:rsidRPr="002117C7" w:rsidRDefault="00512CAE" w:rsidP="008A621A">
            <w:pPr>
              <w:spacing w:before="100" w:after="100"/>
              <w:rPr>
                <w:rFonts w:cs="Arial"/>
                <w:b/>
                <w:color w:val="033636"/>
                <w:sz w:val="16"/>
                <w:szCs w:val="16"/>
              </w:rPr>
            </w:pPr>
            <w:r w:rsidRPr="002117C7">
              <w:rPr>
                <w:rFonts w:cs="Arial"/>
                <w:b/>
                <w:color w:val="033636"/>
                <w:sz w:val="18"/>
                <w:szCs w:val="18"/>
              </w:rPr>
              <w:t>Jurisdiction</w:t>
            </w:r>
          </w:p>
        </w:tc>
      </w:tr>
      <w:tr w:rsidR="00512CAE" w:rsidRPr="002117C7" w14:paraId="0CCF8CE8" w14:textId="77777777" w:rsidTr="007A7D7F">
        <w:trPr>
          <w:trHeight w:val="283"/>
        </w:trPr>
        <w:tc>
          <w:tcPr>
            <w:tcW w:w="500" w:type="pct"/>
          </w:tcPr>
          <w:p w14:paraId="0D92E768" w14:textId="77777777" w:rsidR="00512CAE" w:rsidRPr="002117C7" w:rsidRDefault="00512CAE" w:rsidP="008A621A">
            <w:pPr>
              <w:spacing w:before="100" w:after="100"/>
              <w:rPr>
                <w:rFonts w:cs="Arial"/>
                <w:color w:val="033636"/>
                <w:sz w:val="16"/>
                <w:szCs w:val="16"/>
              </w:rPr>
            </w:pPr>
            <w:r w:rsidRPr="002117C7">
              <w:rPr>
                <w:rFonts w:cs="Arial"/>
                <w:color w:val="033636"/>
                <w:sz w:val="18"/>
                <w:szCs w:val="18"/>
              </w:rPr>
              <w:t>ACT</w:t>
            </w:r>
          </w:p>
        </w:tc>
        <w:tc>
          <w:tcPr>
            <w:tcW w:w="500" w:type="pct"/>
          </w:tcPr>
          <w:p w14:paraId="57C4394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415</w:t>
            </w:r>
          </w:p>
        </w:tc>
        <w:tc>
          <w:tcPr>
            <w:tcW w:w="500" w:type="pct"/>
          </w:tcPr>
          <w:p w14:paraId="1DD630F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2,583</w:t>
            </w:r>
          </w:p>
        </w:tc>
        <w:tc>
          <w:tcPr>
            <w:tcW w:w="501" w:type="pct"/>
          </w:tcPr>
          <w:p w14:paraId="3D22055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553.3</w:t>
            </w:r>
          </w:p>
        </w:tc>
        <w:tc>
          <w:tcPr>
            <w:tcW w:w="500" w:type="pct"/>
          </w:tcPr>
          <w:p w14:paraId="5D34CE7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309</w:t>
            </w:r>
          </w:p>
        </w:tc>
        <w:tc>
          <w:tcPr>
            <w:tcW w:w="500" w:type="pct"/>
          </w:tcPr>
          <w:p w14:paraId="4DE1E44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1,120</w:t>
            </w:r>
          </w:p>
        </w:tc>
        <w:tc>
          <w:tcPr>
            <w:tcW w:w="502" w:type="pct"/>
          </w:tcPr>
          <w:p w14:paraId="6E0050D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239.9</w:t>
            </w:r>
          </w:p>
        </w:tc>
        <w:tc>
          <w:tcPr>
            <w:tcW w:w="500" w:type="pct"/>
          </w:tcPr>
          <w:p w14:paraId="1D2A0D0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354</w:t>
            </w:r>
          </w:p>
        </w:tc>
        <w:tc>
          <w:tcPr>
            <w:tcW w:w="500" w:type="pct"/>
          </w:tcPr>
          <w:p w14:paraId="714316A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1,792</w:t>
            </w:r>
          </w:p>
        </w:tc>
        <w:tc>
          <w:tcPr>
            <w:tcW w:w="497" w:type="pct"/>
          </w:tcPr>
          <w:p w14:paraId="35C9766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383.9</w:t>
            </w:r>
          </w:p>
        </w:tc>
      </w:tr>
      <w:tr w:rsidR="00512CAE" w:rsidRPr="002117C7" w14:paraId="219DC3B0" w14:textId="77777777" w:rsidTr="007A7D7F">
        <w:trPr>
          <w:trHeight w:val="283"/>
        </w:trPr>
        <w:tc>
          <w:tcPr>
            <w:tcW w:w="500" w:type="pct"/>
          </w:tcPr>
          <w:p w14:paraId="115D6B10" w14:textId="77777777" w:rsidR="00512CAE" w:rsidRPr="002117C7" w:rsidRDefault="00512CAE" w:rsidP="008A621A">
            <w:pPr>
              <w:spacing w:before="100" w:after="100"/>
              <w:rPr>
                <w:rFonts w:cs="Arial"/>
                <w:color w:val="033636"/>
                <w:sz w:val="16"/>
                <w:szCs w:val="16"/>
              </w:rPr>
            </w:pPr>
            <w:r w:rsidRPr="002117C7">
              <w:rPr>
                <w:rFonts w:cs="Arial"/>
                <w:color w:val="033636"/>
                <w:sz w:val="18"/>
                <w:szCs w:val="18"/>
              </w:rPr>
              <w:t>NSW</w:t>
            </w:r>
          </w:p>
        </w:tc>
        <w:tc>
          <w:tcPr>
            <w:tcW w:w="500" w:type="pct"/>
          </w:tcPr>
          <w:p w14:paraId="47E102E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9,679</w:t>
            </w:r>
          </w:p>
        </w:tc>
        <w:tc>
          <w:tcPr>
            <w:tcW w:w="500" w:type="pct"/>
          </w:tcPr>
          <w:p w14:paraId="1E3A2E3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64,343</w:t>
            </w:r>
          </w:p>
        </w:tc>
        <w:tc>
          <w:tcPr>
            <w:tcW w:w="501" w:type="pct"/>
          </w:tcPr>
          <w:p w14:paraId="390ADD7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771.6</w:t>
            </w:r>
          </w:p>
        </w:tc>
        <w:tc>
          <w:tcPr>
            <w:tcW w:w="500" w:type="pct"/>
          </w:tcPr>
          <w:p w14:paraId="70DE61D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15,995</w:t>
            </w:r>
          </w:p>
        </w:tc>
        <w:tc>
          <w:tcPr>
            <w:tcW w:w="500" w:type="pct"/>
          </w:tcPr>
          <w:p w14:paraId="1E5C3F8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50,187</w:t>
            </w:r>
          </w:p>
        </w:tc>
        <w:tc>
          <w:tcPr>
            <w:tcW w:w="502" w:type="pct"/>
          </w:tcPr>
          <w:p w14:paraId="53FD464D"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601.8</w:t>
            </w:r>
          </w:p>
        </w:tc>
        <w:tc>
          <w:tcPr>
            <w:tcW w:w="500" w:type="pct"/>
          </w:tcPr>
          <w:p w14:paraId="367EDD4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4,704</w:t>
            </w:r>
          </w:p>
        </w:tc>
        <w:tc>
          <w:tcPr>
            <w:tcW w:w="500" w:type="pct"/>
          </w:tcPr>
          <w:p w14:paraId="3BFBB67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47,987</w:t>
            </w:r>
          </w:p>
        </w:tc>
        <w:tc>
          <w:tcPr>
            <w:tcW w:w="497" w:type="pct"/>
          </w:tcPr>
          <w:p w14:paraId="4293227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575.4</w:t>
            </w:r>
          </w:p>
        </w:tc>
      </w:tr>
      <w:tr w:rsidR="00512CAE" w:rsidRPr="002117C7" w14:paraId="467DB53D" w14:textId="77777777" w:rsidTr="007A7D7F">
        <w:trPr>
          <w:trHeight w:val="283"/>
        </w:trPr>
        <w:tc>
          <w:tcPr>
            <w:tcW w:w="500" w:type="pct"/>
          </w:tcPr>
          <w:p w14:paraId="3C6900F8" w14:textId="77777777" w:rsidR="00512CAE" w:rsidRPr="002117C7" w:rsidRDefault="00512CAE" w:rsidP="008A621A">
            <w:pPr>
              <w:spacing w:before="100" w:after="100"/>
              <w:rPr>
                <w:rFonts w:cs="Arial"/>
                <w:color w:val="033636"/>
                <w:sz w:val="16"/>
                <w:szCs w:val="16"/>
              </w:rPr>
            </w:pPr>
            <w:r w:rsidRPr="002117C7">
              <w:rPr>
                <w:rFonts w:cs="Arial"/>
                <w:color w:val="033636"/>
                <w:sz w:val="18"/>
                <w:szCs w:val="18"/>
              </w:rPr>
              <w:t>NT</w:t>
            </w:r>
          </w:p>
        </w:tc>
        <w:tc>
          <w:tcPr>
            <w:tcW w:w="500" w:type="pct"/>
          </w:tcPr>
          <w:p w14:paraId="2356EF4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216</w:t>
            </w:r>
          </w:p>
        </w:tc>
        <w:tc>
          <w:tcPr>
            <w:tcW w:w="500" w:type="pct"/>
          </w:tcPr>
          <w:p w14:paraId="59255D3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1,568</w:t>
            </w:r>
          </w:p>
        </w:tc>
        <w:tc>
          <w:tcPr>
            <w:tcW w:w="501" w:type="pct"/>
          </w:tcPr>
          <w:p w14:paraId="0974ECB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621.1</w:t>
            </w:r>
          </w:p>
        </w:tc>
        <w:tc>
          <w:tcPr>
            <w:tcW w:w="500" w:type="pct"/>
          </w:tcPr>
          <w:p w14:paraId="65A98F4D"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99</w:t>
            </w:r>
          </w:p>
        </w:tc>
        <w:tc>
          <w:tcPr>
            <w:tcW w:w="500" w:type="pct"/>
          </w:tcPr>
          <w:p w14:paraId="34EB7BF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1,988</w:t>
            </w:r>
          </w:p>
        </w:tc>
        <w:tc>
          <w:tcPr>
            <w:tcW w:w="502" w:type="pct"/>
          </w:tcPr>
          <w:p w14:paraId="48FFFB1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787.4</w:t>
            </w:r>
          </w:p>
        </w:tc>
        <w:tc>
          <w:tcPr>
            <w:tcW w:w="500" w:type="pct"/>
          </w:tcPr>
          <w:p w14:paraId="1F506FF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36</w:t>
            </w:r>
          </w:p>
        </w:tc>
        <w:tc>
          <w:tcPr>
            <w:tcW w:w="500" w:type="pct"/>
          </w:tcPr>
          <w:p w14:paraId="6BE3D23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1,119</w:t>
            </w:r>
          </w:p>
        </w:tc>
        <w:tc>
          <w:tcPr>
            <w:tcW w:w="497" w:type="pct"/>
          </w:tcPr>
          <w:p w14:paraId="1E05258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443.2</w:t>
            </w:r>
          </w:p>
        </w:tc>
      </w:tr>
      <w:tr w:rsidR="00512CAE" w:rsidRPr="002117C7" w14:paraId="14F46AE6" w14:textId="77777777" w:rsidTr="007A7D7F">
        <w:trPr>
          <w:trHeight w:val="283"/>
        </w:trPr>
        <w:tc>
          <w:tcPr>
            <w:tcW w:w="500" w:type="pct"/>
          </w:tcPr>
          <w:p w14:paraId="5F9EAF0A" w14:textId="77777777" w:rsidR="00512CAE" w:rsidRPr="002117C7" w:rsidRDefault="00512CAE" w:rsidP="008A621A">
            <w:pPr>
              <w:spacing w:before="100" w:after="100"/>
              <w:rPr>
                <w:rFonts w:cs="Arial"/>
                <w:color w:val="033636"/>
                <w:sz w:val="16"/>
                <w:szCs w:val="16"/>
              </w:rPr>
            </w:pPr>
            <w:r w:rsidRPr="002117C7">
              <w:rPr>
                <w:rFonts w:cs="Arial"/>
                <w:color w:val="033636"/>
                <w:sz w:val="18"/>
                <w:szCs w:val="18"/>
              </w:rPr>
              <w:t>Qld</w:t>
            </w:r>
          </w:p>
        </w:tc>
        <w:tc>
          <w:tcPr>
            <w:tcW w:w="500" w:type="pct"/>
          </w:tcPr>
          <w:p w14:paraId="65ADF03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4,168</w:t>
            </w:r>
          </w:p>
        </w:tc>
        <w:tc>
          <w:tcPr>
            <w:tcW w:w="500" w:type="pct"/>
          </w:tcPr>
          <w:p w14:paraId="5CE5692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33,178</w:t>
            </w:r>
          </w:p>
        </w:tc>
        <w:tc>
          <w:tcPr>
            <w:tcW w:w="501" w:type="pct"/>
          </w:tcPr>
          <w:p w14:paraId="68003B6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607.7</w:t>
            </w:r>
          </w:p>
        </w:tc>
        <w:tc>
          <w:tcPr>
            <w:tcW w:w="500" w:type="pct"/>
          </w:tcPr>
          <w:p w14:paraId="6BF40C1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3,181</w:t>
            </w:r>
          </w:p>
        </w:tc>
        <w:tc>
          <w:tcPr>
            <w:tcW w:w="500" w:type="pct"/>
          </w:tcPr>
          <w:p w14:paraId="0C811CF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18,890</w:t>
            </w:r>
          </w:p>
        </w:tc>
        <w:tc>
          <w:tcPr>
            <w:tcW w:w="502" w:type="pct"/>
          </w:tcPr>
          <w:p w14:paraId="503FCE6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346.0</w:t>
            </w:r>
          </w:p>
        </w:tc>
        <w:tc>
          <w:tcPr>
            <w:tcW w:w="500" w:type="pct"/>
          </w:tcPr>
          <w:p w14:paraId="3ADED7A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2,817</w:t>
            </w:r>
          </w:p>
        </w:tc>
        <w:tc>
          <w:tcPr>
            <w:tcW w:w="500" w:type="pct"/>
          </w:tcPr>
          <w:p w14:paraId="12041A6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23,634</w:t>
            </w:r>
          </w:p>
        </w:tc>
        <w:tc>
          <w:tcPr>
            <w:tcW w:w="497" w:type="pct"/>
          </w:tcPr>
          <w:p w14:paraId="4274C69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432.9</w:t>
            </w:r>
          </w:p>
        </w:tc>
      </w:tr>
      <w:tr w:rsidR="00512CAE" w:rsidRPr="002117C7" w14:paraId="788CBF8A" w14:textId="77777777" w:rsidTr="007A7D7F">
        <w:trPr>
          <w:trHeight w:val="283"/>
        </w:trPr>
        <w:tc>
          <w:tcPr>
            <w:tcW w:w="500" w:type="pct"/>
          </w:tcPr>
          <w:p w14:paraId="7FB5C8AD" w14:textId="77777777" w:rsidR="00512CAE" w:rsidRPr="002117C7" w:rsidRDefault="00512CAE" w:rsidP="008A621A">
            <w:pPr>
              <w:spacing w:before="100" w:after="100"/>
              <w:rPr>
                <w:rFonts w:cs="Arial"/>
                <w:color w:val="033636"/>
                <w:sz w:val="16"/>
                <w:szCs w:val="16"/>
              </w:rPr>
            </w:pPr>
            <w:r w:rsidRPr="002117C7">
              <w:rPr>
                <w:rFonts w:cs="Arial"/>
                <w:color w:val="033636"/>
                <w:sz w:val="18"/>
                <w:szCs w:val="18"/>
              </w:rPr>
              <w:t>SA</w:t>
            </w:r>
          </w:p>
        </w:tc>
        <w:tc>
          <w:tcPr>
            <w:tcW w:w="500" w:type="pct"/>
          </w:tcPr>
          <w:p w14:paraId="7BE08DD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1,387</w:t>
            </w:r>
          </w:p>
        </w:tc>
        <w:tc>
          <w:tcPr>
            <w:tcW w:w="500" w:type="pct"/>
          </w:tcPr>
          <w:p w14:paraId="70AEF1E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11,026</w:t>
            </w:r>
          </w:p>
        </w:tc>
        <w:tc>
          <w:tcPr>
            <w:tcW w:w="501" w:type="pct"/>
          </w:tcPr>
          <w:p w14:paraId="0282578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595.5</w:t>
            </w:r>
          </w:p>
        </w:tc>
        <w:tc>
          <w:tcPr>
            <w:tcW w:w="500" w:type="pct"/>
          </w:tcPr>
          <w:p w14:paraId="5D64833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1,048</w:t>
            </w:r>
          </w:p>
        </w:tc>
        <w:tc>
          <w:tcPr>
            <w:tcW w:w="500" w:type="pct"/>
          </w:tcPr>
          <w:p w14:paraId="740B0FD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4,871</w:t>
            </w:r>
          </w:p>
        </w:tc>
        <w:tc>
          <w:tcPr>
            <w:tcW w:w="502" w:type="pct"/>
          </w:tcPr>
          <w:p w14:paraId="676C0F7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263.1</w:t>
            </w:r>
          </w:p>
        </w:tc>
        <w:tc>
          <w:tcPr>
            <w:tcW w:w="500" w:type="pct"/>
          </w:tcPr>
          <w:p w14:paraId="379AFA7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960</w:t>
            </w:r>
          </w:p>
        </w:tc>
        <w:tc>
          <w:tcPr>
            <w:tcW w:w="500" w:type="pct"/>
          </w:tcPr>
          <w:p w14:paraId="4F8768B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3,319</w:t>
            </w:r>
          </w:p>
        </w:tc>
        <w:tc>
          <w:tcPr>
            <w:tcW w:w="497" w:type="pct"/>
          </w:tcPr>
          <w:p w14:paraId="18C92B3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179.2</w:t>
            </w:r>
          </w:p>
        </w:tc>
      </w:tr>
      <w:tr w:rsidR="00512CAE" w:rsidRPr="002117C7" w14:paraId="2117A07F" w14:textId="77777777" w:rsidTr="007A7D7F">
        <w:trPr>
          <w:trHeight w:val="283"/>
        </w:trPr>
        <w:tc>
          <w:tcPr>
            <w:tcW w:w="500" w:type="pct"/>
          </w:tcPr>
          <w:p w14:paraId="4A9CFF0D" w14:textId="77777777" w:rsidR="00512CAE" w:rsidRPr="002117C7" w:rsidRDefault="00512CAE" w:rsidP="008A621A">
            <w:pPr>
              <w:spacing w:before="100" w:after="100"/>
              <w:rPr>
                <w:rFonts w:cs="Arial"/>
                <w:color w:val="033636"/>
                <w:sz w:val="16"/>
                <w:szCs w:val="16"/>
              </w:rPr>
            </w:pPr>
            <w:r w:rsidRPr="002117C7">
              <w:rPr>
                <w:rFonts w:cs="Arial"/>
                <w:color w:val="033636"/>
                <w:sz w:val="18"/>
                <w:szCs w:val="18"/>
              </w:rPr>
              <w:t>Tas.</w:t>
            </w:r>
          </w:p>
        </w:tc>
        <w:tc>
          <w:tcPr>
            <w:tcW w:w="500" w:type="pct"/>
          </w:tcPr>
          <w:p w14:paraId="03F1818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254</w:t>
            </w:r>
          </w:p>
        </w:tc>
        <w:tc>
          <w:tcPr>
            <w:tcW w:w="500" w:type="pct"/>
          </w:tcPr>
          <w:p w14:paraId="630399F2"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2,685</w:t>
            </w:r>
          </w:p>
        </w:tc>
        <w:tc>
          <w:tcPr>
            <w:tcW w:w="501" w:type="pct"/>
          </w:tcPr>
          <w:p w14:paraId="1C35BAB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468.8</w:t>
            </w:r>
          </w:p>
        </w:tc>
        <w:tc>
          <w:tcPr>
            <w:tcW w:w="500" w:type="pct"/>
          </w:tcPr>
          <w:p w14:paraId="54481A13"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169</w:t>
            </w:r>
          </w:p>
        </w:tc>
        <w:tc>
          <w:tcPr>
            <w:tcW w:w="500" w:type="pct"/>
          </w:tcPr>
          <w:p w14:paraId="6D1D3BD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795</w:t>
            </w:r>
          </w:p>
        </w:tc>
        <w:tc>
          <w:tcPr>
            <w:tcW w:w="502" w:type="pct"/>
          </w:tcPr>
          <w:p w14:paraId="158CB6D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138.8</w:t>
            </w:r>
          </w:p>
        </w:tc>
        <w:tc>
          <w:tcPr>
            <w:tcW w:w="500" w:type="pct"/>
          </w:tcPr>
          <w:p w14:paraId="5250128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183</w:t>
            </w:r>
          </w:p>
        </w:tc>
        <w:tc>
          <w:tcPr>
            <w:tcW w:w="500" w:type="pct"/>
          </w:tcPr>
          <w:p w14:paraId="64E3A18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812</w:t>
            </w:r>
          </w:p>
        </w:tc>
        <w:tc>
          <w:tcPr>
            <w:tcW w:w="497" w:type="pct"/>
          </w:tcPr>
          <w:p w14:paraId="0BB7B14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141.8</w:t>
            </w:r>
          </w:p>
        </w:tc>
      </w:tr>
      <w:tr w:rsidR="00512CAE" w:rsidRPr="002117C7" w14:paraId="66520646" w14:textId="77777777" w:rsidTr="007A7D7F">
        <w:trPr>
          <w:trHeight w:val="283"/>
        </w:trPr>
        <w:tc>
          <w:tcPr>
            <w:tcW w:w="500" w:type="pct"/>
          </w:tcPr>
          <w:p w14:paraId="2274DD1D" w14:textId="77777777" w:rsidR="00512CAE" w:rsidRPr="002117C7" w:rsidRDefault="00512CAE" w:rsidP="008A621A">
            <w:pPr>
              <w:spacing w:before="100" w:after="100"/>
              <w:rPr>
                <w:rFonts w:cs="Arial"/>
                <w:color w:val="033636"/>
                <w:sz w:val="18"/>
                <w:szCs w:val="18"/>
              </w:rPr>
            </w:pPr>
            <w:r w:rsidRPr="002117C7">
              <w:rPr>
                <w:rFonts w:cs="Arial"/>
                <w:color w:val="033636"/>
                <w:sz w:val="18"/>
                <w:szCs w:val="18"/>
              </w:rPr>
              <w:t>Vic.</w:t>
            </w:r>
          </w:p>
        </w:tc>
        <w:tc>
          <w:tcPr>
            <w:tcW w:w="500" w:type="pct"/>
          </w:tcPr>
          <w:p w14:paraId="7853651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3,198</w:t>
            </w:r>
          </w:p>
        </w:tc>
        <w:tc>
          <w:tcPr>
            <w:tcW w:w="500" w:type="pct"/>
          </w:tcPr>
          <w:p w14:paraId="325B29F5"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25,798</w:t>
            </w:r>
          </w:p>
        </w:tc>
        <w:tc>
          <w:tcPr>
            <w:tcW w:w="501" w:type="pct"/>
          </w:tcPr>
          <w:p w14:paraId="6E6571C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378.7</w:t>
            </w:r>
          </w:p>
        </w:tc>
        <w:tc>
          <w:tcPr>
            <w:tcW w:w="500" w:type="pct"/>
          </w:tcPr>
          <w:p w14:paraId="44CB782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4,663</w:t>
            </w:r>
          </w:p>
        </w:tc>
        <w:tc>
          <w:tcPr>
            <w:tcW w:w="500" w:type="pct"/>
          </w:tcPr>
          <w:p w14:paraId="4CCC355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19,444</w:t>
            </w:r>
          </w:p>
        </w:tc>
        <w:tc>
          <w:tcPr>
            <w:tcW w:w="502" w:type="pct"/>
          </w:tcPr>
          <w:p w14:paraId="51285DD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285.4</w:t>
            </w:r>
          </w:p>
        </w:tc>
        <w:tc>
          <w:tcPr>
            <w:tcW w:w="500" w:type="pct"/>
          </w:tcPr>
          <w:p w14:paraId="14A5FE1E"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3,303</w:t>
            </w:r>
          </w:p>
        </w:tc>
        <w:tc>
          <w:tcPr>
            <w:tcW w:w="500" w:type="pct"/>
          </w:tcPr>
          <w:p w14:paraId="3F129107"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19,205</w:t>
            </w:r>
          </w:p>
        </w:tc>
        <w:tc>
          <w:tcPr>
            <w:tcW w:w="497" w:type="pct"/>
          </w:tcPr>
          <w:p w14:paraId="46528200"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281.9</w:t>
            </w:r>
          </w:p>
        </w:tc>
      </w:tr>
      <w:tr w:rsidR="00512CAE" w:rsidRPr="002117C7" w14:paraId="0FB5C835" w14:textId="77777777" w:rsidTr="007A7D7F">
        <w:trPr>
          <w:trHeight w:val="283"/>
        </w:trPr>
        <w:tc>
          <w:tcPr>
            <w:tcW w:w="500" w:type="pct"/>
          </w:tcPr>
          <w:p w14:paraId="73C7A82F" w14:textId="77777777" w:rsidR="00512CAE" w:rsidRPr="002117C7" w:rsidRDefault="00512CAE" w:rsidP="008A621A">
            <w:pPr>
              <w:spacing w:before="100" w:after="100"/>
              <w:rPr>
                <w:rFonts w:cs="Arial"/>
                <w:color w:val="033636"/>
                <w:sz w:val="16"/>
                <w:szCs w:val="16"/>
              </w:rPr>
            </w:pPr>
            <w:r w:rsidRPr="002117C7">
              <w:rPr>
                <w:rFonts w:cs="Arial"/>
                <w:color w:val="033636"/>
                <w:sz w:val="18"/>
                <w:szCs w:val="18"/>
              </w:rPr>
              <w:t>WA</w:t>
            </w:r>
          </w:p>
        </w:tc>
        <w:tc>
          <w:tcPr>
            <w:tcW w:w="500" w:type="pct"/>
          </w:tcPr>
          <w:p w14:paraId="4D8BFD79"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780</w:t>
            </w:r>
          </w:p>
        </w:tc>
        <w:tc>
          <w:tcPr>
            <w:tcW w:w="500" w:type="pct"/>
          </w:tcPr>
          <w:p w14:paraId="0E87E21A"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8,679</w:t>
            </w:r>
          </w:p>
        </w:tc>
        <w:tc>
          <w:tcPr>
            <w:tcW w:w="501" w:type="pct"/>
          </w:tcPr>
          <w:p w14:paraId="0DF9BC71"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301.5</w:t>
            </w:r>
          </w:p>
        </w:tc>
        <w:tc>
          <w:tcPr>
            <w:tcW w:w="500" w:type="pct"/>
          </w:tcPr>
          <w:p w14:paraId="40BEE8F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465</w:t>
            </w:r>
          </w:p>
        </w:tc>
        <w:tc>
          <w:tcPr>
            <w:tcW w:w="500" w:type="pct"/>
          </w:tcPr>
          <w:p w14:paraId="76FCCC48"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3,727</w:t>
            </w:r>
          </w:p>
        </w:tc>
        <w:tc>
          <w:tcPr>
            <w:tcW w:w="502" w:type="pct"/>
          </w:tcPr>
          <w:p w14:paraId="5B35E3F6"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129.5</w:t>
            </w:r>
          </w:p>
        </w:tc>
        <w:tc>
          <w:tcPr>
            <w:tcW w:w="500" w:type="pct"/>
          </w:tcPr>
          <w:p w14:paraId="3D772D4F"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315</w:t>
            </w:r>
          </w:p>
        </w:tc>
        <w:tc>
          <w:tcPr>
            <w:tcW w:w="500" w:type="pct"/>
          </w:tcPr>
          <w:p w14:paraId="2011FA7B"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1,774</w:t>
            </w:r>
          </w:p>
        </w:tc>
        <w:tc>
          <w:tcPr>
            <w:tcW w:w="497" w:type="pct"/>
          </w:tcPr>
          <w:p w14:paraId="6CC2FECC" w14:textId="77777777" w:rsidR="00512CAE" w:rsidRPr="002117C7" w:rsidRDefault="00512CAE" w:rsidP="008A621A">
            <w:pPr>
              <w:spacing w:before="100" w:after="100"/>
              <w:jc w:val="right"/>
              <w:rPr>
                <w:rFonts w:eastAsia="Yu Gothic Light" w:cs="Arial"/>
                <w:color w:val="033636"/>
                <w:sz w:val="18"/>
                <w:szCs w:val="18"/>
              </w:rPr>
            </w:pPr>
            <w:r w:rsidRPr="002117C7">
              <w:rPr>
                <w:rFonts w:eastAsia="Arial" w:cs="Arial"/>
                <w:color w:val="033636"/>
                <w:sz w:val="18"/>
                <w:szCs w:val="18"/>
              </w:rPr>
              <w:t>61.6</w:t>
            </w:r>
          </w:p>
        </w:tc>
      </w:tr>
      <w:tr w:rsidR="00512CAE" w:rsidRPr="002117C7" w14:paraId="3D18AA70" w14:textId="77777777" w:rsidTr="007A7D7F">
        <w:trPr>
          <w:trHeight w:val="283"/>
        </w:trPr>
        <w:tc>
          <w:tcPr>
            <w:tcW w:w="500" w:type="pct"/>
          </w:tcPr>
          <w:p w14:paraId="4BCE428A" w14:textId="77777777" w:rsidR="00512CAE" w:rsidRPr="002117C7" w:rsidRDefault="00512CAE" w:rsidP="008A621A">
            <w:pPr>
              <w:spacing w:before="100" w:after="100"/>
              <w:rPr>
                <w:rFonts w:eastAsia="Arial" w:cs="Arial"/>
                <w:sz w:val="18"/>
                <w:szCs w:val="18"/>
              </w:rPr>
            </w:pPr>
            <w:r w:rsidRPr="002117C7">
              <w:rPr>
                <w:rFonts w:cs="Arial"/>
                <w:b/>
                <w:bCs/>
                <w:color w:val="033636"/>
                <w:sz w:val="18"/>
                <w:szCs w:val="18"/>
              </w:rPr>
              <w:t>Total</w:t>
            </w:r>
            <w:r w:rsidRPr="002117C7">
              <w:rPr>
                <w:rFonts w:eastAsia="Arial" w:cs="Arial"/>
                <w:b/>
                <w:bCs/>
                <w:color w:val="033636"/>
                <w:sz w:val="18"/>
                <w:szCs w:val="18"/>
                <w:vertAlign w:val="superscript"/>
              </w:rPr>
              <w:t>†</w:t>
            </w:r>
          </w:p>
        </w:tc>
        <w:tc>
          <w:tcPr>
            <w:tcW w:w="500" w:type="pct"/>
          </w:tcPr>
          <w:p w14:paraId="42DB8532"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20,097</w:t>
            </w:r>
          </w:p>
        </w:tc>
        <w:tc>
          <w:tcPr>
            <w:tcW w:w="500" w:type="pct"/>
          </w:tcPr>
          <w:p w14:paraId="7A919991"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149,860</w:t>
            </w:r>
          </w:p>
        </w:tc>
        <w:tc>
          <w:tcPr>
            <w:tcW w:w="501" w:type="pct"/>
          </w:tcPr>
          <w:p w14:paraId="3EBD37AD"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562.6</w:t>
            </w:r>
          </w:p>
        </w:tc>
        <w:tc>
          <w:tcPr>
            <w:tcW w:w="500" w:type="pct"/>
          </w:tcPr>
          <w:p w14:paraId="7C0DC62E"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25,929</w:t>
            </w:r>
          </w:p>
        </w:tc>
        <w:tc>
          <w:tcPr>
            <w:tcW w:w="500" w:type="pct"/>
          </w:tcPr>
          <w:p w14:paraId="3778C6DA"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101,022</w:t>
            </w:r>
          </w:p>
        </w:tc>
        <w:tc>
          <w:tcPr>
            <w:tcW w:w="502" w:type="pct"/>
          </w:tcPr>
          <w:p w14:paraId="2F7161A7"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379.2</w:t>
            </w:r>
          </w:p>
        </w:tc>
        <w:tc>
          <w:tcPr>
            <w:tcW w:w="500" w:type="pct"/>
          </w:tcPr>
          <w:p w14:paraId="2BBC0FF2"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12,672</w:t>
            </w:r>
          </w:p>
        </w:tc>
        <w:tc>
          <w:tcPr>
            <w:tcW w:w="500" w:type="pct"/>
          </w:tcPr>
          <w:p w14:paraId="68BC8D4E"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99,642</w:t>
            </w:r>
          </w:p>
        </w:tc>
        <w:tc>
          <w:tcPr>
            <w:tcW w:w="497" w:type="pct"/>
          </w:tcPr>
          <w:p w14:paraId="2485D3BC" w14:textId="77777777" w:rsidR="00512CAE" w:rsidRPr="00C86761" w:rsidRDefault="00512CAE" w:rsidP="008A621A">
            <w:pPr>
              <w:spacing w:before="100" w:after="100"/>
              <w:jc w:val="right"/>
              <w:rPr>
                <w:rFonts w:eastAsia="Yu Gothic Light" w:cs="Arial"/>
                <w:b/>
                <w:bCs/>
                <w:color w:val="033636"/>
                <w:sz w:val="18"/>
                <w:szCs w:val="18"/>
              </w:rPr>
            </w:pPr>
            <w:r w:rsidRPr="00C86761">
              <w:rPr>
                <w:rFonts w:eastAsia="Arial" w:cs="Arial"/>
                <w:b/>
                <w:bCs/>
                <w:color w:val="033636"/>
                <w:sz w:val="18"/>
                <w:szCs w:val="18"/>
              </w:rPr>
              <w:t>374.1</w:t>
            </w:r>
          </w:p>
        </w:tc>
      </w:tr>
    </w:tbl>
    <w:p w14:paraId="046ABD63" w14:textId="6FEF27AD" w:rsidR="009F44F5" w:rsidRPr="00C20709" w:rsidRDefault="008A621A" w:rsidP="007A7D7F">
      <w:pPr>
        <w:pStyle w:val="Smalltext"/>
        <w:rPr>
          <w:highlight w:val="yellow"/>
        </w:rPr>
      </w:pPr>
      <w:r w:rsidRPr="002117C7">
        <w:t xml:space="preserve">* Rate per 100,000 population for the given time period. Population data are based on the Australian Bureau of Statistics (ABS) Estimated Resident Population (ERP) as </w:t>
      </w:r>
      <w:proofErr w:type="gramStart"/>
      <w:r w:rsidRPr="002117C7">
        <w:t>at</w:t>
      </w:r>
      <w:proofErr w:type="gramEnd"/>
      <w:r w:rsidRPr="002117C7">
        <w:t xml:space="preserve"> June 2023.</w:t>
      </w:r>
      <w:r w:rsidRPr="002117C7">
        <w:br/>
        <w:t>† Total includes cases with missing age.</w:t>
      </w:r>
      <w:r w:rsidRPr="00C20709">
        <w:rPr>
          <w:highlight w:val="yellow"/>
        </w:rPr>
        <w:br w:type="page"/>
      </w:r>
    </w:p>
    <w:p w14:paraId="046ABD64" w14:textId="36E58501" w:rsidR="009F44F5" w:rsidRPr="00751D6A" w:rsidRDefault="008A621A" w:rsidP="00806003">
      <w:pPr>
        <w:numPr>
          <w:ilvl w:val="0"/>
          <w:numId w:val="21"/>
        </w:numPr>
      </w:pPr>
      <w:r w:rsidRPr="00751D6A">
        <w:lastRenderedPageBreak/>
        <w:t xml:space="preserve">Nationally, there were 20,097 COVID-19 notifications with a diagnosis date this fortnight (3 June to 16 June 2024), a </w:t>
      </w:r>
      <w:r w:rsidR="00DA24C6" w:rsidRPr="00751D6A">
        <w:t xml:space="preserve">small </w:t>
      </w:r>
      <w:r w:rsidRPr="00751D6A">
        <w:t>decrease compared with 21,447 notifications in the previous fortnight (Figure 6).</w:t>
      </w:r>
    </w:p>
    <w:p w14:paraId="4B5B179E" w14:textId="66D6240B" w:rsidR="00370D8F" w:rsidRPr="00751D6A" w:rsidRDefault="00DD28AC" w:rsidP="00370D8F">
      <w:pPr>
        <w:numPr>
          <w:ilvl w:val="1"/>
          <w:numId w:val="7"/>
        </w:numPr>
      </w:pPr>
      <w:r>
        <w:t xml:space="preserve">Prior to the </w:t>
      </w:r>
      <w:r w:rsidR="00830123">
        <w:t>decrease</w:t>
      </w:r>
      <w:r w:rsidR="00F35632">
        <w:t xml:space="preserve"> </w:t>
      </w:r>
      <w:r w:rsidR="00532917">
        <w:t xml:space="preserve">observed </w:t>
      </w:r>
      <w:r w:rsidR="00F35632">
        <w:t xml:space="preserve">this fortnight, </w:t>
      </w:r>
      <w:r w:rsidR="00370D8F" w:rsidRPr="00D72102">
        <w:t xml:space="preserve">COVID-19 notifications </w:t>
      </w:r>
      <w:r w:rsidR="00F35632">
        <w:t>had been following an</w:t>
      </w:r>
      <w:r w:rsidR="00370D8F" w:rsidRPr="00D72102">
        <w:t xml:space="preserve"> increasing trend since late April 2024. The increasing trend in case notifications since April 2024 followed a decrease in case numbers from January 2024 (Figure </w:t>
      </w:r>
      <w:r w:rsidR="00370D8F">
        <w:t>6</w:t>
      </w:r>
      <w:r w:rsidR="00370D8F" w:rsidRPr="00D72102">
        <w:t>).</w:t>
      </w:r>
    </w:p>
    <w:p w14:paraId="046ABD65" w14:textId="77777777" w:rsidR="009F44F5" w:rsidRPr="001C503D" w:rsidRDefault="008A621A" w:rsidP="00806003">
      <w:pPr>
        <w:numPr>
          <w:ilvl w:val="0"/>
          <w:numId w:val="21"/>
        </w:numPr>
      </w:pPr>
      <w:r w:rsidRPr="001C503D">
        <w:t>In the year to date, there have been 149,860 COVID-19 notifications reported to the NNDSS. This is lower than the number of laboratory-confirmed notifications in the same period in 2023; however, this trend should be interpreted with caution due to a reduction in case ascertainment and reporting in all jurisdictions (Figure 6).</w:t>
      </w:r>
    </w:p>
    <w:p w14:paraId="046ABD66" w14:textId="7CBDB5E9" w:rsidR="009F44F5" w:rsidRPr="001C503D" w:rsidRDefault="008A621A" w:rsidP="00806003">
      <w:pPr>
        <w:numPr>
          <w:ilvl w:val="0"/>
          <w:numId w:val="21"/>
        </w:numPr>
      </w:pPr>
      <w:r w:rsidRPr="001C503D">
        <w:t>In the year to date, COVID-19 notification rates have been highest in people aged 70 years</w:t>
      </w:r>
      <w:r w:rsidR="001C503D" w:rsidRPr="001C503D">
        <w:t xml:space="preserve"> or over</w:t>
      </w:r>
      <w:r w:rsidRPr="001C503D">
        <w:t xml:space="preserve">, followed by </w:t>
      </w:r>
      <w:r w:rsidR="001C503D" w:rsidRPr="001C503D">
        <w:t>children</w:t>
      </w:r>
      <w:r w:rsidRPr="001C503D">
        <w:t xml:space="preserve"> aged 0–4 years (Table 1).</w:t>
      </w:r>
    </w:p>
    <w:p w14:paraId="046ABD67" w14:textId="77777777" w:rsidR="009F44F5" w:rsidRPr="001C503D" w:rsidRDefault="008A621A" w:rsidP="00806003">
      <w:pPr>
        <w:numPr>
          <w:ilvl w:val="1"/>
          <w:numId w:val="22"/>
        </w:numPr>
      </w:pPr>
      <w:r w:rsidRPr="001C503D">
        <w:t xml:space="preserve">This trend for older age groups is likely to </w:t>
      </w:r>
      <w:proofErr w:type="gramStart"/>
      <w:r w:rsidRPr="001C503D">
        <w:t>be a reflection of</w:t>
      </w:r>
      <w:proofErr w:type="gramEnd"/>
      <w:r w:rsidRPr="001C503D">
        <w:t xml:space="preserve"> higher case ascertainment due to targeted testing strategies in place for populations at-risk of severe disease and who live in a high-risk setting, such as a residential aged care facility.</w:t>
      </w:r>
    </w:p>
    <w:p w14:paraId="046ABD68" w14:textId="77777777" w:rsidR="009F44F5" w:rsidRPr="00C20709" w:rsidRDefault="009F44F5">
      <w:pPr>
        <w:rPr>
          <w:highlight w:val="yellow"/>
        </w:rPr>
      </w:pPr>
    </w:p>
    <w:p w14:paraId="046ABD69" w14:textId="77777777" w:rsidR="009F44F5" w:rsidRPr="0072771A" w:rsidRDefault="008A621A">
      <w:pPr>
        <w:pStyle w:val="BodyText"/>
      </w:pPr>
      <w:r w:rsidRPr="0072771A">
        <w:rPr>
          <w:b/>
          <w:bCs/>
        </w:rPr>
        <w:t>Figure 6: COVID-19 cases notified to the NNDSS showing (A) laboratory-confirmed and probable cases in all pandemic years 2020–2024 and (B) laboratory-confirmed cases in recent pandemic years 2023 and 2024 by year and week of diagnosis, Australia, 1 January 2020 to 16 June 2024</w:t>
      </w:r>
    </w:p>
    <w:p w14:paraId="046ABD6A" w14:textId="77777777" w:rsidR="009F44F5" w:rsidRPr="0072771A" w:rsidRDefault="008A621A">
      <w:pPr>
        <w:pStyle w:val="BodyText"/>
      </w:pPr>
      <w:r w:rsidRPr="0072771A">
        <w:rPr>
          <w:noProof/>
        </w:rPr>
        <w:drawing>
          <wp:inline distT="0" distB="0" distL="0" distR="0" wp14:anchorId="046ABEF2" wp14:editId="771447F4">
            <wp:extent cx="6184900" cy="2086929"/>
            <wp:effectExtent l="0" t="0" r="0" b="0"/>
            <wp:docPr id="43" name="Graphic 43" descr="A line graph showing COVID-19 cases notified to the NNDSS in Australia, by year and week of diagnosis, from 1 January 2020 to 16 June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3" name="Graphic 43" descr="A line graph showing COVID-19 cases notified to the NNDSS in Australia, by year and week of diagnosis, from 1 January 2020 to 16 June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046ABD6B" w14:textId="77777777" w:rsidR="009F44F5" w:rsidRPr="0072771A" w:rsidRDefault="008A621A">
      <w:pPr>
        <w:pStyle w:val="BodyText"/>
      </w:pPr>
      <w:r w:rsidRPr="0072771A">
        <w:rPr>
          <w:noProof/>
        </w:rPr>
        <w:drawing>
          <wp:inline distT="0" distB="0" distL="0" distR="0" wp14:anchorId="046ABEF4" wp14:editId="1B996FCE">
            <wp:extent cx="6184900" cy="2086929"/>
            <wp:effectExtent l="0" t="0" r="0" b="0"/>
            <wp:docPr id="46" name="Graphic 46" descr="A second line graph showing confirmed COVID-19 cases notified to the NNDSS in Australia, by selected years (the whole year of 2023, and 2024 1 January to 16 June)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From early May 2024, the number of COVID-19 cases have increased steadily, reaching an apparent peak of 12,000 cases per week in the week ending 2 June 2024.  "/>
            <wp:cNvGraphicFramePr/>
            <a:graphic xmlns:a="http://schemas.openxmlformats.org/drawingml/2006/main">
              <a:graphicData uri="http://schemas.openxmlformats.org/drawingml/2006/picture">
                <pic:pic xmlns:pic="http://schemas.openxmlformats.org/drawingml/2006/picture">
                  <pic:nvPicPr>
                    <pic:cNvPr id="46" name="Graphic 46" descr="A second line graph showing confirmed COVID-19 cases notified to the NNDSS in Australia, by selected years (the whole year of 2023, and 2024 1 January to 16 June)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From early May 2024, the number of COVID-19 cases have increased steadily, reaching an apparent peak of 12,000 cases per week in the week ending 2 June 2024.  "/>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046ABD6C" w14:textId="756A1FCC" w:rsidR="009F44F5" w:rsidRPr="001E6848" w:rsidRDefault="008A621A" w:rsidP="00806003">
      <w:pPr>
        <w:numPr>
          <w:ilvl w:val="0"/>
          <w:numId w:val="23"/>
        </w:numPr>
      </w:pPr>
      <w:r w:rsidRPr="001E6848">
        <w:lastRenderedPageBreak/>
        <w:t>This fortnight, COVID-19 notification rates have decreased in most jurisdictions compared with the previous fortnight</w:t>
      </w:r>
      <w:r w:rsidR="005A34D7">
        <w:t>, except in Queensland where an increase was observed compared with the previous fortnight</w:t>
      </w:r>
      <w:r w:rsidRPr="001E6848">
        <w:t xml:space="preserve"> (Figure 7).</w:t>
      </w:r>
    </w:p>
    <w:p w14:paraId="046ABD6D" w14:textId="40D6D570" w:rsidR="009F44F5" w:rsidRDefault="008A621A" w:rsidP="00806003">
      <w:pPr>
        <w:numPr>
          <w:ilvl w:val="0"/>
          <w:numId w:val="23"/>
        </w:numPr>
      </w:pPr>
      <w:r w:rsidRPr="00D72102">
        <w:t>In the year to date, COVID-19 notification rates have been highest in New South Wales, followed by the Northern Territory</w:t>
      </w:r>
      <w:r w:rsidR="002367A6" w:rsidRPr="00D72102">
        <w:t xml:space="preserve"> </w:t>
      </w:r>
      <w:r w:rsidRPr="00D72102">
        <w:t>(Table 1).</w:t>
      </w:r>
    </w:p>
    <w:p w14:paraId="7E04438A" w14:textId="77777777" w:rsidR="00D72102" w:rsidRPr="00D72102" w:rsidRDefault="00D72102" w:rsidP="00D72102"/>
    <w:p w14:paraId="046ABD6E" w14:textId="77777777" w:rsidR="009F44F5" w:rsidRPr="003A1AB6" w:rsidRDefault="008A621A">
      <w:r w:rsidRPr="003A1AB6">
        <w:rPr>
          <w:b/>
          <w:bCs/>
        </w:rPr>
        <w:t>Figure 7: Notification rates per 100,000 population for COVID-19 cases notified to the NNDSS* by state or territory and week of diagnosis, Australia, 1 January to 16 June 2024</w:t>
      </w:r>
    </w:p>
    <w:p w14:paraId="046ABD6F" w14:textId="77777777" w:rsidR="009F44F5" w:rsidRPr="00387A58" w:rsidRDefault="008A621A">
      <w:pPr>
        <w:pStyle w:val="BodyText"/>
      </w:pPr>
      <w:r w:rsidRPr="003A1AB6">
        <w:rPr>
          <w:noProof/>
        </w:rPr>
        <w:drawing>
          <wp:inline distT="0" distB="0" distL="0" distR="0" wp14:anchorId="046ABEF6" wp14:editId="7F35BE41">
            <wp:extent cx="6184900" cy="2731980"/>
            <wp:effectExtent l="0" t="0" r="0" b="0"/>
            <wp:docPr id="49" name="Graphic 49" descr="A line graph showing the notification rates per 100,000 population for COVID-19 cases notified to the NNDSS, by state or territory in Australia with diagnosis dates from 1 January to 16 June 2024. Following a decreasing trend since the beginning of 2024, COVID-19 notification rates per 100,000 population in most jurisdictions have rapidly increased since late April 2024. Influenza notification rates in New South Wales rapidly increased from approximately 18 notifications per 100,000 population per week in the week ending 28 April 2024 to approximately 62 notifications in the week ending 2 June 2024. In the week ending 16 June 2024, COVID-19 notification rates declined or remained stable in all jurisdictions. The highest COVID-19 notification rate was observed in New South Wales at approximately 55 notifications per 100,000 population; the lowest COVID-19 notification rate was observed in Western Australia at approximately 10 notifications per 100,000 population."/>
            <wp:cNvGraphicFramePr/>
            <a:graphic xmlns:a="http://schemas.openxmlformats.org/drawingml/2006/main">
              <a:graphicData uri="http://schemas.openxmlformats.org/drawingml/2006/picture">
                <pic:pic xmlns:pic="http://schemas.openxmlformats.org/drawingml/2006/picture">
                  <pic:nvPicPr>
                    <pic:cNvPr id="49" name="Graphic 49" descr="A line graph showing the notification rates per 100,000 population for COVID-19 cases notified to the NNDSS, by state or territory in Australia with diagnosis dates from 1 January to 16 June 2024. Following a decreasing trend since the beginning of 2024, COVID-19 notification rates per 100,000 population in most jurisdictions have rapidly increased since late April 2024. Influenza notification rates in New South Wales rapidly increased from approximately 18 notifications per 100,000 population per week in the week ending 28 April 2024 to approximately 62 notifications in the week ending 2 June 2024. In the week ending 16 June 2024, COVID-19 notification rates declined or remained stable in all jurisdictions. The highest COVID-19 notification rate was observed in New South Wales at approximately 55 notifications per 100,000 population; the lowest COVID-19 notification rate was observed in Western Australia at approximately 10 notifications per 100,000 population."/>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D70" w14:textId="77777777" w:rsidR="009F44F5" w:rsidRPr="00387A58" w:rsidRDefault="008A621A">
      <w:pPr>
        <w:pStyle w:val="Smalltext"/>
      </w:pPr>
      <w:r w:rsidRPr="00387A58">
        <w:t xml:space="preserve">* Rate per 100,000 population for the given time period. Population data are based on the ABS ERP as </w:t>
      </w:r>
      <w:proofErr w:type="gramStart"/>
      <w:r w:rsidRPr="00387A58">
        <w:t>at</w:t>
      </w:r>
      <w:proofErr w:type="gramEnd"/>
      <w:r w:rsidRPr="00387A58">
        <w:t xml:space="preserve"> June 2023.</w:t>
      </w:r>
    </w:p>
    <w:p w14:paraId="046ABD71" w14:textId="77777777" w:rsidR="009F44F5" w:rsidRPr="0087172B" w:rsidRDefault="009F44F5">
      <w:pPr>
        <w:pStyle w:val="Smalltext"/>
      </w:pPr>
    </w:p>
    <w:p w14:paraId="046ABD72" w14:textId="2B236CB5" w:rsidR="009F44F5" w:rsidRPr="0087172B" w:rsidRDefault="008A621A" w:rsidP="00806003">
      <w:pPr>
        <w:numPr>
          <w:ilvl w:val="0"/>
          <w:numId w:val="24"/>
        </w:numPr>
      </w:pPr>
      <w:r w:rsidRPr="0087172B">
        <w:t xml:space="preserve">Nationally, influenza notifications have </w:t>
      </w:r>
      <w:r w:rsidR="008C1EE2">
        <w:t>risen</w:t>
      </w:r>
      <w:r w:rsidRPr="0087172B">
        <w:t xml:space="preserve"> steadily since late April. However, this trend has not been observed across all jurisdictions (Figure 8; Figure 9).</w:t>
      </w:r>
    </w:p>
    <w:p w14:paraId="046ABD73" w14:textId="48DE0790" w:rsidR="009F44F5" w:rsidRPr="0008238F" w:rsidRDefault="008A621A" w:rsidP="00806003">
      <w:pPr>
        <w:numPr>
          <w:ilvl w:val="0"/>
          <w:numId w:val="24"/>
        </w:numPr>
      </w:pPr>
      <w:r w:rsidRPr="0008238F">
        <w:t xml:space="preserve">Nationally, there were 25,929 influenza notifications with a diagnosis date this fortnight, a </w:t>
      </w:r>
      <w:r w:rsidR="0008238F" w:rsidRPr="0008238F">
        <w:t xml:space="preserve">considerable </w:t>
      </w:r>
      <w:r w:rsidRPr="0008238F">
        <w:t>increase compared with 17,574 notifications in the previous fortnight (Figure 8).</w:t>
      </w:r>
    </w:p>
    <w:p w14:paraId="046ABD74" w14:textId="06798A9D" w:rsidR="009F44F5" w:rsidRPr="00682110" w:rsidRDefault="008A621A" w:rsidP="00806003">
      <w:pPr>
        <w:numPr>
          <w:ilvl w:val="0"/>
          <w:numId w:val="24"/>
        </w:numPr>
      </w:pPr>
      <w:r w:rsidRPr="00682110">
        <w:t xml:space="preserve">In the year to date, there have been 101,022 influenza notifications reported to the NNDSS, which is </w:t>
      </w:r>
      <w:r w:rsidR="00682110" w:rsidRPr="00682110">
        <w:t xml:space="preserve">higher than </w:t>
      </w:r>
      <w:r w:rsidRPr="00682110">
        <w:t xml:space="preserve">the number of notifications in the same period in all other years (excluding </w:t>
      </w:r>
      <w:r w:rsidR="0097028B">
        <w:t>2019 and</w:t>
      </w:r>
      <w:r w:rsidRPr="0097028B">
        <w:t xml:space="preserve"> </w:t>
      </w:r>
      <w:r w:rsidR="00682110" w:rsidRPr="00682110">
        <w:t>2022</w:t>
      </w:r>
      <w:r w:rsidRPr="00682110">
        <w:t>) (Figure 8).</w:t>
      </w:r>
    </w:p>
    <w:p w14:paraId="046ABD75" w14:textId="77777777" w:rsidR="009F44F5" w:rsidRPr="00387A58" w:rsidRDefault="008A621A" w:rsidP="00806003">
      <w:pPr>
        <w:numPr>
          <w:ilvl w:val="1"/>
          <w:numId w:val="25"/>
        </w:numPr>
      </w:pPr>
      <w:r w:rsidRPr="00682110">
        <w:t>The higher number of influenza notifications observed during the most recent</w:t>
      </w:r>
      <w:r w:rsidRPr="00387A58">
        <w:t xml:space="preserve">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046ABD76" w14:textId="6A6BFC6F" w:rsidR="009F44F5" w:rsidRPr="00410263" w:rsidRDefault="008A621A" w:rsidP="00806003">
      <w:pPr>
        <w:numPr>
          <w:ilvl w:val="0"/>
          <w:numId w:val="24"/>
        </w:numPr>
      </w:pPr>
      <w:r w:rsidRPr="00410263">
        <w:t xml:space="preserve">In the year to date, influenza notification rates have been highest in </w:t>
      </w:r>
      <w:r w:rsidR="00410263" w:rsidRPr="00410263">
        <w:t>children</w:t>
      </w:r>
      <w:r w:rsidRPr="00410263">
        <w:t xml:space="preserve"> aged </w:t>
      </w:r>
      <w:r w:rsidR="00410263" w:rsidRPr="00410263">
        <w:t xml:space="preserve">5–9 </w:t>
      </w:r>
      <w:r w:rsidRPr="00410263">
        <w:t xml:space="preserve">years, followed closely by </w:t>
      </w:r>
      <w:r w:rsidR="00410263" w:rsidRPr="00410263">
        <w:t>children</w:t>
      </w:r>
      <w:r w:rsidRPr="00410263">
        <w:t xml:space="preserve"> aged 0–</w:t>
      </w:r>
      <w:r w:rsidR="00410263" w:rsidRPr="00410263">
        <w:t>4</w:t>
      </w:r>
      <w:r w:rsidRPr="00410263">
        <w:t xml:space="preserve"> years (Table 1).</w:t>
      </w:r>
    </w:p>
    <w:p w14:paraId="66079DBC" w14:textId="77777777" w:rsidR="00387A58" w:rsidRPr="00410263" w:rsidRDefault="00387A58">
      <w:pPr>
        <w:spacing w:before="0" w:after="0" w:line="240" w:lineRule="auto"/>
        <w:rPr>
          <w:b/>
          <w:bCs/>
        </w:rPr>
      </w:pPr>
      <w:r w:rsidRPr="00410263">
        <w:rPr>
          <w:b/>
          <w:bCs/>
        </w:rPr>
        <w:br w:type="page"/>
      </w:r>
    </w:p>
    <w:p w14:paraId="046ABD77" w14:textId="5649BDEA" w:rsidR="009F44F5" w:rsidRPr="00387A58" w:rsidRDefault="008A621A">
      <w:r w:rsidRPr="00387A58">
        <w:rPr>
          <w:b/>
          <w:bCs/>
        </w:rPr>
        <w:lastRenderedPageBreak/>
        <w:t>Figure 8: Influenza cases notified to the NNDSS and five-year mean* by year and week of diagnosis, Australia, 2017 to 16 June 2024</w:t>
      </w:r>
    </w:p>
    <w:p w14:paraId="556F26F3" w14:textId="7BF95380" w:rsidR="007B2BCF" w:rsidRPr="00387A58" w:rsidRDefault="007B2BCF">
      <w:pPr>
        <w:pStyle w:val="BodyText"/>
      </w:pPr>
      <w:r w:rsidRPr="007B2BCF">
        <w:rPr>
          <w:noProof/>
        </w:rPr>
        <w:drawing>
          <wp:inline distT="0" distB="0" distL="0" distR="0" wp14:anchorId="270546CB" wp14:editId="1A5D4817">
            <wp:extent cx="6192520" cy="2733675"/>
            <wp:effectExtent l="0" t="0" r="0" b="9525"/>
            <wp:docPr id="7" name="Graphic 7" descr="A line graph showing influenza cases notified to the NNDSS in Australia, by year and week of diagnosis, from 1 January 2017 to 16 June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In the latest reporting period, the number of influenza notifications have rapidly increased to approximately 14,000 per week. Note, the years 2020 and 2021 are excluded when comparing the current season to historical periods when influenza virus has circulated without public health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A line graph showing influenza cases notified to the NNDSS in Australia, by year and week of diagnosis, from 1 January 2017 to 16 June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In the latest reporting period, the number of influenza notifications have rapidly increased to approximately 14,000 per week. Note, the years 2020 and 2021 are excluded when comparing the current season to historical periods when influenza virus has circulated without public health restrictions."/>
                    <pic:cNvPicPr/>
                  </pic:nvPicPr>
                  <pic:blipFill>
                    <a:blip r:embed="rId37">
                      <a:extLst>
                        <a:ext uri="{96DAC541-7B7A-43D3-8B79-37D633B846F1}">
                          <asvg:svgBlip xmlns:asvg="http://schemas.microsoft.com/office/drawing/2016/SVG/main" r:embed="rId38"/>
                        </a:ext>
                      </a:extLst>
                    </a:blip>
                    <a:stretch>
                      <a:fillRect/>
                    </a:stretch>
                  </pic:blipFill>
                  <pic:spPr>
                    <a:xfrm>
                      <a:off x="0" y="0"/>
                      <a:ext cx="6192520" cy="2733675"/>
                    </a:xfrm>
                    <a:prstGeom prst="rect">
                      <a:avLst/>
                    </a:prstGeom>
                  </pic:spPr>
                </pic:pic>
              </a:graphicData>
            </a:graphic>
          </wp:inline>
        </w:drawing>
      </w:r>
    </w:p>
    <w:p w14:paraId="046ABD79" w14:textId="77777777" w:rsidR="009F44F5" w:rsidRPr="00387A58" w:rsidRDefault="008A621A">
      <w:pPr>
        <w:pStyle w:val="Smalltext"/>
      </w:pPr>
      <w:r w:rsidRPr="00387A58">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p>
    <w:p w14:paraId="046ABD7A" w14:textId="77777777" w:rsidR="009F44F5" w:rsidRPr="00C20709" w:rsidRDefault="009F44F5">
      <w:pPr>
        <w:pStyle w:val="Smalltext"/>
        <w:rPr>
          <w:highlight w:val="yellow"/>
        </w:rPr>
      </w:pPr>
    </w:p>
    <w:p w14:paraId="046ABD7B" w14:textId="447A0B72" w:rsidR="009F44F5" w:rsidRPr="00B00880" w:rsidRDefault="008A621A" w:rsidP="00806003">
      <w:pPr>
        <w:numPr>
          <w:ilvl w:val="0"/>
          <w:numId w:val="26"/>
        </w:numPr>
      </w:pPr>
      <w:r w:rsidRPr="00B00880">
        <w:t xml:space="preserve">This fortnight, influenza notification rates were highest in New South Wales (Figure 9). This fortnight, influenza notification rates </w:t>
      </w:r>
      <w:r w:rsidR="009C2DC0" w:rsidRPr="00B00880">
        <w:t xml:space="preserve">remained </w:t>
      </w:r>
      <w:r w:rsidR="00DA253E">
        <w:t xml:space="preserve">relatively </w:t>
      </w:r>
      <w:r w:rsidR="009C2DC0" w:rsidRPr="00B00880">
        <w:t xml:space="preserve">stable in most jurisdictions, except New South Wales </w:t>
      </w:r>
      <w:r w:rsidR="00905570">
        <w:t xml:space="preserve">and Queensland </w:t>
      </w:r>
      <w:r w:rsidR="009C2DC0" w:rsidRPr="00B00880">
        <w:t xml:space="preserve">where notifications </w:t>
      </w:r>
      <w:r w:rsidR="002346FF">
        <w:t>continued to increase</w:t>
      </w:r>
      <w:r w:rsidR="007B42D2">
        <w:t xml:space="preserve">, and </w:t>
      </w:r>
      <w:r w:rsidR="00237C3E">
        <w:t xml:space="preserve">the Northern Territory where </w:t>
      </w:r>
      <w:r w:rsidR="005E6F1C">
        <w:t>notifications</w:t>
      </w:r>
      <w:r w:rsidR="00237C3E">
        <w:t xml:space="preserve"> continued to decrease</w:t>
      </w:r>
      <w:r w:rsidRPr="00B00880">
        <w:t xml:space="preserve"> (Figure 9).</w:t>
      </w:r>
    </w:p>
    <w:p w14:paraId="09E6F5CB" w14:textId="4E7366F6" w:rsidR="00905570" w:rsidRPr="00905570" w:rsidRDefault="00342325" w:rsidP="00806003">
      <w:pPr>
        <w:numPr>
          <w:ilvl w:val="0"/>
          <w:numId w:val="26"/>
        </w:numPr>
      </w:pPr>
      <w:r w:rsidRPr="00905570">
        <w:t>Until the most</w:t>
      </w:r>
      <w:r w:rsidR="00EA43CD" w:rsidRPr="00905570">
        <w:t xml:space="preserve"> recent fortnight</w:t>
      </w:r>
      <w:r w:rsidR="008A621A" w:rsidRPr="00905570">
        <w:t>, influenza notification rates ha</w:t>
      </w:r>
      <w:r w:rsidR="00EA43CD" w:rsidRPr="00905570">
        <w:t>d</w:t>
      </w:r>
      <w:r w:rsidR="008A621A" w:rsidRPr="00905570">
        <w:t xml:space="preserve"> followed an increasing trend in most jurisdictions </w:t>
      </w:r>
      <w:r w:rsidR="00EA43CD" w:rsidRPr="00905570">
        <w:t>since late April 2024</w:t>
      </w:r>
      <w:r w:rsidR="00091EBE">
        <w:t>,</w:t>
      </w:r>
      <w:r w:rsidR="004B5476">
        <w:t xml:space="preserve"> </w:t>
      </w:r>
      <w:r w:rsidR="00F034F3">
        <w:t>though</w:t>
      </w:r>
      <w:r w:rsidR="004B5476">
        <w:t xml:space="preserve"> have</w:t>
      </w:r>
      <w:r w:rsidR="008A621A" w:rsidRPr="00905570">
        <w:t xml:space="preserve"> remained relatively low and stable in Western Australia (Figure 9). </w:t>
      </w:r>
    </w:p>
    <w:p w14:paraId="046ABD7C" w14:textId="7507B1C5" w:rsidR="009F44F5" w:rsidRPr="00BF372C" w:rsidRDefault="008A621A" w:rsidP="00806003">
      <w:pPr>
        <w:numPr>
          <w:ilvl w:val="0"/>
          <w:numId w:val="26"/>
        </w:numPr>
      </w:pPr>
      <w:r w:rsidRPr="00BF372C">
        <w:t>In the year to date, influenza notification rates have been highest in the Northern Territory, followed by New South Wales (Table 1).</w:t>
      </w:r>
    </w:p>
    <w:p w14:paraId="046ABD7D" w14:textId="77777777" w:rsidR="009F44F5" w:rsidRPr="00BF372C" w:rsidRDefault="008A621A">
      <w:r w:rsidRPr="00BF372C">
        <w:rPr>
          <w:b/>
          <w:bCs/>
        </w:rPr>
        <w:t>Figure 9: Notification rates per 100,000 population for influenza cases notified to the NNDSS* by state or territory and week of diagnosis, Australia, 1 January to 16 June 2024</w:t>
      </w:r>
    </w:p>
    <w:p w14:paraId="046ABD7E" w14:textId="77777777" w:rsidR="009F44F5" w:rsidRPr="00BF372C" w:rsidRDefault="008A621A">
      <w:pPr>
        <w:pStyle w:val="BodyText"/>
      </w:pPr>
      <w:r w:rsidRPr="00BF372C">
        <w:rPr>
          <w:noProof/>
        </w:rPr>
        <w:drawing>
          <wp:inline distT="0" distB="0" distL="0" distR="0" wp14:anchorId="046ABEFA" wp14:editId="7FB063D1">
            <wp:extent cx="6184900" cy="2731980"/>
            <wp:effectExtent l="0" t="0" r="0" b="0"/>
            <wp:docPr id="55" name="Graphic 55" descr="A line graph showing the notification rates per 100,000 population for influenza cases notified to the NNDSS, by state or territory in Australia, with diagnosis dates from 1 January to 16 June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90 notifications per 100,000 population per week in the week ending 12 May 2024. From mid-May, influenza notification rates in the Northern Territory declined rapidly to approximately 15 notifications per 100,000 population in the week ending 16 June 2024. Since late April, influenza notification rates have steadily increased in most jurisdictions but have remained relatively stable in Western Australia. From late April to early May 2024, influenza notification rates rapidly increased in New South Wales. In the week ending 16 June 2024, the highest influenza notification rate was observed in New South Wales at approximately 84 notifications per 100,000 population; the lowest influenza notification rate was observed in Western Australia at approximately 9 notifications per 100,000 population."/>
            <wp:cNvGraphicFramePr/>
            <a:graphic xmlns:a="http://schemas.openxmlformats.org/drawingml/2006/main">
              <a:graphicData uri="http://schemas.openxmlformats.org/drawingml/2006/picture">
                <pic:pic xmlns:pic="http://schemas.openxmlformats.org/drawingml/2006/picture">
                  <pic:nvPicPr>
                    <pic:cNvPr id="55" name="Graphic 55" descr="A line graph showing the notification rates per 100,000 population for influenza cases notified to the NNDSS, by state or territory in Australia, with diagnosis dates from 1 January to 16 June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90 notifications per 100,000 population per week in the week ending 12 May 2024. From mid-May, influenza notification rates in the Northern Territory declined rapidly to approximately 15 notifications per 100,000 population in the week ending 16 June 2024. Since late April, influenza notification rates have steadily increased in most jurisdictions but have remained relatively stable in Western Australia. From late April to early May 2024, influenza notification rates rapidly increased in New South Wales. In the week ending 16 June 2024, the highest influenza notification rate was observed in New South Wales at approximately 84 notifications per 100,000 population; the lowest influenza notification rate was observed in Western Australia at approximately 9 notifications per 100,000 population."/>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D7F" w14:textId="77777777" w:rsidR="009F44F5" w:rsidRPr="00410D81" w:rsidRDefault="008A621A">
      <w:pPr>
        <w:pStyle w:val="Smalltext"/>
      </w:pPr>
      <w:r w:rsidRPr="00BF372C">
        <w:t xml:space="preserve">* Rate per 100,000 population for the given time period. Population data are based on the ABS ERP as </w:t>
      </w:r>
      <w:proofErr w:type="gramStart"/>
      <w:r w:rsidRPr="00BF372C">
        <w:t>at</w:t>
      </w:r>
      <w:proofErr w:type="gramEnd"/>
      <w:r w:rsidRPr="00BF372C">
        <w:t xml:space="preserve"> June 2023.</w:t>
      </w:r>
    </w:p>
    <w:p w14:paraId="046ABD81" w14:textId="3CE47549" w:rsidR="009F44F5" w:rsidRPr="00F579BF" w:rsidRDefault="008A621A" w:rsidP="00806003">
      <w:pPr>
        <w:numPr>
          <w:ilvl w:val="0"/>
          <w:numId w:val="27"/>
        </w:numPr>
      </w:pPr>
      <w:r w:rsidRPr="00F579BF">
        <w:lastRenderedPageBreak/>
        <w:t>Nationally, there were 12,672 RSV notifications with a diagnosis date this fortnight, a decrease</w:t>
      </w:r>
      <w:r w:rsidR="00F579BF" w:rsidRPr="00F579BF">
        <w:t xml:space="preserve"> </w:t>
      </w:r>
      <w:r w:rsidRPr="00F579BF">
        <w:t>compared with 14,610 notifications in the previous fortnight (Figure 10).</w:t>
      </w:r>
    </w:p>
    <w:p w14:paraId="046ABD82" w14:textId="7CA04AD2" w:rsidR="009F44F5" w:rsidRPr="00BE1B2C" w:rsidRDefault="008A621A" w:rsidP="00806003">
      <w:pPr>
        <w:numPr>
          <w:ilvl w:val="0"/>
          <w:numId w:val="27"/>
        </w:numPr>
      </w:pPr>
      <w:r w:rsidRPr="00BE1B2C">
        <w:t xml:space="preserve">In the year to date, there have been 99,642 RSV notifications reported to the NNDSS, which is </w:t>
      </w:r>
      <w:r w:rsidR="00BE1B2C" w:rsidRPr="00BE1B2C">
        <w:t>higher</w:t>
      </w:r>
      <w:r w:rsidR="007E0268" w:rsidRPr="00BE1B2C">
        <w:t xml:space="preserve"> than</w:t>
      </w:r>
      <w:r w:rsidRPr="00BE1B2C">
        <w:t xml:space="preserve"> the number of RSV notifications in the same period in 2023 (Figure 10).</w:t>
      </w:r>
    </w:p>
    <w:p w14:paraId="046ABD83" w14:textId="77777777" w:rsidR="009F44F5" w:rsidRPr="00422CFF" w:rsidRDefault="008A621A" w:rsidP="00806003">
      <w:pPr>
        <w:numPr>
          <w:ilvl w:val="1"/>
          <w:numId w:val="28"/>
        </w:numPr>
      </w:pPr>
      <w:r w:rsidRPr="00A205F7">
        <w:t xml:space="preserve">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 Note, RSV notifications are not available nationally for historical </w:t>
      </w:r>
      <w:r w:rsidRPr="00422CFF">
        <w:t>comparisons prior to January 2023.</w:t>
      </w:r>
    </w:p>
    <w:p w14:paraId="046ABD84" w14:textId="1B5A25A1" w:rsidR="009F44F5" w:rsidRPr="00422CFF" w:rsidRDefault="008A621A" w:rsidP="00806003">
      <w:pPr>
        <w:numPr>
          <w:ilvl w:val="0"/>
          <w:numId w:val="27"/>
        </w:numPr>
      </w:pPr>
      <w:r w:rsidRPr="00422CFF">
        <w:t xml:space="preserve">In the year to date, RSV notification rates have been highest in </w:t>
      </w:r>
      <w:r w:rsidR="00422CFF" w:rsidRPr="00422CFF">
        <w:t>children</w:t>
      </w:r>
      <w:r w:rsidRPr="00422CFF">
        <w:t xml:space="preserve"> aged 0–4 years, followed by </w:t>
      </w:r>
      <w:r w:rsidR="00422CFF" w:rsidRPr="00422CFF">
        <w:t>children</w:t>
      </w:r>
      <w:r w:rsidRPr="00422CFF">
        <w:t xml:space="preserve"> aged 5–9 years (Table 1).</w:t>
      </w:r>
    </w:p>
    <w:p w14:paraId="046ABD85" w14:textId="77777777" w:rsidR="009F44F5" w:rsidRPr="00410D81" w:rsidRDefault="008A621A">
      <w:r w:rsidRPr="00410D81">
        <w:rPr>
          <w:b/>
          <w:bCs/>
        </w:rPr>
        <w:t>Figure 10: RSV cases notified to the NNDSS by year and week of diagnosis*, Australia, 2023 to 16 June 2024</w:t>
      </w:r>
    </w:p>
    <w:p w14:paraId="046ABD86" w14:textId="77777777" w:rsidR="009F44F5" w:rsidRPr="00410D81" w:rsidRDefault="008A621A">
      <w:pPr>
        <w:pStyle w:val="BodyText"/>
      </w:pPr>
      <w:r w:rsidRPr="00410D81">
        <w:rPr>
          <w:noProof/>
        </w:rPr>
        <w:drawing>
          <wp:inline distT="0" distB="0" distL="0" distR="0" wp14:anchorId="046ABEFC" wp14:editId="273455D1">
            <wp:extent cx="6184900" cy="2731980"/>
            <wp:effectExtent l="0" t="0" r="0" b="0"/>
            <wp:docPr id="58" name="Graphic 58" descr="A line graph showing RSV cases notified to the NNDSS by year and week of diagnosis in Australia, from 1 January 2023 to 16 June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6,2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8" name="Graphic 58" descr="A line graph showing RSV cases notified to the NNDSS by year and week of diagnosis in Australia, from 1 January 2023 to 16 June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6,2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D87" w14:textId="77777777" w:rsidR="009F44F5" w:rsidRPr="00410D81" w:rsidRDefault="008A621A">
      <w:pPr>
        <w:pStyle w:val="Smalltext"/>
      </w:pPr>
      <w:r w:rsidRPr="00410D81">
        <w:t>* RSV became notifiable in all states and territories on 1 September 2022. Comprehensive national data for RSV are only available from 2023 onwards.</w:t>
      </w:r>
    </w:p>
    <w:p w14:paraId="046ABD88" w14:textId="24EEF104" w:rsidR="009F44F5" w:rsidRPr="00FF5105" w:rsidRDefault="008A621A" w:rsidP="00806003">
      <w:pPr>
        <w:numPr>
          <w:ilvl w:val="0"/>
          <w:numId w:val="29"/>
        </w:numPr>
      </w:pPr>
      <w:r w:rsidRPr="00FF5105">
        <w:t xml:space="preserve">This fortnight, RSV notification rates decreased in most jurisdictions, except in </w:t>
      </w:r>
      <w:r w:rsidR="00FF5105" w:rsidRPr="00FF5105">
        <w:t>South Australia and Western Australia</w:t>
      </w:r>
      <w:r w:rsidRPr="00FF5105">
        <w:t xml:space="preserve"> where </w:t>
      </w:r>
      <w:r w:rsidR="00FF5105" w:rsidRPr="00FF5105">
        <w:t xml:space="preserve">increases were </w:t>
      </w:r>
      <w:r w:rsidRPr="00FF5105">
        <w:t>observed compared with the previous fortnight (Figure 11).</w:t>
      </w:r>
    </w:p>
    <w:p w14:paraId="046ABD89" w14:textId="77777777" w:rsidR="009F44F5" w:rsidRPr="004C5923" w:rsidRDefault="008A621A" w:rsidP="00806003">
      <w:pPr>
        <w:numPr>
          <w:ilvl w:val="0"/>
          <w:numId w:val="29"/>
        </w:numPr>
      </w:pPr>
      <w:r w:rsidRPr="004C5923">
        <w:t>Since the beginning of 2024, RSV notifications have followed an increasing trend in all jurisdictions except Western Australia, where notification rates have remained comparatively low and stable (Figure 11). In the year to date, RSV notification rates have been highest in New South Wales, followed by the Northern Territory (Table 1).</w:t>
      </w:r>
    </w:p>
    <w:p w14:paraId="2E7A93AD" w14:textId="77777777" w:rsidR="00410D81" w:rsidRDefault="00410D81">
      <w:pPr>
        <w:spacing w:before="0" w:after="0" w:line="240" w:lineRule="auto"/>
        <w:rPr>
          <w:b/>
          <w:bCs/>
          <w:highlight w:val="yellow"/>
        </w:rPr>
      </w:pPr>
      <w:r>
        <w:rPr>
          <w:b/>
          <w:bCs/>
          <w:highlight w:val="yellow"/>
        </w:rPr>
        <w:br w:type="page"/>
      </w:r>
    </w:p>
    <w:p w14:paraId="046ABD8A" w14:textId="438DB58C" w:rsidR="009F44F5" w:rsidRPr="00410D81" w:rsidRDefault="008A621A">
      <w:r w:rsidRPr="00410D81">
        <w:rPr>
          <w:b/>
          <w:bCs/>
        </w:rPr>
        <w:lastRenderedPageBreak/>
        <w:t>Figure 11: Notification rates per 100,000 population for RSV cases notified to the NNDSS* by state or territory and week of diagnosis, Australia, 1 January to 16 June 2024</w:t>
      </w:r>
    </w:p>
    <w:p w14:paraId="046ABD8B" w14:textId="77777777" w:rsidR="009F44F5" w:rsidRPr="00410D81" w:rsidRDefault="008A621A">
      <w:pPr>
        <w:pStyle w:val="BodyText"/>
      </w:pPr>
      <w:r w:rsidRPr="00410D81">
        <w:rPr>
          <w:noProof/>
        </w:rPr>
        <w:drawing>
          <wp:inline distT="0" distB="0" distL="0" distR="0" wp14:anchorId="046ABEFE" wp14:editId="607583AC">
            <wp:extent cx="6184900" cy="2731980"/>
            <wp:effectExtent l="0" t="0" r="0" b="0"/>
            <wp:docPr id="61" name="Graphic 61" descr="A line graph showing the notification rates per 100,000 population for RSV cases notified to the NNDSS, by state or territory in Australia, with diagnosis dates from 1 January to 16 June 2024. Since the beginning of 2024, notification rates for RSV cases have followed an increasing trend in most jurisdictions except in Western Australia where RSV notification rates have remained stable, fluctuating between 1 and 5 notifications per 100,000 population per week. Following a peak in mid-April 2024, RSV notification rates in the Northern Territory declined substantially from approximately 35 RSV notifications per 100,000 population per week to 5 RSV notifications per 100,000 population per week in week ending 16 June 2024. In the current reporting period, RSV notification rate per 100,000 population declined in most jurisdictions except in South Australia and Western Australia. The Australian Capital Territory reported the highest notification rate in the reporting fortnight at approximately 35 RSV notifications per 100,000 population per week, followed by New South Wales at approximately 25 RSV notifications per 100,000 population per week. "/>
            <wp:cNvGraphicFramePr/>
            <a:graphic xmlns:a="http://schemas.openxmlformats.org/drawingml/2006/main">
              <a:graphicData uri="http://schemas.openxmlformats.org/drawingml/2006/picture">
                <pic:pic xmlns:pic="http://schemas.openxmlformats.org/drawingml/2006/picture">
                  <pic:nvPicPr>
                    <pic:cNvPr id="61" name="Graphic 61" descr="A line graph showing the notification rates per 100,000 population for RSV cases notified to the NNDSS, by state or territory in Australia, with diagnosis dates from 1 January to 16 June 2024. Since the beginning of 2024, notification rates for RSV cases have followed an increasing trend in most jurisdictions except in Western Australia where RSV notification rates have remained stable, fluctuating between 1 and 5 notifications per 100,000 population per week. Following a peak in mid-April 2024, RSV notification rates in the Northern Territory declined substantially from approximately 35 RSV notifications per 100,000 population per week to 5 RSV notifications per 100,000 population per week in week ending 16 June 2024. In the current reporting period, RSV notification rate per 100,000 population declined in most jurisdictions except in South Australia and Western Australia. The Australian Capital Territory reported the highest notification rate in the reporting fortnight at approximately 35 RSV notifications per 100,000 population per week, followed by New South Wales at approximately 25 RSV notifications per 100,000 population per week.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D8C" w14:textId="77777777" w:rsidR="009F44F5" w:rsidRPr="00410D81" w:rsidRDefault="008A621A">
      <w:pPr>
        <w:pStyle w:val="Smalltext"/>
      </w:pPr>
      <w:r w:rsidRPr="00410D81">
        <w:t xml:space="preserve">* Rate per 100,000 population for the given time period. Population data are based on the ABS ERP as </w:t>
      </w:r>
      <w:proofErr w:type="gramStart"/>
      <w:r w:rsidRPr="00410D81">
        <w:t>at</w:t>
      </w:r>
      <w:proofErr w:type="gramEnd"/>
      <w:r w:rsidRPr="00410D81">
        <w:t xml:space="preserve"> June 2023.</w:t>
      </w:r>
    </w:p>
    <w:p w14:paraId="046ABD8D" w14:textId="77777777" w:rsidR="009F44F5" w:rsidRPr="00410D81" w:rsidRDefault="009F44F5">
      <w:pPr>
        <w:pStyle w:val="Smalltext"/>
      </w:pPr>
    </w:p>
    <w:p w14:paraId="046ABD8E" w14:textId="77777777" w:rsidR="009F44F5" w:rsidRPr="00410D81" w:rsidRDefault="008A621A">
      <w:pPr>
        <w:pStyle w:val="BodyText"/>
      </w:pPr>
      <w:r w:rsidRPr="00410D81">
        <w:t>For further information regarding respiratory virus activity at the jurisdictional level, please refer to the state and territory health respiratory surveillance reports.</w:t>
      </w:r>
    </w:p>
    <w:p w14:paraId="046ABD8F" w14:textId="77777777" w:rsidR="009F44F5" w:rsidRPr="00C20709" w:rsidRDefault="008A621A">
      <w:pPr>
        <w:rPr>
          <w:highlight w:val="yellow"/>
        </w:rPr>
      </w:pPr>
      <w:r w:rsidRPr="00C20709">
        <w:rPr>
          <w:highlight w:val="yellow"/>
        </w:rPr>
        <w:br w:type="page"/>
      </w:r>
    </w:p>
    <w:p w14:paraId="046ABD90" w14:textId="77777777" w:rsidR="009F44F5" w:rsidRPr="008D08C6" w:rsidRDefault="008A621A">
      <w:pPr>
        <w:pStyle w:val="Heading2"/>
      </w:pPr>
      <w:bookmarkStart w:id="12" w:name="severity"/>
      <w:bookmarkEnd w:id="3"/>
      <w:bookmarkEnd w:id="10"/>
      <w:bookmarkEnd w:id="11"/>
      <w:r w:rsidRPr="008D08C6">
        <w:lastRenderedPageBreak/>
        <w:t>2. Severity*</w:t>
      </w:r>
    </w:p>
    <w:p w14:paraId="046ABD91" w14:textId="77777777" w:rsidR="009F44F5" w:rsidRPr="005D389E" w:rsidRDefault="008A621A">
      <w:pPr>
        <w:pStyle w:val="Boxheading"/>
      </w:pPr>
      <w:r w:rsidRPr="59CE9A54">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046ABD92" w14:textId="77777777" w:rsidR="009F44F5" w:rsidRPr="005D389E" w:rsidRDefault="008A621A">
      <w:pPr>
        <w:pStyle w:val="Heading3"/>
      </w:pPr>
      <w:bookmarkStart w:id="13" w:name="hospital-based-surveillance"/>
      <w:r w:rsidRPr="005D389E">
        <w:t>2.1 Hospital-based surveillance</w:t>
      </w:r>
    </w:p>
    <w:p w14:paraId="046ABD93" w14:textId="77777777" w:rsidR="009F44F5" w:rsidRPr="005D389E" w:rsidRDefault="008A621A">
      <w:r w:rsidRPr="005D389E">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046ABD94" w14:textId="77777777" w:rsidR="009F44F5" w:rsidRPr="0001098C" w:rsidRDefault="008A621A">
      <w:pPr>
        <w:pStyle w:val="Heading4"/>
      </w:pPr>
      <w:bookmarkStart w:id="14" w:name="Xd45a069d4d32576e6a2f39111d1451a633a425e"/>
      <w:r w:rsidRPr="0001098C">
        <w:t>Influenza Complications Alert Network (FluCAN)</w:t>
      </w:r>
    </w:p>
    <w:p w14:paraId="046ABD95" w14:textId="77777777" w:rsidR="009F44F5" w:rsidRPr="0001098C" w:rsidRDefault="008A621A">
      <w:r w:rsidRPr="0001098C">
        <w:t>In FluCAN sentinel hospitals RSV surveillance commenced on 1 April 2024; however, due to unforeseen issues RSV data are not yet available. These data will be included in future iterations of the Australian Respiratory Surveillance Report.</w:t>
      </w:r>
    </w:p>
    <w:p w14:paraId="046ABD96" w14:textId="77777777" w:rsidR="009F44F5" w:rsidRPr="004E065B" w:rsidRDefault="008A621A" w:rsidP="00806003">
      <w:pPr>
        <w:numPr>
          <w:ilvl w:val="0"/>
          <w:numId w:val="30"/>
        </w:numPr>
      </w:pPr>
      <w:r w:rsidRPr="004E065B">
        <w:t>In this fortnight for FluCAN severity reporting (20 May to 2 June 2024), there were 510 patients admitted with a severe acute respiratory infection (SARI) to FluCAN sentinel hospitals, of whom 6.9% (35/510) were admitted directly to intensive care (Figure 12).</w:t>
      </w:r>
    </w:p>
    <w:p w14:paraId="046ABD97" w14:textId="77777777" w:rsidR="009F44F5" w:rsidRPr="004E065B" w:rsidRDefault="008A621A" w:rsidP="00806003">
      <w:pPr>
        <w:numPr>
          <w:ilvl w:val="0"/>
          <w:numId w:val="30"/>
        </w:numPr>
      </w:pPr>
      <w:r w:rsidRPr="004E065B">
        <w:t>In the year to date for FluCAN severity reporting (1 January to 2 June 2024), there have been 3,135 patients admitted with a SARI to FluCAN sentinel hospitals, of which 6.6% (206/3,135) have been admitted directly to intensive care (Figure 12).</w:t>
      </w:r>
    </w:p>
    <w:p w14:paraId="046ABD98" w14:textId="50002179" w:rsidR="009F44F5" w:rsidRPr="006034CE" w:rsidRDefault="008A621A" w:rsidP="00806003">
      <w:pPr>
        <w:numPr>
          <w:ilvl w:val="0"/>
          <w:numId w:val="30"/>
        </w:numPr>
      </w:pPr>
      <w:r w:rsidRPr="006034CE">
        <w:t xml:space="preserve">In the year to date </w:t>
      </w:r>
      <w:r w:rsidR="00BA7914">
        <w:t xml:space="preserve">for </w:t>
      </w:r>
      <w:r w:rsidRPr="006034CE">
        <w:t>FluCAN for severity reporting, there have been 2,40</w:t>
      </w:r>
      <w:r w:rsidR="00010F4F" w:rsidRPr="006034CE">
        <w:t>4</w:t>
      </w:r>
      <w:r w:rsidRPr="006034CE">
        <w:t xml:space="preserve"> patients admitted with COVID-19 to FluCAN sentinel hospitals, of whom 7.0% (169/2,40</w:t>
      </w:r>
      <w:r w:rsidR="00010F4F" w:rsidRPr="006034CE">
        <w:t>4</w:t>
      </w:r>
      <w:r w:rsidRPr="006034CE">
        <w:t>) were admitted directly to intensive care (Figure 12).</w:t>
      </w:r>
      <w:r w:rsidR="0043757E" w:rsidRPr="006034CE">
        <w:t xml:space="preserve"> This excludes 24 patients with COVID-19 admitted to FluCAN sentinel hospitals with a missing admission location.</w:t>
      </w:r>
    </w:p>
    <w:p w14:paraId="046ABD99" w14:textId="77777777" w:rsidR="009F44F5" w:rsidRPr="00CC5053" w:rsidRDefault="008A621A" w:rsidP="00806003">
      <w:pPr>
        <w:numPr>
          <w:ilvl w:val="1"/>
          <w:numId w:val="31"/>
        </w:numPr>
      </w:pPr>
      <w:r w:rsidRPr="00CC5053">
        <w:t>For patients admitted with COVID-19 to FluCAN sentinel hospitals, the median length of stay in hospital was 3 days (interquartile range [IQR]: 1–6 days).</w:t>
      </w:r>
    </w:p>
    <w:p w14:paraId="046ABD9A" w14:textId="77777777" w:rsidR="009F44F5" w:rsidRPr="00CC5053" w:rsidRDefault="008A621A" w:rsidP="00806003">
      <w:pPr>
        <w:numPr>
          <w:ilvl w:val="1"/>
          <w:numId w:val="31"/>
        </w:numPr>
      </w:pPr>
      <w:r w:rsidRPr="00CC5053">
        <w:t>Note, all length of stay calculations exclude patients that acquired their infection in hospital. Please see the Technical Supplement for further detail.</w:t>
      </w:r>
    </w:p>
    <w:p w14:paraId="046ABD9B" w14:textId="77777777" w:rsidR="009F44F5" w:rsidRPr="00CC5053" w:rsidRDefault="008A621A" w:rsidP="00806003">
      <w:pPr>
        <w:numPr>
          <w:ilvl w:val="0"/>
          <w:numId w:val="30"/>
        </w:numPr>
      </w:pPr>
      <w:r w:rsidRPr="00CC5053">
        <w:t>Since influenza surveillance commenced on 1 April 2024 to date for FluCAN severity reporting (2 June 2024), there have been 730 patients admitted with influenza to FluCAN sentinel hospitals, of whom 5.1% (37/730) were admitted directly to intensive care (Figure 12).</w:t>
      </w:r>
    </w:p>
    <w:p w14:paraId="046ABD9C" w14:textId="77777777" w:rsidR="009F44F5" w:rsidRPr="00CC5053" w:rsidRDefault="008A621A" w:rsidP="00806003">
      <w:pPr>
        <w:numPr>
          <w:ilvl w:val="1"/>
          <w:numId w:val="32"/>
        </w:numPr>
      </w:pPr>
      <w:r w:rsidRPr="00CC5053">
        <w:t>For patients admitted with influenza to FluCAN sentinel hospitals, the median length of stay in hospital was 2 days (IQR: 1–4 days).</w:t>
      </w:r>
    </w:p>
    <w:p w14:paraId="046ABD9D" w14:textId="77777777" w:rsidR="009F44F5" w:rsidRPr="00C20709" w:rsidRDefault="009F44F5">
      <w:pPr>
        <w:rPr>
          <w:highlight w:val="yellow"/>
        </w:rPr>
      </w:pPr>
    </w:p>
    <w:p w14:paraId="046ABD9E" w14:textId="77777777" w:rsidR="009F44F5" w:rsidRPr="00C20709" w:rsidRDefault="009F44F5">
      <w:pPr>
        <w:pStyle w:val="BodyText"/>
        <w:rPr>
          <w:highlight w:val="yellow"/>
        </w:rPr>
      </w:pPr>
    </w:p>
    <w:p w14:paraId="046ABD9F" w14:textId="77777777" w:rsidR="009F44F5" w:rsidRPr="00C20709" w:rsidRDefault="009F44F5">
      <w:pPr>
        <w:pStyle w:val="BodyText"/>
        <w:rPr>
          <w:highlight w:val="yellow"/>
        </w:rPr>
      </w:pPr>
    </w:p>
    <w:p w14:paraId="046ABDA0" w14:textId="77777777" w:rsidR="009F44F5" w:rsidRPr="008D08C6" w:rsidRDefault="009F44F5">
      <w:pPr>
        <w:pStyle w:val="BodyText"/>
      </w:pPr>
    </w:p>
    <w:p w14:paraId="046ABDA1" w14:textId="77777777" w:rsidR="009F44F5" w:rsidRPr="008D08C6" w:rsidRDefault="008A621A">
      <w:pPr>
        <w:pStyle w:val="Smalltext"/>
      </w:pPr>
      <w:r w:rsidRPr="008D08C6">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046ABDA2" w14:textId="77777777" w:rsidR="009F44F5" w:rsidRPr="00093DE5" w:rsidRDefault="008A621A">
      <w:pPr>
        <w:pStyle w:val="BodyText"/>
      </w:pPr>
      <w:r w:rsidRPr="00093DE5">
        <w:rPr>
          <w:b/>
          <w:bCs/>
        </w:rPr>
        <w:lastRenderedPageBreak/>
        <w:t>Figure 12: Number of patients admitted with a severe acute respiratory infection to FluCAN sentinel hospitals by disease, admission location and week of admission*</w:t>
      </w:r>
      <w:r w:rsidRPr="00093DE5">
        <w:rPr>
          <w:b/>
          <w:bCs/>
          <w:vertAlign w:val="superscript"/>
        </w:rPr>
        <w:t>†‡</w:t>
      </w:r>
      <w:r w:rsidRPr="00093DE5">
        <w:rPr>
          <w:b/>
          <w:bCs/>
        </w:rPr>
        <w:t>, Australia, 1 January to 2 June 2024</w:t>
      </w:r>
    </w:p>
    <w:p w14:paraId="046ABDA3" w14:textId="77777777" w:rsidR="009F44F5" w:rsidRPr="00093DE5" w:rsidRDefault="008A621A">
      <w:pPr>
        <w:pStyle w:val="BodyText"/>
      </w:pPr>
      <w:r w:rsidRPr="00093DE5">
        <w:rPr>
          <w:noProof/>
        </w:rPr>
        <w:drawing>
          <wp:inline distT="0" distB="0" distL="0" distR="0" wp14:anchorId="046ABF00" wp14:editId="7E255808">
            <wp:extent cx="6184900" cy="4097970"/>
            <wp:effectExtent l="0" t="0" r="0" b="0"/>
            <wp:docPr id="67" name="Graphic 67"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2 June 2024. The y-axis is different for each disease relative to the number of admissions. In 2024 to date for FluCAN severity reporting, the number of patients admitted with confirmed COVID-19 to FluCAN sentinel hospitals peaked in week ending 26 May 2024 at approximately 160 patients per week, following an increasing trend in weekly admission numbers from late April 2024. The number of COVID-19 patients admitted directly to FluCAN sentinel intensive cares have remained low in the current 14-day severity reporting period (20 May to 2 June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26 May 2024 at approximately 120 patients."/>
            <wp:cNvGraphicFramePr/>
            <a:graphic xmlns:a="http://schemas.openxmlformats.org/drawingml/2006/main">
              <a:graphicData uri="http://schemas.openxmlformats.org/drawingml/2006/picture">
                <pic:pic xmlns:pic="http://schemas.openxmlformats.org/drawingml/2006/picture">
                  <pic:nvPicPr>
                    <pic:cNvPr id="67" name="Graphic 67"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2 June 2024. The y-axis is different for each disease relative to the number of admissions. In 2024 to date for FluCAN severity reporting, the number of patients admitted with confirmed COVID-19 to FluCAN sentinel hospitals peaked in week ending 26 May 2024 at approximately 160 patients per week, following an increasing trend in weekly admission numbers from late April 2024. The number of COVID-19 patients admitted directly to FluCAN sentinel intensive cares have remained low in the current 14-day severity reporting period (20 May to 2 June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26 May 2024 at approximately 120 patients."/>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4097970"/>
                    </a:xfrm>
                    <a:prstGeom prst="rect">
                      <a:avLst/>
                    </a:prstGeom>
                    <a:noFill/>
                    <a:ln w="9525">
                      <a:noFill/>
                      <a:headEnd/>
                      <a:tailEnd/>
                    </a:ln>
                  </pic:spPr>
                </pic:pic>
              </a:graphicData>
            </a:graphic>
          </wp:inline>
        </w:drawing>
      </w:r>
    </w:p>
    <w:p w14:paraId="046ABDA5" w14:textId="617D8E69" w:rsidR="009F44F5" w:rsidRPr="00C20709" w:rsidRDefault="008A621A">
      <w:pPr>
        <w:pStyle w:val="Smalltext"/>
        <w:rPr>
          <w:highlight w:val="yellow"/>
        </w:rPr>
      </w:pPr>
      <w:r w:rsidRPr="00093DE5">
        <w:t>* Axis varies between disease groups.</w:t>
      </w:r>
      <w:r w:rsidRPr="00093DE5">
        <w:br/>
        <w:t>† Excludes 24 patients with a severe acute respiratory infection admitted to FluCAN sentinel hospitals with a missing admission location.</w:t>
      </w:r>
      <w:r w:rsidRPr="00093DE5">
        <w:br/>
        <w:t>‡ Admission location reflects the initial admission ward; some patients may be initially admitted to general ward then later admitted to an intensive care and this is not reflected here.</w:t>
      </w:r>
      <w:r w:rsidRPr="00093DE5">
        <w:br/>
      </w:r>
    </w:p>
    <w:p w14:paraId="046ABDA6" w14:textId="77777777" w:rsidR="009F44F5" w:rsidRPr="005D389E" w:rsidRDefault="008A621A">
      <w:pPr>
        <w:pStyle w:val="Heading4"/>
      </w:pPr>
      <w:bookmarkStart w:id="15" w:name="Xc65dc3e73a17ea3d2fb3bd3f6a95fc6b942a743"/>
      <w:bookmarkEnd w:id="14"/>
      <w:r w:rsidRPr="005D389E">
        <w:t>Short Period Incidence Study of Severe Acute Respiratory Infection (SPRINT-SARI) Australia (last updated 7 June 2024)</w:t>
      </w:r>
    </w:p>
    <w:p w14:paraId="046ABDA7" w14:textId="77777777" w:rsidR="009F44F5" w:rsidRPr="005D389E" w:rsidRDefault="008A621A">
      <w:r w:rsidRPr="005D389E">
        <w:t>This section will be updated every four weeks; therefore, reporting periods presented here may not align with other sections of the report. Note, intensive care includes intensive care units and high dependency units that are managed by an intensive care team.</w:t>
      </w:r>
    </w:p>
    <w:p w14:paraId="046ABDA8" w14:textId="77777777" w:rsidR="009F44F5" w:rsidRPr="005D389E" w:rsidRDefault="008A621A" w:rsidP="00806003">
      <w:pPr>
        <w:numPr>
          <w:ilvl w:val="0"/>
          <w:numId w:val="33"/>
        </w:numPr>
      </w:pPr>
      <w:r w:rsidRPr="005D389E">
        <w:t>In the most recent 28-day period for SPRINT-SARI severity reporting (22 April to 19 May 2024), there were 155 patients admitted with a SARI to a SPRINT-SARI sentinel intensive care. Patients with COVID-19 accounted for the highest proportion of patients admitted with a SARI to a SPRINT-SARI sentinel intensive care during this time (Figure 13).</w:t>
      </w:r>
    </w:p>
    <w:p w14:paraId="046ABDA9" w14:textId="77777777" w:rsidR="009F44F5" w:rsidRPr="005D389E" w:rsidRDefault="008A621A" w:rsidP="00806003">
      <w:pPr>
        <w:numPr>
          <w:ilvl w:val="0"/>
          <w:numId w:val="33"/>
        </w:numPr>
      </w:pPr>
      <w:r w:rsidRPr="005D389E">
        <w:t>In the year to date for SPRINT-SARI severity reporting (1 January to 19 May 2024), there have been 800 patients admitted with a SARI to a SPRINT-SARI sentinel intensive care (Figure 13). This includes:</w:t>
      </w:r>
    </w:p>
    <w:p w14:paraId="046ABDAA" w14:textId="77777777" w:rsidR="009F44F5" w:rsidRPr="005D389E" w:rsidRDefault="008A621A" w:rsidP="00806003">
      <w:pPr>
        <w:numPr>
          <w:ilvl w:val="1"/>
          <w:numId w:val="34"/>
        </w:numPr>
      </w:pPr>
      <w:r w:rsidRPr="005D389E">
        <w:t>54.1% (433/800) patients with SARS-CoV-2</w:t>
      </w:r>
    </w:p>
    <w:p w14:paraId="046ABDAB" w14:textId="77777777" w:rsidR="009F44F5" w:rsidRPr="005D389E" w:rsidRDefault="008A621A" w:rsidP="00806003">
      <w:pPr>
        <w:numPr>
          <w:ilvl w:val="1"/>
          <w:numId w:val="34"/>
        </w:numPr>
      </w:pPr>
      <w:r w:rsidRPr="005D389E">
        <w:t>14.5% (116/800) patients with influenza</w:t>
      </w:r>
    </w:p>
    <w:p w14:paraId="046ABDAC" w14:textId="77777777" w:rsidR="009F44F5" w:rsidRPr="005D389E" w:rsidRDefault="008A621A" w:rsidP="00806003">
      <w:pPr>
        <w:numPr>
          <w:ilvl w:val="1"/>
          <w:numId w:val="34"/>
        </w:numPr>
      </w:pPr>
      <w:r w:rsidRPr="005D389E">
        <w:t>15.0% (120/800) patients with RSV</w:t>
      </w:r>
    </w:p>
    <w:p w14:paraId="046ABDAD" w14:textId="77777777" w:rsidR="009F44F5" w:rsidRPr="005D389E" w:rsidRDefault="008A621A" w:rsidP="00806003">
      <w:pPr>
        <w:numPr>
          <w:ilvl w:val="1"/>
          <w:numId w:val="34"/>
        </w:numPr>
      </w:pPr>
      <w:r w:rsidRPr="005D389E">
        <w:lastRenderedPageBreak/>
        <w:t>18.4% (147/800) patients with other respiratory pathogens including parainfluenza and rhinovirus.</w:t>
      </w:r>
    </w:p>
    <w:p w14:paraId="046ABDAE" w14:textId="77777777" w:rsidR="009F44F5" w:rsidRPr="005D389E" w:rsidRDefault="008A621A" w:rsidP="00806003">
      <w:pPr>
        <w:numPr>
          <w:ilvl w:val="0"/>
          <w:numId w:val="33"/>
        </w:numPr>
      </w:pPr>
      <w:r w:rsidRPr="005D389E">
        <w:t>Approximately 2.0% (16/800) of patients had co-infections of multiple pathogens; therefore, pathogen-specific totals above may not equal the sum total of the number of patients.</w:t>
      </w:r>
    </w:p>
    <w:p w14:paraId="046ABDAF" w14:textId="77777777" w:rsidR="009F44F5" w:rsidRPr="000F07B1" w:rsidRDefault="008A621A" w:rsidP="00806003">
      <w:pPr>
        <w:numPr>
          <w:ilvl w:val="0"/>
          <w:numId w:val="33"/>
        </w:numPr>
      </w:pPr>
      <w:r w:rsidRPr="000F07B1">
        <w:t>In the year to date for SPRINT-SARI severity reporting, for all patients admitted with a SARI to a SPRINT-SARI sentinel intensive care, the median duration of mechanical ventilation was 3.1 days (IQR: 1.3–7.2 days), the median length of stay in intensive care was 2.8 days (IQR: 1.6–5.4 days), and the median length of stay in hospital was 7.4 days (IQR: 4.3–13.9 days).</w:t>
      </w:r>
    </w:p>
    <w:p w14:paraId="046ABDB0" w14:textId="77777777" w:rsidR="009F44F5" w:rsidRPr="000F07B1" w:rsidRDefault="008A621A" w:rsidP="00806003">
      <w:pPr>
        <w:numPr>
          <w:ilvl w:val="0"/>
          <w:numId w:val="33"/>
        </w:numPr>
      </w:pPr>
      <w:r w:rsidRPr="000F07B1">
        <w:t>In the year to date for SPRINT-SARI severity reporting, most patients admitted with a SARI (69.6%; 557/800) have been discharged home, 7.5% (60/800) died in intensive care and 2.4% (19/800) died within the general hospital ward after intensive care admission, with an overall in-hospital mortality rate of 9.9% (79/800) for all patients admitted with a SARI to a SPRINT-SARI sentinel intensive care.</w:t>
      </w:r>
    </w:p>
    <w:p w14:paraId="046ABDB1" w14:textId="77777777" w:rsidR="009F44F5" w:rsidRPr="00BC69A0" w:rsidRDefault="008A621A" w:rsidP="00806003">
      <w:pPr>
        <w:numPr>
          <w:ilvl w:val="1"/>
          <w:numId w:val="35"/>
        </w:numPr>
      </w:pPr>
      <w:r w:rsidRPr="00BC69A0">
        <w:t>Note, deaths in patients admitted with a SARI to a SPRINT-SARI sentinel intensive care may not necessarily represent a death due to SARI.</w:t>
      </w:r>
    </w:p>
    <w:p w14:paraId="046ABDB2" w14:textId="77777777" w:rsidR="009F44F5" w:rsidRPr="000F07B1" w:rsidRDefault="008A621A">
      <w:r w:rsidRPr="000F07B1">
        <w:rPr>
          <w:b/>
          <w:bCs/>
        </w:rPr>
        <w:t>Figure 13: Number of patients admitted with severe acute respiratory infections to a SPRINT-SARI sentinel intensive care by disease*</w:t>
      </w:r>
      <w:r w:rsidRPr="000F07B1">
        <w:rPr>
          <w:b/>
          <w:bCs/>
          <w:vertAlign w:val="superscript"/>
        </w:rPr>
        <w:t>†</w:t>
      </w:r>
      <w:r w:rsidRPr="000F07B1">
        <w:rPr>
          <w:b/>
          <w:bCs/>
        </w:rPr>
        <w:t xml:space="preserve"> and week of admission, Australia, 1 January to 19 May 2024</w:t>
      </w:r>
    </w:p>
    <w:p w14:paraId="35EA97D7" w14:textId="456BD6F4" w:rsidR="005D17AA" w:rsidRPr="000F07B1" w:rsidRDefault="00B3510F">
      <w:pPr>
        <w:pStyle w:val="Smalltext"/>
      </w:pPr>
      <w:r w:rsidRPr="000F07B1">
        <w:rPr>
          <w:noProof/>
        </w:rPr>
        <w:drawing>
          <wp:inline distT="0" distB="0" distL="0" distR="0" wp14:anchorId="59491114" wp14:editId="79328474">
            <wp:extent cx="4876800" cy="4876800"/>
            <wp:effectExtent l="0" t="0" r="0" b="0"/>
            <wp:docPr id="6" name="Picture 6" descr="A set of three bar charts, one for each disease (COVID-19, influenza and RSV) showing the number of severe acute respiratory illness patients admitted to participating SPRINT-SARI intensive care by week of admission, with admission dates from 1 January to 19 May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increased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2 April to 19 May 2024): an average of 20 patients with COVID-19; 10 patients with influenza; and seven patients with RSV were admitted to SPRINT-SARI intensive care each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et of three bar charts, one for each disease (COVID-19, influenza and RSV) showing the number of severe acute respiratory illness patients admitted to participating SPRINT-SARI intensive care by week of admission, with admission dates from 1 January to 19 May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increased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2 April to 19 May 2024): an average of 20 patients with COVID-19; 10 patients with influenza; and seven patients with RSV were admitted to SPRINT-SARI intensive care each week.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14:paraId="046ABDB4" w14:textId="3A2381FD" w:rsidR="009F44F5" w:rsidRPr="00C20709" w:rsidRDefault="008A621A" w:rsidP="006D32B9">
      <w:pPr>
        <w:pStyle w:val="Smalltext"/>
        <w:rPr>
          <w:highlight w:val="yellow"/>
        </w:rPr>
      </w:pPr>
      <w:r w:rsidRPr="000F07B1">
        <w:t>* Axis varies between disease groups.</w:t>
      </w:r>
      <w:r w:rsidRPr="000F07B1">
        <w:br/>
        <w:t>† Includes four patients with viral co-infection of SARS-CoV-2/influenza/RSV in the year to date for severity reporting.</w:t>
      </w:r>
      <w:r w:rsidRPr="00C20709">
        <w:rPr>
          <w:highlight w:val="yellow"/>
        </w:rPr>
        <w:br w:type="page"/>
      </w:r>
    </w:p>
    <w:p w14:paraId="046ABDB5" w14:textId="77777777" w:rsidR="009F44F5" w:rsidRPr="008D08C6" w:rsidRDefault="008A621A">
      <w:pPr>
        <w:pStyle w:val="BodyText"/>
      </w:pPr>
      <w:r w:rsidRPr="008D08C6">
        <w:rPr>
          <w:b/>
          <w:bCs/>
        </w:rPr>
        <w:lastRenderedPageBreak/>
        <w:t>Table 2: Outcomes for patients admitted with a severe acute respiratory infection(s) to a SPRINT-SARI sentinel intensive care by disease*</w:t>
      </w:r>
      <w:r w:rsidRPr="008D08C6">
        <w:rPr>
          <w:b/>
          <w:bCs/>
          <w:vertAlign w:val="superscript"/>
        </w:rPr>
        <w:t>†‡</w:t>
      </w:r>
      <w:r w:rsidRPr="008D08C6">
        <w:rPr>
          <w:b/>
          <w:bCs/>
        </w:rPr>
        <w:t>, Australia, 1 January to 19 May 2024</w:t>
      </w:r>
    </w:p>
    <w:tbl>
      <w:tblPr>
        <w:tblStyle w:val="DepartmentofHealthtable"/>
        <w:tblW w:w="5000" w:type="pct"/>
        <w:tblLook w:val="04A0" w:firstRow="1" w:lastRow="0" w:firstColumn="1" w:lastColumn="0" w:noHBand="0" w:noVBand="1"/>
        <w:tblDescription w:val="A table summarising outcomes for patients with COVID-19, influenza and RSV patients admitted to a participating SPRINT-SARI intensive care during the current 28-day severity reporting period (22 April to 19 May 2024) and the year to date for severity (1 January to 19 May 2024). In the year to date for severity indicators, 30.3% (131/433) of patients admitted to SPRINT-SARI sentinel sites with COVID-19 received invasive mechanical ventilation. In the year to date for severity indicators, for patients admitted to SPRINT-SARI sentinel sites with COVID-19 (n=433), the median duration of mechanical ventilation was 2.5 days (interquartile range [IQR]: 1.0–7.3 days); the median length of stay in intensive care was 2.7 days (IQR: 1.5–4.9 days); and the median length of stay in hospital was 7.8 days (IQR: 4.7–15.0 days). Of the 433 COVID-19 cases admitted to a SPRINT-SARI sentinel intensive care, a majority (63.7%; 276/433) were discharged home. Nine percent (37/433) died in intensive care and 3.5% (15/433) died in a general hospital ward after their discharge from intensive care. Four cases were marked as having ‘missing data’ for their outcome. In the year to date for severity indicators, 29.3% (34/116) of patients admitted to SPRINT-SARI sentinel sites with influenza received invasive mechanical ventilation. In the year to date for severity indicators, for patients admitted to SPRINT-SARI sentinel sites with influenza (n=116), the median duration of mechanical ventilation was 5.2 days (IQR: 2.8–8.1 days); the median length of stay in intensive care was 3.0 days (IQR: 1.7–6.2 days); and the median length of stay in hospital was 8.0 days (IQR: 4.9–12.0 days). Of the 116 influenza cases with severe illness admitted to intensive care, a majority (75%; 87/116) were discharged home. Eight percent (9/116) died in intensive care and 0.9% (1/116) died in a general hospital ward after their discharge from intensive care. In the year to date for severity indicators, 22.5% (27/120) of patients admitted to SPRINT-SARI sentinel sites with RSV received invasive mechanical ventilation. In the year to date for severity indicators, for patients admitted to SPRINT-SARI sentinel sites with RSV (n=120), the median duration of mechanical ventilation was 4.4 days (IQR: 2.6–6.4 days); the median length of stay in intensive care was 2.7 days (IQR: 1.6–4.4 days); and the median length of stay in hospital was 6.5 days (IQR: 3.9–10.0 days). Of the 120 RSV patients admitted to intensive care, a majority (79.2%; 95/120) were discharged home. Six percent (7/120) died in intensive care and 0.8% (1/120) died in a general hospital ward after their discharge from intensive care. In the year to date for severity indicators, 28.6% (42/147) of patients admitted to SPRINT-SARI sentinel sites with other respiratory pathogens received invasive mechanical ventilation. In the year to date for severity indicators, for patients admitted to SPRINT-SARI sentinel sites with other respiratory pathogens (n=147), the median duration of mechanical ventilation was 3.4 days (IQR: 2.0–8.5 days); the median length of stay in intensive care was 2.9 days (IQR: 1.8–5.7 days); and the median length of stay in hospital was 7.1 days (IQR: 3.6–14 days). Of the 147 patients with another respiratory pathogen admitted to a SPRINT-SARI sentinel intensive care, a majority (76.2%; 112/147) were discharged home. Six percent (9/147) died in intensive care and two patients with another respiratory pathogen died in a general hospital ward after their discharge from intensive care."/>
      </w:tblPr>
      <w:tblGrid>
        <w:gridCol w:w="1513"/>
        <w:gridCol w:w="1029"/>
        <w:gridCol w:w="1030"/>
        <w:gridCol w:w="1030"/>
        <w:gridCol w:w="1030"/>
        <w:gridCol w:w="1030"/>
        <w:gridCol w:w="1030"/>
        <w:gridCol w:w="1030"/>
        <w:gridCol w:w="1030"/>
      </w:tblGrid>
      <w:tr w:rsidR="00F06406" w:rsidRPr="008D08C6" w14:paraId="014E2262" w14:textId="77777777" w:rsidTr="007A7D7F">
        <w:trPr>
          <w:cnfStyle w:val="100000000000" w:firstRow="1" w:lastRow="0" w:firstColumn="0" w:lastColumn="0" w:oddVBand="0" w:evenVBand="0" w:oddHBand="0" w:evenHBand="0" w:firstRowFirstColumn="0" w:firstRowLastColumn="0" w:lastRowFirstColumn="0" w:lastRowLastColumn="0"/>
          <w:trHeight w:val="368"/>
        </w:trPr>
        <w:tc>
          <w:tcPr>
            <w:tcW w:w="776" w:type="pct"/>
          </w:tcPr>
          <w:p w14:paraId="7AA3E466" w14:textId="77777777" w:rsidR="00F06406" w:rsidRPr="008D08C6" w:rsidRDefault="00F06406" w:rsidP="008A621A">
            <w:pPr>
              <w:spacing w:before="100" w:after="100"/>
              <w:rPr>
                <w:rFonts w:cs="Arial"/>
                <w:b w:val="0"/>
                <w:color w:val="FFFFFF"/>
                <w:sz w:val="18"/>
                <w:szCs w:val="18"/>
              </w:rPr>
            </w:pPr>
          </w:p>
        </w:tc>
        <w:tc>
          <w:tcPr>
            <w:tcW w:w="1056" w:type="pct"/>
            <w:gridSpan w:val="2"/>
            <w:tcBorders>
              <w:bottom w:val="single" w:sz="8" w:space="0" w:color="27F3F3" w:themeColor="text1" w:themeTint="80"/>
            </w:tcBorders>
          </w:tcPr>
          <w:p w14:paraId="7C7E0C18" w14:textId="77777777" w:rsidR="00F06406" w:rsidRPr="007A7D7F" w:rsidRDefault="00F06406" w:rsidP="008A621A">
            <w:pPr>
              <w:spacing w:before="100" w:after="100"/>
              <w:jc w:val="center"/>
              <w:rPr>
                <w:rFonts w:cs="Arial"/>
                <w:b w:val="0"/>
                <w:sz w:val="18"/>
                <w:szCs w:val="18"/>
              </w:rPr>
            </w:pPr>
            <w:r w:rsidRPr="007A7D7F">
              <w:rPr>
                <w:rFonts w:cs="Arial"/>
                <w:sz w:val="18"/>
                <w:szCs w:val="18"/>
              </w:rPr>
              <w:t>COVID-19</w:t>
            </w:r>
          </w:p>
        </w:tc>
        <w:tc>
          <w:tcPr>
            <w:tcW w:w="1056" w:type="pct"/>
            <w:gridSpan w:val="2"/>
            <w:tcBorders>
              <w:bottom w:val="single" w:sz="8" w:space="0" w:color="27F3F3" w:themeColor="text1" w:themeTint="80"/>
            </w:tcBorders>
          </w:tcPr>
          <w:p w14:paraId="0AA2FC6B" w14:textId="77777777" w:rsidR="00F06406" w:rsidRPr="007A7D7F" w:rsidRDefault="00F06406" w:rsidP="008A621A">
            <w:pPr>
              <w:spacing w:before="100" w:after="100"/>
              <w:jc w:val="center"/>
              <w:rPr>
                <w:rFonts w:cs="Arial"/>
                <w:b w:val="0"/>
                <w:sz w:val="18"/>
                <w:szCs w:val="18"/>
              </w:rPr>
            </w:pPr>
            <w:r w:rsidRPr="007A7D7F">
              <w:rPr>
                <w:rFonts w:cs="Arial"/>
                <w:sz w:val="18"/>
                <w:szCs w:val="18"/>
              </w:rPr>
              <w:t>Influenza</w:t>
            </w:r>
          </w:p>
        </w:tc>
        <w:tc>
          <w:tcPr>
            <w:tcW w:w="1056" w:type="pct"/>
            <w:gridSpan w:val="2"/>
            <w:tcBorders>
              <w:bottom w:val="single" w:sz="8" w:space="0" w:color="27F3F3" w:themeColor="text1" w:themeTint="80"/>
            </w:tcBorders>
          </w:tcPr>
          <w:p w14:paraId="29BA468D" w14:textId="77777777" w:rsidR="00F06406" w:rsidRPr="007A7D7F" w:rsidRDefault="00F06406" w:rsidP="008A621A">
            <w:pPr>
              <w:spacing w:before="100" w:after="100"/>
              <w:jc w:val="center"/>
              <w:rPr>
                <w:rFonts w:cs="Arial"/>
                <w:b w:val="0"/>
                <w:sz w:val="18"/>
                <w:szCs w:val="18"/>
              </w:rPr>
            </w:pPr>
            <w:r w:rsidRPr="007A7D7F">
              <w:rPr>
                <w:rFonts w:cs="Arial"/>
                <w:sz w:val="18"/>
                <w:szCs w:val="18"/>
              </w:rPr>
              <w:t>RSV</w:t>
            </w:r>
          </w:p>
        </w:tc>
        <w:tc>
          <w:tcPr>
            <w:tcW w:w="1056" w:type="pct"/>
            <w:gridSpan w:val="2"/>
            <w:tcBorders>
              <w:bottom w:val="single" w:sz="8" w:space="0" w:color="27F3F3" w:themeColor="text1" w:themeTint="80"/>
            </w:tcBorders>
          </w:tcPr>
          <w:p w14:paraId="6A31531B" w14:textId="77777777" w:rsidR="00F06406" w:rsidRPr="007A7D7F" w:rsidRDefault="00F06406" w:rsidP="008A621A">
            <w:pPr>
              <w:spacing w:before="100" w:after="100"/>
              <w:jc w:val="center"/>
              <w:rPr>
                <w:rFonts w:cs="Arial"/>
                <w:b w:val="0"/>
                <w:sz w:val="18"/>
                <w:szCs w:val="18"/>
              </w:rPr>
            </w:pPr>
            <w:r w:rsidRPr="007A7D7F">
              <w:rPr>
                <w:rFonts w:cs="Arial"/>
                <w:sz w:val="18"/>
                <w:szCs w:val="18"/>
              </w:rPr>
              <w:t>Other</w:t>
            </w:r>
          </w:p>
        </w:tc>
      </w:tr>
      <w:tr w:rsidR="00F06406" w:rsidRPr="008D08C6" w14:paraId="767C31DA" w14:textId="77777777" w:rsidTr="007A7D7F">
        <w:trPr>
          <w:trHeight w:val="841"/>
        </w:trPr>
        <w:tc>
          <w:tcPr>
            <w:tcW w:w="776" w:type="pct"/>
            <w:shd w:val="clear" w:color="auto" w:fill="00DCA1" w:themeFill="background1"/>
          </w:tcPr>
          <w:p w14:paraId="2D89A879" w14:textId="77777777" w:rsidR="00F06406" w:rsidRPr="008D08C6" w:rsidRDefault="00F06406" w:rsidP="008A621A">
            <w:pPr>
              <w:spacing w:before="100" w:after="100"/>
              <w:rPr>
                <w:rFonts w:cs="Arial"/>
                <w:b/>
                <w:color w:val="FFFFFF"/>
                <w:sz w:val="18"/>
                <w:szCs w:val="18"/>
              </w:rPr>
            </w:pP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1510FD82" w14:textId="77777777" w:rsidR="00F06406" w:rsidRPr="007A7D7F" w:rsidRDefault="00F06406" w:rsidP="008A621A">
            <w:pPr>
              <w:spacing w:before="100" w:after="100"/>
              <w:jc w:val="right"/>
              <w:rPr>
                <w:rFonts w:cs="Arial"/>
                <w:b/>
                <w:sz w:val="18"/>
                <w:szCs w:val="18"/>
              </w:rPr>
            </w:pPr>
            <w:r w:rsidRPr="007A7D7F">
              <w:rPr>
                <w:rFonts w:cs="Arial"/>
                <w:b/>
                <w:sz w:val="14"/>
                <w:szCs w:val="14"/>
              </w:rPr>
              <w:t>Severity reporting period</w:t>
            </w:r>
            <w:r w:rsidRPr="007A7D7F">
              <w:rPr>
                <w:rFonts w:cs="Arial"/>
                <w:b/>
                <w:sz w:val="14"/>
                <w:szCs w:val="14"/>
              </w:rPr>
              <w:br/>
              <w:t>(n=76)</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47DA1125" w14:textId="77777777" w:rsidR="00F06406" w:rsidRPr="007A7D7F" w:rsidRDefault="00F06406" w:rsidP="008A621A">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(n=433)</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13D0A162" w14:textId="77777777" w:rsidR="00F06406" w:rsidRPr="007A7D7F" w:rsidRDefault="00F06406" w:rsidP="008A621A">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(n=41)</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45CBDBCE" w14:textId="77777777" w:rsidR="00F06406" w:rsidRPr="007A7D7F" w:rsidRDefault="00F06406" w:rsidP="008A621A">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(n=116)</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38BC584F" w14:textId="77777777" w:rsidR="00F06406" w:rsidRPr="007A7D7F" w:rsidRDefault="00F06406" w:rsidP="008A621A">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(n=23)</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2C94ACD0" w14:textId="77777777" w:rsidR="00F06406" w:rsidRPr="007A7D7F" w:rsidRDefault="00F06406" w:rsidP="008A621A">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(n=120)</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5EB6606E" w14:textId="77777777" w:rsidR="00F06406" w:rsidRPr="007A7D7F" w:rsidDel="00BD2A55" w:rsidRDefault="00F06406" w:rsidP="008A621A">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(n=17)</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159E56FF" w14:textId="77777777" w:rsidR="00F06406" w:rsidRPr="007A7D7F" w:rsidDel="00BD2A55" w:rsidRDefault="00F06406" w:rsidP="008A621A">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(n=147)</w:t>
            </w:r>
          </w:p>
        </w:tc>
      </w:tr>
      <w:tr w:rsidR="00F06406" w:rsidRPr="008D08C6" w14:paraId="05523A6F" w14:textId="77777777" w:rsidTr="007A7D7F">
        <w:trPr>
          <w:trHeight w:val="283"/>
        </w:trPr>
        <w:tc>
          <w:tcPr>
            <w:tcW w:w="5000" w:type="pct"/>
            <w:gridSpan w:val="9"/>
            <w:shd w:val="clear" w:color="auto" w:fill="00DCA1" w:themeFill="background1"/>
          </w:tcPr>
          <w:p w14:paraId="15916166" w14:textId="77777777" w:rsidR="00F06406" w:rsidRPr="008D08C6" w:rsidRDefault="00F06406" w:rsidP="008A621A">
            <w:pPr>
              <w:spacing w:before="100" w:after="100"/>
              <w:rPr>
                <w:rFonts w:cs="Arial"/>
                <w:b/>
                <w:sz w:val="18"/>
                <w:szCs w:val="18"/>
              </w:rPr>
            </w:pPr>
            <w:r w:rsidRPr="008D08C6">
              <w:rPr>
                <w:rFonts w:cs="Arial"/>
                <w:b/>
                <w:sz w:val="18"/>
                <w:szCs w:val="18"/>
              </w:rPr>
              <w:t xml:space="preserve">Received invasive mechanical ventilation </w:t>
            </w:r>
          </w:p>
        </w:tc>
      </w:tr>
      <w:tr w:rsidR="00F06406" w:rsidRPr="008D08C6" w14:paraId="4F2127B1" w14:textId="77777777" w:rsidTr="007A7D7F">
        <w:trPr>
          <w:trHeight w:val="283"/>
        </w:trPr>
        <w:tc>
          <w:tcPr>
            <w:tcW w:w="776" w:type="pct"/>
          </w:tcPr>
          <w:p w14:paraId="3E986687" w14:textId="77777777" w:rsidR="00F06406" w:rsidRPr="008D08C6" w:rsidRDefault="00F06406" w:rsidP="008A621A">
            <w:pPr>
              <w:spacing w:before="100" w:after="100"/>
              <w:rPr>
                <w:rFonts w:cs="Arial"/>
                <w:sz w:val="18"/>
                <w:szCs w:val="18"/>
              </w:rPr>
            </w:pPr>
            <w:r w:rsidRPr="008D08C6">
              <w:rPr>
                <w:rFonts w:cs="Arial"/>
                <w:sz w:val="18"/>
                <w:szCs w:val="18"/>
                <w:lang w:val="en-US"/>
              </w:rPr>
              <w:t>Number (%)</w:t>
            </w:r>
          </w:p>
        </w:tc>
        <w:tc>
          <w:tcPr>
            <w:tcW w:w="528" w:type="pct"/>
          </w:tcPr>
          <w:p w14:paraId="77A21757"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17 </w:t>
            </w:r>
            <w:r w:rsidRPr="008D08C6">
              <w:rPr>
                <w:rFonts w:eastAsia="Arial" w:cs="Arial"/>
                <w:sz w:val="16"/>
                <w:szCs w:val="16"/>
              </w:rPr>
              <w:br/>
              <w:t>(22.4%)</w:t>
            </w:r>
          </w:p>
        </w:tc>
        <w:tc>
          <w:tcPr>
            <w:tcW w:w="528" w:type="pct"/>
          </w:tcPr>
          <w:p w14:paraId="20665DB1"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131 (30.3%)</w:t>
            </w:r>
          </w:p>
        </w:tc>
        <w:tc>
          <w:tcPr>
            <w:tcW w:w="528" w:type="pct"/>
          </w:tcPr>
          <w:p w14:paraId="12251729"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10 </w:t>
            </w:r>
            <w:r w:rsidRPr="008D08C6">
              <w:rPr>
                <w:rFonts w:eastAsia="Arial" w:cs="Arial"/>
                <w:sz w:val="16"/>
                <w:szCs w:val="16"/>
              </w:rPr>
              <w:br/>
              <w:t>(24.4%)</w:t>
            </w:r>
          </w:p>
        </w:tc>
        <w:tc>
          <w:tcPr>
            <w:tcW w:w="528" w:type="pct"/>
          </w:tcPr>
          <w:p w14:paraId="33F63AC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34 </w:t>
            </w:r>
            <w:r w:rsidRPr="008D08C6">
              <w:rPr>
                <w:rFonts w:eastAsia="Arial" w:cs="Arial"/>
                <w:sz w:val="16"/>
                <w:szCs w:val="16"/>
              </w:rPr>
              <w:br/>
              <w:t>(29.3%)</w:t>
            </w:r>
          </w:p>
        </w:tc>
        <w:tc>
          <w:tcPr>
            <w:tcW w:w="528" w:type="pct"/>
          </w:tcPr>
          <w:p w14:paraId="083A286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 </w:t>
            </w:r>
            <w:r w:rsidRPr="008D08C6">
              <w:rPr>
                <w:rFonts w:eastAsia="Arial" w:cs="Arial"/>
                <w:sz w:val="16"/>
                <w:szCs w:val="16"/>
              </w:rPr>
              <w:br/>
              <w:t>(8.7%)</w:t>
            </w:r>
          </w:p>
        </w:tc>
        <w:tc>
          <w:tcPr>
            <w:tcW w:w="528" w:type="pct"/>
          </w:tcPr>
          <w:p w14:paraId="3A2BF8A4"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27 </w:t>
            </w:r>
            <w:r w:rsidRPr="008D08C6">
              <w:rPr>
                <w:rFonts w:eastAsia="Arial" w:cs="Arial"/>
                <w:sz w:val="16"/>
                <w:szCs w:val="16"/>
              </w:rPr>
              <w:br/>
              <w:t>(22.5%)</w:t>
            </w:r>
          </w:p>
        </w:tc>
        <w:tc>
          <w:tcPr>
            <w:tcW w:w="528" w:type="pct"/>
          </w:tcPr>
          <w:p w14:paraId="43EE7888"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4 </w:t>
            </w:r>
            <w:r w:rsidRPr="008D08C6">
              <w:rPr>
                <w:rFonts w:eastAsia="Arial" w:cs="Arial"/>
                <w:sz w:val="16"/>
                <w:szCs w:val="16"/>
              </w:rPr>
              <w:br/>
              <w:t>(23.5%)</w:t>
            </w:r>
          </w:p>
        </w:tc>
        <w:tc>
          <w:tcPr>
            <w:tcW w:w="528" w:type="pct"/>
          </w:tcPr>
          <w:p w14:paraId="2E92C1C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42 </w:t>
            </w:r>
            <w:r w:rsidRPr="008D08C6">
              <w:rPr>
                <w:rFonts w:eastAsia="Arial" w:cs="Arial"/>
                <w:sz w:val="16"/>
                <w:szCs w:val="16"/>
              </w:rPr>
              <w:br/>
              <w:t>(28.6%)</w:t>
            </w:r>
          </w:p>
        </w:tc>
      </w:tr>
      <w:tr w:rsidR="00F06406" w:rsidRPr="008D08C6" w14:paraId="048C9497" w14:textId="77777777" w:rsidTr="007A7D7F">
        <w:trPr>
          <w:trHeight w:val="283"/>
        </w:trPr>
        <w:tc>
          <w:tcPr>
            <w:tcW w:w="5000" w:type="pct"/>
            <w:gridSpan w:val="9"/>
            <w:shd w:val="clear" w:color="auto" w:fill="00DCA1" w:themeFill="background1"/>
          </w:tcPr>
          <w:p w14:paraId="45FC8BD0" w14:textId="77777777" w:rsidR="00F06406" w:rsidRPr="008D08C6" w:rsidRDefault="00F06406" w:rsidP="008A621A">
            <w:pPr>
              <w:spacing w:before="100" w:after="100"/>
              <w:rPr>
                <w:rFonts w:cs="Arial"/>
                <w:b/>
                <w:sz w:val="18"/>
                <w:szCs w:val="18"/>
              </w:rPr>
            </w:pPr>
            <w:r w:rsidRPr="008D08C6">
              <w:rPr>
                <w:rFonts w:cs="Arial"/>
                <w:b/>
                <w:sz w:val="18"/>
                <w:szCs w:val="18"/>
              </w:rPr>
              <w:t>Duration of invasive mechanical ventilation (days)</w:t>
            </w:r>
          </w:p>
        </w:tc>
      </w:tr>
      <w:tr w:rsidR="00F06406" w:rsidRPr="008D08C6" w14:paraId="3E94E5F4" w14:textId="77777777" w:rsidTr="007A7D7F">
        <w:trPr>
          <w:trHeight w:val="283"/>
        </w:trPr>
        <w:tc>
          <w:tcPr>
            <w:tcW w:w="776" w:type="pct"/>
          </w:tcPr>
          <w:p w14:paraId="202D1928" w14:textId="77777777" w:rsidR="00F06406" w:rsidRPr="008D08C6" w:rsidRDefault="00F06406" w:rsidP="008A621A">
            <w:pPr>
              <w:spacing w:before="100" w:after="100"/>
              <w:rPr>
                <w:rFonts w:cs="Arial"/>
                <w:sz w:val="18"/>
                <w:szCs w:val="18"/>
              </w:rPr>
            </w:pPr>
            <w:r w:rsidRPr="008D08C6">
              <w:rPr>
                <w:rFonts w:cs="Arial"/>
                <w:sz w:val="18"/>
                <w:szCs w:val="18"/>
                <w:lang w:val="en-US"/>
              </w:rPr>
              <w:t>Median [IQR]</w:t>
            </w:r>
          </w:p>
        </w:tc>
        <w:tc>
          <w:tcPr>
            <w:tcW w:w="528" w:type="pct"/>
          </w:tcPr>
          <w:p w14:paraId="7D2AE520"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2.9 </w:t>
            </w:r>
            <w:r w:rsidRPr="008D08C6">
              <w:rPr>
                <w:rFonts w:eastAsia="Arial" w:cs="Arial"/>
                <w:sz w:val="16"/>
                <w:szCs w:val="16"/>
              </w:rPr>
              <w:br/>
              <w:t>[1.2–3.9]</w:t>
            </w:r>
          </w:p>
        </w:tc>
        <w:tc>
          <w:tcPr>
            <w:tcW w:w="528" w:type="pct"/>
          </w:tcPr>
          <w:p w14:paraId="71A4F568"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2.5 </w:t>
            </w:r>
            <w:r w:rsidRPr="008D08C6">
              <w:rPr>
                <w:rFonts w:eastAsia="Arial" w:cs="Arial"/>
                <w:sz w:val="16"/>
                <w:szCs w:val="16"/>
              </w:rPr>
              <w:br/>
              <w:t>[1.0–7.3]</w:t>
            </w:r>
          </w:p>
        </w:tc>
        <w:tc>
          <w:tcPr>
            <w:tcW w:w="528" w:type="pct"/>
          </w:tcPr>
          <w:p w14:paraId="60678F7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3.4 </w:t>
            </w:r>
            <w:r w:rsidRPr="008D08C6">
              <w:rPr>
                <w:rFonts w:eastAsia="Arial" w:cs="Arial"/>
                <w:sz w:val="16"/>
                <w:szCs w:val="16"/>
              </w:rPr>
              <w:br/>
              <w:t>[2.3–6.3]</w:t>
            </w:r>
          </w:p>
        </w:tc>
        <w:tc>
          <w:tcPr>
            <w:tcW w:w="528" w:type="pct"/>
          </w:tcPr>
          <w:p w14:paraId="7FF8A039"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5.2 </w:t>
            </w:r>
            <w:r w:rsidRPr="008D08C6">
              <w:rPr>
                <w:rFonts w:eastAsia="Arial" w:cs="Arial"/>
                <w:sz w:val="16"/>
                <w:szCs w:val="16"/>
              </w:rPr>
              <w:br/>
              <w:t>[2.8–8.1]</w:t>
            </w:r>
          </w:p>
        </w:tc>
        <w:tc>
          <w:tcPr>
            <w:tcW w:w="528" w:type="pct"/>
          </w:tcPr>
          <w:p w14:paraId="0027A78B"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N/A</w:t>
            </w:r>
          </w:p>
        </w:tc>
        <w:tc>
          <w:tcPr>
            <w:tcW w:w="528" w:type="pct"/>
          </w:tcPr>
          <w:p w14:paraId="0C53244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4.4 </w:t>
            </w:r>
            <w:r w:rsidRPr="008D08C6">
              <w:rPr>
                <w:rFonts w:eastAsia="Arial" w:cs="Arial"/>
                <w:sz w:val="16"/>
                <w:szCs w:val="16"/>
              </w:rPr>
              <w:br/>
              <w:t>[2.6–6.4]</w:t>
            </w:r>
          </w:p>
        </w:tc>
        <w:tc>
          <w:tcPr>
            <w:tcW w:w="528" w:type="pct"/>
          </w:tcPr>
          <w:p w14:paraId="6CA3E57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7.3 </w:t>
            </w:r>
            <w:r w:rsidRPr="008D08C6">
              <w:rPr>
                <w:rFonts w:eastAsia="Arial" w:cs="Arial"/>
                <w:sz w:val="16"/>
                <w:szCs w:val="16"/>
              </w:rPr>
              <w:br/>
              <w:t>[4.4–10]</w:t>
            </w:r>
          </w:p>
        </w:tc>
        <w:tc>
          <w:tcPr>
            <w:tcW w:w="528" w:type="pct"/>
          </w:tcPr>
          <w:p w14:paraId="66A7632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3.4 </w:t>
            </w:r>
            <w:r w:rsidRPr="008D08C6">
              <w:rPr>
                <w:rFonts w:eastAsia="Arial" w:cs="Arial"/>
                <w:sz w:val="16"/>
                <w:szCs w:val="16"/>
              </w:rPr>
              <w:br/>
              <w:t>[2.0–8.5]</w:t>
            </w:r>
          </w:p>
        </w:tc>
      </w:tr>
      <w:tr w:rsidR="00F06406" w:rsidRPr="008D08C6" w14:paraId="3D8266F3" w14:textId="77777777" w:rsidTr="007A7D7F">
        <w:trPr>
          <w:trHeight w:val="283"/>
        </w:trPr>
        <w:tc>
          <w:tcPr>
            <w:tcW w:w="5000" w:type="pct"/>
            <w:gridSpan w:val="9"/>
            <w:shd w:val="clear" w:color="auto" w:fill="00DCA1" w:themeFill="background1"/>
          </w:tcPr>
          <w:p w14:paraId="7146A059" w14:textId="77777777" w:rsidR="00F06406" w:rsidRPr="008D08C6" w:rsidRDefault="00F06406" w:rsidP="008A621A">
            <w:pPr>
              <w:spacing w:before="100" w:after="100"/>
              <w:rPr>
                <w:rFonts w:cs="Arial"/>
                <w:b/>
                <w:sz w:val="18"/>
                <w:szCs w:val="18"/>
              </w:rPr>
            </w:pPr>
            <w:r w:rsidRPr="008D08C6">
              <w:rPr>
                <w:rFonts w:cs="Arial"/>
                <w:b/>
                <w:sz w:val="18"/>
                <w:szCs w:val="18"/>
              </w:rPr>
              <w:t>Length of intensive care stay (days)</w:t>
            </w:r>
          </w:p>
        </w:tc>
      </w:tr>
      <w:tr w:rsidR="00F06406" w:rsidRPr="008D08C6" w14:paraId="033A2F62" w14:textId="77777777" w:rsidTr="007A7D7F">
        <w:trPr>
          <w:trHeight w:val="283"/>
        </w:trPr>
        <w:tc>
          <w:tcPr>
            <w:tcW w:w="776" w:type="pct"/>
          </w:tcPr>
          <w:p w14:paraId="4EB4526A" w14:textId="77777777" w:rsidR="00F06406" w:rsidRPr="008D08C6" w:rsidRDefault="00F06406" w:rsidP="008A621A">
            <w:pPr>
              <w:spacing w:before="100" w:after="100"/>
              <w:rPr>
                <w:rFonts w:cs="Arial"/>
                <w:sz w:val="18"/>
                <w:szCs w:val="18"/>
              </w:rPr>
            </w:pPr>
            <w:r w:rsidRPr="008D08C6">
              <w:rPr>
                <w:rFonts w:cs="Arial"/>
                <w:sz w:val="18"/>
                <w:szCs w:val="18"/>
                <w:lang w:val="en-US"/>
              </w:rPr>
              <w:t>Median [IQR]</w:t>
            </w:r>
          </w:p>
        </w:tc>
        <w:tc>
          <w:tcPr>
            <w:tcW w:w="528" w:type="pct"/>
          </w:tcPr>
          <w:p w14:paraId="76CA9A0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2.6</w:t>
            </w:r>
            <w:r w:rsidRPr="008D08C6">
              <w:rPr>
                <w:rFonts w:eastAsia="Arial" w:cs="Arial"/>
                <w:sz w:val="16"/>
                <w:szCs w:val="16"/>
              </w:rPr>
              <w:br/>
              <w:t xml:space="preserve"> [1.5–4.8]</w:t>
            </w:r>
          </w:p>
        </w:tc>
        <w:tc>
          <w:tcPr>
            <w:tcW w:w="528" w:type="pct"/>
          </w:tcPr>
          <w:p w14:paraId="5584D3F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2.7</w:t>
            </w:r>
            <w:r w:rsidRPr="008D08C6">
              <w:rPr>
                <w:rFonts w:eastAsia="Arial" w:cs="Arial"/>
                <w:sz w:val="16"/>
                <w:szCs w:val="16"/>
              </w:rPr>
              <w:br/>
              <w:t>[1.5–4.9]</w:t>
            </w:r>
          </w:p>
        </w:tc>
        <w:tc>
          <w:tcPr>
            <w:tcW w:w="528" w:type="pct"/>
          </w:tcPr>
          <w:p w14:paraId="63C5871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2.7 </w:t>
            </w:r>
            <w:r w:rsidRPr="008D08C6">
              <w:rPr>
                <w:rFonts w:eastAsia="Arial" w:cs="Arial"/>
                <w:sz w:val="16"/>
                <w:szCs w:val="16"/>
              </w:rPr>
              <w:br/>
              <w:t>[1.2–4.5]</w:t>
            </w:r>
          </w:p>
        </w:tc>
        <w:tc>
          <w:tcPr>
            <w:tcW w:w="528" w:type="pct"/>
          </w:tcPr>
          <w:p w14:paraId="2BDBA88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3.0 </w:t>
            </w:r>
            <w:r w:rsidRPr="008D08C6">
              <w:rPr>
                <w:rFonts w:eastAsia="Arial" w:cs="Arial"/>
                <w:sz w:val="16"/>
                <w:szCs w:val="16"/>
              </w:rPr>
              <w:br/>
              <w:t>[1.7–6.2]</w:t>
            </w:r>
          </w:p>
        </w:tc>
        <w:tc>
          <w:tcPr>
            <w:tcW w:w="528" w:type="pct"/>
          </w:tcPr>
          <w:p w14:paraId="24DD784C"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2.7 </w:t>
            </w:r>
            <w:r w:rsidRPr="008D08C6">
              <w:rPr>
                <w:rFonts w:eastAsia="Arial" w:cs="Arial"/>
                <w:sz w:val="16"/>
                <w:szCs w:val="16"/>
              </w:rPr>
              <w:br/>
              <w:t>[1.6–4.3]</w:t>
            </w:r>
          </w:p>
        </w:tc>
        <w:tc>
          <w:tcPr>
            <w:tcW w:w="528" w:type="pct"/>
          </w:tcPr>
          <w:p w14:paraId="5F5CBDF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2.7 </w:t>
            </w:r>
            <w:r w:rsidRPr="008D08C6">
              <w:rPr>
                <w:rFonts w:eastAsia="Arial" w:cs="Arial"/>
                <w:sz w:val="16"/>
                <w:szCs w:val="16"/>
              </w:rPr>
              <w:br/>
              <w:t>[1.6–4.4]</w:t>
            </w:r>
          </w:p>
        </w:tc>
        <w:tc>
          <w:tcPr>
            <w:tcW w:w="528" w:type="pct"/>
          </w:tcPr>
          <w:p w14:paraId="03F1B6E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3.7 </w:t>
            </w:r>
            <w:r w:rsidRPr="008D08C6">
              <w:rPr>
                <w:rFonts w:eastAsia="Arial" w:cs="Arial"/>
                <w:sz w:val="16"/>
                <w:szCs w:val="16"/>
              </w:rPr>
              <w:br/>
              <w:t>[2.6–5.6]</w:t>
            </w:r>
          </w:p>
        </w:tc>
        <w:tc>
          <w:tcPr>
            <w:tcW w:w="528" w:type="pct"/>
          </w:tcPr>
          <w:p w14:paraId="6B039363"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2.9 </w:t>
            </w:r>
            <w:r w:rsidRPr="008D08C6">
              <w:rPr>
                <w:rFonts w:eastAsia="Arial" w:cs="Arial"/>
                <w:sz w:val="16"/>
                <w:szCs w:val="16"/>
              </w:rPr>
              <w:br/>
              <w:t>[1.8–5.7]</w:t>
            </w:r>
          </w:p>
        </w:tc>
      </w:tr>
      <w:tr w:rsidR="00F06406" w:rsidRPr="008D08C6" w14:paraId="153316A1" w14:textId="77777777" w:rsidTr="007A7D7F">
        <w:trPr>
          <w:trHeight w:val="283"/>
        </w:trPr>
        <w:tc>
          <w:tcPr>
            <w:tcW w:w="5000" w:type="pct"/>
            <w:gridSpan w:val="9"/>
            <w:shd w:val="clear" w:color="auto" w:fill="00DCA1" w:themeFill="background1"/>
          </w:tcPr>
          <w:p w14:paraId="6A388429" w14:textId="77777777" w:rsidR="00F06406" w:rsidRPr="008D08C6" w:rsidRDefault="00F06406" w:rsidP="008A621A">
            <w:pPr>
              <w:spacing w:before="100" w:after="100"/>
              <w:rPr>
                <w:rFonts w:cs="Arial"/>
                <w:b/>
                <w:sz w:val="18"/>
                <w:szCs w:val="18"/>
              </w:rPr>
            </w:pPr>
            <w:r w:rsidRPr="008D08C6">
              <w:rPr>
                <w:rFonts w:cs="Arial"/>
                <w:b/>
                <w:sz w:val="18"/>
                <w:szCs w:val="18"/>
              </w:rPr>
              <w:t>Length of hospital stay (days)</w:t>
            </w:r>
          </w:p>
        </w:tc>
      </w:tr>
      <w:tr w:rsidR="00F06406" w:rsidRPr="008D08C6" w14:paraId="483B0DD7" w14:textId="77777777" w:rsidTr="007A7D7F">
        <w:trPr>
          <w:trHeight w:val="283"/>
        </w:trPr>
        <w:tc>
          <w:tcPr>
            <w:tcW w:w="776" w:type="pct"/>
          </w:tcPr>
          <w:p w14:paraId="63F7E106" w14:textId="77777777" w:rsidR="00F06406" w:rsidRPr="008D08C6" w:rsidRDefault="00F06406" w:rsidP="008A621A">
            <w:pPr>
              <w:spacing w:before="100" w:after="100"/>
              <w:rPr>
                <w:rFonts w:cs="Arial"/>
                <w:sz w:val="18"/>
                <w:szCs w:val="18"/>
              </w:rPr>
            </w:pPr>
            <w:r w:rsidRPr="008D08C6">
              <w:rPr>
                <w:rFonts w:cs="Arial"/>
                <w:sz w:val="18"/>
                <w:szCs w:val="18"/>
                <w:lang w:val="en-US"/>
              </w:rPr>
              <w:t>Median [IQR]</w:t>
            </w:r>
          </w:p>
        </w:tc>
        <w:tc>
          <w:tcPr>
            <w:tcW w:w="528" w:type="pct"/>
          </w:tcPr>
          <w:p w14:paraId="37808869"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5.8 </w:t>
            </w:r>
            <w:r w:rsidRPr="008D08C6">
              <w:rPr>
                <w:rFonts w:eastAsia="Arial" w:cs="Arial"/>
                <w:sz w:val="16"/>
                <w:szCs w:val="16"/>
              </w:rPr>
              <w:br/>
              <w:t>[4.4–11]</w:t>
            </w:r>
          </w:p>
        </w:tc>
        <w:tc>
          <w:tcPr>
            <w:tcW w:w="528" w:type="pct"/>
          </w:tcPr>
          <w:p w14:paraId="58FDE6D4"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7.8 </w:t>
            </w:r>
            <w:r w:rsidRPr="008D08C6">
              <w:rPr>
                <w:rFonts w:eastAsia="Arial" w:cs="Arial"/>
                <w:sz w:val="16"/>
                <w:szCs w:val="16"/>
              </w:rPr>
              <w:br/>
              <w:t>[4.7–15]</w:t>
            </w:r>
          </w:p>
        </w:tc>
        <w:tc>
          <w:tcPr>
            <w:tcW w:w="528" w:type="pct"/>
          </w:tcPr>
          <w:p w14:paraId="1F8D462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7.0 </w:t>
            </w:r>
            <w:r w:rsidRPr="008D08C6">
              <w:rPr>
                <w:rFonts w:eastAsia="Arial" w:cs="Arial"/>
                <w:sz w:val="16"/>
                <w:szCs w:val="16"/>
              </w:rPr>
              <w:br/>
              <w:t>[4.0–9.9]</w:t>
            </w:r>
          </w:p>
        </w:tc>
        <w:tc>
          <w:tcPr>
            <w:tcW w:w="528" w:type="pct"/>
          </w:tcPr>
          <w:p w14:paraId="09CA3386"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8.0 </w:t>
            </w:r>
            <w:r w:rsidRPr="008D08C6">
              <w:rPr>
                <w:rFonts w:eastAsia="Arial" w:cs="Arial"/>
                <w:sz w:val="16"/>
                <w:szCs w:val="16"/>
              </w:rPr>
              <w:br/>
              <w:t>[4.9–12]</w:t>
            </w:r>
          </w:p>
        </w:tc>
        <w:tc>
          <w:tcPr>
            <w:tcW w:w="528" w:type="pct"/>
          </w:tcPr>
          <w:p w14:paraId="2D2742DE"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6.3 </w:t>
            </w:r>
            <w:r w:rsidRPr="008D08C6">
              <w:rPr>
                <w:rFonts w:eastAsia="Arial" w:cs="Arial"/>
                <w:sz w:val="16"/>
                <w:szCs w:val="16"/>
              </w:rPr>
              <w:br/>
              <w:t>[3.6–8.2]</w:t>
            </w:r>
          </w:p>
        </w:tc>
        <w:tc>
          <w:tcPr>
            <w:tcW w:w="528" w:type="pct"/>
          </w:tcPr>
          <w:p w14:paraId="563D1869"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6.5 </w:t>
            </w:r>
            <w:r w:rsidRPr="008D08C6">
              <w:rPr>
                <w:rFonts w:eastAsia="Arial" w:cs="Arial"/>
                <w:sz w:val="16"/>
                <w:szCs w:val="16"/>
              </w:rPr>
              <w:br/>
              <w:t>[3.9–10]</w:t>
            </w:r>
          </w:p>
        </w:tc>
        <w:tc>
          <w:tcPr>
            <w:tcW w:w="528" w:type="pct"/>
          </w:tcPr>
          <w:p w14:paraId="00DE6537"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6.7 </w:t>
            </w:r>
            <w:r w:rsidRPr="008D08C6">
              <w:rPr>
                <w:rFonts w:eastAsia="Arial" w:cs="Arial"/>
                <w:sz w:val="16"/>
                <w:szCs w:val="16"/>
              </w:rPr>
              <w:br/>
              <w:t>[4.9–11]</w:t>
            </w:r>
          </w:p>
        </w:tc>
        <w:tc>
          <w:tcPr>
            <w:tcW w:w="528" w:type="pct"/>
          </w:tcPr>
          <w:p w14:paraId="6EDDA620"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 xml:space="preserve">7.1 </w:t>
            </w:r>
            <w:r w:rsidRPr="008D08C6">
              <w:rPr>
                <w:rFonts w:eastAsia="Arial" w:cs="Arial"/>
                <w:sz w:val="16"/>
                <w:szCs w:val="16"/>
              </w:rPr>
              <w:br/>
              <w:t>[3.6–14]</w:t>
            </w:r>
          </w:p>
        </w:tc>
      </w:tr>
      <w:tr w:rsidR="00F06406" w:rsidRPr="008D08C6" w14:paraId="2D34B5C7" w14:textId="77777777" w:rsidTr="007A7D7F">
        <w:trPr>
          <w:trHeight w:val="283"/>
        </w:trPr>
        <w:tc>
          <w:tcPr>
            <w:tcW w:w="5000" w:type="pct"/>
            <w:gridSpan w:val="9"/>
            <w:shd w:val="clear" w:color="auto" w:fill="00DCA1" w:themeFill="background1"/>
          </w:tcPr>
          <w:p w14:paraId="1C8ECBFF" w14:textId="77777777" w:rsidR="00F06406" w:rsidRPr="008D08C6" w:rsidRDefault="00F06406" w:rsidP="008A621A">
            <w:pPr>
              <w:spacing w:before="100" w:after="100"/>
              <w:rPr>
                <w:rFonts w:cs="Arial"/>
                <w:b/>
                <w:sz w:val="18"/>
                <w:szCs w:val="18"/>
              </w:rPr>
            </w:pPr>
            <w:r w:rsidRPr="008D08C6">
              <w:rPr>
                <w:rFonts w:cs="Arial"/>
                <w:b/>
                <w:sz w:val="18"/>
                <w:szCs w:val="18"/>
              </w:rPr>
              <w:t>Patient outcome</w:t>
            </w:r>
          </w:p>
        </w:tc>
      </w:tr>
      <w:tr w:rsidR="00F06406" w:rsidRPr="008D08C6" w14:paraId="60B16F38" w14:textId="77777777" w:rsidTr="007A7D7F">
        <w:trPr>
          <w:trHeight w:val="283"/>
        </w:trPr>
        <w:tc>
          <w:tcPr>
            <w:tcW w:w="776" w:type="pct"/>
          </w:tcPr>
          <w:p w14:paraId="5A2E595A" w14:textId="77777777" w:rsidR="00F06406" w:rsidRPr="008D08C6" w:rsidRDefault="00F06406" w:rsidP="008A621A">
            <w:pPr>
              <w:spacing w:before="100" w:after="100"/>
              <w:rPr>
                <w:rFonts w:cs="Arial"/>
                <w:sz w:val="18"/>
                <w:szCs w:val="18"/>
              </w:rPr>
            </w:pPr>
            <w:r w:rsidRPr="008D08C6">
              <w:rPr>
                <w:rFonts w:cs="Arial"/>
                <w:sz w:val="18"/>
                <w:szCs w:val="18"/>
              </w:rPr>
              <w:t>Ongoing care in intensive care</w:t>
            </w:r>
          </w:p>
        </w:tc>
        <w:tc>
          <w:tcPr>
            <w:tcW w:w="528" w:type="pct"/>
          </w:tcPr>
          <w:p w14:paraId="3F26A52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16 (21.1%)</w:t>
            </w:r>
          </w:p>
        </w:tc>
        <w:tc>
          <w:tcPr>
            <w:tcW w:w="528" w:type="pct"/>
          </w:tcPr>
          <w:p w14:paraId="489B236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28 (6.5%)</w:t>
            </w:r>
          </w:p>
        </w:tc>
        <w:tc>
          <w:tcPr>
            <w:tcW w:w="528" w:type="pct"/>
          </w:tcPr>
          <w:p w14:paraId="02AB37B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7 (17.1%)</w:t>
            </w:r>
          </w:p>
        </w:tc>
        <w:tc>
          <w:tcPr>
            <w:tcW w:w="528" w:type="pct"/>
          </w:tcPr>
          <w:p w14:paraId="7D85FC0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8 (6.9%)</w:t>
            </w:r>
          </w:p>
        </w:tc>
        <w:tc>
          <w:tcPr>
            <w:tcW w:w="528" w:type="pct"/>
          </w:tcPr>
          <w:p w14:paraId="1822F630"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5 (21.7%)</w:t>
            </w:r>
          </w:p>
        </w:tc>
        <w:tc>
          <w:tcPr>
            <w:tcW w:w="528" w:type="pct"/>
          </w:tcPr>
          <w:p w14:paraId="104B3ED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7 (5.8%)</w:t>
            </w:r>
          </w:p>
        </w:tc>
        <w:tc>
          <w:tcPr>
            <w:tcW w:w="528" w:type="pct"/>
          </w:tcPr>
          <w:p w14:paraId="31B7A3A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 (11.8%)</w:t>
            </w:r>
          </w:p>
        </w:tc>
        <w:tc>
          <w:tcPr>
            <w:tcW w:w="528" w:type="pct"/>
          </w:tcPr>
          <w:p w14:paraId="6D0E8281"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5 (3.4%)</w:t>
            </w:r>
          </w:p>
        </w:tc>
      </w:tr>
      <w:tr w:rsidR="00F06406" w:rsidRPr="008D08C6" w14:paraId="4B1B5B0A" w14:textId="77777777" w:rsidTr="007A7D7F">
        <w:trPr>
          <w:trHeight w:val="283"/>
        </w:trPr>
        <w:tc>
          <w:tcPr>
            <w:tcW w:w="776" w:type="pct"/>
          </w:tcPr>
          <w:p w14:paraId="1204A7F7" w14:textId="77777777" w:rsidR="00F06406" w:rsidRPr="008D08C6" w:rsidRDefault="00F06406" w:rsidP="008A621A">
            <w:pPr>
              <w:spacing w:before="100" w:after="100"/>
              <w:rPr>
                <w:rFonts w:cs="Arial"/>
                <w:sz w:val="18"/>
                <w:szCs w:val="18"/>
              </w:rPr>
            </w:pPr>
            <w:r w:rsidRPr="008D08C6">
              <w:rPr>
                <w:rFonts w:cs="Arial"/>
                <w:sz w:val="18"/>
                <w:szCs w:val="18"/>
              </w:rPr>
              <w:t>Ongoing care in hospital ward*</w:t>
            </w:r>
          </w:p>
        </w:tc>
        <w:tc>
          <w:tcPr>
            <w:tcW w:w="528" w:type="pct"/>
          </w:tcPr>
          <w:p w14:paraId="57AC626E"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13 (17.1%)</w:t>
            </w:r>
          </w:p>
        </w:tc>
        <w:tc>
          <w:tcPr>
            <w:tcW w:w="528" w:type="pct"/>
          </w:tcPr>
          <w:p w14:paraId="0B48FC8B"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18 (4.2%)</w:t>
            </w:r>
          </w:p>
        </w:tc>
        <w:tc>
          <w:tcPr>
            <w:tcW w:w="528" w:type="pct"/>
          </w:tcPr>
          <w:p w14:paraId="0A0D072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5 (12.2%)</w:t>
            </w:r>
          </w:p>
        </w:tc>
        <w:tc>
          <w:tcPr>
            <w:tcW w:w="528" w:type="pct"/>
          </w:tcPr>
          <w:p w14:paraId="30D87F3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6 (5.2%)</w:t>
            </w:r>
          </w:p>
        </w:tc>
        <w:tc>
          <w:tcPr>
            <w:tcW w:w="528" w:type="pct"/>
          </w:tcPr>
          <w:p w14:paraId="7C96551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 (8.7%)</w:t>
            </w:r>
          </w:p>
        </w:tc>
        <w:tc>
          <w:tcPr>
            <w:tcW w:w="528" w:type="pct"/>
          </w:tcPr>
          <w:p w14:paraId="2E4A94CB"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5 (4.2%)</w:t>
            </w:r>
          </w:p>
        </w:tc>
        <w:tc>
          <w:tcPr>
            <w:tcW w:w="528" w:type="pct"/>
          </w:tcPr>
          <w:p w14:paraId="7E3AEFF5"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 (5.9%)</w:t>
            </w:r>
          </w:p>
        </w:tc>
        <w:tc>
          <w:tcPr>
            <w:tcW w:w="528" w:type="pct"/>
          </w:tcPr>
          <w:p w14:paraId="36147D65"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3 (2.0%)</w:t>
            </w:r>
          </w:p>
        </w:tc>
      </w:tr>
      <w:tr w:rsidR="00F06406" w:rsidRPr="008D08C6" w14:paraId="07FB07B0" w14:textId="77777777" w:rsidTr="007A7D7F">
        <w:trPr>
          <w:trHeight w:val="283"/>
        </w:trPr>
        <w:tc>
          <w:tcPr>
            <w:tcW w:w="776" w:type="pct"/>
          </w:tcPr>
          <w:p w14:paraId="7380762E" w14:textId="77777777" w:rsidR="00F06406" w:rsidRPr="008D08C6" w:rsidRDefault="00F06406" w:rsidP="008A621A">
            <w:pPr>
              <w:spacing w:before="100" w:after="100"/>
              <w:rPr>
                <w:rFonts w:cs="Arial"/>
                <w:sz w:val="18"/>
                <w:szCs w:val="18"/>
              </w:rPr>
            </w:pPr>
            <w:r w:rsidRPr="008D08C6">
              <w:rPr>
                <w:rFonts w:cs="Arial"/>
                <w:sz w:val="18"/>
                <w:szCs w:val="18"/>
              </w:rPr>
              <w:t>Transfer to other hospital or facility</w:t>
            </w:r>
          </w:p>
        </w:tc>
        <w:tc>
          <w:tcPr>
            <w:tcW w:w="528" w:type="pct"/>
          </w:tcPr>
          <w:p w14:paraId="2242C3F7"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5 (6.6%)</w:t>
            </w:r>
          </w:p>
        </w:tc>
        <w:tc>
          <w:tcPr>
            <w:tcW w:w="528" w:type="pct"/>
          </w:tcPr>
          <w:p w14:paraId="76649AF1"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33 (7.6%)</w:t>
            </w:r>
          </w:p>
        </w:tc>
        <w:tc>
          <w:tcPr>
            <w:tcW w:w="528" w:type="pct"/>
          </w:tcPr>
          <w:p w14:paraId="0C9902F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6512A6E6"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3 (2.6%)</w:t>
            </w:r>
          </w:p>
        </w:tc>
        <w:tc>
          <w:tcPr>
            <w:tcW w:w="528" w:type="pct"/>
          </w:tcPr>
          <w:p w14:paraId="1799AD1C"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7D92BFB1"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5 (4.2%)</w:t>
            </w:r>
          </w:p>
        </w:tc>
        <w:tc>
          <w:tcPr>
            <w:tcW w:w="528" w:type="pct"/>
          </w:tcPr>
          <w:p w14:paraId="01D0F62C"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488095AE"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12 (8.2%)</w:t>
            </w:r>
          </w:p>
        </w:tc>
      </w:tr>
      <w:tr w:rsidR="00F06406" w:rsidRPr="008D08C6" w14:paraId="589A5081" w14:textId="77777777" w:rsidTr="007A7D7F">
        <w:trPr>
          <w:trHeight w:val="283"/>
        </w:trPr>
        <w:tc>
          <w:tcPr>
            <w:tcW w:w="776" w:type="pct"/>
          </w:tcPr>
          <w:p w14:paraId="44629C64" w14:textId="77777777" w:rsidR="00F06406" w:rsidRPr="008D08C6" w:rsidRDefault="00F06406" w:rsidP="008A621A">
            <w:pPr>
              <w:spacing w:before="100" w:after="100"/>
              <w:rPr>
                <w:rFonts w:cs="Arial"/>
                <w:sz w:val="18"/>
                <w:szCs w:val="18"/>
              </w:rPr>
            </w:pPr>
            <w:r w:rsidRPr="008D08C6">
              <w:rPr>
                <w:rFonts w:cs="Arial"/>
                <w:sz w:val="18"/>
                <w:szCs w:val="18"/>
              </w:rPr>
              <w:t>Transfer to rehabilitation</w:t>
            </w:r>
          </w:p>
        </w:tc>
        <w:tc>
          <w:tcPr>
            <w:tcW w:w="528" w:type="pct"/>
          </w:tcPr>
          <w:p w14:paraId="16167DA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 (2.6%)</w:t>
            </w:r>
          </w:p>
        </w:tc>
        <w:tc>
          <w:tcPr>
            <w:tcW w:w="528" w:type="pct"/>
          </w:tcPr>
          <w:p w14:paraId="77E0050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22 (5.1%)</w:t>
            </w:r>
          </w:p>
        </w:tc>
        <w:tc>
          <w:tcPr>
            <w:tcW w:w="528" w:type="pct"/>
          </w:tcPr>
          <w:p w14:paraId="682EAE3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 (2.4%)</w:t>
            </w:r>
          </w:p>
        </w:tc>
        <w:tc>
          <w:tcPr>
            <w:tcW w:w="528" w:type="pct"/>
          </w:tcPr>
          <w:p w14:paraId="61DD9259"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 (1.7%)</w:t>
            </w:r>
          </w:p>
        </w:tc>
        <w:tc>
          <w:tcPr>
            <w:tcW w:w="528" w:type="pct"/>
          </w:tcPr>
          <w:p w14:paraId="0C44468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3252C65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2C8EF56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03686FEC"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4 (2.7%)</w:t>
            </w:r>
          </w:p>
        </w:tc>
      </w:tr>
      <w:tr w:rsidR="00F06406" w:rsidRPr="008D08C6" w14:paraId="5F8110CC" w14:textId="77777777" w:rsidTr="007A7D7F">
        <w:trPr>
          <w:trHeight w:val="283"/>
        </w:trPr>
        <w:tc>
          <w:tcPr>
            <w:tcW w:w="776" w:type="pct"/>
          </w:tcPr>
          <w:p w14:paraId="330F3F4E" w14:textId="77777777" w:rsidR="00F06406" w:rsidRPr="008D08C6" w:rsidRDefault="00F06406" w:rsidP="008A621A">
            <w:pPr>
              <w:spacing w:before="100" w:after="100"/>
              <w:rPr>
                <w:rFonts w:cs="Arial"/>
                <w:sz w:val="18"/>
                <w:szCs w:val="18"/>
              </w:rPr>
            </w:pPr>
            <w:r w:rsidRPr="008D08C6">
              <w:rPr>
                <w:rFonts w:cs="Arial"/>
                <w:sz w:val="18"/>
                <w:szCs w:val="18"/>
              </w:rPr>
              <w:t>Discharge home</w:t>
            </w:r>
          </w:p>
        </w:tc>
        <w:tc>
          <w:tcPr>
            <w:tcW w:w="528" w:type="pct"/>
          </w:tcPr>
          <w:p w14:paraId="6AFC5007"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34 (44.7%)</w:t>
            </w:r>
          </w:p>
        </w:tc>
        <w:tc>
          <w:tcPr>
            <w:tcW w:w="528" w:type="pct"/>
          </w:tcPr>
          <w:p w14:paraId="6C96FB53"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276 (63.7%)</w:t>
            </w:r>
          </w:p>
        </w:tc>
        <w:tc>
          <w:tcPr>
            <w:tcW w:w="528" w:type="pct"/>
          </w:tcPr>
          <w:p w14:paraId="773496CF"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23 (56.1%)</w:t>
            </w:r>
          </w:p>
        </w:tc>
        <w:tc>
          <w:tcPr>
            <w:tcW w:w="528" w:type="pct"/>
          </w:tcPr>
          <w:p w14:paraId="378A868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87 (75.0%)</w:t>
            </w:r>
          </w:p>
        </w:tc>
        <w:tc>
          <w:tcPr>
            <w:tcW w:w="528" w:type="pct"/>
          </w:tcPr>
          <w:p w14:paraId="585892BB"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16 (69.6%)</w:t>
            </w:r>
          </w:p>
        </w:tc>
        <w:tc>
          <w:tcPr>
            <w:tcW w:w="528" w:type="pct"/>
          </w:tcPr>
          <w:p w14:paraId="59020306"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95 (79.2%)</w:t>
            </w:r>
          </w:p>
        </w:tc>
        <w:tc>
          <w:tcPr>
            <w:tcW w:w="528" w:type="pct"/>
          </w:tcPr>
          <w:p w14:paraId="3D3AD705"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13 (76.5%)</w:t>
            </w:r>
          </w:p>
        </w:tc>
        <w:tc>
          <w:tcPr>
            <w:tcW w:w="528" w:type="pct"/>
          </w:tcPr>
          <w:p w14:paraId="1557AC7E"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112 (76.2%)</w:t>
            </w:r>
          </w:p>
        </w:tc>
      </w:tr>
      <w:tr w:rsidR="00F06406" w:rsidRPr="008D08C6" w14:paraId="58151EDD" w14:textId="77777777" w:rsidTr="007A7D7F">
        <w:trPr>
          <w:trHeight w:val="283"/>
        </w:trPr>
        <w:tc>
          <w:tcPr>
            <w:tcW w:w="776" w:type="pct"/>
          </w:tcPr>
          <w:p w14:paraId="756E56B2" w14:textId="77777777" w:rsidR="00F06406" w:rsidRPr="008D08C6" w:rsidRDefault="00F06406" w:rsidP="008A621A">
            <w:pPr>
              <w:spacing w:before="100" w:after="100"/>
              <w:rPr>
                <w:rFonts w:cs="Arial"/>
                <w:sz w:val="18"/>
                <w:szCs w:val="18"/>
              </w:rPr>
            </w:pPr>
            <w:r w:rsidRPr="008D08C6">
              <w:rPr>
                <w:rFonts w:cs="Arial"/>
                <w:sz w:val="18"/>
                <w:szCs w:val="18"/>
              </w:rPr>
              <w:t>Death</w:t>
            </w:r>
            <w:r w:rsidRPr="008D08C6">
              <w:rPr>
                <w:sz w:val="18"/>
                <w:szCs w:val="18"/>
                <w:vertAlign w:val="superscript"/>
              </w:rPr>
              <w:t>†</w:t>
            </w:r>
            <w:r w:rsidRPr="008D08C6">
              <w:rPr>
                <w:rFonts w:cs="Arial"/>
                <w:sz w:val="18"/>
                <w:szCs w:val="18"/>
              </w:rPr>
              <w:t xml:space="preserve"> – intensive care</w:t>
            </w:r>
            <w:r w:rsidRPr="008D08C6">
              <w:rPr>
                <w:rFonts w:cs="Arial"/>
                <w:sz w:val="18"/>
                <w:szCs w:val="18"/>
                <w:vertAlign w:val="superscript"/>
              </w:rPr>
              <w:t>†</w:t>
            </w:r>
          </w:p>
        </w:tc>
        <w:tc>
          <w:tcPr>
            <w:tcW w:w="528" w:type="pct"/>
          </w:tcPr>
          <w:p w14:paraId="2500DCC8"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4 (5.3%)</w:t>
            </w:r>
          </w:p>
        </w:tc>
        <w:tc>
          <w:tcPr>
            <w:tcW w:w="528" w:type="pct"/>
          </w:tcPr>
          <w:p w14:paraId="2D22B0B6"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37 (8.5%)</w:t>
            </w:r>
          </w:p>
        </w:tc>
        <w:tc>
          <w:tcPr>
            <w:tcW w:w="528" w:type="pct"/>
          </w:tcPr>
          <w:p w14:paraId="26E1F79B"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5 (12.2%)</w:t>
            </w:r>
          </w:p>
        </w:tc>
        <w:tc>
          <w:tcPr>
            <w:tcW w:w="528" w:type="pct"/>
          </w:tcPr>
          <w:p w14:paraId="45E4C5B5"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9 (7.8%)</w:t>
            </w:r>
          </w:p>
        </w:tc>
        <w:tc>
          <w:tcPr>
            <w:tcW w:w="528" w:type="pct"/>
          </w:tcPr>
          <w:p w14:paraId="748186C5"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281C217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7 (5.8%)</w:t>
            </w:r>
          </w:p>
        </w:tc>
        <w:tc>
          <w:tcPr>
            <w:tcW w:w="528" w:type="pct"/>
          </w:tcPr>
          <w:p w14:paraId="5A3D7DDE"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 (5.9%)</w:t>
            </w:r>
          </w:p>
        </w:tc>
        <w:tc>
          <w:tcPr>
            <w:tcW w:w="528" w:type="pct"/>
          </w:tcPr>
          <w:p w14:paraId="0412961A"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9 (6.1%)</w:t>
            </w:r>
          </w:p>
        </w:tc>
      </w:tr>
      <w:tr w:rsidR="00F06406" w:rsidRPr="008D08C6" w14:paraId="039AF078" w14:textId="77777777" w:rsidTr="007A7D7F">
        <w:trPr>
          <w:trHeight w:val="283"/>
        </w:trPr>
        <w:tc>
          <w:tcPr>
            <w:tcW w:w="776" w:type="pct"/>
          </w:tcPr>
          <w:p w14:paraId="3D4DDFB3" w14:textId="77777777" w:rsidR="00F06406" w:rsidRPr="008D08C6" w:rsidRDefault="00F06406" w:rsidP="008A621A">
            <w:pPr>
              <w:spacing w:before="100" w:after="100"/>
              <w:rPr>
                <w:rFonts w:cs="Arial"/>
                <w:sz w:val="18"/>
                <w:szCs w:val="18"/>
              </w:rPr>
            </w:pPr>
            <w:r w:rsidRPr="008D08C6">
              <w:rPr>
                <w:rFonts w:cs="Arial"/>
                <w:sz w:val="18"/>
                <w:szCs w:val="18"/>
              </w:rPr>
              <w:t>Death</w:t>
            </w:r>
            <w:r w:rsidRPr="008D08C6">
              <w:rPr>
                <w:sz w:val="18"/>
                <w:szCs w:val="18"/>
                <w:vertAlign w:val="superscript"/>
              </w:rPr>
              <w:t>†</w:t>
            </w:r>
            <w:r w:rsidRPr="008D08C6">
              <w:rPr>
                <w:rFonts w:cs="Arial"/>
                <w:sz w:val="18"/>
                <w:szCs w:val="18"/>
              </w:rPr>
              <w:t xml:space="preserve"> – hospital ward</w:t>
            </w:r>
            <w:r w:rsidRPr="008D08C6">
              <w:rPr>
                <w:rFonts w:cs="Arial"/>
                <w:sz w:val="18"/>
                <w:szCs w:val="18"/>
                <w:vertAlign w:val="superscript"/>
              </w:rPr>
              <w:t>†</w:t>
            </w:r>
          </w:p>
        </w:tc>
        <w:tc>
          <w:tcPr>
            <w:tcW w:w="528" w:type="pct"/>
          </w:tcPr>
          <w:p w14:paraId="6F8BA094"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 (2.6%)</w:t>
            </w:r>
          </w:p>
        </w:tc>
        <w:tc>
          <w:tcPr>
            <w:tcW w:w="528" w:type="pct"/>
          </w:tcPr>
          <w:p w14:paraId="5A9C43B4"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15 (3.5%)</w:t>
            </w:r>
          </w:p>
        </w:tc>
        <w:tc>
          <w:tcPr>
            <w:tcW w:w="528" w:type="pct"/>
          </w:tcPr>
          <w:p w14:paraId="37DE26A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607CF150"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 (0.9%)</w:t>
            </w:r>
          </w:p>
        </w:tc>
        <w:tc>
          <w:tcPr>
            <w:tcW w:w="528" w:type="pct"/>
          </w:tcPr>
          <w:p w14:paraId="34426972"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72D41D04"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1 (0.8%)</w:t>
            </w:r>
          </w:p>
        </w:tc>
        <w:tc>
          <w:tcPr>
            <w:tcW w:w="528" w:type="pct"/>
          </w:tcPr>
          <w:p w14:paraId="4E6A2427"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58F9D631"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2 (1.4%)</w:t>
            </w:r>
          </w:p>
        </w:tc>
      </w:tr>
      <w:tr w:rsidR="00F06406" w:rsidRPr="008D08C6" w14:paraId="1D3D142C" w14:textId="77777777" w:rsidTr="007A7D7F">
        <w:trPr>
          <w:trHeight w:val="283"/>
        </w:trPr>
        <w:tc>
          <w:tcPr>
            <w:tcW w:w="776" w:type="pct"/>
          </w:tcPr>
          <w:p w14:paraId="6A07D6D3" w14:textId="77777777" w:rsidR="00F06406" w:rsidRPr="008D08C6" w:rsidRDefault="00F06406" w:rsidP="008A621A">
            <w:pPr>
              <w:spacing w:before="100" w:after="100"/>
              <w:rPr>
                <w:rFonts w:cs="Arial"/>
                <w:sz w:val="18"/>
                <w:szCs w:val="18"/>
              </w:rPr>
            </w:pPr>
            <w:r w:rsidRPr="008D08C6">
              <w:rPr>
                <w:rFonts w:cs="Arial"/>
                <w:sz w:val="18"/>
                <w:szCs w:val="18"/>
              </w:rPr>
              <w:t>Missing</w:t>
            </w:r>
            <w:r w:rsidRPr="008D08C6">
              <w:rPr>
                <w:rFonts w:cs="Arial"/>
                <w:sz w:val="18"/>
                <w:szCs w:val="18"/>
                <w:vertAlign w:val="superscript"/>
              </w:rPr>
              <w:t>‡</w:t>
            </w:r>
          </w:p>
        </w:tc>
        <w:tc>
          <w:tcPr>
            <w:tcW w:w="528" w:type="pct"/>
          </w:tcPr>
          <w:p w14:paraId="49C95570"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4BDF7C09"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4 (0.9%)</w:t>
            </w:r>
          </w:p>
        </w:tc>
        <w:tc>
          <w:tcPr>
            <w:tcW w:w="528" w:type="pct"/>
          </w:tcPr>
          <w:p w14:paraId="57A630A5"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1DA51FCE"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62C1F0F5"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4545E003"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24AFBA58"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c>
          <w:tcPr>
            <w:tcW w:w="528" w:type="pct"/>
          </w:tcPr>
          <w:p w14:paraId="048C80FD" w14:textId="77777777" w:rsidR="00F06406" w:rsidRPr="008D08C6" w:rsidRDefault="00F06406" w:rsidP="008A621A">
            <w:pPr>
              <w:spacing w:before="100" w:after="100"/>
              <w:jc w:val="right"/>
              <w:rPr>
                <w:rFonts w:eastAsia="Arial" w:cs="Arial"/>
                <w:sz w:val="16"/>
                <w:szCs w:val="16"/>
              </w:rPr>
            </w:pPr>
            <w:r w:rsidRPr="008D08C6">
              <w:rPr>
                <w:rFonts w:eastAsia="Arial" w:cs="Arial"/>
                <w:sz w:val="16"/>
                <w:szCs w:val="16"/>
              </w:rPr>
              <w:t>0 (0%)</w:t>
            </w:r>
          </w:p>
        </w:tc>
      </w:tr>
    </w:tbl>
    <w:p w14:paraId="046ABDB7" w14:textId="10C4ED66" w:rsidR="009F44F5" w:rsidRPr="00C20709" w:rsidRDefault="008A621A" w:rsidP="007A7D7F">
      <w:pPr>
        <w:pStyle w:val="Smalltext"/>
        <w:rPr>
          <w:highlight w:val="yellow"/>
        </w:rPr>
      </w:pPr>
      <w:r w:rsidRPr="000F07B1">
        <w:t>Note: Includes two patients with viral co-infection of multiple pathogens in the 28-day severity reporting period and 16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rsidRPr="000F07B1">
        <w:br/>
        <w:t>* Patients who have been admitted in intensive care/hospital wards with no discharge information for less than 90 days have been assumed to have ongoing care in the hospital.</w:t>
      </w:r>
      <w:r w:rsidRPr="000F07B1">
        <w:br/>
        <w:t>† Death may not necessarily represent a death due to the disease.</w:t>
      </w:r>
      <w:r w:rsidRPr="000F07B1">
        <w:br/>
        <w:t>‡ Patients who have been admitted to intensive care/hospital wards for more than 90 days with no discharge information have been treated as missing.</w:t>
      </w:r>
      <w:r w:rsidRPr="00C20709">
        <w:rPr>
          <w:highlight w:val="yellow"/>
        </w:rPr>
        <w:br w:type="page"/>
      </w:r>
    </w:p>
    <w:p w14:paraId="046ABDB8" w14:textId="77777777" w:rsidR="009F44F5" w:rsidRPr="00BC69A0" w:rsidRDefault="008A621A">
      <w:pPr>
        <w:pStyle w:val="Heading3"/>
      </w:pPr>
      <w:bookmarkStart w:id="16" w:name="case-based-surveillance-1"/>
      <w:bookmarkEnd w:id="13"/>
      <w:bookmarkEnd w:id="15"/>
      <w:r w:rsidRPr="00BC69A0">
        <w:lastRenderedPageBreak/>
        <w:t>2.2 Case-based surveillance</w:t>
      </w:r>
    </w:p>
    <w:p w14:paraId="046ABDB9" w14:textId="77777777" w:rsidR="009F44F5" w:rsidRPr="00BC69A0" w:rsidRDefault="008A621A">
      <w:pPr>
        <w:pStyle w:val="Heading4"/>
      </w:pPr>
      <w:bookmarkStart w:id="17" w:name="nndss-1"/>
      <w:r w:rsidRPr="00BC69A0">
        <w:t>NNDSS</w:t>
      </w:r>
    </w:p>
    <w:p w14:paraId="046ABDBA" w14:textId="77777777" w:rsidR="009F44F5" w:rsidRPr="00BC69A0" w:rsidRDefault="008A621A">
      <w:r w:rsidRPr="00BC69A0">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48">
        <w:r w:rsidRPr="00BC69A0">
          <w:rPr>
            <w:rStyle w:val="Hyperlink"/>
          </w:rPr>
          <w:t>Technical Supplement – Australian Respiratory Surveillance Report</w:t>
        </w:r>
      </w:hyperlink>
      <w:r w:rsidRPr="00BC69A0">
        <w:t>.</w:t>
      </w:r>
    </w:p>
    <w:p w14:paraId="046ABDBB" w14:textId="77777777" w:rsidR="009F44F5" w:rsidRPr="00B72CD5" w:rsidRDefault="008A621A" w:rsidP="00806003">
      <w:pPr>
        <w:numPr>
          <w:ilvl w:val="0"/>
          <w:numId w:val="36"/>
        </w:numPr>
      </w:pPr>
      <w:r w:rsidRPr="00B72CD5">
        <w:t>In the year to date for severity reporting (1 January to 2 June 2024), there have been 879 COVID-19-associated deaths notified to the NNDSS (Table 3).</w:t>
      </w:r>
    </w:p>
    <w:p w14:paraId="046ABDBC" w14:textId="77777777" w:rsidR="009F44F5" w:rsidRPr="00B72CD5" w:rsidRDefault="008A621A" w:rsidP="00806003">
      <w:pPr>
        <w:numPr>
          <w:ilvl w:val="0"/>
          <w:numId w:val="36"/>
        </w:numPr>
      </w:pPr>
      <w:r w:rsidRPr="00B72CD5">
        <w:t>In the year to date for severity reporting, there have been 91 influenza-associated deaths notified to the NNDSS (Table 3).</w:t>
      </w:r>
    </w:p>
    <w:p w14:paraId="046ABDBD" w14:textId="399FE4FB" w:rsidR="009F44F5" w:rsidRPr="003B3B79" w:rsidRDefault="008A621A" w:rsidP="00806003">
      <w:pPr>
        <w:numPr>
          <w:ilvl w:val="1"/>
          <w:numId w:val="37"/>
        </w:numPr>
      </w:pPr>
      <w:r w:rsidRPr="003B3B79">
        <w:t>Of the influenza-associated deaths, 90.1% (82/91) have been attributed to influenza A(</w:t>
      </w:r>
      <w:proofErr w:type="spellStart"/>
      <w:r w:rsidRPr="003B3B79">
        <w:t>unsubtyped</w:t>
      </w:r>
      <w:proofErr w:type="spellEnd"/>
      <w:r w:rsidRPr="003B3B79">
        <w:t>), 5.5% (5/91) to influenza A(H1N1), 3.3% (3/91) to influenza A(H3N2)</w:t>
      </w:r>
      <w:r w:rsidR="003B3B79" w:rsidRPr="003B3B79">
        <w:t xml:space="preserve"> and </w:t>
      </w:r>
      <w:r w:rsidRPr="003B3B79">
        <w:t>1.1% (1/91) to influenza B.</w:t>
      </w:r>
    </w:p>
    <w:p w14:paraId="046ABDBE" w14:textId="77777777" w:rsidR="009F44F5" w:rsidRPr="00B72CD5" w:rsidRDefault="008A621A" w:rsidP="00806003">
      <w:pPr>
        <w:numPr>
          <w:ilvl w:val="0"/>
          <w:numId w:val="36"/>
        </w:numPr>
      </w:pPr>
      <w:r w:rsidRPr="00B72CD5">
        <w:t>In the year to date for severity reporting, there have been 59 RSV-associated deaths notified to the NNDSS (Table 3).</w:t>
      </w:r>
    </w:p>
    <w:p w14:paraId="046ABDBF" w14:textId="77777777" w:rsidR="009F44F5" w:rsidRPr="00DD5A35" w:rsidRDefault="008A621A">
      <w:r w:rsidRPr="00DD5A35">
        <w:rPr>
          <w:b/>
          <w:bCs/>
        </w:rPr>
        <w:t>Table 3: Notifications of deaths to the NNDSS and mortality rates per 100,000 population by disease and ten-year age groups*</w:t>
      </w:r>
      <w:r w:rsidRPr="00DD5A35">
        <w:rPr>
          <w:b/>
          <w:bCs/>
          <w:vertAlign w:val="superscript"/>
        </w:rPr>
        <w:t>†‡</w:t>
      </w:r>
      <w:r w:rsidRPr="00DD5A35">
        <w:rPr>
          <w:b/>
          <w:bCs/>
        </w:rPr>
        <w:t>, Australia, 1 January to 2 June 2024</w:t>
      </w:r>
    </w:p>
    <w:tbl>
      <w:tblPr>
        <w:tblStyle w:val="DepartmentofHealthtable"/>
        <w:tblW w:w="5000" w:type="pct"/>
        <w:tblLook w:val="04A0" w:firstRow="1" w:lastRow="0" w:firstColumn="1" w:lastColumn="0" w:noHBand="0" w:noVBand="1"/>
        <w:tblDescription w:val="A table shows the number of COVID-19, influenza and RSV cases who have died and were notified to the NNDSS, with diagnosis date between 1 January and 2 June 2024 and mortality rates per 100,000 population by ten-year age group in years (0–9, 10–19, 20–29, 30–39, 40–49, 50–59, 60–69, 70+). In 2024 to date, there have been 879 COVID-19, 91 influenza, and 59 RSV-associated deaths notified to the NNDSS. The highest mortality rates per 100,000 population were among those aged 70 years or over across the three diseases (23.8 notifications per 100,000 population for COVID-19-associated deaths, 2.2 notifications per 100,000 population for influenza-associated deaths and 1.6 notifications per 100,000 population for RSV-associated deaths). Note, to reduce the risk of re-identification, primary cell suppression has been applied to table cells with a value of &lt; 5. Cell suppression has not been applied to total cells."/>
      </w:tblPr>
      <w:tblGrid>
        <w:gridCol w:w="1746"/>
        <w:gridCol w:w="1330"/>
        <w:gridCol w:w="1332"/>
        <w:gridCol w:w="6"/>
        <w:gridCol w:w="1324"/>
        <w:gridCol w:w="1332"/>
        <w:gridCol w:w="12"/>
        <w:gridCol w:w="1318"/>
        <w:gridCol w:w="1332"/>
        <w:gridCol w:w="20"/>
      </w:tblGrid>
      <w:tr w:rsidR="007A7D7F" w:rsidRPr="007A7D7F" w14:paraId="11232FF0" w14:textId="77777777" w:rsidTr="007A7D7F">
        <w:trPr>
          <w:cnfStyle w:val="100000000000" w:firstRow="1" w:lastRow="0" w:firstColumn="0" w:lastColumn="0" w:oddVBand="0" w:evenVBand="0" w:oddHBand="0" w:evenHBand="0" w:firstRowFirstColumn="0" w:firstRowLastColumn="0" w:lastRowFirstColumn="0" w:lastRowLastColumn="0"/>
        </w:trPr>
        <w:tc>
          <w:tcPr>
            <w:tcW w:w="895" w:type="pct"/>
          </w:tcPr>
          <w:p w14:paraId="5B3C2FA9" w14:textId="77777777" w:rsidR="00025FAE" w:rsidRPr="007A7D7F" w:rsidRDefault="00025FAE" w:rsidP="008A621A">
            <w:pPr>
              <w:spacing w:before="100" w:after="100"/>
              <w:rPr>
                <w:rFonts w:cs="Arial"/>
                <w:b w:val="0"/>
                <w:sz w:val="18"/>
                <w:szCs w:val="18"/>
              </w:rPr>
            </w:pPr>
          </w:p>
        </w:tc>
        <w:tc>
          <w:tcPr>
            <w:tcW w:w="1368" w:type="pct"/>
            <w:gridSpan w:val="3"/>
          </w:tcPr>
          <w:p w14:paraId="2EFD4E8C" w14:textId="77777777" w:rsidR="00025FAE" w:rsidRPr="007A7D7F" w:rsidRDefault="00025FAE" w:rsidP="008A621A">
            <w:pPr>
              <w:spacing w:before="100" w:after="100"/>
              <w:jc w:val="center"/>
              <w:rPr>
                <w:rFonts w:cs="Arial"/>
                <w:b w:val="0"/>
                <w:sz w:val="18"/>
                <w:szCs w:val="18"/>
              </w:rPr>
            </w:pPr>
            <w:r w:rsidRPr="007A7D7F">
              <w:rPr>
                <w:rFonts w:cs="Arial"/>
                <w:sz w:val="18"/>
                <w:szCs w:val="18"/>
              </w:rPr>
              <w:t>COVID-19</w:t>
            </w:r>
          </w:p>
        </w:tc>
        <w:tc>
          <w:tcPr>
            <w:tcW w:w="1368" w:type="pct"/>
            <w:gridSpan w:val="3"/>
          </w:tcPr>
          <w:p w14:paraId="46BB2DC5" w14:textId="77777777" w:rsidR="00025FAE" w:rsidRPr="007A7D7F" w:rsidRDefault="00025FAE" w:rsidP="008A621A">
            <w:pPr>
              <w:spacing w:before="100" w:after="100"/>
              <w:jc w:val="center"/>
              <w:rPr>
                <w:rFonts w:cs="Arial"/>
                <w:b w:val="0"/>
                <w:sz w:val="18"/>
                <w:szCs w:val="18"/>
              </w:rPr>
            </w:pPr>
            <w:r w:rsidRPr="007A7D7F">
              <w:rPr>
                <w:rFonts w:cs="Arial"/>
                <w:sz w:val="18"/>
                <w:szCs w:val="18"/>
              </w:rPr>
              <w:t>Influenza</w:t>
            </w:r>
          </w:p>
        </w:tc>
        <w:tc>
          <w:tcPr>
            <w:tcW w:w="1369" w:type="pct"/>
            <w:gridSpan w:val="3"/>
          </w:tcPr>
          <w:p w14:paraId="15D7C166" w14:textId="77777777" w:rsidR="00025FAE" w:rsidRPr="007A7D7F" w:rsidRDefault="00025FAE" w:rsidP="008A621A">
            <w:pPr>
              <w:spacing w:before="100" w:after="100"/>
              <w:jc w:val="center"/>
              <w:rPr>
                <w:rFonts w:cs="Arial"/>
                <w:b w:val="0"/>
                <w:sz w:val="18"/>
                <w:szCs w:val="18"/>
              </w:rPr>
            </w:pPr>
            <w:r w:rsidRPr="007A7D7F">
              <w:rPr>
                <w:rFonts w:cs="Arial"/>
                <w:sz w:val="18"/>
                <w:szCs w:val="18"/>
              </w:rPr>
              <w:t>RSV</w:t>
            </w:r>
          </w:p>
        </w:tc>
      </w:tr>
      <w:tr w:rsidR="007A7D7F" w:rsidRPr="007A7D7F" w14:paraId="1F70F882" w14:textId="77777777" w:rsidTr="007A7D7F">
        <w:trPr>
          <w:gridAfter w:val="1"/>
          <w:wAfter w:w="20" w:type="dxa"/>
        </w:trPr>
        <w:tc>
          <w:tcPr>
            <w:tcW w:w="895" w:type="pct"/>
            <w:shd w:val="clear" w:color="auto" w:fill="00DCA1" w:themeFill="background1"/>
          </w:tcPr>
          <w:p w14:paraId="0DF2C16A" w14:textId="77777777" w:rsidR="00025FAE" w:rsidRPr="007A7D7F" w:rsidRDefault="00025FAE" w:rsidP="008A621A">
            <w:pPr>
              <w:spacing w:before="100" w:after="100"/>
              <w:rPr>
                <w:rFonts w:cs="Arial"/>
                <w:b/>
                <w:sz w:val="18"/>
                <w:szCs w:val="18"/>
              </w:rPr>
            </w:pPr>
          </w:p>
        </w:tc>
        <w:tc>
          <w:tcPr>
            <w:tcW w:w="682" w:type="pct"/>
            <w:tcBorders>
              <w:top w:val="single" w:sz="8" w:space="0" w:color="27F3F3" w:themeColor="text1" w:themeTint="80"/>
              <w:bottom w:val="single" w:sz="8" w:space="0" w:color="27F3F3" w:themeColor="text1" w:themeTint="80"/>
            </w:tcBorders>
            <w:shd w:val="clear" w:color="auto" w:fill="00DCA1" w:themeFill="background1"/>
          </w:tcPr>
          <w:p w14:paraId="34F2ADF7" w14:textId="77777777" w:rsidR="00025FAE" w:rsidRPr="007A7D7F" w:rsidRDefault="00025FAE" w:rsidP="008A621A">
            <w:pPr>
              <w:spacing w:before="100" w:after="100"/>
              <w:jc w:val="right"/>
              <w:rPr>
                <w:rFonts w:cs="Arial"/>
                <w:b/>
                <w:bCs/>
                <w:sz w:val="14"/>
                <w:szCs w:val="14"/>
              </w:rPr>
            </w:pPr>
            <w:r w:rsidRPr="007A7D7F">
              <w:rPr>
                <w:rFonts w:cs="Arial"/>
                <w:b/>
                <w:bCs/>
                <w:sz w:val="14"/>
                <w:szCs w:val="14"/>
                <w:lang w:val="en-GB"/>
              </w:rPr>
              <w:t xml:space="preserve">Year to date </w:t>
            </w:r>
            <w:r w:rsidRPr="007A7D7F">
              <w:rPr>
                <w:rFonts w:cs="Arial"/>
                <w:b/>
                <w:sz w:val="14"/>
                <w:szCs w:val="14"/>
                <w:lang w:val="en-GB"/>
              </w:rPr>
              <w:br/>
            </w:r>
            <w:r w:rsidRPr="007A7D7F">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5D08A7E2" w14:textId="77777777" w:rsidR="00025FAE" w:rsidRPr="007A7D7F" w:rsidRDefault="00025FAE" w:rsidP="008A621A">
            <w:pPr>
              <w:spacing w:before="100" w:after="100"/>
              <w:jc w:val="right"/>
              <w:rPr>
                <w:rFonts w:cs="Arial"/>
                <w:b/>
                <w:bCs/>
                <w:sz w:val="14"/>
                <w:szCs w:val="14"/>
              </w:rPr>
            </w:pPr>
            <w:r w:rsidRPr="007A7D7F">
              <w:rPr>
                <w:rFonts w:cs="Arial"/>
                <w:b/>
                <w:bCs/>
                <w:sz w:val="14"/>
                <w:szCs w:val="14"/>
              </w:rPr>
              <w:t>Year to date</w:t>
            </w:r>
            <w:r w:rsidRPr="007A7D7F">
              <w:rPr>
                <w:rFonts w:cs="Arial"/>
                <w:b/>
                <w:sz w:val="14"/>
                <w:szCs w:val="14"/>
              </w:rPr>
              <w:br/>
            </w:r>
            <w:r w:rsidRPr="007A7D7F">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301D6A0F" w14:textId="77777777" w:rsidR="00025FAE" w:rsidRPr="007A7D7F" w:rsidRDefault="00025FAE" w:rsidP="008A621A">
            <w:pPr>
              <w:spacing w:before="100" w:after="100"/>
              <w:jc w:val="right"/>
              <w:rPr>
                <w:rFonts w:cs="Arial"/>
                <w:b/>
                <w:bCs/>
                <w:sz w:val="14"/>
                <w:szCs w:val="14"/>
              </w:rPr>
            </w:pPr>
            <w:r w:rsidRPr="007A7D7F">
              <w:rPr>
                <w:rFonts w:cs="Arial"/>
                <w:b/>
                <w:bCs/>
                <w:sz w:val="14"/>
                <w:szCs w:val="14"/>
                <w:lang w:val="en-GB"/>
              </w:rPr>
              <w:t>Year to date</w:t>
            </w:r>
            <w:r w:rsidRPr="007A7D7F">
              <w:rPr>
                <w:rFonts w:cs="Arial"/>
                <w:b/>
                <w:sz w:val="14"/>
                <w:szCs w:val="14"/>
                <w:lang w:val="en-GB"/>
              </w:rPr>
              <w:br/>
            </w:r>
            <w:r w:rsidRPr="007A7D7F">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737A9CEF" w14:textId="77777777" w:rsidR="00025FAE" w:rsidRPr="007A7D7F" w:rsidRDefault="00025FAE" w:rsidP="008A621A">
            <w:pPr>
              <w:spacing w:before="100" w:after="100"/>
              <w:jc w:val="right"/>
              <w:rPr>
                <w:rFonts w:cs="Arial"/>
                <w:b/>
                <w:bCs/>
                <w:sz w:val="14"/>
                <w:szCs w:val="14"/>
              </w:rPr>
            </w:pPr>
            <w:r w:rsidRPr="007A7D7F">
              <w:rPr>
                <w:rFonts w:cs="Arial"/>
                <w:b/>
                <w:bCs/>
                <w:sz w:val="14"/>
                <w:szCs w:val="14"/>
              </w:rPr>
              <w:t>Year to date</w:t>
            </w:r>
            <w:r w:rsidRPr="007A7D7F">
              <w:rPr>
                <w:rFonts w:cs="Arial"/>
                <w:b/>
                <w:sz w:val="14"/>
                <w:szCs w:val="14"/>
              </w:rPr>
              <w:br/>
            </w:r>
            <w:r w:rsidRPr="007A7D7F">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41E374B6" w14:textId="77777777" w:rsidR="00025FAE" w:rsidRPr="007A7D7F" w:rsidRDefault="00025FAE" w:rsidP="008A621A">
            <w:pPr>
              <w:spacing w:before="100" w:after="100"/>
              <w:jc w:val="right"/>
              <w:rPr>
                <w:rFonts w:cs="Arial"/>
                <w:b/>
                <w:bCs/>
                <w:sz w:val="14"/>
                <w:szCs w:val="14"/>
              </w:rPr>
            </w:pPr>
            <w:r w:rsidRPr="007A7D7F">
              <w:rPr>
                <w:rFonts w:cs="Arial"/>
                <w:b/>
                <w:bCs/>
                <w:sz w:val="14"/>
                <w:szCs w:val="14"/>
                <w:lang w:val="en-GB"/>
              </w:rPr>
              <w:t>Year to date</w:t>
            </w:r>
            <w:r w:rsidRPr="007A7D7F">
              <w:rPr>
                <w:rFonts w:cs="Arial"/>
                <w:b/>
                <w:sz w:val="14"/>
                <w:szCs w:val="14"/>
                <w:lang w:val="en-GB"/>
              </w:rPr>
              <w:br/>
            </w:r>
            <w:r w:rsidRPr="007A7D7F">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4E013592" w14:textId="77777777" w:rsidR="00025FAE" w:rsidRPr="007A7D7F" w:rsidRDefault="00025FAE" w:rsidP="008A621A">
            <w:pPr>
              <w:spacing w:before="100" w:after="100"/>
              <w:jc w:val="right"/>
              <w:rPr>
                <w:rFonts w:cs="Arial"/>
                <w:b/>
                <w:bCs/>
                <w:sz w:val="14"/>
                <w:szCs w:val="14"/>
              </w:rPr>
            </w:pPr>
            <w:r w:rsidRPr="007A7D7F">
              <w:rPr>
                <w:rFonts w:cs="Arial"/>
                <w:b/>
                <w:bCs/>
                <w:sz w:val="14"/>
                <w:szCs w:val="14"/>
              </w:rPr>
              <w:t>Year to date</w:t>
            </w:r>
            <w:r w:rsidRPr="007A7D7F">
              <w:rPr>
                <w:rFonts w:cs="Arial"/>
                <w:b/>
                <w:sz w:val="14"/>
                <w:szCs w:val="14"/>
              </w:rPr>
              <w:br/>
            </w:r>
            <w:r w:rsidRPr="007A7D7F">
              <w:rPr>
                <w:rFonts w:cs="Arial"/>
                <w:b/>
                <w:bCs/>
                <w:sz w:val="14"/>
                <w:szCs w:val="14"/>
              </w:rPr>
              <w:t>(rate)</w:t>
            </w:r>
          </w:p>
        </w:tc>
      </w:tr>
      <w:tr w:rsidR="007A7D7F" w:rsidRPr="007A7D7F" w14:paraId="5EFDD074" w14:textId="77777777" w:rsidTr="007A7D7F">
        <w:trPr>
          <w:gridAfter w:val="1"/>
          <w:wAfter w:w="20" w:type="dxa"/>
        </w:trPr>
        <w:tc>
          <w:tcPr>
            <w:tcW w:w="4990" w:type="pct"/>
            <w:gridSpan w:val="9"/>
            <w:shd w:val="clear" w:color="auto" w:fill="00DCA1" w:themeFill="background1"/>
          </w:tcPr>
          <w:p w14:paraId="4BFA5E3B" w14:textId="77777777" w:rsidR="00025FAE" w:rsidRPr="007A7D7F" w:rsidRDefault="00025FAE" w:rsidP="008A621A">
            <w:pPr>
              <w:spacing w:before="100" w:after="100"/>
              <w:rPr>
                <w:rFonts w:cs="Arial"/>
                <w:b/>
                <w:sz w:val="18"/>
                <w:szCs w:val="18"/>
              </w:rPr>
            </w:pPr>
            <w:r w:rsidRPr="007A7D7F">
              <w:rPr>
                <w:rFonts w:cs="Arial"/>
                <w:b/>
                <w:sz w:val="18"/>
                <w:szCs w:val="18"/>
              </w:rPr>
              <w:t>Age group (years)</w:t>
            </w:r>
          </w:p>
        </w:tc>
      </w:tr>
      <w:tr w:rsidR="00DD5A35" w:rsidRPr="00DD5A35" w14:paraId="01A287D9" w14:textId="77777777" w:rsidTr="007A7D7F">
        <w:trPr>
          <w:gridAfter w:val="1"/>
          <w:wAfter w:w="20" w:type="dxa"/>
        </w:trPr>
        <w:tc>
          <w:tcPr>
            <w:tcW w:w="895" w:type="pct"/>
          </w:tcPr>
          <w:p w14:paraId="4A32D5DF" w14:textId="77777777" w:rsidR="00DD5A35" w:rsidRPr="00DD5A35" w:rsidRDefault="00DD5A35" w:rsidP="00DD5A35">
            <w:pPr>
              <w:spacing w:before="100" w:after="100"/>
              <w:rPr>
                <w:rFonts w:cs="Arial"/>
                <w:color w:val="033636"/>
                <w:sz w:val="18"/>
                <w:szCs w:val="18"/>
              </w:rPr>
            </w:pPr>
            <w:r w:rsidRPr="00DD5A35">
              <w:rPr>
                <w:rFonts w:eastAsia="Yu Gothic Light" w:cs="Arial"/>
                <w:color w:val="033636"/>
                <w:sz w:val="18"/>
                <w:szCs w:val="18"/>
              </w:rPr>
              <w:t>0–9</w:t>
            </w:r>
          </w:p>
        </w:tc>
        <w:tc>
          <w:tcPr>
            <w:tcW w:w="682" w:type="pct"/>
          </w:tcPr>
          <w:p w14:paraId="1B439CC9" w14:textId="4240D902"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0BE29D85" w14:textId="31309E61"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0FC1AA45" w14:textId="48360A1D"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13ADE054" w14:textId="0E61F859"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1083A007" w14:textId="795C63F6"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249EF826" w14:textId="3D642595"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r>
      <w:tr w:rsidR="00DD5A35" w:rsidRPr="00DD5A35" w14:paraId="0543BCC2" w14:textId="77777777" w:rsidTr="007A7D7F">
        <w:trPr>
          <w:gridAfter w:val="1"/>
          <w:wAfter w:w="20" w:type="dxa"/>
        </w:trPr>
        <w:tc>
          <w:tcPr>
            <w:tcW w:w="895" w:type="pct"/>
          </w:tcPr>
          <w:p w14:paraId="53425298" w14:textId="77777777" w:rsidR="00DD5A35" w:rsidRPr="00DD5A35" w:rsidRDefault="00DD5A35" w:rsidP="00DD5A35">
            <w:pPr>
              <w:spacing w:before="100" w:after="100"/>
              <w:rPr>
                <w:rFonts w:eastAsia="Yu Gothic Light" w:cs="Arial"/>
                <w:color w:val="033636"/>
                <w:sz w:val="18"/>
                <w:szCs w:val="18"/>
              </w:rPr>
            </w:pPr>
            <w:r w:rsidRPr="00DD5A35">
              <w:rPr>
                <w:rFonts w:eastAsia="Yu Gothic Light" w:cs="Arial"/>
                <w:color w:val="033636"/>
                <w:sz w:val="18"/>
                <w:szCs w:val="18"/>
              </w:rPr>
              <w:t>10–19</w:t>
            </w:r>
          </w:p>
        </w:tc>
        <w:tc>
          <w:tcPr>
            <w:tcW w:w="682" w:type="pct"/>
          </w:tcPr>
          <w:p w14:paraId="326764FE" w14:textId="6EA7BF23"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439A2610" w14:textId="5DF685FC"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0BB2F9B9" w14:textId="048B9B1C"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6C22F3BD" w14:textId="3C15E1AC"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13ED8915" w14:textId="67E4028C"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1AB0A201" w14:textId="620FF332"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r>
      <w:tr w:rsidR="00DD5A35" w:rsidRPr="00DD5A35" w14:paraId="3F4A1895" w14:textId="77777777" w:rsidTr="007A7D7F">
        <w:trPr>
          <w:gridAfter w:val="1"/>
          <w:wAfter w:w="20" w:type="dxa"/>
        </w:trPr>
        <w:tc>
          <w:tcPr>
            <w:tcW w:w="895" w:type="pct"/>
          </w:tcPr>
          <w:p w14:paraId="12AD2164" w14:textId="77777777" w:rsidR="00DD5A35" w:rsidRPr="00DD5A35" w:rsidRDefault="00DD5A35" w:rsidP="00DD5A35">
            <w:pPr>
              <w:spacing w:before="100" w:after="100"/>
              <w:rPr>
                <w:rFonts w:eastAsia="Yu Gothic Light" w:cs="Arial"/>
                <w:color w:val="033636"/>
                <w:sz w:val="18"/>
                <w:szCs w:val="18"/>
              </w:rPr>
            </w:pPr>
            <w:r w:rsidRPr="00DD5A35">
              <w:rPr>
                <w:rFonts w:eastAsia="Yu Gothic Light" w:cs="Arial"/>
                <w:color w:val="033636"/>
                <w:sz w:val="18"/>
                <w:szCs w:val="18"/>
              </w:rPr>
              <w:t>20–29</w:t>
            </w:r>
          </w:p>
        </w:tc>
        <w:tc>
          <w:tcPr>
            <w:tcW w:w="682" w:type="pct"/>
          </w:tcPr>
          <w:p w14:paraId="16E6B4AD" w14:textId="3E674F60"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2BADFEEE" w14:textId="34BB4D46"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4D19BF23" w14:textId="0A0B4843"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6FC670E9" w14:textId="40CE1C9E"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2AE69AA0" w14:textId="51DF941C"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6BC6A8E4" w14:textId="3EB2FF4B"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r>
      <w:tr w:rsidR="00DD5A35" w:rsidRPr="00DD5A35" w14:paraId="1132EF0A" w14:textId="77777777" w:rsidTr="007A7D7F">
        <w:trPr>
          <w:gridAfter w:val="1"/>
          <w:wAfter w:w="20" w:type="dxa"/>
        </w:trPr>
        <w:tc>
          <w:tcPr>
            <w:tcW w:w="895" w:type="pct"/>
          </w:tcPr>
          <w:p w14:paraId="189DD962" w14:textId="77777777" w:rsidR="00DD5A35" w:rsidRPr="00DD5A35" w:rsidRDefault="00DD5A35" w:rsidP="00DD5A35">
            <w:pPr>
              <w:spacing w:before="100" w:after="100"/>
              <w:rPr>
                <w:rFonts w:cs="Arial"/>
                <w:color w:val="033636"/>
                <w:sz w:val="18"/>
                <w:szCs w:val="18"/>
              </w:rPr>
            </w:pPr>
            <w:r w:rsidRPr="00DD5A35">
              <w:rPr>
                <w:rFonts w:eastAsia="Yu Gothic Light" w:cs="Arial"/>
                <w:color w:val="033636"/>
                <w:sz w:val="18"/>
                <w:szCs w:val="18"/>
              </w:rPr>
              <w:t>30–39</w:t>
            </w:r>
            <w:r w:rsidRPr="00DD5A35">
              <w:rPr>
                <w:rFonts w:cs="Arial"/>
                <w:color w:val="033636"/>
                <w:sz w:val="18"/>
                <w:szCs w:val="18"/>
              </w:rPr>
              <w:t> </w:t>
            </w:r>
          </w:p>
        </w:tc>
        <w:tc>
          <w:tcPr>
            <w:tcW w:w="682" w:type="pct"/>
          </w:tcPr>
          <w:p w14:paraId="7AA9427D"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7</w:t>
            </w:r>
          </w:p>
        </w:tc>
        <w:tc>
          <w:tcPr>
            <w:tcW w:w="683" w:type="pct"/>
          </w:tcPr>
          <w:p w14:paraId="4A68B6F6"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0.2</w:t>
            </w:r>
          </w:p>
        </w:tc>
        <w:tc>
          <w:tcPr>
            <w:tcW w:w="682" w:type="pct"/>
            <w:gridSpan w:val="2"/>
          </w:tcPr>
          <w:p w14:paraId="2E3FD775" w14:textId="085430B1"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6239600B" w14:textId="4A67801D"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4E267D35" w14:textId="6E44EAB2"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359E33B8" w14:textId="642EACBA"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r>
      <w:tr w:rsidR="00DD5A35" w:rsidRPr="00DD5A35" w14:paraId="4C4AB4C1" w14:textId="77777777" w:rsidTr="007A7D7F">
        <w:trPr>
          <w:gridAfter w:val="1"/>
          <w:wAfter w:w="20" w:type="dxa"/>
        </w:trPr>
        <w:tc>
          <w:tcPr>
            <w:tcW w:w="895" w:type="pct"/>
          </w:tcPr>
          <w:p w14:paraId="6A091A43" w14:textId="77777777" w:rsidR="00DD5A35" w:rsidRPr="00DD5A35" w:rsidRDefault="00DD5A35" w:rsidP="00DD5A35">
            <w:pPr>
              <w:spacing w:before="100" w:after="100"/>
              <w:rPr>
                <w:rFonts w:cs="Arial"/>
                <w:color w:val="033636"/>
                <w:sz w:val="18"/>
                <w:szCs w:val="18"/>
              </w:rPr>
            </w:pPr>
            <w:r w:rsidRPr="00DD5A35">
              <w:rPr>
                <w:rFonts w:eastAsia="Yu Gothic Light" w:cs="Arial"/>
                <w:color w:val="033636"/>
                <w:sz w:val="18"/>
                <w:szCs w:val="18"/>
              </w:rPr>
              <w:t>40–49</w:t>
            </w:r>
            <w:r w:rsidRPr="00DD5A35">
              <w:rPr>
                <w:rFonts w:cs="Arial"/>
                <w:color w:val="033636"/>
                <w:sz w:val="18"/>
                <w:szCs w:val="18"/>
              </w:rPr>
              <w:t> </w:t>
            </w:r>
          </w:p>
        </w:tc>
        <w:tc>
          <w:tcPr>
            <w:tcW w:w="682" w:type="pct"/>
          </w:tcPr>
          <w:p w14:paraId="7A416F0D"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8</w:t>
            </w:r>
          </w:p>
        </w:tc>
        <w:tc>
          <w:tcPr>
            <w:tcW w:w="683" w:type="pct"/>
          </w:tcPr>
          <w:p w14:paraId="3B4E4972"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0.2</w:t>
            </w:r>
          </w:p>
        </w:tc>
        <w:tc>
          <w:tcPr>
            <w:tcW w:w="682" w:type="pct"/>
            <w:gridSpan w:val="2"/>
          </w:tcPr>
          <w:p w14:paraId="456480D7" w14:textId="53C8F031"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3BAF9D8F" w14:textId="23175DDB"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2" w:type="pct"/>
            <w:gridSpan w:val="2"/>
          </w:tcPr>
          <w:p w14:paraId="5B3C4E8A" w14:textId="76242D22"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339DEAEF" w14:textId="288F413C"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r>
      <w:tr w:rsidR="00DD5A35" w:rsidRPr="00DD5A35" w14:paraId="4EFBBD81" w14:textId="77777777" w:rsidTr="007A7D7F">
        <w:trPr>
          <w:gridAfter w:val="1"/>
          <w:wAfter w:w="20" w:type="dxa"/>
        </w:trPr>
        <w:tc>
          <w:tcPr>
            <w:tcW w:w="895" w:type="pct"/>
          </w:tcPr>
          <w:p w14:paraId="69053976" w14:textId="77777777" w:rsidR="00DD5A35" w:rsidRPr="00DD5A35" w:rsidRDefault="00DD5A35" w:rsidP="00DD5A35">
            <w:pPr>
              <w:spacing w:before="100" w:after="100"/>
              <w:rPr>
                <w:rFonts w:cs="Arial"/>
                <w:color w:val="033636"/>
                <w:sz w:val="18"/>
                <w:szCs w:val="18"/>
              </w:rPr>
            </w:pPr>
            <w:r w:rsidRPr="00DD5A35">
              <w:rPr>
                <w:rFonts w:eastAsia="Yu Gothic Light" w:cs="Arial"/>
                <w:color w:val="033636"/>
                <w:sz w:val="18"/>
                <w:szCs w:val="18"/>
              </w:rPr>
              <w:t>50–59</w:t>
            </w:r>
          </w:p>
        </w:tc>
        <w:tc>
          <w:tcPr>
            <w:tcW w:w="682" w:type="pct"/>
          </w:tcPr>
          <w:p w14:paraId="087A4C8C"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24</w:t>
            </w:r>
          </w:p>
        </w:tc>
        <w:tc>
          <w:tcPr>
            <w:tcW w:w="683" w:type="pct"/>
          </w:tcPr>
          <w:p w14:paraId="56D740D1"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0.7</w:t>
            </w:r>
          </w:p>
        </w:tc>
        <w:tc>
          <w:tcPr>
            <w:tcW w:w="682" w:type="pct"/>
            <w:gridSpan w:val="2"/>
          </w:tcPr>
          <w:p w14:paraId="1ADE8757"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5</w:t>
            </w:r>
          </w:p>
        </w:tc>
        <w:tc>
          <w:tcPr>
            <w:tcW w:w="683" w:type="pct"/>
          </w:tcPr>
          <w:p w14:paraId="65FAE048" w14:textId="77777777"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0.2</w:t>
            </w:r>
          </w:p>
        </w:tc>
        <w:tc>
          <w:tcPr>
            <w:tcW w:w="682" w:type="pct"/>
            <w:gridSpan w:val="2"/>
          </w:tcPr>
          <w:p w14:paraId="647B1587" w14:textId="6601626F"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c>
          <w:tcPr>
            <w:tcW w:w="683" w:type="pct"/>
          </w:tcPr>
          <w:p w14:paraId="60F5C10B" w14:textId="102DF499" w:rsidR="00DD5A35" w:rsidRPr="00DD5A35" w:rsidRDefault="00DD5A35" w:rsidP="00DD5A35">
            <w:pPr>
              <w:spacing w:before="100" w:after="100"/>
              <w:jc w:val="right"/>
              <w:rPr>
                <w:rFonts w:eastAsia="Yu Gothic Light" w:cs="Arial"/>
                <w:color w:val="033636"/>
                <w:sz w:val="18"/>
                <w:szCs w:val="18"/>
              </w:rPr>
            </w:pPr>
            <w:r w:rsidRPr="00DD5A35">
              <w:rPr>
                <w:rFonts w:eastAsia="Arial" w:cs="Arial"/>
                <w:color w:val="033636"/>
                <w:sz w:val="18"/>
                <w:szCs w:val="18"/>
              </w:rPr>
              <w:t>–</w:t>
            </w:r>
          </w:p>
        </w:tc>
      </w:tr>
      <w:tr w:rsidR="00025FAE" w:rsidRPr="00DD5A35" w14:paraId="553A6267" w14:textId="77777777" w:rsidTr="007A7D7F">
        <w:trPr>
          <w:gridAfter w:val="1"/>
          <w:wAfter w:w="20" w:type="dxa"/>
        </w:trPr>
        <w:tc>
          <w:tcPr>
            <w:tcW w:w="895" w:type="pct"/>
          </w:tcPr>
          <w:p w14:paraId="2AA1D708" w14:textId="77777777" w:rsidR="00025FAE" w:rsidRPr="00DD5A35" w:rsidRDefault="00025FAE" w:rsidP="008A621A">
            <w:pPr>
              <w:spacing w:before="100" w:after="100"/>
              <w:rPr>
                <w:rFonts w:cs="Arial"/>
                <w:color w:val="033636"/>
                <w:sz w:val="18"/>
                <w:szCs w:val="18"/>
              </w:rPr>
            </w:pPr>
            <w:r w:rsidRPr="00DD5A35">
              <w:rPr>
                <w:rFonts w:eastAsia="Yu Gothic Light" w:cs="Arial"/>
                <w:color w:val="033636"/>
                <w:sz w:val="18"/>
                <w:szCs w:val="18"/>
              </w:rPr>
              <w:t>60–69</w:t>
            </w:r>
          </w:p>
        </w:tc>
        <w:tc>
          <w:tcPr>
            <w:tcW w:w="682" w:type="pct"/>
          </w:tcPr>
          <w:p w14:paraId="1DC3073B"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69</w:t>
            </w:r>
          </w:p>
        </w:tc>
        <w:tc>
          <w:tcPr>
            <w:tcW w:w="683" w:type="pct"/>
          </w:tcPr>
          <w:p w14:paraId="5DF9142F"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2.4</w:t>
            </w:r>
          </w:p>
        </w:tc>
        <w:tc>
          <w:tcPr>
            <w:tcW w:w="682" w:type="pct"/>
            <w:gridSpan w:val="2"/>
          </w:tcPr>
          <w:p w14:paraId="3788404B"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8</w:t>
            </w:r>
          </w:p>
        </w:tc>
        <w:tc>
          <w:tcPr>
            <w:tcW w:w="683" w:type="pct"/>
          </w:tcPr>
          <w:p w14:paraId="01174256"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0.3</w:t>
            </w:r>
          </w:p>
        </w:tc>
        <w:tc>
          <w:tcPr>
            <w:tcW w:w="682" w:type="pct"/>
            <w:gridSpan w:val="2"/>
          </w:tcPr>
          <w:p w14:paraId="74587C7C"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6</w:t>
            </w:r>
          </w:p>
        </w:tc>
        <w:tc>
          <w:tcPr>
            <w:tcW w:w="683" w:type="pct"/>
          </w:tcPr>
          <w:p w14:paraId="01AC9770"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0.2</w:t>
            </w:r>
          </w:p>
        </w:tc>
      </w:tr>
      <w:tr w:rsidR="00025FAE" w:rsidRPr="00DD5A35" w14:paraId="05321AEF" w14:textId="77777777" w:rsidTr="007A7D7F">
        <w:trPr>
          <w:gridAfter w:val="1"/>
          <w:wAfter w:w="20" w:type="dxa"/>
        </w:trPr>
        <w:tc>
          <w:tcPr>
            <w:tcW w:w="895" w:type="pct"/>
          </w:tcPr>
          <w:p w14:paraId="3BDDE489" w14:textId="77777777" w:rsidR="00025FAE" w:rsidRPr="00DD5A35" w:rsidRDefault="00025FAE" w:rsidP="008A621A">
            <w:pPr>
              <w:spacing w:before="100" w:after="100"/>
              <w:rPr>
                <w:rFonts w:cs="Arial"/>
                <w:color w:val="033636"/>
                <w:sz w:val="18"/>
                <w:szCs w:val="18"/>
              </w:rPr>
            </w:pPr>
            <w:r w:rsidRPr="00DD5A35">
              <w:rPr>
                <w:rFonts w:eastAsia="Yu Gothic Light" w:cs="Arial"/>
                <w:color w:val="033636"/>
                <w:sz w:val="18"/>
                <w:szCs w:val="18"/>
              </w:rPr>
              <w:t>70+</w:t>
            </w:r>
            <w:r w:rsidRPr="00DD5A35">
              <w:rPr>
                <w:rFonts w:cs="Arial"/>
                <w:color w:val="033636"/>
                <w:sz w:val="18"/>
                <w:szCs w:val="18"/>
              </w:rPr>
              <w:t> </w:t>
            </w:r>
          </w:p>
        </w:tc>
        <w:tc>
          <w:tcPr>
            <w:tcW w:w="682" w:type="pct"/>
          </w:tcPr>
          <w:p w14:paraId="4A952174"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768</w:t>
            </w:r>
          </w:p>
        </w:tc>
        <w:tc>
          <w:tcPr>
            <w:tcW w:w="683" w:type="pct"/>
          </w:tcPr>
          <w:p w14:paraId="56313622"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23.8</w:t>
            </w:r>
          </w:p>
        </w:tc>
        <w:tc>
          <w:tcPr>
            <w:tcW w:w="682" w:type="pct"/>
            <w:gridSpan w:val="2"/>
          </w:tcPr>
          <w:p w14:paraId="38F68BC5"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72</w:t>
            </w:r>
          </w:p>
        </w:tc>
        <w:tc>
          <w:tcPr>
            <w:tcW w:w="683" w:type="pct"/>
          </w:tcPr>
          <w:p w14:paraId="655CE11A"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2.2</w:t>
            </w:r>
          </w:p>
        </w:tc>
        <w:tc>
          <w:tcPr>
            <w:tcW w:w="682" w:type="pct"/>
            <w:gridSpan w:val="2"/>
          </w:tcPr>
          <w:p w14:paraId="373488CC"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51</w:t>
            </w:r>
          </w:p>
        </w:tc>
        <w:tc>
          <w:tcPr>
            <w:tcW w:w="683" w:type="pct"/>
          </w:tcPr>
          <w:p w14:paraId="7570D897" w14:textId="77777777" w:rsidR="00025FAE" w:rsidRPr="00DD5A35" w:rsidRDefault="00025FAE" w:rsidP="008A621A">
            <w:pPr>
              <w:spacing w:before="100" w:after="100"/>
              <w:jc w:val="right"/>
              <w:rPr>
                <w:rFonts w:eastAsia="Yu Gothic Light" w:cs="Arial"/>
                <w:color w:val="033636"/>
                <w:sz w:val="18"/>
                <w:szCs w:val="18"/>
              </w:rPr>
            </w:pPr>
            <w:r w:rsidRPr="00DD5A35">
              <w:rPr>
                <w:rFonts w:eastAsia="Arial" w:cs="Arial"/>
                <w:color w:val="033636"/>
                <w:sz w:val="18"/>
                <w:szCs w:val="18"/>
              </w:rPr>
              <w:t>1.6</w:t>
            </w:r>
          </w:p>
        </w:tc>
      </w:tr>
      <w:tr w:rsidR="00025FAE" w:rsidRPr="00DD5A35" w14:paraId="70C7259D" w14:textId="77777777" w:rsidTr="007A7D7F">
        <w:trPr>
          <w:gridAfter w:val="1"/>
          <w:wAfter w:w="20" w:type="dxa"/>
        </w:trPr>
        <w:tc>
          <w:tcPr>
            <w:tcW w:w="895" w:type="pct"/>
          </w:tcPr>
          <w:p w14:paraId="6E4002E3" w14:textId="77777777" w:rsidR="00025FAE" w:rsidRPr="00DD5A35" w:rsidRDefault="00025FAE" w:rsidP="008A621A">
            <w:pPr>
              <w:spacing w:before="100" w:after="100"/>
              <w:rPr>
                <w:rFonts w:eastAsia="Arial" w:cs="Arial"/>
                <w:sz w:val="18"/>
                <w:szCs w:val="18"/>
              </w:rPr>
            </w:pPr>
            <w:r w:rsidRPr="00DD5A35">
              <w:rPr>
                <w:rFonts w:eastAsia="Yu Gothic Light" w:cs="Arial"/>
                <w:b/>
                <w:bCs/>
                <w:color w:val="033636"/>
                <w:sz w:val="18"/>
                <w:szCs w:val="18"/>
              </w:rPr>
              <w:t>Total</w:t>
            </w:r>
            <w:r w:rsidRPr="00DD5A35">
              <w:rPr>
                <w:rFonts w:eastAsia="Arial" w:cs="Arial"/>
                <w:b/>
                <w:bCs/>
                <w:color w:val="033636"/>
                <w:szCs w:val="22"/>
                <w:vertAlign w:val="superscript"/>
              </w:rPr>
              <w:t xml:space="preserve"> ‡</w:t>
            </w:r>
          </w:p>
        </w:tc>
        <w:tc>
          <w:tcPr>
            <w:tcW w:w="682" w:type="pct"/>
          </w:tcPr>
          <w:p w14:paraId="28BBA3EB" w14:textId="77777777" w:rsidR="00025FAE" w:rsidRPr="00DD5A35" w:rsidRDefault="00025FAE" w:rsidP="008A621A">
            <w:pPr>
              <w:spacing w:before="100" w:after="100"/>
              <w:jc w:val="right"/>
              <w:rPr>
                <w:rFonts w:eastAsia="Yu Gothic Light" w:cs="Arial"/>
                <w:b/>
                <w:bCs/>
                <w:color w:val="033636"/>
                <w:sz w:val="18"/>
                <w:szCs w:val="18"/>
              </w:rPr>
            </w:pPr>
            <w:r w:rsidRPr="002942CB">
              <w:rPr>
                <w:rFonts w:eastAsia="Arial" w:cs="Arial"/>
                <w:b/>
                <w:color w:val="033636"/>
                <w:sz w:val="18"/>
                <w:szCs w:val="18"/>
              </w:rPr>
              <w:t>879</w:t>
            </w:r>
          </w:p>
        </w:tc>
        <w:tc>
          <w:tcPr>
            <w:tcW w:w="683" w:type="pct"/>
          </w:tcPr>
          <w:p w14:paraId="418C461D" w14:textId="77777777" w:rsidR="00025FAE" w:rsidRPr="00DD5A35" w:rsidRDefault="00025FAE" w:rsidP="008A621A">
            <w:pPr>
              <w:spacing w:before="100" w:after="100"/>
              <w:jc w:val="right"/>
              <w:rPr>
                <w:rFonts w:eastAsia="Yu Gothic Light" w:cs="Arial"/>
                <w:b/>
                <w:bCs/>
                <w:color w:val="033636"/>
                <w:sz w:val="18"/>
                <w:szCs w:val="18"/>
              </w:rPr>
            </w:pPr>
            <w:r w:rsidRPr="002942CB">
              <w:rPr>
                <w:rFonts w:eastAsia="Arial" w:cs="Arial"/>
                <w:b/>
                <w:color w:val="033636"/>
                <w:sz w:val="18"/>
                <w:szCs w:val="18"/>
              </w:rPr>
              <w:t>3.3</w:t>
            </w:r>
          </w:p>
        </w:tc>
        <w:tc>
          <w:tcPr>
            <w:tcW w:w="682" w:type="pct"/>
            <w:gridSpan w:val="2"/>
          </w:tcPr>
          <w:p w14:paraId="3D6A94E9" w14:textId="77777777" w:rsidR="00025FAE" w:rsidRPr="00DD5A35" w:rsidRDefault="00025FAE" w:rsidP="008A621A">
            <w:pPr>
              <w:spacing w:before="100" w:after="100"/>
              <w:jc w:val="right"/>
              <w:rPr>
                <w:rFonts w:eastAsia="Yu Gothic Light" w:cs="Arial"/>
                <w:b/>
                <w:bCs/>
                <w:color w:val="033636"/>
                <w:sz w:val="18"/>
                <w:szCs w:val="18"/>
              </w:rPr>
            </w:pPr>
            <w:r w:rsidRPr="002942CB">
              <w:rPr>
                <w:rFonts w:eastAsia="Arial" w:cs="Arial"/>
                <w:b/>
                <w:color w:val="033636"/>
                <w:sz w:val="18"/>
                <w:szCs w:val="18"/>
              </w:rPr>
              <w:t>91</w:t>
            </w:r>
          </w:p>
        </w:tc>
        <w:tc>
          <w:tcPr>
            <w:tcW w:w="683" w:type="pct"/>
          </w:tcPr>
          <w:p w14:paraId="3CDF8856" w14:textId="77777777" w:rsidR="00025FAE" w:rsidRPr="00DD5A35" w:rsidRDefault="00025FAE" w:rsidP="008A621A">
            <w:pPr>
              <w:spacing w:before="100" w:after="100"/>
              <w:jc w:val="right"/>
              <w:rPr>
                <w:rFonts w:eastAsia="Yu Gothic Light" w:cs="Arial"/>
                <w:b/>
                <w:bCs/>
                <w:color w:val="033636"/>
                <w:sz w:val="18"/>
                <w:szCs w:val="18"/>
              </w:rPr>
            </w:pPr>
            <w:r w:rsidRPr="002942CB">
              <w:rPr>
                <w:rFonts w:eastAsia="Arial" w:cs="Arial"/>
                <w:b/>
                <w:color w:val="033636"/>
                <w:sz w:val="18"/>
                <w:szCs w:val="18"/>
              </w:rPr>
              <w:t>0.3</w:t>
            </w:r>
          </w:p>
        </w:tc>
        <w:tc>
          <w:tcPr>
            <w:tcW w:w="682" w:type="pct"/>
            <w:gridSpan w:val="2"/>
          </w:tcPr>
          <w:p w14:paraId="667E0EFA" w14:textId="77777777" w:rsidR="00025FAE" w:rsidRPr="00DD5A35" w:rsidRDefault="00025FAE" w:rsidP="008A621A">
            <w:pPr>
              <w:spacing w:before="100" w:after="100"/>
              <w:jc w:val="right"/>
              <w:rPr>
                <w:rFonts w:eastAsia="Yu Gothic Light" w:cs="Arial"/>
                <w:b/>
                <w:bCs/>
                <w:color w:val="033636"/>
                <w:sz w:val="18"/>
                <w:szCs w:val="18"/>
              </w:rPr>
            </w:pPr>
            <w:r w:rsidRPr="002942CB">
              <w:rPr>
                <w:rFonts w:eastAsia="Arial" w:cs="Arial"/>
                <w:b/>
                <w:color w:val="033636"/>
                <w:sz w:val="18"/>
                <w:szCs w:val="18"/>
              </w:rPr>
              <w:t>59</w:t>
            </w:r>
          </w:p>
        </w:tc>
        <w:tc>
          <w:tcPr>
            <w:tcW w:w="683" w:type="pct"/>
          </w:tcPr>
          <w:p w14:paraId="0D116E75" w14:textId="77777777" w:rsidR="00025FAE" w:rsidRPr="00DD5A35" w:rsidRDefault="00025FAE" w:rsidP="008A621A">
            <w:pPr>
              <w:spacing w:before="100" w:after="100"/>
              <w:jc w:val="right"/>
              <w:rPr>
                <w:rFonts w:eastAsia="Yu Gothic Light" w:cs="Arial"/>
                <w:b/>
                <w:bCs/>
                <w:color w:val="033636"/>
                <w:sz w:val="18"/>
                <w:szCs w:val="18"/>
              </w:rPr>
            </w:pPr>
            <w:r w:rsidRPr="002942CB">
              <w:rPr>
                <w:rFonts w:eastAsia="Arial" w:cs="Arial"/>
                <w:b/>
                <w:color w:val="033636"/>
                <w:sz w:val="18"/>
                <w:szCs w:val="18"/>
              </w:rPr>
              <w:t>0.2</w:t>
            </w:r>
          </w:p>
        </w:tc>
      </w:tr>
    </w:tbl>
    <w:p w14:paraId="046ABE20" w14:textId="058FA538" w:rsidR="009F44F5" w:rsidRPr="00C20709" w:rsidRDefault="008A621A" w:rsidP="005353F5">
      <w:pPr>
        <w:pStyle w:val="Smalltext"/>
        <w:rPr>
          <w:highlight w:val="yellow"/>
        </w:rPr>
      </w:pPr>
      <w:r w:rsidRPr="00DD5A35">
        <w:t>Note: To reduce the risk of re-identification, primary cell suppression has been applied to cells with a value of &lt; 5.</w:t>
      </w:r>
      <w:r w:rsidRPr="00DD5A35">
        <w:br/>
      </w:r>
      <w:r w:rsidRPr="005353F5">
        <w:t xml:space="preserve">* Rate per 100,000 population for the given time period. Population data are based on the ABS ERP as </w:t>
      </w:r>
      <w:proofErr w:type="gramStart"/>
      <w:r w:rsidRPr="005353F5">
        <w:t>at</w:t>
      </w:r>
      <w:proofErr w:type="gramEnd"/>
      <w:r w:rsidRPr="005353F5">
        <w:t xml:space="preserve"> June 2023.</w:t>
      </w:r>
      <w:r w:rsidRPr="005353F5">
        <w:br/>
        <w:t>† Notified deaths are reported based on diagnosis date not date of death, as date of death data are not collected for influenza or RSV in the NNDSS. Death may not necessarily represent a death due to the disease.</w:t>
      </w:r>
      <w:r w:rsidRPr="005353F5">
        <w:br/>
        <w:t>‡ Total may include cases with missing age.</w:t>
      </w:r>
      <w:r w:rsidRPr="00C20709">
        <w:rPr>
          <w:highlight w:val="yellow"/>
        </w:rPr>
        <w:br w:type="page"/>
      </w:r>
    </w:p>
    <w:p w14:paraId="046ABE21" w14:textId="77777777" w:rsidR="009F44F5" w:rsidRPr="00BC69A0" w:rsidRDefault="008A621A">
      <w:pPr>
        <w:pStyle w:val="Heading2"/>
      </w:pPr>
      <w:bookmarkStart w:id="18" w:name="at-risk-populations"/>
      <w:bookmarkEnd w:id="12"/>
      <w:bookmarkEnd w:id="16"/>
      <w:bookmarkEnd w:id="17"/>
      <w:r w:rsidRPr="00BC69A0">
        <w:lastRenderedPageBreak/>
        <w:t>3. At-risk populations*</w:t>
      </w:r>
    </w:p>
    <w:p w14:paraId="046ABE22" w14:textId="77777777" w:rsidR="009F44F5" w:rsidRPr="00BC69A0" w:rsidRDefault="008A621A">
      <w:pPr>
        <w:pStyle w:val="Boxheading"/>
      </w:pPr>
      <w:r w:rsidRPr="00BC69A0">
        <w:t>At-risk populations are people who may be more susceptible to infection with circulating respiratory viruses and/or who may be more likely to experience severe disease associated with their infection.</w:t>
      </w:r>
    </w:p>
    <w:p w14:paraId="046ABE23" w14:textId="77777777" w:rsidR="009F44F5" w:rsidRPr="00BC69A0" w:rsidRDefault="008A621A">
      <w:pPr>
        <w:pStyle w:val="Heading3"/>
      </w:pPr>
      <w:bookmarkStart w:id="19" w:name="hospital-based-surveillance-1"/>
      <w:r w:rsidRPr="00BC69A0">
        <w:t>3.1 Hospital-based surveillance</w:t>
      </w:r>
    </w:p>
    <w:p w14:paraId="046ABE24" w14:textId="77777777" w:rsidR="009F44F5" w:rsidRPr="00BC69A0" w:rsidRDefault="008A621A">
      <w:r w:rsidRPr="00BC69A0">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046ABE25" w14:textId="77777777" w:rsidR="009F44F5" w:rsidRPr="00A65AF2" w:rsidRDefault="008A621A">
      <w:pPr>
        <w:pStyle w:val="Heading4"/>
      </w:pPr>
      <w:bookmarkStart w:id="20" w:name="flucan"/>
      <w:r w:rsidRPr="00A65AF2">
        <w:t>FluCAN</w:t>
      </w:r>
    </w:p>
    <w:p w14:paraId="046ABE26" w14:textId="77777777" w:rsidR="009F44F5" w:rsidRPr="00A65AF2" w:rsidRDefault="008A621A">
      <w:r w:rsidRPr="00A65AF2">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Please note, the age distribution of hospital admissions in the FluCAN sentinel surveillance system may not reflect the age distribution of admissions nationally.</w:t>
      </w:r>
    </w:p>
    <w:p w14:paraId="046ABE27" w14:textId="77777777" w:rsidR="009F44F5" w:rsidRPr="006034CE" w:rsidRDefault="008A621A">
      <w:pPr>
        <w:pStyle w:val="BodyText"/>
      </w:pPr>
      <w:r w:rsidRPr="00A65AF2">
        <w:t xml:space="preserve">In FluCAN sentinel hospitals RSV surveillance commenced on 1 April 2024; however, due to unforeseen issues RSV data are not yet available. These data will be included in future iterations of </w:t>
      </w:r>
      <w:r w:rsidRPr="006034CE">
        <w:t>the Australian Respiratory Surveillance Report.</w:t>
      </w:r>
    </w:p>
    <w:p w14:paraId="046ABE28" w14:textId="77777777" w:rsidR="009F44F5" w:rsidRPr="006034CE" w:rsidRDefault="008A621A" w:rsidP="00806003">
      <w:pPr>
        <w:numPr>
          <w:ilvl w:val="0"/>
          <w:numId w:val="38"/>
        </w:numPr>
      </w:pPr>
      <w:r w:rsidRPr="006034CE">
        <w:t>In the year to date for FluCAN severity reporting (1 January to 2 June 2024), there have been 788 paediatric patients admitted with COVID-19 to FluCAN sentinel hospitals (Figure 14). The median age at admission was 1 years (IQR: 0–4 years) and 7.7% (61/788) of admissions were among Aboriginal and Torres Strait Islander people.</w:t>
      </w:r>
    </w:p>
    <w:p w14:paraId="046ABE29" w14:textId="77777777" w:rsidR="009F44F5" w:rsidRPr="006034CE" w:rsidRDefault="008A621A" w:rsidP="00806003">
      <w:pPr>
        <w:numPr>
          <w:ilvl w:val="1"/>
          <w:numId w:val="39"/>
        </w:numPr>
      </w:pPr>
      <w:r w:rsidRPr="006034CE">
        <w:t>The highest proportion of paediatric patients admitted with COVID-19 to FluCAN sentinel hospitals with a direct admission to intensive care has been in those aged 6 months–4 years.</w:t>
      </w:r>
    </w:p>
    <w:p w14:paraId="046ABE2A" w14:textId="77777777" w:rsidR="009F44F5" w:rsidRPr="006034CE" w:rsidRDefault="008A621A" w:rsidP="00806003">
      <w:pPr>
        <w:numPr>
          <w:ilvl w:val="0"/>
          <w:numId w:val="38"/>
        </w:numPr>
      </w:pPr>
      <w:r w:rsidRPr="006034CE">
        <w:t>In the year to date for FluCAN severity reporting, there have been 1,640 adult patients admitted with COVID-19 to FluCAN sentinel hospitals (Figure 14). The median age at admission was 75 years (IQR: 62–84 years) and 3.7% (61/1,640) of admissions were among Aboriginal and Torres Strait Islander people.</w:t>
      </w:r>
    </w:p>
    <w:p w14:paraId="046ABE2B" w14:textId="5794E772" w:rsidR="009F44F5" w:rsidRPr="006034CE" w:rsidRDefault="008A621A" w:rsidP="00806003">
      <w:pPr>
        <w:numPr>
          <w:ilvl w:val="1"/>
          <w:numId w:val="40"/>
        </w:numPr>
      </w:pPr>
      <w:r w:rsidRPr="006034CE">
        <w:t>The highest proportion of adult patients admitted with COVID-19 to FluCAN sentinel hospitals with a direct admission to intensive care has been in those aged 65</w:t>
      </w:r>
      <w:r w:rsidR="00902CA9">
        <w:t xml:space="preserve"> </w:t>
      </w:r>
      <w:r w:rsidRPr="006034CE">
        <w:t>years</w:t>
      </w:r>
      <w:r w:rsidR="00902CA9">
        <w:t xml:space="preserve"> or over</w:t>
      </w:r>
      <w:r w:rsidRPr="006034CE">
        <w:t>.</w:t>
      </w:r>
    </w:p>
    <w:p w14:paraId="046ABE2C" w14:textId="77777777" w:rsidR="009F44F5" w:rsidRPr="00B24849" w:rsidRDefault="008A621A" w:rsidP="00806003">
      <w:pPr>
        <w:numPr>
          <w:ilvl w:val="0"/>
          <w:numId w:val="38"/>
        </w:numPr>
      </w:pPr>
      <w:r w:rsidRPr="00B24849">
        <w:t>In the year to date for FluCAN severity reporting, the greatest proportion of 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14).</w:t>
      </w:r>
    </w:p>
    <w:p w14:paraId="046ABE2D" w14:textId="77777777" w:rsidR="009F44F5" w:rsidRPr="00C20709" w:rsidRDefault="009F44F5">
      <w:pPr>
        <w:rPr>
          <w:highlight w:val="yellow"/>
        </w:rPr>
      </w:pPr>
    </w:p>
    <w:p w14:paraId="046ABE2E" w14:textId="77777777" w:rsidR="009F44F5" w:rsidRPr="00B24849" w:rsidRDefault="008A621A">
      <w:pPr>
        <w:pStyle w:val="Smalltext"/>
      </w:pPr>
      <w:r w:rsidRPr="00B24849">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046ABE2F" w14:textId="77777777" w:rsidR="009F44F5" w:rsidRPr="00F50FDE" w:rsidRDefault="008A621A">
      <w:pPr>
        <w:pStyle w:val="BodyText"/>
      </w:pPr>
      <w:r w:rsidRPr="00F50FDE">
        <w:rPr>
          <w:b/>
          <w:bCs/>
        </w:rPr>
        <w:lastRenderedPageBreak/>
        <w:t>Figure 14: Number of patients admitted with confirmed COVID-19 to FluCAN sentinel hospitals by age group, year and week of admission*, Australia, 2020 to 2 June 2024</w:t>
      </w:r>
    </w:p>
    <w:p w14:paraId="046ABE30" w14:textId="77777777" w:rsidR="009F44F5" w:rsidRPr="00F50FDE" w:rsidRDefault="008A621A">
      <w:pPr>
        <w:pStyle w:val="BodyText"/>
      </w:pPr>
      <w:r w:rsidRPr="00F50FDE">
        <w:rPr>
          <w:noProof/>
        </w:rPr>
        <w:drawing>
          <wp:inline distT="0" distB="0" distL="0" distR="0" wp14:anchorId="046ABF02" wp14:editId="64B9A2AA">
            <wp:extent cx="6184900" cy="4183344"/>
            <wp:effectExtent l="0" t="0" r="0" b="0"/>
            <wp:doc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approximately 80 admissions per week in early April to 160 admissions per week in the week ending 26 May 2024.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approximately 80 admissions per week in early April to 160 admissions per week in the week ending 26 May 2024. In 2024, approximately half of the admissions with confirmed COVID-19 to FluCAN sentinel hospitals have been in those aged 65 years or over."/>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046ABE31" w14:textId="77777777" w:rsidR="009F44F5" w:rsidRPr="00F50FDE" w:rsidRDefault="008A621A">
      <w:pPr>
        <w:pStyle w:val="Smalltext"/>
      </w:pPr>
      <w:r w:rsidRPr="00F50FDE">
        <w:t>* Axis varies between years.</w:t>
      </w:r>
    </w:p>
    <w:p w14:paraId="046ABE32" w14:textId="77777777" w:rsidR="009F44F5" w:rsidRPr="00C20709" w:rsidRDefault="009F44F5">
      <w:pPr>
        <w:pStyle w:val="Smalltext"/>
        <w:rPr>
          <w:highlight w:val="yellow"/>
        </w:rPr>
      </w:pPr>
    </w:p>
    <w:p w14:paraId="046ABE33" w14:textId="77777777" w:rsidR="009F44F5" w:rsidRPr="00186834" w:rsidRDefault="008A621A" w:rsidP="00806003">
      <w:pPr>
        <w:numPr>
          <w:ilvl w:val="0"/>
          <w:numId w:val="41"/>
        </w:numPr>
      </w:pPr>
      <w:r w:rsidRPr="00186834">
        <w:t>Since influenza surveillance commenced on 1 April 2024 to date for FluCAN severity reporting (2 June 2024), there have been 367 paediatric patients admitted with influenza to FluCAN sentinel hospitals (Figure 15). The median age at admission was 4 years (IQR: 2–7 years) and 13.1% (48/367) of admissions were among Aboriginal and Torres Strait Islander people.</w:t>
      </w:r>
    </w:p>
    <w:p w14:paraId="046ABE34" w14:textId="77777777" w:rsidR="009F44F5" w:rsidRPr="00186834" w:rsidRDefault="008A621A" w:rsidP="00806003">
      <w:pPr>
        <w:numPr>
          <w:ilvl w:val="1"/>
          <w:numId w:val="42"/>
        </w:numPr>
      </w:pPr>
      <w:r w:rsidRPr="00186834">
        <w:t>The highest proportion of paediatric patients with influenza admitted to FluCAN sentinel hospitals with a direct admission to intensive care has been in those aged 5–16 years.</w:t>
      </w:r>
    </w:p>
    <w:p w14:paraId="046ABE35" w14:textId="77777777" w:rsidR="009F44F5" w:rsidRPr="00186834" w:rsidRDefault="008A621A" w:rsidP="00806003">
      <w:pPr>
        <w:numPr>
          <w:ilvl w:val="0"/>
          <w:numId w:val="41"/>
        </w:numPr>
      </w:pPr>
      <w:r w:rsidRPr="00186834">
        <w:t>Since influenza surveillance commenced on 1 April 2024 to date for FluCAN severity reporting, there have been 363 adult patients admitted with influenza to FluCAN sentinel hospitals (Figure 15). The median age at admission was 63 years (IQR: 48–76 years) and 18.2% (66/363) of admissions were among Aboriginal and Torres Strait Islander people.</w:t>
      </w:r>
    </w:p>
    <w:p w14:paraId="046ABE36" w14:textId="77777777" w:rsidR="009F44F5" w:rsidRPr="00186834" w:rsidRDefault="008A621A" w:rsidP="00806003">
      <w:pPr>
        <w:numPr>
          <w:ilvl w:val="1"/>
          <w:numId w:val="43"/>
        </w:numPr>
      </w:pPr>
      <w:r w:rsidRPr="00186834">
        <w:t>The highest proportion of adult patients with influenza admitted to FluCAN sentinel hospitals with a direct admission to intensive care has been in those aged 17–64 years.</w:t>
      </w:r>
    </w:p>
    <w:p w14:paraId="046ABE37" w14:textId="77777777" w:rsidR="009F44F5" w:rsidRPr="00186834" w:rsidRDefault="008A621A">
      <w:r w:rsidRPr="00186834">
        <w:br w:type="page"/>
      </w:r>
    </w:p>
    <w:p w14:paraId="046ABE38" w14:textId="77777777" w:rsidR="009F44F5" w:rsidRPr="00F50FDE" w:rsidRDefault="008A621A">
      <w:r w:rsidRPr="00F50FDE">
        <w:rPr>
          <w:b/>
          <w:bCs/>
        </w:rPr>
        <w:lastRenderedPageBreak/>
        <w:t>Figure 15: Number of patients admitted with confirmed influenza to FluCAN sentinel hospitals by age group, year and week of admission*</w:t>
      </w:r>
      <w:r w:rsidRPr="00F50FDE">
        <w:rPr>
          <w:b/>
          <w:bCs/>
          <w:vertAlign w:val="superscript"/>
        </w:rPr>
        <w:t>†</w:t>
      </w:r>
      <w:r w:rsidRPr="00F50FDE">
        <w:rPr>
          <w:b/>
          <w:bCs/>
        </w:rPr>
        <w:t xml:space="preserve">, from April to </w:t>
      </w:r>
      <w:proofErr w:type="gramStart"/>
      <w:r w:rsidRPr="00F50FDE">
        <w:rPr>
          <w:b/>
          <w:bCs/>
        </w:rPr>
        <w:t>October,</w:t>
      </w:r>
      <w:proofErr w:type="gramEnd"/>
      <w:r w:rsidRPr="00F50FDE">
        <w:rPr>
          <w:b/>
          <w:bCs/>
        </w:rPr>
        <w:t xml:space="preserve"> 2017 to 2 June 2024</w:t>
      </w:r>
    </w:p>
    <w:p w14:paraId="046ABE39" w14:textId="77777777" w:rsidR="009F44F5" w:rsidRPr="00C20709" w:rsidRDefault="008A621A">
      <w:pPr>
        <w:pStyle w:val="BodyText"/>
        <w:rPr>
          <w:highlight w:val="yellow"/>
        </w:rPr>
      </w:pPr>
      <w:r w:rsidRPr="00F50FDE">
        <w:rPr>
          <w:noProof/>
        </w:rPr>
        <w:drawing>
          <wp:inline distT="0" distB="0" distL="0" distR="0" wp14:anchorId="046ABF04" wp14:editId="741DA87E">
            <wp:extent cx="6184900" cy="4320000"/>
            <wp:effectExtent l="0" t="0" r="6350" b="4445"/>
            <wp:doc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90 admissions per week in the week ending 2 June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90 admissions per week in the week ending 2 June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4320000"/>
                    </a:xfrm>
                    <a:prstGeom prst="rect">
                      <a:avLst/>
                    </a:prstGeom>
                    <a:noFill/>
                    <a:ln w="9525">
                      <a:noFill/>
                      <a:headEnd/>
                      <a:tailEnd/>
                    </a:ln>
                  </pic:spPr>
                </pic:pic>
              </a:graphicData>
            </a:graphic>
          </wp:inline>
        </w:drawing>
      </w:r>
    </w:p>
    <w:p w14:paraId="046ABE3A" w14:textId="77777777" w:rsidR="009F44F5" w:rsidRPr="00F50FDE" w:rsidRDefault="008A621A">
      <w:pPr>
        <w:pStyle w:val="Smalltext"/>
      </w:pPr>
      <w:r w:rsidRPr="00F50FDE">
        <w:t>* Axis varies between years.</w:t>
      </w:r>
      <w:r w:rsidRPr="00F50FDE">
        <w:br/>
        <w:t>† The years 2020 and 2021 are excluded when comparing the current season to historical periods when influenza virus has circulated without public health restrictions. Please refer to the Technical Supplement for further detail.</w:t>
      </w:r>
    </w:p>
    <w:p w14:paraId="046ABE3B" w14:textId="77777777" w:rsidR="009F44F5" w:rsidRPr="00F1283C" w:rsidRDefault="009F44F5">
      <w:pPr>
        <w:pStyle w:val="BodyText"/>
        <w:rPr>
          <w:sz w:val="16"/>
          <w:szCs w:val="18"/>
          <w:highlight w:val="yellow"/>
        </w:rPr>
      </w:pPr>
    </w:p>
    <w:p w14:paraId="046ABE3C" w14:textId="77777777" w:rsidR="009F44F5" w:rsidRPr="004F691B" w:rsidRDefault="008A621A">
      <w:pPr>
        <w:pStyle w:val="Heading4"/>
      </w:pPr>
      <w:bookmarkStart w:id="21" w:name="X7b49dde3b37787467d22f0924c6ffc7ecdf6a84"/>
      <w:bookmarkEnd w:id="20"/>
      <w:r w:rsidRPr="004F691B">
        <w:t>Paediatric Active Enhanced Disease Surveillance (PAEDS) (last updated 7 June 2024)</w:t>
      </w:r>
    </w:p>
    <w:p w14:paraId="046ABE3D" w14:textId="77777777" w:rsidR="009F44F5" w:rsidRPr="004F691B" w:rsidRDefault="008A621A">
      <w:r w:rsidRPr="004F691B">
        <w:t>This section will be updated every four weeks; therefore, reporting periods presented here may not align with other sections of the report.</w:t>
      </w:r>
    </w:p>
    <w:p w14:paraId="046ABE3E" w14:textId="77777777" w:rsidR="009F44F5" w:rsidRPr="00220A38" w:rsidRDefault="008A621A" w:rsidP="00806003">
      <w:pPr>
        <w:numPr>
          <w:ilvl w:val="0"/>
          <w:numId w:val="44"/>
        </w:numPr>
      </w:pPr>
      <w:r w:rsidRPr="004F691B">
        <w:t xml:space="preserve">Since the start of the COVID-19 pandemic to date for PAEDS severity reporting (1 January 2020 to 19 May 2024), there have been 197 cases of possible, probable, or confirmed paediatric inflammatory multisystem syndrome – temporally associated with SARS-CoV-2 (PIMS-TS) admitted to PAEDS sentinel hospitals. To date for severity reporting, there have </w:t>
      </w:r>
      <w:r w:rsidRPr="00220A38">
        <w:t>been no PIMS-TS associated deaths.</w:t>
      </w:r>
    </w:p>
    <w:p w14:paraId="046ABE3F" w14:textId="7DFD8F2C" w:rsidR="009F44F5" w:rsidRPr="00220A38" w:rsidRDefault="008A621A" w:rsidP="00806003">
      <w:pPr>
        <w:numPr>
          <w:ilvl w:val="0"/>
          <w:numId w:val="44"/>
        </w:numPr>
      </w:pPr>
      <w:r w:rsidRPr="00220A38">
        <w:t>Since the start of the COVID-19 pandemic to date for PAEDS severity reporting, the highest proportion of PIMS-TS cases occurred in 2022 (67.0%; 132/197), followed by 2021 (15.2%; 30/197). The most recent PIMS-TS case admitted to a PAEDS sentinel hospital was reported in May 2024</w:t>
      </w:r>
      <w:r w:rsidR="00F6542B">
        <w:t>, noting data</w:t>
      </w:r>
      <w:r w:rsidR="00ED736D">
        <w:t xml:space="preserve"> have not been updated this fortnight</w:t>
      </w:r>
      <w:r w:rsidRPr="00220A38">
        <w:t>.</w:t>
      </w:r>
    </w:p>
    <w:p w14:paraId="046ABE40" w14:textId="77777777" w:rsidR="009F44F5" w:rsidRPr="00220A38" w:rsidRDefault="008A621A" w:rsidP="00806003">
      <w:pPr>
        <w:numPr>
          <w:ilvl w:val="0"/>
          <w:numId w:val="44"/>
        </w:numPr>
      </w:pPr>
      <w:r w:rsidRPr="00220A38">
        <w:t>The majority of PIMS-TS cases have occurred in those aged 5 to &lt; 12 years (52.8%; 104/197), followed by those aged 6 months to &lt; 5 years (28.4%; 56/197). Approximately 5.6% (11/197) of PIMS-TS cases occurred among Aboriginal and Torres Strait Islander people.</w:t>
      </w:r>
    </w:p>
    <w:p w14:paraId="046ABE42" w14:textId="77777777" w:rsidR="009F44F5" w:rsidRPr="003C43CE" w:rsidRDefault="008A621A">
      <w:pPr>
        <w:pStyle w:val="Heading4"/>
      </w:pPr>
      <w:bookmarkStart w:id="22" w:name="Xca606a39519c6a7031255a437a182982edc2ce8"/>
      <w:bookmarkEnd w:id="21"/>
      <w:r w:rsidRPr="003C43CE">
        <w:lastRenderedPageBreak/>
        <w:t>SPRINT-SARI Australia (last updated 7 June 2024)</w:t>
      </w:r>
    </w:p>
    <w:p w14:paraId="046ABE43" w14:textId="77777777" w:rsidR="009F44F5" w:rsidRPr="003C43CE" w:rsidRDefault="008A621A">
      <w:r w:rsidRPr="003C43CE">
        <w:t>This section will be updated every four weeks; therefore, reporting periods presented here may not align with other sections of the report. Note, intensive care includes intensive care units and high dependency units that are managed by an intensive care team.</w:t>
      </w:r>
    </w:p>
    <w:p w14:paraId="046ABE44" w14:textId="77777777" w:rsidR="009F44F5" w:rsidRPr="003C43CE" w:rsidRDefault="008A621A" w:rsidP="00806003">
      <w:pPr>
        <w:numPr>
          <w:ilvl w:val="0"/>
          <w:numId w:val="45"/>
        </w:numPr>
      </w:pPr>
      <w:r w:rsidRPr="003C43CE">
        <w:t>In this 28-day period for SPRINT-SARI severity reporting (22 April to 19 May 2024), there have been 155 patients admitted with a SARI to a SPRINT-SARI sentinel intensive care. The median age at admission was 64 years (IQR: 47–75 years) and 6.5% (10/155) of patients admitted with a SARI were among Aboriginal and Torres Strait Islander people.</w:t>
      </w:r>
    </w:p>
    <w:p w14:paraId="046ABE45" w14:textId="77777777" w:rsidR="009F44F5" w:rsidRPr="003C43CE" w:rsidRDefault="008A621A" w:rsidP="00806003">
      <w:pPr>
        <w:numPr>
          <w:ilvl w:val="0"/>
          <w:numId w:val="45"/>
        </w:numPr>
      </w:pPr>
      <w:r w:rsidRPr="003C43CE">
        <w:t>In the year to date for SPRINT-SARI severity reporting (1 January to 19 May 2024), there have been 800 patients admitted with a SARI to a SPRINT-SARI sentinel intensive care. The median age at admission was 59 years (IQR: 30–71 years) and 53.6% (429/800) of patients admitted with a SARI have been male. Of the patients admitted with a SARI to a SPRINT-SARI sentinel intensive care, 8.4% (67/800) have been among Aboriginal and Torres Strait Islander people.</w:t>
      </w:r>
    </w:p>
    <w:p w14:paraId="046ABE46" w14:textId="79C6F1BB" w:rsidR="009F44F5" w:rsidRPr="003C43CE" w:rsidRDefault="008A621A" w:rsidP="00806003">
      <w:pPr>
        <w:numPr>
          <w:ilvl w:val="0"/>
          <w:numId w:val="45"/>
        </w:numPr>
      </w:pPr>
      <w:r w:rsidRPr="003C43CE">
        <w:t>In the year to date for SPRINT-SARI severity reporting, there have been 79 patients admitted with a SARI to a SPRINT-SARI sentinel intensive care who died in hospital. The majority of deaths were in patients aged 60 years or over: 32.9% (26/79) were aged 60–69 years, 34.2% (27/79) were aged 70–79 years, 13.9% (11/79) were aged 80–89 years, and 2.5% (2/79) were aged 90 years or over (</w:t>
      </w:r>
      <w:r w:rsidR="00DA0694">
        <w:t>Figure 16</w:t>
      </w:r>
      <w:r w:rsidRPr="003C43CE">
        <w:t>).</w:t>
      </w:r>
    </w:p>
    <w:p w14:paraId="046ABE47" w14:textId="5FC7F4EA" w:rsidR="009F44F5" w:rsidRPr="003C43CE" w:rsidRDefault="00DA0694">
      <w:r>
        <w:rPr>
          <w:b/>
          <w:bCs/>
        </w:rPr>
        <w:t>Figure 16</w:t>
      </w:r>
      <w:r w:rsidR="008A621A" w:rsidRPr="003C43CE">
        <w:rPr>
          <w:b/>
          <w:bCs/>
        </w:rPr>
        <w:t>: Number of patients admitted with severe acute respiratory infections to a SPRINT-SARI sentinel intensive care by age group, sex and outcome*</w:t>
      </w:r>
      <w:r w:rsidR="008A621A" w:rsidRPr="003C43CE">
        <w:rPr>
          <w:b/>
          <w:bCs/>
          <w:vertAlign w:val="superscript"/>
        </w:rPr>
        <w:t>†‡</w:t>
      </w:r>
      <w:r w:rsidR="008A621A" w:rsidRPr="003C43CE">
        <w:rPr>
          <w:b/>
          <w:bCs/>
        </w:rPr>
        <w:t>, Australia, 1 January to 19 May 2024</w:t>
      </w:r>
    </w:p>
    <w:p w14:paraId="4F6B625D" w14:textId="7F2E0CEB" w:rsidR="00972B1F" w:rsidRPr="003C43CE" w:rsidRDefault="0081654D">
      <w:pPr>
        <w:pStyle w:val="Smalltext"/>
      </w:pPr>
      <w:r w:rsidRPr="003C43CE">
        <w:rPr>
          <w:noProof/>
        </w:rPr>
        <w:drawing>
          <wp:inline distT="0" distB="0" distL="0" distR="0" wp14:anchorId="24B2906E" wp14:editId="715B8594">
            <wp:extent cx="5334000" cy="3333750"/>
            <wp:effectExtent l="0" t="0" r="0" b="0"/>
            <wp:doc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9 May 2024). Of the 800 patients with a severe acute respiratory illness admitted to SPRINT-SARI sentinel intensive care, 46% (n=371) have been females and 54% (n=429) have been males. Admissions to participating SPRINT-SARI intensive care have been reported across the lifespan with people aged 60–69 years accounting for the highest overall proportion of admissions. There were 79 patients with severe acute respiratory illness admitted to a SPRINT-SARI sentinel intensive care who died in hospital, most (84%; 66/79) were among patients aged 60 years or over."/>
            <wp:cNvGraphicFramePr/>
            <a:graphic xmlns:a="http://schemas.openxmlformats.org/drawingml/2006/main">
              <a:graphicData uri="http://schemas.openxmlformats.org/drawingml/2006/picture">
                <pic:pic xmlns:pic="http://schemas.openxmlformats.org/drawingml/2006/picture">
                  <pic:nvPicPr>
                    <pic:cNv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9 May 2024). Of the 800 patients with a severe acute respiratory illness admitted to SPRINT-SARI sentinel intensive care, 46% (n=371) have been females and 54% (n=429) have been males. Admissions to participating SPRINT-SARI intensive care have been reported across the lifespan with people aged 60–69 years accounting for the highest overall proportion of admissions. There were 79 patients with severe acute respiratory illness admitted to a SPRINT-SARI sentinel intensive care who died in hospital, most (84%; 66/79) were among patients aged 60 years or over."/>
                    <pic:cNvPicPr>
                      <a:picLocks noChangeAspect="1" noChangeArrowheads="1"/>
                    </pic:cNvPicPr>
                  </pic:nvPicPr>
                  <pic:blipFill>
                    <a:blip r:embed="rId53"/>
                    <a:stretch>
                      <a:fillRect/>
                    </a:stretch>
                  </pic:blipFill>
                  <pic:spPr bwMode="auto">
                    <a:xfrm>
                      <a:off x="0" y="0"/>
                      <a:ext cx="5334000" cy="3333750"/>
                    </a:xfrm>
                    <a:prstGeom prst="rect">
                      <a:avLst/>
                    </a:prstGeom>
                    <a:noFill/>
                    <a:ln w="9525">
                      <a:noFill/>
                      <a:headEnd/>
                      <a:tailEnd/>
                    </a:ln>
                  </pic:spPr>
                </pic:pic>
              </a:graphicData>
            </a:graphic>
          </wp:inline>
        </w:drawing>
      </w:r>
    </w:p>
    <w:p w14:paraId="046ABE4A" w14:textId="24319DE2" w:rsidR="009F44F5" w:rsidRPr="003C43CE" w:rsidRDefault="008A621A" w:rsidP="0081654D">
      <w:pPr>
        <w:pStyle w:val="Smalltext"/>
      </w:pPr>
      <w:r w:rsidRPr="003C43CE">
        <w:t>* The age and sex distribution of severe acute respiratory infection (SARI) intensive care admissions in the SPRINT-SARI Australia sentinel surveillance system may not reflect the age or sex distribution of all patients admitted with a SARI nationally.</w:t>
      </w:r>
      <w:r w:rsidRPr="003C43CE">
        <w:br/>
        <w:t>† Ongoing care reflects the need for ongoing care in intensive care. Where a patient has been discharged from intensive care, the patient may still be receiving ongoing care in a hospital ward.</w:t>
      </w:r>
      <w:r w:rsidRPr="003C43CE">
        <w:br/>
        <w:t>‡ Death may not necessarily represent a death due to the disease.</w:t>
      </w:r>
      <w:r w:rsidRPr="003C43CE">
        <w:br w:type="page"/>
      </w:r>
    </w:p>
    <w:p w14:paraId="046ABE4B" w14:textId="77777777" w:rsidR="009F44F5" w:rsidRPr="00BC3514" w:rsidRDefault="008A621A">
      <w:pPr>
        <w:pStyle w:val="Heading3"/>
      </w:pPr>
      <w:bookmarkStart w:id="23" w:name="case-based-surveillance-2"/>
      <w:bookmarkEnd w:id="19"/>
      <w:bookmarkEnd w:id="22"/>
      <w:r w:rsidRPr="00BC3514">
        <w:lastRenderedPageBreak/>
        <w:t>3.2 Case-based surveillance</w:t>
      </w:r>
    </w:p>
    <w:p w14:paraId="046ABE4C" w14:textId="77777777" w:rsidR="009F44F5" w:rsidRPr="00BC3514" w:rsidRDefault="008A621A">
      <w:pPr>
        <w:pStyle w:val="Heading4"/>
      </w:pPr>
      <w:bookmarkStart w:id="24" w:name="nndss-2"/>
      <w:r w:rsidRPr="00BC3514">
        <w:t>NNDSS</w:t>
      </w:r>
    </w:p>
    <w:p w14:paraId="046ABE4D" w14:textId="77777777" w:rsidR="009F44F5" w:rsidRPr="00BC3514" w:rsidRDefault="008A621A">
      <w:r w:rsidRPr="00BC3514">
        <w:t>The numbers of deaths in the year to date associated with COVID-19, influenza and RSV notified to the NNDSS are provided in Table 3. Note, the numbers of deaths associated with COVID-19, influenza or RSV reported to the NNDSS are likely to be an underestimate and do not represent the true mortality associated with these diseases. In the NNDSS, death notifications may not necessarily represent a death due to the disease.</w:t>
      </w:r>
    </w:p>
    <w:p w14:paraId="046ABE4E" w14:textId="77777777" w:rsidR="009F44F5" w:rsidRPr="00BC3514" w:rsidRDefault="008A621A" w:rsidP="00806003">
      <w:pPr>
        <w:numPr>
          <w:ilvl w:val="0"/>
          <w:numId w:val="46"/>
        </w:numPr>
      </w:pPr>
      <w:r w:rsidRPr="00BC3514">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only presented for COVID-19 up to the end of 2023.</w:t>
      </w:r>
    </w:p>
    <w:p w14:paraId="046ABE4F" w14:textId="77777777" w:rsidR="009F44F5" w:rsidRPr="00BC3514" w:rsidRDefault="008A621A" w:rsidP="00806003">
      <w:pPr>
        <w:numPr>
          <w:ilvl w:val="0"/>
          <w:numId w:val="46"/>
        </w:numPr>
      </w:pPr>
      <w:r w:rsidRPr="00BC3514">
        <w:t>Since the start of the COVID-19 pandemic to 31 December 2023, there were 437,260 COVID-19 cases and 522 COVID-19-associated deaths among Aboriginal and Torres Strait Islander people notified to the NNDSS.</w:t>
      </w:r>
    </w:p>
    <w:p w14:paraId="046ABE50" w14:textId="77777777" w:rsidR="009F44F5" w:rsidRPr="00BC3514" w:rsidRDefault="008A621A" w:rsidP="00806003">
      <w:pPr>
        <w:numPr>
          <w:ilvl w:val="1"/>
          <w:numId w:val="47"/>
        </w:numPr>
      </w:pPr>
      <w:r w:rsidRPr="00BC3514">
        <w:t>This includes both laboratory-confirmed and probable cases among Aboriginal and Torres Strait Islander people notified to the NNDSS.</w:t>
      </w:r>
    </w:p>
    <w:p w14:paraId="046ABE51" w14:textId="77777777" w:rsidR="009F44F5" w:rsidRPr="00BC3514" w:rsidRDefault="008A621A" w:rsidP="00806003">
      <w:pPr>
        <w:numPr>
          <w:ilvl w:val="1"/>
          <w:numId w:val="47"/>
        </w:numPr>
      </w:pPr>
      <w:r w:rsidRPr="00BC3514">
        <w:t xml:space="preserve">Readers are encouraged to consult the </w:t>
      </w:r>
      <w:hyperlink r:id="rId54">
        <w:r w:rsidRPr="00BC3514">
          <w:rPr>
            <w:rStyle w:val="Hyperlink"/>
          </w:rPr>
          <w:t>COVID-19 Epidemiology Reports</w:t>
        </w:r>
      </w:hyperlink>
      <w:r w:rsidRPr="00BC3514">
        <w:t xml:space="preserve"> previously published in </w:t>
      </w:r>
      <w:r w:rsidRPr="00BC3514">
        <w:rPr>
          <w:i/>
          <w:iCs/>
        </w:rPr>
        <w:t>Communicable Diseases Intelligence</w:t>
      </w:r>
      <w:r w:rsidRPr="00BC3514">
        <w:t xml:space="preserve"> for information on the epidemiology of COVID-19 in Aboriginal and Torres Strait Islander people in Australia from the start of the COVID-19 pandemic to 10 March 2024.</w:t>
      </w:r>
    </w:p>
    <w:p w14:paraId="046ABE52" w14:textId="5D8B3C46" w:rsidR="009F44F5" w:rsidRPr="0073690D" w:rsidRDefault="008A621A" w:rsidP="00806003">
      <w:pPr>
        <w:numPr>
          <w:ilvl w:val="0"/>
          <w:numId w:val="46"/>
        </w:numPr>
      </w:pPr>
      <w:r w:rsidRPr="0073690D">
        <w:t>In the year to date for severity reporting (1 January to 2 June 2024), the rate of COVID-19-associated deaths in cases notified to the NNDSS has been highest in those aged 70 years or over (Table 3). The median age of COVID-19-associated deaths notified is 84 years.</w:t>
      </w:r>
    </w:p>
    <w:p w14:paraId="046ABE53" w14:textId="41943B79" w:rsidR="009F44F5" w:rsidRPr="0073690D" w:rsidRDefault="008A621A" w:rsidP="00806003">
      <w:pPr>
        <w:numPr>
          <w:ilvl w:val="0"/>
          <w:numId w:val="46"/>
        </w:numPr>
      </w:pPr>
      <w:r w:rsidRPr="0073690D">
        <w:t>In the year to date for severity reporting, the rate of influenza-associated deaths in cases notified to the NNDSS has been highest in those aged 70 years or over (Table 3). The median age of influenza-associated deaths notified is 84 years.</w:t>
      </w:r>
    </w:p>
    <w:p w14:paraId="046ABE54" w14:textId="6EBA55F7" w:rsidR="009F44F5" w:rsidRPr="0073690D" w:rsidRDefault="008A621A" w:rsidP="00806003">
      <w:pPr>
        <w:numPr>
          <w:ilvl w:val="0"/>
          <w:numId w:val="46"/>
        </w:numPr>
      </w:pPr>
      <w:r w:rsidRPr="0073690D">
        <w:t>In the year to date for severity reporting, the rate of RSV-associated deaths in cases notified to the NNDSS has been highest in those aged 70 years or over (Table 3). The median age of RSV-associated deaths notified is 86 years.</w:t>
      </w:r>
    </w:p>
    <w:p w14:paraId="046ABE55" w14:textId="77777777" w:rsidR="009F44F5" w:rsidRPr="00C20709" w:rsidRDefault="008A621A">
      <w:pPr>
        <w:rPr>
          <w:highlight w:val="yellow"/>
        </w:rPr>
      </w:pPr>
      <w:r w:rsidRPr="00C20709">
        <w:rPr>
          <w:highlight w:val="yellow"/>
        </w:rPr>
        <w:br w:type="page"/>
      </w:r>
    </w:p>
    <w:p w14:paraId="046ABE56" w14:textId="77777777" w:rsidR="009F44F5" w:rsidRPr="005F3024" w:rsidRDefault="008A621A">
      <w:pPr>
        <w:pStyle w:val="Heading2"/>
      </w:pPr>
      <w:bookmarkStart w:id="25" w:name="impact"/>
      <w:bookmarkEnd w:id="18"/>
      <w:bookmarkEnd w:id="23"/>
      <w:bookmarkEnd w:id="24"/>
      <w:r w:rsidRPr="005F3024">
        <w:lastRenderedPageBreak/>
        <w:t>4. Impact</w:t>
      </w:r>
    </w:p>
    <w:p w14:paraId="046ABE57" w14:textId="77777777" w:rsidR="009F44F5" w:rsidRPr="005F3024" w:rsidRDefault="008A621A">
      <w:pPr>
        <w:pStyle w:val="Boxheading"/>
      </w:pPr>
      <w:r w:rsidRPr="59CE9A54">
        <w:rPr>
          <w:lang w:val="en-US"/>
        </w:rPr>
        <w:t>Impact measures how circulating respiratory viruses adversely affect the community and the healthcare system.</w:t>
      </w:r>
    </w:p>
    <w:p w14:paraId="046ABE58" w14:textId="77777777" w:rsidR="009F44F5" w:rsidRPr="005F3024" w:rsidRDefault="008A621A">
      <w:pPr>
        <w:pStyle w:val="Heading3"/>
      </w:pPr>
      <w:bookmarkStart w:id="26" w:name="community-based-surveillance-1"/>
      <w:r w:rsidRPr="005F3024">
        <w:t>4.1 Community-based surveillance</w:t>
      </w:r>
    </w:p>
    <w:p w14:paraId="046ABE59" w14:textId="77777777" w:rsidR="009F44F5" w:rsidRPr="005F3024" w:rsidRDefault="008A621A">
      <w:pPr>
        <w:pStyle w:val="Heading4"/>
      </w:pPr>
      <w:bookmarkStart w:id="27" w:name="flutracking-1"/>
      <w:r w:rsidRPr="005F3024">
        <w:t>FluTracking</w:t>
      </w:r>
    </w:p>
    <w:p w14:paraId="046ABE5A" w14:textId="680A9D10" w:rsidR="009F44F5" w:rsidRPr="00853456" w:rsidRDefault="008A621A" w:rsidP="00806003">
      <w:pPr>
        <w:numPr>
          <w:ilvl w:val="0"/>
          <w:numId w:val="48"/>
        </w:numPr>
      </w:pPr>
      <w:r w:rsidRPr="00853456">
        <w:t xml:space="preserve">This fortnight (3 June to 16 June 2024), 50.0% (807/1,613) of FluTracking participants reported taking three or more days off work or normal duties due to fever and cough symptoms, a </w:t>
      </w:r>
      <w:r w:rsidR="00853456" w:rsidRPr="00853456">
        <w:t xml:space="preserve">small </w:t>
      </w:r>
      <w:r w:rsidRPr="00853456">
        <w:t>decrease compared with 52.6% (989/1,882) in the previous fortnight.</w:t>
      </w:r>
    </w:p>
    <w:p w14:paraId="046ABE5B" w14:textId="77777777" w:rsidR="009F44F5" w:rsidRPr="005F3024" w:rsidRDefault="008A621A">
      <w:pPr>
        <w:pStyle w:val="Heading3"/>
      </w:pPr>
      <w:bookmarkStart w:id="28" w:name="hospital-based-surveillance-2"/>
      <w:bookmarkEnd w:id="26"/>
      <w:bookmarkEnd w:id="27"/>
      <w:r w:rsidRPr="005F3024">
        <w:t>4.2 Hospital-based surveillance</w:t>
      </w:r>
    </w:p>
    <w:p w14:paraId="046ABE5C" w14:textId="77777777" w:rsidR="009F44F5" w:rsidRPr="005F3024" w:rsidRDefault="008A621A">
      <w:pPr>
        <w:pStyle w:val="Heading4"/>
      </w:pPr>
      <w:bookmarkStart w:id="29" w:name="X59f5ef43e7073908b80df4b48b9dbd6100a2e54"/>
      <w:r w:rsidRPr="005F3024">
        <w:t>Critical Health Resource Information System (CHRIS)</w:t>
      </w:r>
    </w:p>
    <w:p w14:paraId="046ABE5D" w14:textId="77777777" w:rsidR="009F44F5" w:rsidRPr="005F3024" w:rsidRDefault="008A621A">
      <w:r w:rsidRPr="005F3024">
        <w:t>Note, intensive care includes intensive care units and high dependency units that are managed by the intensive care team.</w:t>
      </w:r>
    </w:p>
    <w:p w14:paraId="046ABE5E" w14:textId="77777777" w:rsidR="009F44F5" w:rsidRPr="004712DD" w:rsidRDefault="008A621A" w:rsidP="00806003">
      <w:pPr>
        <w:numPr>
          <w:ilvl w:val="0"/>
          <w:numId w:val="49"/>
        </w:numPr>
      </w:pPr>
      <w:r w:rsidRPr="004712DD">
        <w:t>As of 17 June 2024, 5.3% (85/1,608) of total staffed intensive care beds were occupied by COVID-19 patients.</w:t>
      </w:r>
    </w:p>
    <w:p w14:paraId="046ABE5F" w14:textId="3B7F23CF" w:rsidR="009F44F5" w:rsidRPr="002C5944" w:rsidRDefault="008A621A" w:rsidP="00806003">
      <w:pPr>
        <w:numPr>
          <w:ilvl w:val="0"/>
          <w:numId w:val="49"/>
        </w:numPr>
      </w:pPr>
      <w:r w:rsidRPr="002C5944">
        <w:t>This fortnight (3 June to 16 June 2024), the mean number of COVID-19 cases in intensive care across Australia has</w:t>
      </w:r>
      <w:r w:rsidR="002C5944" w:rsidRPr="002C5944">
        <w:t xml:space="preserve"> </w:t>
      </w:r>
      <w:r w:rsidRPr="002C5944">
        <w:t>increased compared with the previous fortnight (</w:t>
      </w:r>
      <w:r w:rsidR="00DA0694" w:rsidRPr="002C5944">
        <w:t>Figure 17</w:t>
      </w:r>
      <w:r w:rsidRPr="002C5944">
        <w:t>). This fortnight, the mean number of intensive care staff unavailable to work due to COVID-19 exposure or illness across Australia has decreased compared with the previous fortnight (</w:t>
      </w:r>
      <w:r w:rsidR="00DA0694" w:rsidRPr="002C5944">
        <w:t>Figure 17</w:t>
      </w:r>
      <w:r w:rsidRPr="002C5944">
        <w:t>).</w:t>
      </w:r>
    </w:p>
    <w:p w14:paraId="046ABE60" w14:textId="04278F2A" w:rsidR="009F44F5" w:rsidRPr="002C5944" w:rsidRDefault="00DA0694">
      <w:r w:rsidRPr="002C5944">
        <w:rPr>
          <w:b/>
          <w:bCs/>
        </w:rPr>
        <w:t>Figure 17</w:t>
      </w:r>
      <w:r w:rsidR="008A621A" w:rsidRPr="002C5944">
        <w:rPr>
          <w:b/>
          <w:bCs/>
        </w:rPr>
        <w:t>: Mean number of COVID-19 cases in intensive care and the mean number of intensive care staff unavailable to work due to COVID-19 exposure or illness reported to CHRIS by week of report*</w:t>
      </w:r>
      <w:r w:rsidR="008A621A" w:rsidRPr="002C5944">
        <w:rPr>
          <w:b/>
          <w:bCs/>
          <w:vertAlign w:val="superscript"/>
        </w:rPr>
        <w:t>†</w:t>
      </w:r>
      <w:r w:rsidR="008A621A" w:rsidRPr="002C5944">
        <w:rPr>
          <w:b/>
          <w:bCs/>
        </w:rPr>
        <w:t>, Australia, 1 January to 16 June 2024</w:t>
      </w:r>
    </w:p>
    <w:p w14:paraId="046ABE61" w14:textId="77777777" w:rsidR="009F44F5" w:rsidRPr="002C5944" w:rsidRDefault="008A621A">
      <w:pPr>
        <w:pStyle w:val="BodyText"/>
      </w:pPr>
      <w:r w:rsidRPr="002C5944">
        <w:rPr>
          <w:noProof/>
        </w:rPr>
        <w:drawing>
          <wp:inline distT="0" distB="0" distL="0" distR="0" wp14:anchorId="046ABF06" wp14:editId="158FFAEA">
            <wp:extent cx="6184900" cy="2731980"/>
            <wp:effectExtent l="0" t="0" r="0" b="0"/>
            <wp:docPr id="92" name="Graphic 92" descr="A stacked bar chart showing the mean number of ventilated and non-ventilated COVID-19 cases in intensive care reported to CHRIS by week of report from 1 January to 16 June 2024. A line graph plotted on the same axis (left) shows the mean number of intensive care staff unavailable to work due to COVID-19 exposure or illness by week of report to CHRIS, from 1 January to 16 June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in recent weeks to approximately 75 COVID-19 cases in intensive care per week. In the current reporting period (3 June to 16 June 2024), the mean number of non-ventilated COVID-19 cases in intensive care increased to an average of 60 COVID-19 cases in intensive care each week. Non-ventilated COVID-19 cases account for the majority of cases in intensive care and reported to CHRIS. The mean number of ventilated COVID-19 cases in intensive care have also increased in the current reporting period to 18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wp:cNvGraphicFramePr/>
            <a:graphic xmlns:a="http://schemas.openxmlformats.org/drawingml/2006/main">
              <a:graphicData uri="http://schemas.openxmlformats.org/drawingml/2006/picture">
                <pic:pic xmlns:pic="http://schemas.openxmlformats.org/drawingml/2006/picture">
                  <pic:nvPicPr>
                    <pic:cNvPr id="92" name="Graphic 92" descr="A stacked bar chart showing the mean number of ventilated and non-ventilated COVID-19 cases in intensive care reported to CHRIS by week of report from 1 January to 16 June 2024. A line graph plotted on the same axis (left) shows the mean number of intensive care staff unavailable to work due to COVID-19 exposure or illness by week of report to CHRIS, from 1 January to 16 June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in recent weeks to approximately 75 COVID-19 cases in intensive care per week. In the current reporting period (3 June to 16 June 2024), the mean number of non-ventilated COVID-19 cases in intensive care increased to an average of 60 COVID-19 cases in intensive care each week. Non-ventilated COVID-19 cases account for the majority of cases in intensive care and reported to CHRIS. The mean number of ventilated COVID-19 cases in intensive care have also increased in the current reporting period to 18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E62" w14:textId="77777777" w:rsidR="009F44F5" w:rsidRPr="002C5944" w:rsidRDefault="008A621A">
      <w:pPr>
        <w:pStyle w:val="Smalltext"/>
      </w:pPr>
      <w:r w:rsidRPr="002C5944">
        <w:t>* Mean number of ventilated and non-ventilated COVID-19 cases in intensive care includes only active COVID-19 cases (those in isolation) and does not include cleared COVID-19 cases.</w:t>
      </w:r>
      <w:r w:rsidRPr="002C5944">
        <w:br/>
        <w:t>† Intensive care staff include both medical and nursing staff.</w:t>
      </w:r>
    </w:p>
    <w:p w14:paraId="046ABE63" w14:textId="5E418FDF" w:rsidR="009F44F5" w:rsidRPr="00C6053A" w:rsidRDefault="008A621A" w:rsidP="00806003">
      <w:pPr>
        <w:numPr>
          <w:ilvl w:val="0"/>
          <w:numId w:val="50"/>
        </w:numPr>
      </w:pPr>
      <w:r w:rsidRPr="00C6053A">
        <w:lastRenderedPageBreak/>
        <w:t xml:space="preserve">This fortnight, the mean number of COVID-19 cases in intensive care has increased in </w:t>
      </w:r>
      <w:r w:rsidR="00C6053A" w:rsidRPr="00C6053A">
        <w:t>all</w:t>
      </w:r>
      <w:r w:rsidRPr="00C6053A">
        <w:t xml:space="preserve"> jurisdictions compared with the previous fortnight, except in </w:t>
      </w:r>
      <w:r w:rsidR="00C6053A" w:rsidRPr="00C6053A">
        <w:t>Victoria</w:t>
      </w:r>
      <w:r w:rsidRPr="00C6053A">
        <w:t xml:space="preserve"> where </w:t>
      </w:r>
      <w:r w:rsidR="00C6053A" w:rsidRPr="00C6053A">
        <w:t xml:space="preserve">a </w:t>
      </w:r>
      <w:r w:rsidRPr="00C6053A">
        <w:t>small decrease</w:t>
      </w:r>
      <w:r w:rsidR="00C6053A" w:rsidRPr="00C6053A">
        <w:t xml:space="preserve"> was</w:t>
      </w:r>
      <w:r w:rsidRPr="00C6053A">
        <w:t xml:space="preserve"> observed compared with the previous fortnight (</w:t>
      </w:r>
      <w:r w:rsidR="00DA0694" w:rsidRPr="00C6053A">
        <w:t>Figure 18</w:t>
      </w:r>
      <w:r w:rsidRPr="00C6053A">
        <w:t>).</w:t>
      </w:r>
    </w:p>
    <w:p w14:paraId="046ABE64" w14:textId="5651813C" w:rsidR="009F44F5" w:rsidRPr="00F30AD2" w:rsidRDefault="008A621A" w:rsidP="00806003">
      <w:pPr>
        <w:numPr>
          <w:ilvl w:val="0"/>
          <w:numId w:val="50"/>
        </w:numPr>
      </w:pPr>
      <w:r w:rsidRPr="00F30AD2">
        <w:t>This fortnight, the mean number of intensive care staff unavailable to work due to COVID-19 exposure or illness has decreased</w:t>
      </w:r>
      <w:r w:rsidR="00F30AD2" w:rsidRPr="00F30AD2">
        <w:t xml:space="preserve"> or remained stable </w:t>
      </w:r>
      <w:r w:rsidRPr="00F30AD2">
        <w:t xml:space="preserve">across </w:t>
      </w:r>
      <w:r w:rsidR="00F30AD2" w:rsidRPr="00F30AD2">
        <w:t>most</w:t>
      </w:r>
      <w:r w:rsidRPr="00F30AD2">
        <w:t xml:space="preserve"> jurisdictions, except in </w:t>
      </w:r>
      <w:r w:rsidR="00F30AD2" w:rsidRPr="00F30AD2">
        <w:t>South</w:t>
      </w:r>
      <w:r w:rsidRPr="00F30AD2">
        <w:t xml:space="preserve"> Australia</w:t>
      </w:r>
      <w:r w:rsidR="00F30AD2" w:rsidRPr="00F30AD2">
        <w:t xml:space="preserve"> and Tasmania</w:t>
      </w:r>
      <w:r w:rsidRPr="00F30AD2">
        <w:t xml:space="preserve"> where </w:t>
      </w:r>
      <w:r w:rsidR="00F30AD2" w:rsidRPr="00F30AD2">
        <w:t>small increases were</w:t>
      </w:r>
      <w:r w:rsidRPr="00F30AD2">
        <w:t xml:space="preserve"> observed compared with the previous fortnight (</w:t>
      </w:r>
      <w:r w:rsidR="00DA0694" w:rsidRPr="00F30AD2">
        <w:t>Figure 18</w:t>
      </w:r>
      <w:r w:rsidRPr="00F30AD2">
        <w:t>).</w:t>
      </w:r>
    </w:p>
    <w:p w14:paraId="046ABE65" w14:textId="04E0B673" w:rsidR="009F44F5" w:rsidRPr="00F30AD2" w:rsidRDefault="00DA0694">
      <w:r w:rsidRPr="00F30AD2">
        <w:rPr>
          <w:b/>
          <w:bCs/>
        </w:rPr>
        <w:t>Figure 18</w:t>
      </w:r>
      <w:r w:rsidR="008A621A" w:rsidRPr="00F30AD2">
        <w:rPr>
          <w:b/>
          <w:bCs/>
        </w:rPr>
        <w:t>: Mean number of COVID-19 cases in intensive care and the mean number of intensive care staff unavailable to work due to COVID-19 exposure or illness reported to CHRIS by jurisdiction and week of report*</w:t>
      </w:r>
      <w:r w:rsidR="008A621A" w:rsidRPr="00F30AD2">
        <w:rPr>
          <w:b/>
          <w:bCs/>
          <w:vertAlign w:val="superscript"/>
        </w:rPr>
        <w:t>†‡</w:t>
      </w:r>
      <w:r w:rsidR="008A621A" w:rsidRPr="00F30AD2">
        <w:rPr>
          <w:b/>
          <w:bCs/>
        </w:rPr>
        <w:t>, Australia, 1 January to 16 June 2024</w:t>
      </w:r>
    </w:p>
    <w:p w14:paraId="046ABE66" w14:textId="77777777" w:rsidR="009F44F5" w:rsidRPr="00765096" w:rsidRDefault="008A621A">
      <w:pPr>
        <w:pStyle w:val="BodyText"/>
      </w:pPr>
      <w:r w:rsidRPr="00765096">
        <w:rPr>
          <w:noProof/>
        </w:rPr>
        <w:drawing>
          <wp:inline distT="0" distB="0" distL="0" distR="0" wp14:anchorId="046ABF08" wp14:editId="01AE0D6D">
            <wp:extent cx="6184900" cy="6545369"/>
            <wp:effectExtent l="0" t="0" r="0" b="0"/>
            <wp:docPr id="95" name="Graphic 95" descr="A set of eight stacked bar charts, one for each Australian state or territory, showing the mean number of ventilated and non-ventilated COVID-19 cases in intensive care reported to CHRIS by week of report from 1 January to 16 June 2024. A line graph plotted on the same axis (left) shows the mean number of intensive care staff unavailable to work due to COVID-19 exposure or illness by week of report to CHRIS, from 1 January to 16 June 2024. The y-axis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and Victoria (approximately 12 COVID-19 cases in intensive care per week). In the current reporting period (3 June to 16 June 2024), the mean number of COVID-19 cases increased in the Australian Capital Territory, New South Wales, the Northern Territory, Queensland and South Australia.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3 June to 16 June 2024), the number of intensive care staff unavailable per week has decreased or remained stable across most jurisdictions, except in South Australia and Tasmania where an increase was observed compared with the previous fortnight. "/>
            <wp:cNvGraphicFramePr/>
            <a:graphic xmlns:a="http://schemas.openxmlformats.org/drawingml/2006/main">
              <a:graphicData uri="http://schemas.openxmlformats.org/drawingml/2006/picture">
                <pic:pic xmlns:pic="http://schemas.openxmlformats.org/drawingml/2006/picture">
                  <pic:nvPicPr>
                    <pic:cNvPr id="95" name="Graphic 95" descr="A set of eight stacked bar charts, one for each Australian state or territory, showing the mean number of ventilated and non-ventilated COVID-19 cases in intensive care reported to CHRIS by week of report from 1 January to 16 June 2024. A line graph plotted on the same axis (left) shows the mean number of intensive care staff unavailable to work due to COVID-19 exposure or illness by week of report to CHRIS, from 1 January to 16 June 2024. The y-axis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and Victoria (approximately 12 COVID-19 cases in intensive care per week). In the current reporting period (3 June to 16 June 2024), the mean number of COVID-19 cases increased in the Australian Capital Territory, New South Wales, the Northern Territory, Queensland and South Australia.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3 June to 16 June 2024), the number of intensive care staff unavailable per week has decreased or remained stable across most jurisdictions, except in South Australia and Tasmania where an increase was observed compared with the previous fortnight.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6545369"/>
                    </a:xfrm>
                    <a:prstGeom prst="rect">
                      <a:avLst/>
                    </a:prstGeom>
                    <a:noFill/>
                    <a:ln w="9525">
                      <a:noFill/>
                      <a:headEnd/>
                      <a:tailEnd/>
                    </a:ln>
                  </pic:spPr>
                </pic:pic>
              </a:graphicData>
            </a:graphic>
          </wp:inline>
        </w:drawing>
      </w:r>
    </w:p>
    <w:p w14:paraId="046ABE67" w14:textId="77777777" w:rsidR="009F44F5" w:rsidRPr="00765096" w:rsidRDefault="008A621A">
      <w:pPr>
        <w:pStyle w:val="Smalltext"/>
      </w:pPr>
      <w:r w:rsidRPr="00765096">
        <w:t>* Axis varies between jurisdictions.</w:t>
      </w:r>
      <w:r w:rsidRPr="00765096">
        <w:br/>
        <w:t>† Mean number of ventilated and non-ventilated COVID-19 cases in intensive care includes only active COVID-19 cases (those in isolation) and does not include cleared COVID-19 cases.</w:t>
      </w:r>
      <w:r w:rsidRPr="00765096">
        <w:br/>
        <w:t>‡ Intensive care staff include both medical and nursing staff.</w:t>
      </w:r>
    </w:p>
    <w:p w14:paraId="046ABE68" w14:textId="77777777" w:rsidR="009F44F5" w:rsidRPr="005F3024" w:rsidRDefault="008A621A">
      <w:pPr>
        <w:pStyle w:val="Heading2"/>
      </w:pPr>
      <w:bookmarkStart w:id="30" w:name="genomic-surveillance-and-virology"/>
      <w:bookmarkEnd w:id="25"/>
      <w:bookmarkEnd w:id="28"/>
      <w:bookmarkEnd w:id="29"/>
      <w:r w:rsidRPr="005F3024">
        <w:lastRenderedPageBreak/>
        <w:t>5. Genomic surveillance and virology</w:t>
      </w:r>
    </w:p>
    <w:p w14:paraId="046ABE69" w14:textId="77777777" w:rsidR="009F44F5" w:rsidRPr="005F3024" w:rsidRDefault="008A621A">
      <w:pPr>
        <w:pStyle w:val="Heading4"/>
      </w:pPr>
      <w:bookmarkStart w:id="31" w:name="austrakka-last-updated-7-june-2024"/>
      <w:r w:rsidRPr="005F3024">
        <w:t>AusTrakka (last updated 7 June 2024)</w:t>
      </w:r>
    </w:p>
    <w:p w14:paraId="046ABE6A" w14:textId="77777777" w:rsidR="009F44F5" w:rsidRPr="005F3024" w:rsidRDefault="008A621A">
      <w:r w:rsidRPr="005F3024">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046ABE6B" w14:textId="77777777" w:rsidR="009F44F5" w:rsidRPr="005F3024" w:rsidRDefault="008A621A" w:rsidP="00806003">
      <w:pPr>
        <w:numPr>
          <w:ilvl w:val="0"/>
          <w:numId w:val="51"/>
        </w:numPr>
      </w:pPr>
      <w:r w:rsidRPr="005F3024">
        <w:t>As of 2 June 2024, jurisdictions that have samples with dates of collection during the past 28 days include New South Wales, Queensland, South Australia, Tasmania, and Western Australia, with the most recent collection date being 26 May 2024.</w:t>
      </w:r>
    </w:p>
    <w:p w14:paraId="046ABE6C" w14:textId="6A855C0E" w:rsidR="009F44F5" w:rsidRPr="005F3024" w:rsidRDefault="008A621A" w:rsidP="00806003">
      <w:pPr>
        <w:numPr>
          <w:ilvl w:val="0"/>
          <w:numId w:val="51"/>
        </w:numPr>
      </w:pPr>
      <w:r w:rsidRPr="005F3024">
        <w:t>As of 2 June 2024, 530 sequences have been uploaded to AusTrakka with dates of collection within the past 28-day period (6 May to 2 June 2024). All sequences were assigned to the BA.2.86 sub-lineage within B.1.1.529 (Omicron) or recombinants consisting of one or more Omicron sub-lineages. There were no BA.1, BA.3, BA.4, BA.5 or other BA.2 sub-sub-lineage sequences identified in the past 28 days (</w:t>
      </w:r>
      <w:r w:rsidR="00DA0694">
        <w:t>Figure 19</w:t>
      </w:r>
      <w:r w:rsidRPr="005F3024">
        <w:t>).</w:t>
      </w:r>
    </w:p>
    <w:p w14:paraId="046ABE6D" w14:textId="69303673" w:rsidR="009F44F5" w:rsidRPr="005F3024" w:rsidRDefault="008A621A" w:rsidP="00806003">
      <w:pPr>
        <w:numPr>
          <w:ilvl w:val="0"/>
          <w:numId w:val="51"/>
        </w:numPr>
      </w:pPr>
      <w:r w:rsidRPr="005F3024">
        <w:t>Of the 530 sequences collected in the past 28 days, 98.5% (522/530) were a BA.2 sub-lineage, specifically from the sub-sub-lineages JN.1 (BA.2.86.1.1), including from the newly named variants under monitoring KP.2 (70/522) and KP.3 (188/522) (</w:t>
      </w:r>
      <w:r w:rsidR="00DA0694">
        <w:t>Figure 19</w:t>
      </w:r>
      <w:r w:rsidRPr="005F3024">
        <w:t>). The remaining 1.5% (8/530) were recombinant or recombinant sub-lineages. The recombinant lineages included XDK, XDQ and XDV, recombinants between BA.2.86 and XBB* sub-lineages.</w:t>
      </w:r>
    </w:p>
    <w:p w14:paraId="046ABE6E" w14:textId="67442AE9" w:rsidR="009F44F5" w:rsidRPr="005F3024" w:rsidRDefault="008A621A" w:rsidP="00806003">
      <w:pPr>
        <w:numPr>
          <w:ilvl w:val="0"/>
          <w:numId w:val="51"/>
        </w:numPr>
      </w:pPr>
      <w:r w:rsidRPr="005F3024">
        <w:t>The increase in JN.1 sequences has driven the increase in the proportion of BA.2 sequences being seen in AusTrakka and the comparative decline in the proportion of recombinant sequences (</w:t>
      </w:r>
      <w:r w:rsidR="00DA0694">
        <w:t>Figure 19</w:t>
      </w:r>
      <w:r w:rsidRPr="005F3024">
        <w:t>).</w:t>
      </w:r>
    </w:p>
    <w:p w14:paraId="046ABE6F" w14:textId="77777777" w:rsidR="009F44F5" w:rsidRPr="005F3024" w:rsidRDefault="008A621A" w:rsidP="00806003">
      <w:pPr>
        <w:numPr>
          <w:ilvl w:val="0"/>
          <w:numId w:val="51"/>
        </w:numPr>
      </w:pPr>
      <w:r w:rsidRPr="005F3024">
        <w:t>The World Health Organization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046ABE70" w14:textId="77777777" w:rsidR="009F44F5" w:rsidRPr="005F3024" w:rsidRDefault="008A621A" w:rsidP="00806003">
      <w:pPr>
        <w:numPr>
          <w:ilvl w:val="1"/>
          <w:numId w:val="52"/>
        </w:numPr>
      </w:pPr>
      <w:r w:rsidRPr="005F3024">
        <w:t>As of 3 May 2024, four new VUMs were designated by the WHO, JN.1.7, KP.2, KP.3 and JN.1.18.</w:t>
      </w:r>
    </w:p>
    <w:p w14:paraId="046ABE71" w14:textId="77777777" w:rsidR="009F44F5" w:rsidRPr="005F3024" w:rsidRDefault="008A621A" w:rsidP="00806003">
      <w:pPr>
        <w:numPr>
          <w:ilvl w:val="1"/>
          <w:numId w:val="52"/>
        </w:numPr>
      </w:pPr>
      <w:r w:rsidRPr="005F3024">
        <w:t>Of the newly identified VUMs, KP.3 and KP.2 are most common in Australia with a total of 468 KP.3 and 278 KP.2 identified in AusTrakka, including 188 and 70 sequences in the past 28 days, respectively.</w:t>
      </w:r>
    </w:p>
    <w:p w14:paraId="046ABE72" w14:textId="77777777" w:rsidR="009F44F5" w:rsidRPr="005F3024" w:rsidRDefault="008A621A" w:rsidP="00806003">
      <w:pPr>
        <w:numPr>
          <w:ilvl w:val="1"/>
          <w:numId w:val="52"/>
        </w:numPr>
      </w:pPr>
      <w:r w:rsidRPr="005F3024">
        <w:t>The number of JN.1.7 and JN.1.18 seen in AusTrakka is currently low, with 75 JN.1.7 (four in the past 28 days) and 93 JN.1.18 (eight in the past 28 days) in total.</w:t>
      </w:r>
    </w:p>
    <w:p w14:paraId="046ABE73" w14:textId="77777777" w:rsidR="009F44F5" w:rsidRPr="005F3024" w:rsidRDefault="008A621A" w:rsidP="00806003">
      <w:pPr>
        <w:numPr>
          <w:ilvl w:val="1"/>
          <w:numId w:val="52"/>
        </w:numPr>
      </w:pPr>
      <w:r w:rsidRPr="005F3024">
        <w:t>The proportion of JN.1 sequences has been consistent (98.5%; 522/530) in the past 28 days, compared with the previous 28-day period.</w:t>
      </w:r>
    </w:p>
    <w:p w14:paraId="046ABE74" w14:textId="77777777" w:rsidR="009F44F5" w:rsidRPr="005F3024" w:rsidRDefault="008A621A" w:rsidP="00806003">
      <w:pPr>
        <w:numPr>
          <w:ilvl w:val="1"/>
          <w:numId w:val="52"/>
        </w:numPr>
      </w:pPr>
      <w:r w:rsidRPr="005F3024">
        <w:t>No sequences from the XBB lineage, including XBB.1.5, EG.5 or XBB.1.16 have been identified in the past 28-day period.</w:t>
      </w:r>
    </w:p>
    <w:p w14:paraId="046ABE75" w14:textId="77777777" w:rsidR="009F44F5" w:rsidRPr="005F3024" w:rsidRDefault="008A621A" w:rsidP="00806003">
      <w:pPr>
        <w:numPr>
          <w:ilvl w:val="1"/>
          <w:numId w:val="52"/>
        </w:numPr>
      </w:pPr>
      <w:r w:rsidRPr="005F3024">
        <w:t>There have been three sequences each from the recently emerged XDV and XDQ recombinant lineages (BA.2.86* and XBB.1.91) identified in the past 28-day period.</w:t>
      </w:r>
    </w:p>
    <w:p w14:paraId="23F1459E" w14:textId="77777777" w:rsidR="00605AE7" w:rsidRDefault="00605AE7">
      <w:pPr>
        <w:rPr>
          <w:b/>
          <w:bCs/>
          <w:highlight w:val="yellow"/>
        </w:rPr>
      </w:pPr>
    </w:p>
    <w:p w14:paraId="046ABE77" w14:textId="5290F844" w:rsidR="009F44F5" w:rsidRPr="00605AE7" w:rsidRDefault="00DA0694">
      <w:r>
        <w:rPr>
          <w:b/>
          <w:bCs/>
        </w:rPr>
        <w:t>Figure 19</w:t>
      </w:r>
      <w:r w:rsidR="008A621A" w:rsidRPr="00605AE7">
        <w:rPr>
          <w:b/>
          <w:bCs/>
        </w:rPr>
        <w:t>: Omicron sub-lineage sequences in AusTrakka by sample collection date, showing (A) proportions and (B) count per week*</w:t>
      </w:r>
      <w:r w:rsidR="008A621A" w:rsidRPr="00605AE7">
        <w:rPr>
          <w:b/>
          <w:bCs/>
          <w:vertAlign w:val="superscript"/>
        </w:rPr>
        <w:t>†</w:t>
      </w:r>
      <w:r w:rsidR="008A621A" w:rsidRPr="00605AE7">
        <w:rPr>
          <w:b/>
          <w:bCs/>
        </w:rPr>
        <w:t>, Australia, 1 January to 2 June 2024</w:t>
      </w:r>
    </w:p>
    <w:p w14:paraId="689BC7DD" w14:textId="25DEBC6F" w:rsidR="00972B1F" w:rsidRPr="00605AE7" w:rsidRDefault="007F7975">
      <w:pPr>
        <w:pStyle w:val="Smalltext"/>
      </w:pPr>
      <w:r w:rsidRPr="00605AE7">
        <w:rPr>
          <w:noProof/>
        </w:rPr>
        <w:drawing>
          <wp:inline distT="0" distB="0" distL="0" distR="0" wp14:anchorId="6CEFB175" wp14:editId="130521CF">
            <wp:extent cx="6192520" cy="2477135"/>
            <wp:effectExtent l="0" t="0" r="0" b="0"/>
            <wp:docPr id="9" name="Graphic 9"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JN.1 sequences has been increasing each week. There has been a comparative decline in the number of recombinant sequences (EG.5, XBB.1.5 and XBB.1.9.1) seen each week. There were no sequences with a collection date from 27 May to 2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JN.1 sequences has been increasing each week. There has been a comparative decline in the number of recombinant sequences (EG.5, XBB.1.5 and XBB.1.9.1) seen each week. There were no sequences with a collection date from 27 May to 2 June 2024."/>
                    <pic:cNvPicPr/>
                  </pic:nvPicPr>
                  <pic:blipFill>
                    <a:blip r:embed="rId59">
                      <a:extLst>
                        <a:ext uri="{96DAC541-7B7A-43D3-8B79-37D633B846F1}">
                          <asvg:svgBlip xmlns:asvg="http://schemas.microsoft.com/office/drawing/2016/SVG/main" r:embed="rId60"/>
                        </a:ext>
                      </a:extLst>
                    </a:blip>
                    <a:stretch>
                      <a:fillRect/>
                    </a:stretch>
                  </pic:blipFill>
                  <pic:spPr>
                    <a:xfrm>
                      <a:off x="0" y="0"/>
                      <a:ext cx="6192520" cy="2477135"/>
                    </a:xfrm>
                    <a:prstGeom prst="rect">
                      <a:avLst/>
                    </a:prstGeom>
                  </pic:spPr>
                </pic:pic>
              </a:graphicData>
            </a:graphic>
          </wp:inline>
        </w:drawing>
      </w:r>
    </w:p>
    <w:p w14:paraId="597D97C0" w14:textId="6BB949FC" w:rsidR="002B01FF" w:rsidRPr="00605AE7" w:rsidRDefault="00C90654">
      <w:pPr>
        <w:pStyle w:val="Smalltext"/>
      </w:pPr>
      <w:r w:rsidRPr="00605AE7">
        <w:rPr>
          <w:noProof/>
        </w:rPr>
        <w:drawing>
          <wp:inline distT="0" distB="0" distL="0" distR="0" wp14:anchorId="3E583113" wp14:editId="6DF781EF">
            <wp:extent cx="6192520" cy="2477135"/>
            <wp:effectExtent l="0" t="0" r="0" b="0"/>
            <wp:docPr id="10" name="Graphic 10" descr="Figure 19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May 2024. In the current 28-day reporting period (6 May to 2 June 2024), all sequences reported are from the first fortnight (6 May to 19 May 2024) and are dominated by JN.1 with a minority proportion of recombinant sequences. There were no sequences with a collection date in from 27 May to 2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Figure 19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May 2024. In the current 28-day reporting period (6 May to 2 June 2024), all sequences reported are from the first fortnight (6 May to 19 May 2024) and are dominated by JN.1 with a minority proportion of recombinant sequences. There were no sequences with a collection date in from 27 May to 2 June 2024."/>
                    <pic:cNvPicPr/>
                  </pic:nvPicPr>
                  <pic:blipFill>
                    <a:blip r:embed="rId61">
                      <a:extLst>
                        <a:ext uri="{96DAC541-7B7A-43D3-8B79-37D633B846F1}">
                          <asvg:svgBlip xmlns:asvg="http://schemas.microsoft.com/office/drawing/2016/SVG/main" r:embed="rId62"/>
                        </a:ext>
                      </a:extLst>
                    </a:blip>
                    <a:stretch>
                      <a:fillRect/>
                    </a:stretch>
                  </pic:blipFill>
                  <pic:spPr>
                    <a:xfrm>
                      <a:off x="0" y="0"/>
                      <a:ext cx="6192520" cy="2477135"/>
                    </a:xfrm>
                    <a:prstGeom prst="rect">
                      <a:avLst/>
                    </a:prstGeom>
                  </pic:spPr>
                </pic:pic>
              </a:graphicData>
            </a:graphic>
          </wp:inline>
        </w:drawing>
      </w:r>
    </w:p>
    <w:p w14:paraId="046ABE78" w14:textId="26D18538" w:rsidR="009F44F5" w:rsidRPr="00605AE7" w:rsidRDefault="008A621A">
      <w:pPr>
        <w:pStyle w:val="Smalltext"/>
      </w:pPr>
      <w:r w:rsidRPr="00605AE7">
        <w:t>* Sequences in AusTrakka aggregated by epidemiological week. Sequences are reported based on date of sample collection, not date of sequencing.</w:t>
      </w:r>
      <w:r w:rsidRPr="00605AE7">
        <w:br/>
        <w:t xml:space="preserve">† Proportions in </w:t>
      </w:r>
      <w:r w:rsidR="00DA0694">
        <w:t>Figure 19</w:t>
      </w:r>
      <w:r w:rsidRPr="00605AE7">
        <w:t xml:space="preserve">A may not be representative when sequence numbers are small; refer to </w:t>
      </w:r>
      <w:r w:rsidR="00DA0694">
        <w:t>Figure 19</w:t>
      </w:r>
      <w:r w:rsidRPr="00605AE7">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046ABE79" w14:textId="77777777" w:rsidR="009F44F5" w:rsidRPr="00C20709" w:rsidRDefault="009F44F5">
      <w:pPr>
        <w:pStyle w:val="Smalltext"/>
        <w:rPr>
          <w:highlight w:val="yellow"/>
        </w:rPr>
      </w:pPr>
    </w:p>
    <w:p w14:paraId="046ABE7A" w14:textId="77777777" w:rsidR="009F44F5" w:rsidRPr="0070087A" w:rsidRDefault="008A621A">
      <w:pPr>
        <w:pStyle w:val="Heading4"/>
      </w:pPr>
      <w:bookmarkStart w:id="32" w:name="X02456953aaf8aed0d877be920ae9a070e33b654"/>
      <w:bookmarkEnd w:id="31"/>
      <w:r w:rsidRPr="0070087A">
        <w:t>Sentinel laboratories, including National Influenza Centres</w:t>
      </w:r>
    </w:p>
    <w:p w14:paraId="046ABE7B" w14:textId="7D4494A8" w:rsidR="009F44F5" w:rsidRPr="0070087A" w:rsidRDefault="008A621A" w:rsidP="00806003">
      <w:pPr>
        <w:numPr>
          <w:ilvl w:val="0"/>
          <w:numId w:val="53"/>
        </w:numPr>
      </w:pPr>
      <w:r w:rsidRPr="0070087A">
        <w:t>In the year to date, there have been 7,575 influenza positive samples received by sentinel laboratories. Of those, influenza A accounted for 94.9% (7,189/7,575) of positive samples and influenza B accounted for 5.1% (386/7,575) of positive samples (</w:t>
      </w:r>
      <w:r w:rsidR="00DA0694" w:rsidRPr="0070087A">
        <w:t>Figure 20</w:t>
      </w:r>
      <w:r w:rsidRPr="0070087A">
        <w:t>).</w:t>
      </w:r>
    </w:p>
    <w:p w14:paraId="046ABE7C" w14:textId="77777777" w:rsidR="009F44F5" w:rsidRPr="00C55989" w:rsidRDefault="008A621A" w:rsidP="00806003">
      <w:pPr>
        <w:numPr>
          <w:ilvl w:val="1"/>
          <w:numId w:val="54"/>
        </w:numPr>
      </w:pPr>
      <w:r w:rsidRPr="00C55989">
        <w:t>Note, the number of samples by type may not equal the sum total of the number of positive samples, due to multiple influenza detections in some individual samples.</w:t>
      </w:r>
    </w:p>
    <w:p w14:paraId="046ABE7D" w14:textId="77777777" w:rsidR="009F44F5" w:rsidRPr="00C20709" w:rsidRDefault="008A621A">
      <w:pPr>
        <w:rPr>
          <w:highlight w:val="yellow"/>
        </w:rPr>
      </w:pPr>
      <w:r w:rsidRPr="00C20709">
        <w:rPr>
          <w:highlight w:val="yellow"/>
        </w:rPr>
        <w:br w:type="page"/>
      </w:r>
    </w:p>
    <w:p w14:paraId="046ABE7E" w14:textId="0B25D7E4" w:rsidR="009F44F5" w:rsidRPr="008802D0" w:rsidRDefault="00DA0694">
      <w:r w:rsidRPr="008802D0">
        <w:rPr>
          <w:b/>
          <w:bCs/>
        </w:rPr>
        <w:lastRenderedPageBreak/>
        <w:t>Figure 20</w:t>
      </w:r>
      <w:r w:rsidR="008A621A" w:rsidRPr="008802D0">
        <w:rPr>
          <w:b/>
          <w:bCs/>
        </w:rPr>
        <w:t>: Proportion of sentinel laboratory tests positive for influenza and total number of specimens tested by subtype and week of report*, Australia, 1 January to 16 June 2024</w:t>
      </w:r>
    </w:p>
    <w:p w14:paraId="046ABE7F" w14:textId="77777777" w:rsidR="009F44F5" w:rsidRPr="008802D0" w:rsidRDefault="008A621A">
      <w:pPr>
        <w:pStyle w:val="BodyText"/>
      </w:pPr>
      <w:r w:rsidRPr="008802D0">
        <w:rPr>
          <w:noProof/>
        </w:rPr>
        <w:drawing>
          <wp:inline distT="0" distB="0" distL="0" distR="0" wp14:anchorId="046ABF0A" wp14:editId="6DC90C3E">
            <wp:extent cx="6184900" cy="2731980"/>
            <wp:effectExtent l="0" t="0" r="0" b="0"/>
            <wp:docPr id="102" name="Graphic 102" descr="A stacked bar chart showing the weekly proportion of sentinel laboratory tests positive for influenza by influenza subtype and week of report, from 1 January to 16 June 2024. A line graph plotted on the secondary axis (right) shows the total number of specimens tested, by week of report, from 1 January to 16 June 2024. Since the beginning of 2024, the weekly proportion of sentinel laboratory tests positive for influenza have remained between 1.5% and 10.0%, with influenza A(unsubtyped) accounting for the largest proportion of positive tests in the year to date. Since mid-February 2024, overall influenza test positivity has followed an increasing trend, reaching an apparent peak at approximately 9.8% in the week ending 16 June 2024. The total number of specimens tested has steadily increased from 7,000 per week in the week ending 28 April 2024 to 10,300 per week in the week ending 16 June 2024."/>
            <wp:cNvGraphicFramePr/>
            <a:graphic xmlns:a="http://schemas.openxmlformats.org/drawingml/2006/main">
              <a:graphicData uri="http://schemas.openxmlformats.org/drawingml/2006/picture">
                <pic:pic xmlns:pic="http://schemas.openxmlformats.org/drawingml/2006/picture">
                  <pic:nvPicPr>
                    <pic:cNvPr id="102" name="Graphic 102" descr="A stacked bar chart showing the weekly proportion of sentinel laboratory tests positive for influenza by influenza subtype and week of report, from 1 January to 16 June 2024. A line graph plotted on the secondary axis (right) shows the total number of specimens tested, by week of report, from 1 January to 16 June 2024. Since the beginning of 2024, the weekly proportion of sentinel laboratory tests positive for influenza have remained between 1.5% and 10.0%, with influenza A(unsubtyped) accounting for the largest proportion of positive tests in the year to date. Since mid-February 2024, overall influenza test positivity has followed an increasing trend, reaching an apparent peak at approximately 9.8% in the week ending 16 June 2024. The total number of specimens tested has steadily increased from 7,000 per week in the week ending 28 April 2024 to 10,300 per week in the week ending 16 June 2024."/>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E80" w14:textId="77777777" w:rsidR="009F44F5" w:rsidRPr="008802D0" w:rsidRDefault="008A621A">
      <w:pPr>
        <w:pStyle w:val="Smalltext"/>
      </w:pPr>
      <w:r w:rsidRPr="008802D0">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046ABE81" w14:textId="77777777" w:rsidR="009F44F5" w:rsidRPr="00C20709" w:rsidRDefault="009F44F5">
      <w:pPr>
        <w:pStyle w:val="Smalltext"/>
        <w:rPr>
          <w:highlight w:val="yellow"/>
        </w:rPr>
      </w:pPr>
    </w:p>
    <w:p w14:paraId="046ABE82" w14:textId="77777777" w:rsidR="009F44F5" w:rsidRPr="00C55989" w:rsidRDefault="008A621A">
      <w:pPr>
        <w:pStyle w:val="Heading4"/>
      </w:pPr>
      <w:bookmarkStart w:id="33" w:name="Xc4f93f5d9131c8100679f7c4820c9910b032f91"/>
      <w:bookmarkEnd w:id="32"/>
      <w:r w:rsidRPr="00C55989">
        <w:t>World Health Organization Collaborating Centre (WHOCC) for Reference and Research on Influenza</w:t>
      </w:r>
    </w:p>
    <w:p w14:paraId="046ABE83" w14:textId="2072D543" w:rsidR="009F44F5" w:rsidRPr="00E164E5" w:rsidRDefault="008A621A" w:rsidP="00806003">
      <w:pPr>
        <w:numPr>
          <w:ilvl w:val="0"/>
          <w:numId w:val="55"/>
        </w:numPr>
      </w:pPr>
      <w:r w:rsidRPr="00E164E5">
        <w:t xml:space="preserve">In the year to date, the WHOCC has characterised 1,183 influenza viruses, of which 55.6% (658/1,183) have been influenza A(H1N1), 41.1% (486/1,183) have been influenza A(H3N2), and 3.3% (39/1,183) have been influenza B/Victoria. In the year to date, there have been </w:t>
      </w:r>
      <w:r w:rsidR="00E164E5" w:rsidRPr="00E164E5">
        <w:t>no</w:t>
      </w:r>
      <w:r w:rsidRPr="00E164E5">
        <w:t xml:space="preserve"> influenza B/Yamagata viruses characterised by the WHOCC (Table 4).</w:t>
      </w:r>
    </w:p>
    <w:p w14:paraId="046ABE84" w14:textId="267C3211" w:rsidR="009F44F5" w:rsidRPr="003103B3" w:rsidRDefault="008A621A" w:rsidP="00806003">
      <w:pPr>
        <w:numPr>
          <w:ilvl w:val="0"/>
          <w:numId w:val="55"/>
        </w:numPr>
      </w:pPr>
      <w:r w:rsidRPr="003103B3">
        <w:t>Of the influenza A(H3N2) samples tested for neuraminidase inhibitor resistance, 0.</w:t>
      </w:r>
      <w:r w:rsidR="00CF3442" w:rsidRPr="003103B3">
        <w:t>48</w:t>
      </w:r>
      <w:r w:rsidRPr="003103B3">
        <w:t>% (1/</w:t>
      </w:r>
      <w:r w:rsidR="00FE6528" w:rsidRPr="003103B3">
        <w:t>20</w:t>
      </w:r>
      <w:r w:rsidR="00CF3442" w:rsidRPr="003103B3">
        <w:t>6</w:t>
      </w:r>
      <w:r w:rsidRPr="003103B3">
        <w:t>) demonstrated reduced inhibition to Oseltamivir. Of the influenza A(H1N1)pdm09 samples tested for neuraminidase inhibitor resistance 0.</w:t>
      </w:r>
      <w:r w:rsidR="003103B3" w:rsidRPr="003103B3">
        <w:t>22</w:t>
      </w:r>
      <w:r w:rsidRPr="003103B3">
        <w:t>% (1/4</w:t>
      </w:r>
      <w:r w:rsidR="00CF3442" w:rsidRPr="003103B3">
        <w:t>47</w:t>
      </w:r>
      <w:r w:rsidRPr="003103B3">
        <w:t>) demonstrated reduced inhibition to Oseltamivir. None of the influenza B/Victoria samples tested for neuraminidase inhibitor resistance demonstrated reduced inhibition to Oseltamivir or Zanamivir.</w:t>
      </w:r>
    </w:p>
    <w:p w14:paraId="046ABE85" w14:textId="77777777" w:rsidR="009F44F5" w:rsidRPr="00E164E5" w:rsidRDefault="008A621A">
      <w:r w:rsidRPr="00E164E5">
        <w:rPr>
          <w:b/>
          <w:bCs/>
        </w:rPr>
        <w:t>Table 4: Australian influenza viruses typed by the WHOCC for Reference and Research on Influenza by haemagglutination inhibition assay and jurisdiction*</w:t>
      </w:r>
      <w:r w:rsidRPr="00E164E5">
        <w:rPr>
          <w:b/>
          <w:bCs/>
          <w:vertAlign w:val="superscript"/>
        </w:rPr>
        <w:t>†</w:t>
      </w:r>
      <w:r w:rsidRPr="00E164E5">
        <w:rPr>
          <w:b/>
          <w:bCs/>
        </w:rPr>
        <w:t>, 1 January to 16 June 2024</w:t>
      </w:r>
    </w:p>
    <w:tbl>
      <w:tblPr>
        <w:tblStyle w:val="DepartmentofHealthtable"/>
        <w:tblW w:w="5000" w:type="pct"/>
        <w:tblLook w:val="04A0" w:firstRow="1" w:lastRow="0" w:firstColumn="1"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16 June 2024. Since the beginning of 2024, the largest proportion of samples typed was from the Northern Territory (39.1%; 463/1,183), followed by Victoria (23.7%; 280/1,183). Influenza A(H1N1)pdm09 accounted for the majority (55.6%; 658/1,183) of influenza viruses typed, followed by influenza A(H3N2) (41.1%; 486/1,183). Of the 39 influenza B/Victoria samples, the largest proportions were from Victoria (46.2%; 18/39). Since the beginning of 2024, there have been no influenza B/Yamagata lineages identified among the influenza B samples typed."/>
      </w:tblPr>
      <w:tblGrid>
        <w:gridCol w:w="2627"/>
        <w:gridCol w:w="909"/>
        <w:gridCol w:w="909"/>
        <w:gridCol w:w="724"/>
        <w:gridCol w:w="737"/>
        <w:gridCol w:w="739"/>
        <w:gridCol w:w="753"/>
        <w:gridCol w:w="696"/>
        <w:gridCol w:w="737"/>
        <w:gridCol w:w="921"/>
      </w:tblGrid>
      <w:tr w:rsidR="007A7D7F" w:rsidRPr="007A7D7F" w14:paraId="1DAC05A0" w14:textId="77777777" w:rsidTr="007A7D7F">
        <w:trPr>
          <w:cnfStyle w:val="100000000000" w:firstRow="1" w:lastRow="0" w:firstColumn="0" w:lastColumn="0" w:oddVBand="0" w:evenVBand="0" w:oddHBand="0" w:evenHBand="0" w:firstRowFirstColumn="0" w:firstRowLastColumn="0" w:lastRowFirstColumn="0" w:lastRowLastColumn="0"/>
        </w:trPr>
        <w:tc>
          <w:tcPr>
            <w:tcW w:w="1347" w:type="pct"/>
          </w:tcPr>
          <w:p w14:paraId="60A95C53" w14:textId="77777777" w:rsidR="00944379" w:rsidRPr="007A7D7F" w:rsidRDefault="00944379" w:rsidP="008A621A">
            <w:pPr>
              <w:tabs>
                <w:tab w:val="left" w:pos="938"/>
              </w:tabs>
              <w:spacing w:before="100" w:after="100"/>
              <w:rPr>
                <w:rFonts w:cs="Arial"/>
                <w:b w:val="0"/>
                <w:bCs/>
                <w:sz w:val="18"/>
                <w:szCs w:val="18"/>
              </w:rPr>
            </w:pPr>
            <w:r w:rsidRPr="007A7D7F">
              <w:rPr>
                <w:rFonts w:cs="Arial"/>
                <w:bCs/>
                <w:sz w:val="18"/>
                <w:szCs w:val="18"/>
              </w:rPr>
              <w:t>Strain</w:t>
            </w:r>
            <w:r w:rsidRPr="007A7D7F">
              <w:rPr>
                <w:rFonts w:cs="Arial"/>
                <w:bCs/>
                <w:sz w:val="18"/>
                <w:szCs w:val="18"/>
              </w:rPr>
              <w:tab/>
            </w:r>
          </w:p>
        </w:tc>
        <w:tc>
          <w:tcPr>
            <w:tcW w:w="466" w:type="pct"/>
          </w:tcPr>
          <w:p w14:paraId="5C47C799" w14:textId="77777777" w:rsidR="00944379" w:rsidRPr="007A7D7F" w:rsidRDefault="00944379" w:rsidP="008A621A">
            <w:pPr>
              <w:spacing w:before="100" w:after="100"/>
              <w:jc w:val="right"/>
              <w:rPr>
                <w:rFonts w:cs="Arial"/>
                <w:b w:val="0"/>
                <w:bCs/>
                <w:sz w:val="18"/>
                <w:szCs w:val="18"/>
              </w:rPr>
            </w:pPr>
            <w:r w:rsidRPr="007A7D7F">
              <w:rPr>
                <w:rFonts w:cs="Arial"/>
                <w:bCs/>
                <w:sz w:val="18"/>
                <w:szCs w:val="18"/>
                <w:lang w:val="en-GB"/>
              </w:rPr>
              <w:t>ACT </w:t>
            </w:r>
          </w:p>
        </w:tc>
        <w:tc>
          <w:tcPr>
            <w:tcW w:w="466" w:type="pct"/>
          </w:tcPr>
          <w:p w14:paraId="48C1248E" w14:textId="77777777" w:rsidR="00944379" w:rsidRPr="007A7D7F" w:rsidRDefault="00944379" w:rsidP="008A621A">
            <w:pPr>
              <w:spacing w:before="100" w:after="100"/>
              <w:jc w:val="right"/>
              <w:rPr>
                <w:rFonts w:cs="Arial"/>
                <w:b w:val="0"/>
                <w:bCs/>
                <w:sz w:val="18"/>
                <w:szCs w:val="18"/>
              </w:rPr>
            </w:pPr>
            <w:r w:rsidRPr="007A7D7F">
              <w:rPr>
                <w:rFonts w:cs="Arial"/>
                <w:bCs/>
                <w:sz w:val="18"/>
                <w:szCs w:val="18"/>
              </w:rPr>
              <w:t>NSW</w:t>
            </w:r>
          </w:p>
        </w:tc>
        <w:tc>
          <w:tcPr>
            <w:tcW w:w="371" w:type="pct"/>
          </w:tcPr>
          <w:p w14:paraId="34A42B9C" w14:textId="77777777" w:rsidR="00944379" w:rsidRPr="007A7D7F" w:rsidRDefault="00944379" w:rsidP="008A621A">
            <w:pPr>
              <w:spacing w:before="100" w:after="100"/>
              <w:jc w:val="right"/>
              <w:rPr>
                <w:rFonts w:cs="Arial"/>
                <w:b w:val="0"/>
                <w:bCs/>
                <w:sz w:val="18"/>
                <w:szCs w:val="18"/>
              </w:rPr>
            </w:pPr>
            <w:r w:rsidRPr="007A7D7F">
              <w:rPr>
                <w:rFonts w:cs="Arial"/>
                <w:bCs/>
                <w:sz w:val="18"/>
                <w:szCs w:val="18"/>
                <w:lang w:val="en-GB"/>
              </w:rPr>
              <w:t>NT </w:t>
            </w:r>
          </w:p>
        </w:tc>
        <w:tc>
          <w:tcPr>
            <w:tcW w:w="378" w:type="pct"/>
          </w:tcPr>
          <w:p w14:paraId="1929D937" w14:textId="77777777" w:rsidR="00944379" w:rsidRPr="007A7D7F" w:rsidRDefault="00944379" w:rsidP="008A621A">
            <w:pPr>
              <w:spacing w:before="100" w:after="100"/>
              <w:jc w:val="right"/>
              <w:rPr>
                <w:rFonts w:cs="Arial"/>
                <w:b w:val="0"/>
                <w:bCs/>
                <w:sz w:val="18"/>
                <w:szCs w:val="18"/>
              </w:rPr>
            </w:pPr>
            <w:r w:rsidRPr="007A7D7F">
              <w:rPr>
                <w:rFonts w:cs="Arial"/>
                <w:bCs/>
                <w:sz w:val="18"/>
                <w:szCs w:val="18"/>
              </w:rPr>
              <w:t>Qld</w:t>
            </w:r>
          </w:p>
        </w:tc>
        <w:tc>
          <w:tcPr>
            <w:tcW w:w="379" w:type="pct"/>
          </w:tcPr>
          <w:p w14:paraId="757EC8C7" w14:textId="77777777" w:rsidR="00944379" w:rsidRPr="007A7D7F" w:rsidRDefault="00944379" w:rsidP="008A621A">
            <w:pPr>
              <w:spacing w:before="100" w:after="100"/>
              <w:jc w:val="right"/>
              <w:rPr>
                <w:rFonts w:cs="Arial"/>
                <w:b w:val="0"/>
                <w:bCs/>
                <w:sz w:val="18"/>
                <w:szCs w:val="18"/>
              </w:rPr>
            </w:pPr>
            <w:r w:rsidRPr="007A7D7F">
              <w:rPr>
                <w:rFonts w:cs="Arial"/>
                <w:bCs/>
                <w:sz w:val="18"/>
                <w:szCs w:val="18"/>
                <w:lang w:val="en-GB"/>
              </w:rPr>
              <w:t>SA </w:t>
            </w:r>
          </w:p>
        </w:tc>
        <w:tc>
          <w:tcPr>
            <w:tcW w:w="386" w:type="pct"/>
          </w:tcPr>
          <w:p w14:paraId="1BE9642B" w14:textId="77777777" w:rsidR="00944379" w:rsidRPr="007A7D7F" w:rsidRDefault="00944379" w:rsidP="008A621A">
            <w:pPr>
              <w:spacing w:before="100" w:after="100"/>
              <w:jc w:val="right"/>
              <w:rPr>
                <w:rFonts w:cs="Arial"/>
                <w:b w:val="0"/>
                <w:bCs/>
                <w:sz w:val="18"/>
                <w:szCs w:val="18"/>
              </w:rPr>
            </w:pPr>
            <w:r w:rsidRPr="007A7D7F">
              <w:rPr>
                <w:rFonts w:cs="Arial"/>
                <w:bCs/>
                <w:sz w:val="18"/>
                <w:szCs w:val="18"/>
              </w:rPr>
              <w:t>Tas.</w:t>
            </w:r>
          </w:p>
        </w:tc>
        <w:tc>
          <w:tcPr>
            <w:tcW w:w="357" w:type="pct"/>
          </w:tcPr>
          <w:p w14:paraId="63B4926C" w14:textId="77777777" w:rsidR="00944379" w:rsidRPr="007A7D7F" w:rsidRDefault="00944379" w:rsidP="008A621A">
            <w:pPr>
              <w:spacing w:before="100" w:after="100"/>
              <w:jc w:val="right"/>
              <w:rPr>
                <w:rFonts w:cs="Arial"/>
                <w:b w:val="0"/>
                <w:bCs/>
                <w:sz w:val="18"/>
                <w:szCs w:val="18"/>
              </w:rPr>
            </w:pPr>
            <w:r w:rsidRPr="007A7D7F">
              <w:rPr>
                <w:rFonts w:cs="Arial"/>
                <w:bCs/>
                <w:sz w:val="18"/>
                <w:szCs w:val="18"/>
              </w:rPr>
              <w:t>Vic.</w:t>
            </w:r>
          </w:p>
        </w:tc>
        <w:tc>
          <w:tcPr>
            <w:tcW w:w="378" w:type="pct"/>
          </w:tcPr>
          <w:p w14:paraId="21621A0B" w14:textId="77777777" w:rsidR="00944379" w:rsidRPr="007A7D7F" w:rsidRDefault="00944379" w:rsidP="008A621A">
            <w:pPr>
              <w:spacing w:before="100" w:after="100"/>
              <w:jc w:val="right"/>
              <w:rPr>
                <w:rFonts w:cs="Arial"/>
                <w:b w:val="0"/>
                <w:bCs/>
                <w:sz w:val="18"/>
                <w:szCs w:val="18"/>
              </w:rPr>
            </w:pPr>
            <w:r w:rsidRPr="007A7D7F">
              <w:rPr>
                <w:rFonts w:cs="Arial"/>
                <w:bCs/>
                <w:sz w:val="18"/>
                <w:szCs w:val="18"/>
              </w:rPr>
              <w:t>WA</w:t>
            </w:r>
          </w:p>
        </w:tc>
        <w:tc>
          <w:tcPr>
            <w:tcW w:w="472" w:type="pct"/>
          </w:tcPr>
          <w:p w14:paraId="4B8DE58C" w14:textId="77777777" w:rsidR="00944379" w:rsidRPr="007A7D7F" w:rsidRDefault="00944379" w:rsidP="008A621A">
            <w:pPr>
              <w:spacing w:before="100" w:after="100"/>
              <w:jc w:val="right"/>
              <w:rPr>
                <w:rFonts w:cs="Arial"/>
                <w:b w:val="0"/>
                <w:bCs/>
                <w:sz w:val="18"/>
                <w:szCs w:val="18"/>
              </w:rPr>
            </w:pPr>
            <w:r w:rsidRPr="007A7D7F">
              <w:rPr>
                <w:rFonts w:cs="Arial"/>
                <w:bCs/>
                <w:sz w:val="18"/>
                <w:szCs w:val="18"/>
              </w:rPr>
              <w:t>Total</w:t>
            </w:r>
          </w:p>
        </w:tc>
      </w:tr>
      <w:tr w:rsidR="00944379" w:rsidRPr="00E164E5" w14:paraId="0410DAD5" w14:textId="77777777" w:rsidTr="007A7D7F">
        <w:tc>
          <w:tcPr>
            <w:tcW w:w="1347" w:type="pct"/>
          </w:tcPr>
          <w:p w14:paraId="6B6095D4" w14:textId="77777777" w:rsidR="00944379" w:rsidRPr="00E164E5" w:rsidRDefault="00944379" w:rsidP="008A621A">
            <w:pPr>
              <w:spacing w:before="100" w:after="100"/>
              <w:rPr>
                <w:rFonts w:cs="Arial"/>
                <w:color w:val="033636"/>
                <w:sz w:val="18"/>
                <w:szCs w:val="18"/>
              </w:rPr>
            </w:pPr>
            <w:r w:rsidRPr="00E164E5">
              <w:rPr>
                <w:rFonts w:eastAsia="Arial" w:cs="Arial"/>
                <w:color w:val="033636"/>
                <w:sz w:val="18"/>
                <w:szCs w:val="18"/>
              </w:rPr>
              <w:t>A(H1N1) pdm09</w:t>
            </w:r>
          </w:p>
        </w:tc>
        <w:tc>
          <w:tcPr>
            <w:tcW w:w="466" w:type="pct"/>
          </w:tcPr>
          <w:p w14:paraId="7360C386"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41</w:t>
            </w:r>
          </w:p>
        </w:tc>
        <w:tc>
          <w:tcPr>
            <w:tcW w:w="466" w:type="pct"/>
          </w:tcPr>
          <w:p w14:paraId="6239DFE4"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52</w:t>
            </w:r>
          </w:p>
        </w:tc>
        <w:tc>
          <w:tcPr>
            <w:tcW w:w="371" w:type="pct"/>
          </w:tcPr>
          <w:p w14:paraId="614F238A"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284</w:t>
            </w:r>
          </w:p>
        </w:tc>
        <w:tc>
          <w:tcPr>
            <w:tcW w:w="378" w:type="pct"/>
          </w:tcPr>
          <w:p w14:paraId="34134CAF"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24</w:t>
            </w:r>
          </w:p>
        </w:tc>
        <w:tc>
          <w:tcPr>
            <w:tcW w:w="379" w:type="pct"/>
          </w:tcPr>
          <w:p w14:paraId="6371B076"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30</w:t>
            </w:r>
          </w:p>
        </w:tc>
        <w:tc>
          <w:tcPr>
            <w:tcW w:w="386" w:type="pct"/>
          </w:tcPr>
          <w:p w14:paraId="1B8B855F"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44</w:t>
            </w:r>
          </w:p>
        </w:tc>
        <w:tc>
          <w:tcPr>
            <w:tcW w:w="357" w:type="pct"/>
          </w:tcPr>
          <w:p w14:paraId="52885392"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154</w:t>
            </w:r>
          </w:p>
        </w:tc>
        <w:tc>
          <w:tcPr>
            <w:tcW w:w="378" w:type="pct"/>
          </w:tcPr>
          <w:p w14:paraId="52FADB82"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29</w:t>
            </w:r>
          </w:p>
        </w:tc>
        <w:tc>
          <w:tcPr>
            <w:tcW w:w="472" w:type="pct"/>
          </w:tcPr>
          <w:p w14:paraId="7CC3F166" w14:textId="77777777" w:rsidR="00944379" w:rsidRPr="00E164E5" w:rsidRDefault="00944379" w:rsidP="008A621A">
            <w:pPr>
              <w:spacing w:before="100" w:after="100"/>
              <w:jc w:val="right"/>
              <w:rPr>
                <w:rFonts w:eastAsia="Yu Gothic Light" w:cs="Arial"/>
                <w:b/>
                <w:bCs/>
                <w:color w:val="033636"/>
                <w:sz w:val="18"/>
                <w:szCs w:val="18"/>
              </w:rPr>
            </w:pPr>
            <w:r w:rsidRPr="00F257AF">
              <w:rPr>
                <w:rFonts w:eastAsia="Arial" w:cs="Arial"/>
                <w:b/>
                <w:color w:val="033636"/>
                <w:sz w:val="18"/>
                <w:szCs w:val="18"/>
              </w:rPr>
              <w:t>658</w:t>
            </w:r>
          </w:p>
        </w:tc>
      </w:tr>
      <w:tr w:rsidR="00944379" w:rsidRPr="00E164E5" w14:paraId="20B1CB36" w14:textId="77777777" w:rsidTr="007A7D7F">
        <w:tc>
          <w:tcPr>
            <w:tcW w:w="1347" w:type="pct"/>
          </w:tcPr>
          <w:p w14:paraId="15A7CBC3" w14:textId="77777777" w:rsidR="00944379" w:rsidRPr="00E164E5" w:rsidRDefault="00944379" w:rsidP="008A621A">
            <w:pPr>
              <w:spacing w:before="100" w:after="100"/>
              <w:rPr>
                <w:rFonts w:eastAsia="Yu Gothic Light" w:cs="Arial"/>
                <w:color w:val="033636"/>
                <w:sz w:val="18"/>
                <w:szCs w:val="18"/>
              </w:rPr>
            </w:pPr>
            <w:r w:rsidRPr="00E164E5">
              <w:rPr>
                <w:rFonts w:eastAsia="Arial" w:cs="Arial"/>
                <w:color w:val="033636"/>
                <w:sz w:val="18"/>
                <w:szCs w:val="18"/>
              </w:rPr>
              <w:t>A(H3N2)</w:t>
            </w:r>
          </w:p>
        </w:tc>
        <w:tc>
          <w:tcPr>
            <w:tcW w:w="466" w:type="pct"/>
          </w:tcPr>
          <w:p w14:paraId="6140BC06"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48</w:t>
            </w:r>
          </w:p>
        </w:tc>
        <w:tc>
          <w:tcPr>
            <w:tcW w:w="466" w:type="pct"/>
          </w:tcPr>
          <w:p w14:paraId="0B7A1743"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47</w:t>
            </w:r>
          </w:p>
        </w:tc>
        <w:tc>
          <w:tcPr>
            <w:tcW w:w="371" w:type="pct"/>
          </w:tcPr>
          <w:p w14:paraId="65DB1A16"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177</w:t>
            </w:r>
          </w:p>
        </w:tc>
        <w:tc>
          <w:tcPr>
            <w:tcW w:w="378" w:type="pct"/>
          </w:tcPr>
          <w:p w14:paraId="2184B967"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27</w:t>
            </w:r>
          </w:p>
        </w:tc>
        <w:tc>
          <w:tcPr>
            <w:tcW w:w="379" w:type="pct"/>
          </w:tcPr>
          <w:p w14:paraId="7BC95E1C"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14</w:t>
            </w:r>
          </w:p>
        </w:tc>
        <w:tc>
          <w:tcPr>
            <w:tcW w:w="386" w:type="pct"/>
          </w:tcPr>
          <w:p w14:paraId="772C5320"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17</w:t>
            </w:r>
          </w:p>
        </w:tc>
        <w:tc>
          <w:tcPr>
            <w:tcW w:w="357" w:type="pct"/>
          </w:tcPr>
          <w:p w14:paraId="7A7DF5AC"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108</w:t>
            </w:r>
          </w:p>
        </w:tc>
        <w:tc>
          <w:tcPr>
            <w:tcW w:w="378" w:type="pct"/>
          </w:tcPr>
          <w:p w14:paraId="4D46BBD9"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48</w:t>
            </w:r>
          </w:p>
        </w:tc>
        <w:tc>
          <w:tcPr>
            <w:tcW w:w="472" w:type="pct"/>
          </w:tcPr>
          <w:p w14:paraId="2DA1511F" w14:textId="77777777" w:rsidR="00944379" w:rsidRPr="00E164E5" w:rsidRDefault="00944379" w:rsidP="008A621A">
            <w:pPr>
              <w:spacing w:before="100" w:after="100"/>
              <w:jc w:val="right"/>
              <w:rPr>
                <w:rFonts w:eastAsia="Yu Gothic Light" w:cs="Arial"/>
                <w:b/>
                <w:bCs/>
                <w:color w:val="033636"/>
                <w:sz w:val="18"/>
                <w:szCs w:val="18"/>
              </w:rPr>
            </w:pPr>
            <w:r w:rsidRPr="00F257AF">
              <w:rPr>
                <w:rFonts w:eastAsia="Arial" w:cs="Arial"/>
                <w:b/>
                <w:color w:val="033636"/>
                <w:sz w:val="18"/>
                <w:szCs w:val="18"/>
              </w:rPr>
              <w:t>486</w:t>
            </w:r>
          </w:p>
        </w:tc>
      </w:tr>
      <w:tr w:rsidR="00944379" w:rsidRPr="00E164E5" w14:paraId="4E6C25A4" w14:textId="77777777" w:rsidTr="007A7D7F">
        <w:tc>
          <w:tcPr>
            <w:tcW w:w="1347" w:type="pct"/>
          </w:tcPr>
          <w:p w14:paraId="5FCD8BE4" w14:textId="77777777" w:rsidR="00944379" w:rsidRPr="00E164E5" w:rsidRDefault="00944379" w:rsidP="008A621A">
            <w:pPr>
              <w:spacing w:before="100" w:after="100"/>
              <w:rPr>
                <w:rFonts w:eastAsia="Yu Gothic Light" w:cs="Arial"/>
                <w:color w:val="033636"/>
                <w:sz w:val="18"/>
                <w:szCs w:val="18"/>
              </w:rPr>
            </w:pPr>
            <w:r w:rsidRPr="00E164E5">
              <w:rPr>
                <w:rFonts w:eastAsia="Arial" w:cs="Arial"/>
                <w:color w:val="033636"/>
                <w:sz w:val="18"/>
                <w:szCs w:val="18"/>
              </w:rPr>
              <w:t>B/Victoria lineage</w:t>
            </w:r>
          </w:p>
        </w:tc>
        <w:tc>
          <w:tcPr>
            <w:tcW w:w="466" w:type="pct"/>
          </w:tcPr>
          <w:p w14:paraId="6B7C8949"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7</w:t>
            </w:r>
          </w:p>
        </w:tc>
        <w:tc>
          <w:tcPr>
            <w:tcW w:w="466" w:type="pct"/>
          </w:tcPr>
          <w:p w14:paraId="23AB9F18"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3</w:t>
            </w:r>
          </w:p>
        </w:tc>
        <w:tc>
          <w:tcPr>
            <w:tcW w:w="371" w:type="pct"/>
          </w:tcPr>
          <w:p w14:paraId="0A033304"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2</w:t>
            </w:r>
          </w:p>
        </w:tc>
        <w:tc>
          <w:tcPr>
            <w:tcW w:w="378" w:type="pct"/>
          </w:tcPr>
          <w:p w14:paraId="37C8C505"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4</w:t>
            </w:r>
          </w:p>
        </w:tc>
        <w:tc>
          <w:tcPr>
            <w:tcW w:w="379" w:type="pct"/>
          </w:tcPr>
          <w:p w14:paraId="2C3B1CDF"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86" w:type="pct"/>
          </w:tcPr>
          <w:p w14:paraId="72CF587F"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57" w:type="pct"/>
          </w:tcPr>
          <w:p w14:paraId="1782F6E7"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18</w:t>
            </w:r>
          </w:p>
        </w:tc>
        <w:tc>
          <w:tcPr>
            <w:tcW w:w="378" w:type="pct"/>
          </w:tcPr>
          <w:p w14:paraId="1646ABA6"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5</w:t>
            </w:r>
          </w:p>
        </w:tc>
        <w:tc>
          <w:tcPr>
            <w:tcW w:w="472" w:type="pct"/>
          </w:tcPr>
          <w:p w14:paraId="3033CDD5" w14:textId="77777777" w:rsidR="00944379" w:rsidRPr="00E164E5" w:rsidRDefault="00944379" w:rsidP="008A621A">
            <w:pPr>
              <w:spacing w:before="100" w:after="100"/>
              <w:jc w:val="right"/>
              <w:rPr>
                <w:rFonts w:eastAsia="Yu Gothic Light" w:cs="Arial"/>
                <w:b/>
                <w:bCs/>
                <w:color w:val="033636"/>
                <w:sz w:val="18"/>
                <w:szCs w:val="18"/>
              </w:rPr>
            </w:pPr>
            <w:r w:rsidRPr="00F257AF">
              <w:rPr>
                <w:rFonts w:eastAsia="Arial" w:cs="Arial"/>
                <w:b/>
                <w:color w:val="033636"/>
                <w:sz w:val="18"/>
                <w:szCs w:val="18"/>
              </w:rPr>
              <w:t>39</w:t>
            </w:r>
          </w:p>
        </w:tc>
      </w:tr>
      <w:tr w:rsidR="00944379" w:rsidRPr="00E164E5" w14:paraId="30E84962" w14:textId="77777777" w:rsidTr="007A7D7F">
        <w:tc>
          <w:tcPr>
            <w:tcW w:w="1347" w:type="pct"/>
          </w:tcPr>
          <w:p w14:paraId="25ECE670" w14:textId="77777777" w:rsidR="00944379" w:rsidRPr="00E164E5" w:rsidRDefault="00944379" w:rsidP="008A621A">
            <w:pPr>
              <w:spacing w:before="100" w:after="100"/>
              <w:rPr>
                <w:rFonts w:cs="Arial"/>
                <w:color w:val="033636"/>
                <w:sz w:val="18"/>
                <w:szCs w:val="18"/>
              </w:rPr>
            </w:pPr>
            <w:r w:rsidRPr="00E164E5">
              <w:rPr>
                <w:rFonts w:eastAsia="Arial" w:cs="Arial"/>
                <w:color w:val="033636"/>
                <w:sz w:val="18"/>
                <w:szCs w:val="18"/>
              </w:rPr>
              <w:t>B/Yamagata lineage</w:t>
            </w:r>
          </w:p>
        </w:tc>
        <w:tc>
          <w:tcPr>
            <w:tcW w:w="466" w:type="pct"/>
          </w:tcPr>
          <w:p w14:paraId="0C5112B5"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466" w:type="pct"/>
          </w:tcPr>
          <w:p w14:paraId="1D477030"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71" w:type="pct"/>
          </w:tcPr>
          <w:p w14:paraId="58A7B163"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78" w:type="pct"/>
          </w:tcPr>
          <w:p w14:paraId="344CF589"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79" w:type="pct"/>
          </w:tcPr>
          <w:p w14:paraId="0774690E"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86" w:type="pct"/>
          </w:tcPr>
          <w:p w14:paraId="17EF0139"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57" w:type="pct"/>
          </w:tcPr>
          <w:p w14:paraId="470EB7F5"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378" w:type="pct"/>
          </w:tcPr>
          <w:p w14:paraId="1AB3FA16" w14:textId="77777777" w:rsidR="00944379" w:rsidRPr="00E164E5" w:rsidRDefault="00944379" w:rsidP="008A621A">
            <w:pPr>
              <w:spacing w:before="100" w:after="100"/>
              <w:jc w:val="right"/>
              <w:rPr>
                <w:rFonts w:eastAsia="Yu Gothic Light" w:cs="Arial"/>
                <w:color w:val="033636"/>
                <w:sz w:val="18"/>
                <w:szCs w:val="18"/>
              </w:rPr>
            </w:pPr>
            <w:r w:rsidRPr="00E164E5">
              <w:rPr>
                <w:rFonts w:eastAsia="Arial" w:cs="Arial"/>
                <w:color w:val="033636"/>
                <w:sz w:val="18"/>
                <w:szCs w:val="18"/>
              </w:rPr>
              <w:t>0</w:t>
            </w:r>
          </w:p>
        </w:tc>
        <w:tc>
          <w:tcPr>
            <w:tcW w:w="472" w:type="pct"/>
          </w:tcPr>
          <w:p w14:paraId="058DEDCB" w14:textId="77777777" w:rsidR="00944379" w:rsidRPr="00E164E5" w:rsidRDefault="00944379" w:rsidP="008A621A">
            <w:pPr>
              <w:spacing w:before="100" w:after="100"/>
              <w:jc w:val="right"/>
              <w:rPr>
                <w:rFonts w:eastAsia="Yu Gothic Light" w:cs="Arial"/>
                <w:b/>
                <w:bCs/>
                <w:color w:val="033636"/>
                <w:sz w:val="18"/>
                <w:szCs w:val="18"/>
              </w:rPr>
            </w:pPr>
            <w:r w:rsidRPr="00F257AF">
              <w:rPr>
                <w:rFonts w:eastAsia="Arial" w:cs="Arial"/>
                <w:b/>
                <w:color w:val="033636"/>
                <w:sz w:val="18"/>
                <w:szCs w:val="18"/>
              </w:rPr>
              <w:t>0</w:t>
            </w:r>
          </w:p>
        </w:tc>
      </w:tr>
      <w:tr w:rsidR="00944379" w:rsidRPr="00E164E5" w14:paraId="29889C3F" w14:textId="77777777" w:rsidTr="007A7D7F">
        <w:tc>
          <w:tcPr>
            <w:tcW w:w="1347" w:type="pct"/>
          </w:tcPr>
          <w:p w14:paraId="5A53F6C3" w14:textId="77777777" w:rsidR="00944379" w:rsidRPr="00E164E5" w:rsidRDefault="00944379" w:rsidP="008A621A">
            <w:pPr>
              <w:spacing w:before="100" w:after="100"/>
              <w:rPr>
                <w:rFonts w:eastAsia="Yu Gothic Light" w:cs="Arial"/>
                <w:b/>
                <w:color w:val="033636"/>
                <w:sz w:val="18"/>
                <w:szCs w:val="18"/>
              </w:rPr>
            </w:pPr>
            <w:r w:rsidRPr="00E164E5" w:rsidDel="00F11DC9">
              <w:rPr>
                <w:rFonts w:eastAsia="Arial"/>
                <w:b/>
                <w:color w:val="033636"/>
                <w:sz w:val="18"/>
                <w:szCs w:val="18"/>
              </w:rPr>
              <w:t>Total</w:t>
            </w:r>
          </w:p>
        </w:tc>
        <w:tc>
          <w:tcPr>
            <w:tcW w:w="466" w:type="pct"/>
          </w:tcPr>
          <w:p w14:paraId="622E7F96"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96</w:t>
            </w:r>
          </w:p>
        </w:tc>
        <w:tc>
          <w:tcPr>
            <w:tcW w:w="466" w:type="pct"/>
          </w:tcPr>
          <w:p w14:paraId="2CE19B26"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102</w:t>
            </w:r>
          </w:p>
        </w:tc>
        <w:tc>
          <w:tcPr>
            <w:tcW w:w="371" w:type="pct"/>
          </w:tcPr>
          <w:p w14:paraId="6609CBBB"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463</w:t>
            </w:r>
          </w:p>
        </w:tc>
        <w:tc>
          <w:tcPr>
            <w:tcW w:w="378" w:type="pct"/>
          </w:tcPr>
          <w:p w14:paraId="20D9B75A"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55</w:t>
            </w:r>
          </w:p>
        </w:tc>
        <w:tc>
          <w:tcPr>
            <w:tcW w:w="379" w:type="pct"/>
          </w:tcPr>
          <w:p w14:paraId="5B5BB92E"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44</w:t>
            </w:r>
          </w:p>
        </w:tc>
        <w:tc>
          <w:tcPr>
            <w:tcW w:w="386" w:type="pct"/>
          </w:tcPr>
          <w:p w14:paraId="68DC1078"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61</w:t>
            </w:r>
          </w:p>
        </w:tc>
        <w:tc>
          <w:tcPr>
            <w:tcW w:w="357" w:type="pct"/>
          </w:tcPr>
          <w:p w14:paraId="5D70C7F9"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280</w:t>
            </w:r>
          </w:p>
        </w:tc>
        <w:tc>
          <w:tcPr>
            <w:tcW w:w="378" w:type="pct"/>
          </w:tcPr>
          <w:p w14:paraId="4AB48960"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82</w:t>
            </w:r>
          </w:p>
        </w:tc>
        <w:tc>
          <w:tcPr>
            <w:tcW w:w="472" w:type="pct"/>
          </w:tcPr>
          <w:p w14:paraId="0B0713A0" w14:textId="77777777" w:rsidR="00944379" w:rsidRPr="00E164E5" w:rsidRDefault="00944379" w:rsidP="008A621A">
            <w:pPr>
              <w:spacing w:before="100" w:after="100"/>
              <w:jc w:val="right"/>
              <w:rPr>
                <w:rFonts w:eastAsia="Yu Gothic Light" w:cs="Arial"/>
                <w:b/>
                <w:bCs/>
                <w:color w:val="033636"/>
                <w:sz w:val="18"/>
                <w:szCs w:val="18"/>
              </w:rPr>
            </w:pPr>
            <w:r w:rsidRPr="00E164E5">
              <w:rPr>
                <w:rFonts w:eastAsia="Arial" w:cs="Arial"/>
                <w:b/>
                <w:color w:val="033636"/>
                <w:sz w:val="18"/>
                <w:szCs w:val="18"/>
              </w:rPr>
              <w:t>1,183</w:t>
            </w:r>
          </w:p>
        </w:tc>
      </w:tr>
    </w:tbl>
    <w:p w14:paraId="046ABEC8" w14:textId="77777777" w:rsidR="009F44F5" w:rsidRPr="00E164E5" w:rsidRDefault="008A621A">
      <w:pPr>
        <w:pStyle w:val="Smalltext"/>
      </w:pPr>
      <w:r w:rsidRPr="00E164E5">
        <w:t>*Viruses tested by the WHOCC for Reference and Research on Influenza are not necessarily a random sample of all those in the community and early-year data may be based on limited samples received. There may be up to a month delay on reporting of samples.</w:t>
      </w:r>
      <w:r w:rsidRPr="00E164E5">
        <w:br/>
        <w:t>† Jurisdiction indicates the residential location for the individual tested, not the submitting laboratory.</w:t>
      </w:r>
    </w:p>
    <w:p w14:paraId="046ABEC9" w14:textId="77777777" w:rsidR="009F44F5" w:rsidRPr="00E164E5" w:rsidRDefault="009F44F5">
      <w:pPr>
        <w:pStyle w:val="Smalltext"/>
      </w:pPr>
    </w:p>
    <w:p w14:paraId="046ABECA" w14:textId="77777777" w:rsidR="009F44F5" w:rsidRPr="008A77B9" w:rsidRDefault="008A621A">
      <w:pPr>
        <w:pStyle w:val="Heading4"/>
      </w:pPr>
      <w:bookmarkStart w:id="34" w:name="nndss-3"/>
      <w:bookmarkEnd w:id="33"/>
      <w:r w:rsidRPr="008A77B9">
        <w:lastRenderedPageBreak/>
        <w:t>NNDSS</w:t>
      </w:r>
    </w:p>
    <w:p w14:paraId="046ABECB" w14:textId="38ED74CE" w:rsidR="009F44F5" w:rsidRPr="008A77B9" w:rsidRDefault="008A621A" w:rsidP="00806003">
      <w:pPr>
        <w:numPr>
          <w:ilvl w:val="0"/>
          <w:numId w:val="56"/>
        </w:numPr>
      </w:pPr>
      <w:r w:rsidRPr="008A77B9">
        <w:t>In this fortnight (3 June to 16 June 2024), of the 25,929 influenza notifications reported to the NNDSS, 97.1% (25,166/25,929) were influenza A(</w:t>
      </w:r>
      <w:r w:rsidR="00836486">
        <w:t>U</w:t>
      </w:r>
      <w:r w:rsidRPr="008A77B9">
        <w:t xml:space="preserve">nsubtyped), 1.7% (431/25,929) were influenza B; 0.8% (220/25,929) were influenza A(H3N2); and 0.4% (104/25,929) were influenza A(H1N1). </w:t>
      </w:r>
      <w:r w:rsidR="008A77B9" w:rsidRPr="008A77B9">
        <w:t xml:space="preserve">There were six </w:t>
      </w:r>
      <w:r w:rsidRPr="008A77B9">
        <w:t>influenza A&amp;B co-detection</w:t>
      </w:r>
      <w:r w:rsidR="008A77B9" w:rsidRPr="008A77B9">
        <w:t>s</w:t>
      </w:r>
      <w:r w:rsidRPr="008A77B9">
        <w:t xml:space="preserve"> (</w:t>
      </w:r>
      <w:r w:rsidR="00DA0694" w:rsidRPr="008A77B9">
        <w:t>Figure 21</w:t>
      </w:r>
      <w:r w:rsidRPr="008A77B9">
        <w:t>).</w:t>
      </w:r>
    </w:p>
    <w:p w14:paraId="046ABECC" w14:textId="38546C96" w:rsidR="009F44F5" w:rsidRPr="0074311A" w:rsidRDefault="008A621A" w:rsidP="00806003">
      <w:pPr>
        <w:numPr>
          <w:ilvl w:val="0"/>
          <w:numId w:val="56"/>
        </w:numPr>
      </w:pPr>
      <w:r w:rsidRPr="0074311A">
        <w:t>In the year to date, influenza A has accounted for the majority of influenza notifications in most jurisdictions (</w:t>
      </w:r>
      <w:r w:rsidR="00DA0694" w:rsidRPr="0074311A">
        <w:t>Figure 22</w:t>
      </w:r>
      <w:r w:rsidRPr="0074311A">
        <w:t>).</w:t>
      </w:r>
    </w:p>
    <w:p w14:paraId="046ABECD" w14:textId="10A8998E" w:rsidR="009F44F5" w:rsidRPr="0074311A" w:rsidRDefault="00DA0694">
      <w:r w:rsidRPr="0074311A">
        <w:rPr>
          <w:b/>
          <w:bCs/>
        </w:rPr>
        <w:t>Figure 21</w:t>
      </w:r>
      <w:r w:rsidR="008A621A" w:rsidRPr="0074311A">
        <w:rPr>
          <w:b/>
          <w:bCs/>
        </w:rPr>
        <w:t>: Proportion of influenza notifications to the NNDSS by subtype and week of diagnosis, Australia, 1 January to 16 June 2024</w:t>
      </w:r>
    </w:p>
    <w:p w14:paraId="046ABECE" w14:textId="77777777" w:rsidR="009F44F5" w:rsidRPr="0074311A" w:rsidRDefault="008A621A">
      <w:pPr>
        <w:pStyle w:val="BodyText"/>
      </w:pPr>
      <w:r w:rsidRPr="0074311A">
        <w:rPr>
          <w:noProof/>
        </w:rPr>
        <w:drawing>
          <wp:inline distT="0" distB="0" distL="0" distR="0" wp14:anchorId="046ABF0C" wp14:editId="05259693">
            <wp:extent cx="6184900" cy="2731980"/>
            <wp:effectExtent l="0" t="0" r="0" b="0"/>
            <wp:docPr id="107" name="Graphic 107" descr="A 100% stacked bar chart shows the relative proportion of influenza notifications to the NNDSS by subtype, with diagnosis dates from 1 January to 16 June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
            <wp:cNvGraphicFramePr/>
            <a:graphic xmlns:a="http://schemas.openxmlformats.org/drawingml/2006/main">
              <a:graphicData uri="http://schemas.openxmlformats.org/drawingml/2006/picture">
                <pic:pic xmlns:pic="http://schemas.openxmlformats.org/drawingml/2006/picture">
                  <pic:nvPicPr>
                    <pic:cNvPr id="107" name="Graphic 107" descr="A 100% stacked bar chart shows the relative proportion of influenza notifications to the NNDSS by subtype, with diagnosis dates from 1 January to 16 June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ECF" w14:textId="5560B616" w:rsidR="009F44F5" w:rsidRPr="0074311A" w:rsidRDefault="00DA0694">
      <w:pPr>
        <w:pStyle w:val="BodyText"/>
      </w:pPr>
      <w:r w:rsidRPr="0074311A">
        <w:rPr>
          <w:b/>
          <w:bCs/>
        </w:rPr>
        <w:t>Figure 22</w:t>
      </w:r>
      <w:r w:rsidR="008A621A" w:rsidRPr="0074311A">
        <w:rPr>
          <w:b/>
          <w:bCs/>
        </w:rPr>
        <w:t>: Proportion of influenza notifications to the NNDSS by subtype and jurisdiction*, Australia, 1 January to 16 June 2024</w:t>
      </w:r>
    </w:p>
    <w:p w14:paraId="046ABED0" w14:textId="77777777" w:rsidR="009F44F5" w:rsidRPr="0074311A" w:rsidRDefault="008A621A">
      <w:pPr>
        <w:pStyle w:val="BodyText"/>
      </w:pPr>
      <w:r w:rsidRPr="0074311A">
        <w:rPr>
          <w:noProof/>
        </w:rPr>
        <w:drawing>
          <wp:inline distT="0" distB="0" distL="0" distR="0" wp14:anchorId="046ABF0E" wp14:editId="0D2BFB99">
            <wp:extent cx="6184900" cy="2731980"/>
            <wp:effectExtent l="0" t="0" r="0" b="0"/>
            <wp:docPr id="110" name="Graphic 110" descr="A 100% stacked bar chart shows the relative proportion of influenza notifications to the NNDSS by subtype and state or territory of residence, from 1 January to 16 June 2024. Since the beginning of 2024, the majority of influenza notifications reported to the NNDSS from most jurisdictions have been influenza A(unsubtyped), followed by influenza B."/>
            <wp:cNvGraphicFramePr/>
            <a:graphic xmlns:a="http://schemas.openxmlformats.org/drawingml/2006/main">
              <a:graphicData uri="http://schemas.openxmlformats.org/drawingml/2006/picture">
                <pic:pic xmlns:pic="http://schemas.openxmlformats.org/drawingml/2006/picture">
                  <pic:nvPicPr>
                    <pic:cNvPr id="110" name="Graphic 110" descr="A 100% stacked bar chart shows the relative proportion of influenza notifications to the NNDSS by subtype and state or territory of residence, from 1 January to 16 June 2024. Since the beginning of 2024, the majority of influenza notifications reported to the NNDSS from most jurisdictions have been influenza A(unsubtyped), followed by influenza B."/>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6ABED1" w14:textId="77777777" w:rsidR="009F44F5" w:rsidRPr="00836486" w:rsidRDefault="008A621A">
      <w:pPr>
        <w:pStyle w:val="Heading4"/>
      </w:pPr>
      <w:bookmarkStart w:id="35" w:name="flucan-1"/>
      <w:bookmarkEnd w:id="34"/>
      <w:r w:rsidRPr="00836486">
        <w:t>FluCAN</w:t>
      </w:r>
    </w:p>
    <w:p w14:paraId="046ABED2" w14:textId="5229EFC4" w:rsidR="009F44F5" w:rsidRPr="00836486" w:rsidRDefault="008A621A" w:rsidP="00806003">
      <w:pPr>
        <w:numPr>
          <w:ilvl w:val="0"/>
          <w:numId w:val="57"/>
        </w:numPr>
      </w:pPr>
      <w:r w:rsidRPr="00836486">
        <w:t xml:space="preserve">Since influenza surveillance commenced on 1 April 2024 to date for FluCAN severity reporting (2 June 2024), 96.4% (704/730) of patients admitted with influenza to FluCAN sentinel hospitals have been due to influenza A and 3.6% (26/730) have been due to </w:t>
      </w:r>
      <w:r w:rsidRPr="00836486">
        <w:lastRenderedPageBreak/>
        <w:t>influenza B. Of the hospital admissions due to influenza A: 91.2% (642/704) were A(Unsubtyped), 7.7% (54/704) were A(H1N1) and 1.1% (8/704) were A(H3N2).</w:t>
      </w:r>
    </w:p>
    <w:p w14:paraId="046ABED3" w14:textId="342A4772" w:rsidR="009F44F5" w:rsidRPr="00EB4E26" w:rsidRDefault="008A621A" w:rsidP="00806003">
      <w:pPr>
        <w:numPr>
          <w:ilvl w:val="0"/>
          <w:numId w:val="57"/>
        </w:numPr>
      </w:pPr>
      <w:r w:rsidRPr="00EB4E26">
        <w:t>Since influenza surveillance commenced on 1 April 2024 to date for FluCAN severity reporting, of the 37 patients who have been admitted directly to intensive care in a FluCAN sentinel hospital with influenza, 100.0% (37/37) have been due to influenza A. Of the intensive care admissions due to influenza A: 89.2% (33/37) were A(</w:t>
      </w:r>
      <w:r w:rsidR="00EB4E26" w:rsidRPr="00EB4E26">
        <w:t>U</w:t>
      </w:r>
      <w:r w:rsidRPr="00EB4E26">
        <w:t>nsubtyped)</w:t>
      </w:r>
      <w:r w:rsidR="00EB4E26" w:rsidRPr="00EB4E26">
        <w:t xml:space="preserve"> and</w:t>
      </w:r>
      <w:r w:rsidRPr="00EB4E26">
        <w:t xml:space="preserve"> 10.8% (4/37) were A(H1N1).</w:t>
      </w:r>
    </w:p>
    <w:p w14:paraId="046ABED4" w14:textId="77777777" w:rsidR="009F44F5" w:rsidRDefault="008A621A">
      <w:r>
        <w:br w:type="page"/>
      </w:r>
    </w:p>
    <w:p w14:paraId="046ABED5" w14:textId="77777777" w:rsidR="009F44F5" w:rsidRDefault="008A621A">
      <w:pPr>
        <w:pStyle w:val="Heading2"/>
      </w:pPr>
      <w:bookmarkStart w:id="36" w:name="vaccine-coverage-effectiveness-and-match"/>
      <w:bookmarkEnd w:id="30"/>
      <w:bookmarkEnd w:id="35"/>
      <w:r>
        <w:lastRenderedPageBreak/>
        <w:t>6. Vaccine coverage, effectiveness and match</w:t>
      </w:r>
    </w:p>
    <w:p w14:paraId="046ABED6" w14:textId="77777777" w:rsidR="009F44F5" w:rsidRDefault="008A621A">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69">
        <w:r>
          <w:rPr>
            <w:rStyle w:val="Hyperlink"/>
          </w:rPr>
          <w:t>Technical Supplement – Australian Respiratory Surveillance Report</w:t>
        </w:r>
      </w:hyperlink>
      <w:r>
        <w:t xml:space="preserve"> for further detail on relevant vaccine terminology.</w:t>
      </w:r>
    </w:p>
    <w:p w14:paraId="046ABED7" w14:textId="77777777" w:rsidR="009F44F5" w:rsidRDefault="008A621A">
      <w:pPr>
        <w:pStyle w:val="Heading3"/>
      </w:pPr>
      <w:bookmarkStart w:id="37" w:name="vaccine-coverage"/>
      <w:r>
        <w:t>6.1 Vaccine coverage</w:t>
      </w:r>
    </w:p>
    <w:p w14:paraId="046ABED8" w14:textId="77777777" w:rsidR="009F44F5" w:rsidRDefault="008A621A" w:rsidP="00806003">
      <w:pPr>
        <w:numPr>
          <w:ilvl w:val="0"/>
          <w:numId w:val="58"/>
        </w:numPr>
      </w:pPr>
      <w:r>
        <w:t>It is too early to assess vaccine coverage for the 2024 influenza season.</w:t>
      </w:r>
    </w:p>
    <w:p w14:paraId="046ABED9" w14:textId="77777777" w:rsidR="009F44F5" w:rsidRDefault="008A621A">
      <w:pPr>
        <w:pStyle w:val="Heading3"/>
      </w:pPr>
      <w:bookmarkStart w:id="38" w:name="vaccine-effectiveness"/>
      <w:bookmarkEnd w:id="37"/>
      <w:r>
        <w:t>6.2 Vaccine effectiveness</w:t>
      </w:r>
    </w:p>
    <w:p w14:paraId="046ABEDA" w14:textId="77777777" w:rsidR="009F44F5" w:rsidRDefault="008A621A" w:rsidP="00806003">
      <w:pPr>
        <w:numPr>
          <w:ilvl w:val="0"/>
          <w:numId w:val="59"/>
        </w:numPr>
      </w:pPr>
      <w:r>
        <w:t>It is too early to assess vaccine effectiveness for the 2024 influenza season.</w:t>
      </w:r>
    </w:p>
    <w:p w14:paraId="046ABEDB" w14:textId="77777777" w:rsidR="009F44F5" w:rsidRDefault="008A621A">
      <w:pPr>
        <w:pStyle w:val="Heading3"/>
      </w:pPr>
      <w:bookmarkStart w:id="39" w:name="vaccine-match"/>
      <w:bookmarkEnd w:id="38"/>
      <w:r>
        <w:t>6.3 Vaccine match</w:t>
      </w:r>
    </w:p>
    <w:p w14:paraId="046ABEDC" w14:textId="77777777" w:rsidR="009F44F5" w:rsidRDefault="008A621A">
      <w:pPr>
        <w:pStyle w:val="Heading4"/>
      </w:pPr>
      <w:bookmarkStart w:id="40" w:name="Xda89bbb2a4c0caad83732639f007e8847ab4043"/>
      <w:r>
        <w:t>WHOCC for Reference and Research on Influenza</w:t>
      </w:r>
    </w:p>
    <w:p w14:paraId="046ABEDD" w14:textId="38EF9649" w:rsidR="009F44F5" w:rsidRPr="0016481C" w:rsidRDefault="008A621A" w:rsidP="00806003">
      <w:pPr>
        <w:numPr>
          <w:ilvl w:val="0"/>
          <w:numId w:val="60"/>
        </w:numPr>
      </w:pPr>
      <w:r w:rsidRPr="0016481C">
        <w:t>In the year to date, of the 1,183 samples referred to the WHOCC, 98.2% (646/658) of influenza A(H1N1) isolates, 94.0% (457/486) of influenza A(H3N2) isolates and 100% (39/39) of influenza B/Victoria isolates have been antigenically similar to the corresponding vaccine components.</w:t>
      </w:r>
    </w:p>
    <w:p w14:paraId="046ABEDE" w14:textId="77777777" w:rsidR="009F44F5" w:rsidRDefault="008A621A">
      <w:pPr>
        <w:pStyle w:val="Heading4"/>
      </w:pPr>
      <w:bookmarkStart w:id="41" w:name="Xe9565954bca540ca29e947f2d57b7373df8b325"/>
      <w:bookmarkEnd w:id="40"/>
      <w:r>
        <w:t>Australian Influenza Vaccines Composition 2024</w:t>
      </w:r>
    </w:p>
    <w:p w14:paraId="046ABEDF" w14:textId="77777777" w:rsidR="009F44F5" w:rsidRDefault="008A621A" w:rsidP="00806003">
      <w:pPr>
        <w:numPr>
          <w:ilvl w:val="0"/>
          <w:numId w:val="61"/>
        </w:numPr>
      </w:pPr>
      <w:r>
        <w:t xml:space="preserve">All 2024 southern hemisphere </w:t>
      </w:r>
      <w:hyperlink r:id="rId70">
        <w:r>
          <w:rPr>
            <w:rStyle w:val="Hyperlink"/>
          </w:rPr>
          <w:t>seasonal influenza vaccinations</w:t>
        </w:r>
      </w:hyperlink>
      <w:r>
        <w:t xml:space="preserve"> registered for use in Australia are quadrivalent influenza vaccines.</w:t>
      </w:r>
    </w:p>
    <w:p w14:paraId="046ABEE0" w14:textId="77777777" w:rsidR="009F44F5" w:rsidRDefault="008A621A" w:rsidP="00806003">
      <w:pPr>
        <w:numPr>
          <w:ilvl w:val="0"/>
          <w:numId w:val="61"/>
        </w:numPr>
      </w:pPr>
      <w:r>
        <w:t>The influenza virus strains included in egg-based quadrivalent influenza vaccines in Australia in 2024 are:</w:t>
      </w:r>
    </w:p>
    <w:p w14:paraId="046ABEE1" w14:textId="77777777" w:rsidR="009F44F5" w:rsidRDefault="008A621A" w:rsidP="00806003">
      <w:pPr>
        <w:numPr>
          <w:ilvl w:val="1"/>
          <w:numId w:val="62"/>
        </w:numPr>
      </w:pPr>
      <w:r>
        <w:t>A/Victoria/4897/2022 (H1N1)pdm09-like virus</w:t>
      </w:r>
    </w:p>
    <w:p w14:paraId="046ABEE2" w14:textId="77777777" w:rsidR="009F44F5" w:rsidRDefault="008A621A" w:rsidP="00806003">
      <w:pPr>
        <w:numPr>
          <w:ilvl w:val="1"/>
          <w:numId w:val="62"/>
        </w:numPr>
      </w:pPr>
      <w:r>
        <w:t>A/Thailand/8/2022 (H3N2)-like virus</w:t>
      </w:r>
    </w:p>
    <w:p w14:paraId="046ABEE3" w14:textId="77777777" w:rsidR="009F44F5" w:rsidRDefault="008A621A" w:rsidP="00806003">
      <w:pPr>
        <w:numPr>
          <w:ilvl w:val="1"/>
          <w:numId w:val="62"/>
        </w:numPr>
      </w:pPr>
      <w:r>
        <w:t>B/Austria/1359417/2021 (B/Victoria lineage)-like virus</w:t>
      </w:r>
    </w:p>
    <w:p w14:paraId="046ABEE4" w14:textId="77777777" w:rsidR="009F44F5" w:rsidRDefault="008A621A" w:rsidP="00806003">
      <w:pPr>
        <w:numPr>
          <w:ilvl w:val="1"/>
          <w:numId w:val="62"/>
        </w:numPr>
      </w:pPr>
      <w:r>
        <w:t>B/Phuket/3073/2013 (B/Yamagata lineage)-like virus.</w:t>
      </w:r>
    </w:p>
    <w:p w14:paraId="046ABEE5" w14:textId="77777777" w:rsidR="009F44F5" w:rsidRDefault="008A621A" w:rsidP="00806003">
      <w:pPr>
        <w:numPr>
          <w:ilvl w:val="0"/>
          <w:numId w:val="61"/>
        </w:numPr>
      </w:pPr>
      <w:r>
        <w:t>The influenza virus strains included in cell-based quadrivalent influenza vaccines in Australia in 2024 are:</w:t>
      </w:r>
    </w:p>
    <w:p w14:paraId="046ABEE6" w14:textId="77777777" w:rsidR="009F44F5" w:rsidRDefault="008A621A" w:rsidP="00806003">
      <w:pPr>
        <w:numPr>
          <w:ilvl w:val="1"/>
          <w:numId w:val="63"/>
        </w:numPr>
      </w:pPr>
      <w:r>
        <w:t>A/Wisconsin/67/2022 (H1N1)pdm09-like virus</w:t>
      </w:r>
    </w:p>
    <w:p w14:paraId="046ABEE7" w14:textId="77777777" w:rsidR="009F44F5" w:rsidRDefault="008A621A" w:rsidP="00806003">
      <w:pPr>
        <w:numPr>
          <w:ilvl w:val="1"/>
          <w:numId w:val="63"/>
        </w:numPr>
      </w:pPr>
      <w:r>
        <w:t>A/Massachusetts/18/2022 (H3N2)-like virus</w:t>
      </w:r>
    </w:p>
    <w:p w14:paraId="046ABEE8" w14:textId="77777777" w:rsidR="009F44F5" w:rsidRDefault="008A621A" w:rsidP="00806003">
      <w:pPr>
        <w:numPr>
          <w:ilvl w:val="1"/>
          <w:numId w:val="63"/>
        </w:numPr>
      </w:pPr>
      <w:r>
        <w:t>B/Austria/1359417/2021 (B/Victoria lineage)-like virus</w:t>
      </w:r>
    </w:p>
    <w:p w14:paraId="046ABEE9" w14:textId="77777777" w:rsidR="009F44F5" w:rsidRDefault="008A621A" w:rsidP="00806003">
      <w:pPr>
        <w:numPr>
          <w:ilvl w:val="1"/>
          <w:numId w:val="63"/>
        </w:numPr>
      </w:pPr>
      <w:r>
        <w:t>B/Phuket/3073/2013 (B/Yamagata lineage)-like virus.</w:t>
      </w:r>
    </w:p>
    <w:bookmarkEnd w:id="36"/>
    <w:bookmarkEnd w:id="39"/>
    <w:bookmarkEnd w:id="41"/>
    <w:p w14:paraId="046ABEEB" w14:textId="55F945B4" w:rsidR="009F44F5" w:rsidRDefault="009F44F5" w:rsidP="008A298D"/>
    <w:sectPr w:rsidR="009F44F5" w:rsidSect="000A2B2D">
      <w:footerReference w:type="default" r:id="rId71"/>
      <w:headerReference w:type="first" r:id="rId7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5E673" w14:textId="77777777" w:rsidR="00201B61" w:rsidRDefault="00201B61">
      <w:pPr>
        <w:spacing w:before="0" w:after="0" w:line="240" w:lineRule="auto"/>
      </w:pPr>
      <w:r>
        <w:separator/>
      </w:r>
    </w:p>
  </w:endnote>
  <w:endnote w:type="continuationSeparator" w:id="0">
    <w:p w14:paraId="2288DC8A" w14:textId="77777777" w:rsidR="00201B61" w:rsidRDefault="00201B61">
      <w:pPr>
        <w:spacing w:before="0" w:after="0" w:line="240" w:lineRule="auto"/>
      </w:pPr>
      <w:r>
        <w:continuationSeparator/>
      </w:r>
    </w:p>
  </w:endnote>
  <w:endnote w:type="continuationNotice" w:id="1">
    <w:p w14:paraId="3BB84FBA" w14:textId="77777777" w:rsidR="00201B61" w:rsidRDefault="00201B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33636" w:themeColor="text1"/>
        <w:sz w:val="16"/>
        <w:szCs w:val="16"/>
      </w:rPr>
      <w:id w:val="890775822"/>
      <w:docPartObj>
        <w:docPartGallery w:val="Page Numbers (Bottom of Page)"/>
        <w:docPartUnique/>
      </w:docPartObj>
    </w:sdtPr>
    <w:sdtEndPr>
      <w:rPr>
        <w:noProof/>
      </w:rPr>
    </w:sdtEndPr>
    <w:sdtContent>
      <w:p w14:paraId="0CFB9CAE" w14:textId="18A3A18E" w:rsidR="009C2AF4" w:rsidRPr="000A2556" w:rsidRDefault="000A2556" w:rsidP="000A2B2D">
        <w:pPr>
          <w:pStyle w:val="Footer"/>
          <w:rPr>
            <w:color w:val="033636" w:themeColor="text1"/>
            <w:sz w:val="16"/>
            <w:szCs w:val="16"/>
          </w:rPr>
        </w:pPr>
        <w:r w:rsidRPr="000A2556">
          <w:rPr>
            <w:rStyle w:val="normaltextrun"/>
            <w:rFonts w:cs="Arial"/>
            <w:color w:val="033636"/>
            <w:sz w:val="16"/>
            <w:szCs w:val="16"/>
            <w:bdr w:val="none" w:sz="0" w:space="0" w:color="auto" w:frame="1"/>
          </w:rPr>
          <w:t>Interim Australian Centre for Disease Control</w:t>
        </w:r>
        <w:r>
          <w:rPr>
            <w:rStyle w:val="normaltextrun"/>
            <w:rFonts w:cs="Arial"/>
            <w:color w:val="033636"/>
            <w:sz w:val="16"/>
            <w:szCs w:val="16"/>
            <w:bdr w:val="none" w:sz="0" w:space="0" w:color="auto" w:frame="1"/>
          </w:rPr>
          <w:tab/>
        </w:r>
        <w:r>
          <w:rPr>
            <w:rStyle w:val="normaltextrun"/>
            <w:rFonts w:cs="Arial"/>
            <w:color w:val="033636"/>
            <w:sz w:val="16"/>
            <w:szCs w:val="16"/>
            <w:bdr w:val="none" w:sz="0" w:space="0" w:color="auto" w:frame="1"/>
          </w:rPr>
          <w:tab/>
        </w:r>
        <w:r w:rsidR="000A2B2D" w:rsidRPr="000A2556">
          <w:rPr>
            <w:color w:val="033636" w:themeColor="text1"/>
            <w:sz w:val="16"/>
            <w:szCs w:val="16"/>
          </w:rPr>
          <w:fldChar w:fldCharType="begin"/>
        </w:r>
        <w:r w:rsidR="000A2B2D" w:rsidRPr="000A2556">
          <w:rPr>
            <w:color w:val="033636" w:themeColor="text1"/>
            <w:sz w:val="16"/>
            <w:szCs w:val="16"/>
          </w:rPr>
          <w:instrText xml:space="preserve"> PAGE   \* MERGEFORMAT </w:instrText>
        </w:r>
        <w:r w:rsidR="000A2B2D" w:rsidRPr="000A2556">
          <w:rPr>
            <w:color w:val="033636" w:themeColor="text1"/>
            <w:sz w:val="16"/>
            <w:szCs w:val="16"/>
          </w:rPr>
          <w:fldChar w:fldCharType="separate"/>
        </w:r>
        <w:r w:rsidR="000A2B2D" w:rsidRPr="000A2556">
          <w:rPr>
            <w:noProof/>
            <w:color w:val="033636" w:themeColor="text1"/>
            <w:sz w:val="16"/>
            <w:szCs w:val="16"/>
          </w:rPr>
          <w:t>2</w:t>
        </w:r>
        <w:r w:rsidR="000A2B2D" w:rsidRPr="000A2556">
          <w:rPr>
            <w:noProof/>
            <w:color w:val="033636" w:themeColor="text1"/>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DDE75F" w14:textId="77777777" w:rsidR="00201B61" w:rsidRDefault="00201B61">
      <w:r>
        <w:separator/>
      </w:r>
    </w:p>
  </w:footnote>
  <w:footnote w:type="continuationSeparator" w:id="0">
    <w:p w14:paraId="6B503985" w14:textId="77777777" w:rsidR="00201B61" w:rsidRDefault="00201B61">
      <w:r>
        <w:continuationSeparator/>
      </w:r>
    </w:p>
  </w:footnote>
  <w:footnote w:type="continuationNotice" w:id="1">
    <w:p w14:paraId="5ACAEA84" w14:textId="77777777" w:rsidR="00201B61" w:rsidRDefault="00201B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ABF12" w14:textId="77777777" w:rsidR="008A621A" w:rsidRDefault="008A621A" w:rsidP="008A621A">
    <w:pPr>
      <w:pStyle w:val="Header"/>
    </w:pPr>
    <w:r>
      <w:rPr>
        <w:noProof/>
        <w:lang w:eastAsia="en-AU"/>
      </w:rPr>
      <w:drawing>
        <wp:anchor distT="0" distB="0" distL="114300" distR="114300" simplePos="0" relativeHeight="251658240" behindDoc="1" locked="1" layoutInCell="1" allowOverlap="1" wp14:anchorId="046ABF13" wp14:editId="046ABF14">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0761993">
    <w:abstractNumId w:val="0"/>
  </w:num>
  <w:num w:numId="8" w16cid:durableId="340474843">
    <w:abstractNumId w:val="0"/>
  </w:num>
  <w:num w:numId="9" w16cid:durableId="1903248185">
    <w:abstractNumId w:val="0"/>
  </w:num>
  <w:num w:numId="10" w16cid:durableId="802383824">
    <w:abstractNumId w:val="0"/>
  </w:num>
  <w:num w:numId="11" w16cid:durableId="519318031">
    <w:abstractNumId w:val="0"/>
  </w:num>
  <w:num w:numId="12" w16cid:durableId="1443498839">
    <w:abstractNumId w:val="0"/>
  </w:num>
  <w:num w:numId="13" w16cid:durableId="2027487442">
    <w:abstractNumId w:val="0"/>
  </w:num>
  <w:num w:numId="14" w16cid:durableId="1612978710">
    <w:abstractNumId w:val="0"/>
  </w:num>
  <w:num w:numId="15" w16cid:durableId="1262682289">
    <w:abstractNumId w:val="0"/>
  </w:num>
  <w:num w:numId="16" w16cid:durableId="897403965">
    <w:abstractNumId w:val="0"/>
  </w:num>
  <w:num w:numId="17" w16cid:durableId="1604264925">
    <w:abstractNumId w:val="0"/>
  </w:num>
  <w:num w:numId="18" w16cid:durableId="901135462">
    <w:abstractNumId w:val="0"/>
  </w:num>
  <w:num w:numId="19" w16cid:durableId="1345590366">
    <w:abstractNumId w:val="0"/>
  </w:num>
  <w:num w:numId="20" w16cid:durableId="1095587498">
    <w:abstractNumId w:val="0"/>
  </w:num>
  <w:num w:numId="21" w16cid:durableId="772936690">
    <w:abstractNumId w:val="0"/>
  </w:num>
  <w:num w:numId="22" w16cid:durableId="122892251">
    <w:abstractNumId w:val="0"/>
  </w:num>
  <w:num w:numId="23" w16cid:durableId="1661618085">
    <w:abstractNumId w:val="0"/>
  </w:num>
  <w:num w:numId="24" w16cid:durableId="1631397118">
    <w:abstractNumId w:val="0"/>
  </w:num>
  <w:num w:numId="25" w16cid:durableId="190386128">
    <w:abstractNumId w:val="0"/>
  </w:num>
  <w:num w:numId="26" w16cid:durableId="1586112991">
    <w:abstractNumId w:val="0"/>
  </w:num>
  <w:num w:numId="27" w16cid:durableId="2051761681">
    <w:abstractNumId w:val="0"/>
  </w:num>
  <w:num w:numId="28" w16cid:durableId="1709531636">
    <w:abstractNumId w:val="0"/>
  </w:num>
  <w:num w:numId="29" w16cid:durableId="1524972027">
    <w:abstractNumId w:val="0"/>
  </w:num>
  <w:num w:numId="30" w16cid:durableId="1168861247">
    <w:abstractNumId w:val="0"/>
  </w:num>
  <w:num w:numId="31" w16cid:durableId="464812877">
    <w:abstractNumId w:val="0"/>
  </w:num>
  <w:num w:numId="32" w16cid:durableId="1013605662">
    <w:abstractNumId w:val="0"/>
  </w:num>
  <w:num w:numId="33" w16cid:durableId="1215697121">
    <w:abstractNumId w:val="0"/>
  </w:num>
  <w:num w:numId="34" w16cid:durableId="497234692">
    <w:abstractNumId w:val="0"/>
  </w:num>
  <w:num w:numId="35" w16cid:durableId="1788617029">
    <w:abstractNumId w:val="0"/>
  </w:num>
  <w:num w:numId="36" w16cid:durableId="313726370">
    <w:abstractNumId w:val="0"/>
  </w:num>
  <w:num w:numId="37" w16cid:durableId="1699353471">
    <w:abstractNumId w:val="0"/>
  </w:num>
  <w:num w:numId="38" w16cid:durableId="508637671">
    <w:abstractNumId w:val="0"/>
  </w:num>
  <w:num w:numId="39" w16cid:durableId="2042854139">
    <w:abstractNumId w:val="0"/>
  </w:num>
  <w:num w:numId="40" w16cid:durableId="653023078">
    <w:abstractNumId w:val="0"/>
  </w:num>
  <w:num w:numId="41" w16cid:durableId="1679119144">
    <w:abstractNumId w:val="0"/>
  </w:num>
  <w:num w:numId="42" w16cid:durableId="1190530109">
    <w:abstractNumId w:val="0"/>
  </w:num>
  <w:num w:numId="43" w16cid:durableId="414478804">
    <w:abstractNumId w:val="0"/>
  </w:num>
  <w:num w:numId="44" w16cid:durableId="1092242915">
    <w:abstractNumId w:val="0"/>
  </w:num>
  <w:num w:numId="45" w16cid:durableId="351683479">
    <w:abstractNumId w:val="0"/>
  </w:num>
  <w:num w:numId="46" w16cid:durableId="1386487662">
    <w:abstractNumId w:val="0"/>
  </w:num>
  <w:num w:numId="47" w16cid:durableId="476647869">
    <w:abstractNumId w:val="0"/>
  </w:num>
  <w:num w:numId="48" w16cid:durableId="555244871">
    <w:abstractNumId w:val="0"/>
  </w:num>
  <w:num w:numId="49" w16cid:durableId="2042900129">
    <w:abstractNumId w:val="0"/>
  </w:num>
  <w:num w:numId="50" w16cid:durableId="1757942916">
    <w:abstractNumId w:val="0"/>
  </w:num>
  <w:num w:numId="51" w16cid:durableId="954556868">
    <w:abstractNumId w:val="0"/>
  </w:num>
  <w:num w:numId="52" w16cid:durableId="1101954357">
    <w:abstractNumId w:val="0"/>
  </w:num>
  <w:num w:numId="53" w16cid:durableId="815144922">
    <w:abstractNumId w:val="0"/>
  </w:num>
  <w:num w:numId="54" w16cid:durableId="1331130577">
    <w:abstractNumId w:val="0"/>
  </w:num>
  <w:num w:numId="55" w16cid:durableId="1521814894">
    <w:abstractNumId w:val="0"/>
  </w:num>
  <w:num w:numId="56" w16cid:durableId="187724881">
    <w:abstractNumId w:val="0"/>
  </w:num>
  <w:num w:numId="57" w16cid:durableId="1295983003">
    <w:abstractNumId w:val="0"/>
  </w:num>
  <w:num w:numId="58" w16cid:durableId="2066177694">
    <w:abstractNumId w:val="0"/>
  </w:num>
  <w:num w:numId="59" w16cid:durableId="1150100092">
    <w:abstractNumId w:val="0"/>
  </w:num>
  <w:num w:numId="60" w16cid:durableId="68580644">
    <w:abstractNumId w:val="0"/>
  </w:num>
  <w:num w:numId="61" w16cid:durableId="1618559220">
    <w:abstractNumId w:val="0"/>
  </w:num>
  <w:num w:numId="62" w16cid:durableId="260257581">
    <w:abstractNumId w:val="0"/>
  </w:num>
  <w:num w:numId="63" w16cid:durableId="1995597658">
    <w:abstractNumId w:val="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4F5"/>
    <w:rsid w:val="000009D3"/>
    <w:rsid w:val="00002DA5"/>
    <w:rsid w:val="0001098C"/>
    <w:rsid w:val="00010F4F"/>
    <w:rsid w:val="00011CFA"/>
    <w:rsid w:val="00025FAE"/>
    <w:rsid w:val="00026328"/>
    <w:rsid w:val="00032EB4"/>
    <w:rsid w:val="00047A27"/>
    <w:rsid w:val="00070242"/>
    <w:rsid w:val="00081CFF"/>
    <w:rsid w:val="0008238F"/>
    <w:rsid w:val="00083A03"/>
    <w:rsid w:val="00086536"/>
    <w:rsid w:val="00091EBE"/>
    <w:rsid w:val="00092E59"/>
    <w:rsid w:val="00093DE5"/>
    <w:rsid w:val="000A2556"/>
    <w:rsid w:val="000A2B2D"/>
    <w:rsid w:val="000B2693"/>
    <w:rsid w:val="000C1CF3"/>
    <w:rsid w:val="000C2555"/>
    <w:rsid w:val="000C54ED"/>
    <w:rsid w:val="000D0BF8"/>
    <w:rsid w:val="000D6861"/>
    <w:rsid w:val="000E374D"/>
    <w:rsid w:val="000F07B1"/>
    <w:rsid w:val="000F55DC"/>
    <w:rsid w:val="00105868"/>
    <w:rsid w:val="00105AD9"/>
    <w:rsid w:val="001162DD"/>
    <w:rsid w:val="001226C2"/>
    <w:rsid w:val="00136C14"/>
    <w:rsid w:val="0016481C"/>
    <w:rsid w:val="00172AF6"/>
    <w:rsid w:val="00173AC4"/>
    <w:rsid w:val="00175523"/>
    <w:rsid w:val="00183873"/>
    <w:rsid w:val="00186834"/>
    <w:rsid w:val="00186E06"/>
    <w:rsid w:val="00196A52"/>
    <w:rsid w:val="001A4387"/>
    <w:rsid w:val="001B711C"/>
    <w:rsid w:val="001C2F41"/>
    <w:rsid w:val="001C503D"/>
    <w:rsid w:val="001E59AF"/>
    <w:rsid w:val="001E60E4"/>
    <w:rsid w:val="001E6848"/>
    <w:rsid w:val="001F2E94"/>
    <w:rsid w:val="00201B61"/>
    <w:rsid w:val="002117C7"/>
    <w:rsid w:val="00220A38"/>
    <w:rsid w:val="00221095"/>
    <w:rsid w:val="002300C3"/>
    <w:rsid w:val="00233E81"/>
    <w:rsid w:val="002346FF"/>
    <w:rsid w:val="002367A6"/>
    <w:rsid w:val="00237C3E"/>
    <w:rsid w:val="002634A7"/>
    <w:rsid w:val="0026656D"/>
    <w:rsid w:val="002942CB"/>
    <w:rsid w:val="002A7D94"/>
    <w:rsid w:val="002B01FF"/>
    <w:rsid w:val="002C5944"/>
    <w:rsid w:val="002C6CDA"/>
    <w:rsid w:val="002F5A07"/>
    <w:rsid w:val="003103B3"/>
    <w:rsid w:val="00341189"/>
    <w:rsid w:val="00342325"/>
    <w:rsid w:val="00345284"/>
    <w:rsid w:val="00357485"/>
    <w:rsid w:val="00370D8F"/>
    <w:rsid w:val="00372E53"/>
    <w:rsid w:val="00387A58"/>
    <w:rsid w:val="003A1AB6"/>
    <w:rsid w:val="003B0B0A"/>
    <w:rsid w:val="003B3B79"/>
    <w:rsid w:val="003B63EC"/>
    <w:rsid w:val="003C43CE"/>
    <w:rsid w:val="003E3C04"/>
    <w:rsid w:val="003E6901"/>
    <w:rsid w:val="003E6D2F"/>
    <w:rsid w:val="00406B50"/>
    <w:rsid w:val="00410263"/>
    <w:rsid w:val="00410D81"/>
    <w:rsid w:val="00414F6A"/>
    <w:rsid w:val="00417E1B"/>
    <w:rsid w:val="00422CFF"/>
    <w:rsid w:val="00426CCF"/>
    <w:rsid w:val="0043757E"/>
    <w:rsid w:val="00441F27"/>
    <w:rsid w:val="004504F1"/>
    <w:rsid w:val="00455CC6"/>
    <w:rsid w:val="00461866"/>
    <w:rsid w:val="004712DD"/>
    <w:rsid w:val="00481A90"/>
    <w:rsid w:val="00483416"/>
    <w:rsid w:val="00485B71"/>
    <w:rsid w:val="004904C1"/>
    <w:rsid w:val="00494013"/>
    <w:rsid w:val="004A2831"/>
    <w:rsid w:val="004B5476"/>
    <w:rsid w:val="004C10B4"/>
    <w:rsid w:val="004C5923"/>
    <w:rsid w:val="004D2A50"/>
    <w:rsid w:val="004D3F24"/>
    <w:rsid w:val="004E065B"/>
    <w:rsid w:val="004F691B"/>
    <w:rsid w:val="00512CAE"/>
    <w:rsid w:val="00526072"/>
    <w:rsid w:val="00532917"/>
    <w:rsid w:val="005353F5"/>
    <w:rsid w:val="00541EC0"/>
    <w:rsid w:val="0054689F"/>
    <w:rsid w:val="00554717"/>
    <w:rsid w:val="00561963"/>
    <w:rsid w:val="00583AEB"/>
    <w:rsid w:val="00591116"/>
    <w:rsid w:val="005A34D7"/>
    <w:rsid w:val="005D17AA"/>
    <w:rsid w:val="005D389E"/>
    <w:rsid w:val="005D6AD4"/>
    <w:rsid w:val="005E0F7A"/>
    <w:rsid w:val="005E176D"/>
    <w:rsid w:val="005E6F1C"/>
    <w:rsid w:val="005F0DD9"/>
    <w:rsid w:val="005F23F4"/>
    <w:rsid w:val="005F2D92"/>
    <w:rsid w:val="005F3024"/>
    <w:rsid w:val="006034CE"/>
    <w:rsid w:val="00605AE7"/>
    <w:rsid w:val="00623773"/>
    <w:rsid w:val="00625C90"/>
    <w:rsid w:val="00627C97"/>
    <w:rsid w:val="00676AD0"/>
    <w:rsid w:val="00682110"/>
    <w:rsid w:val="006B77B8"/>
    <w:rsid w:val="006C37BB"/>
    <w:rsid w:val="006D32B9"/>
    <w:rsid w:val="006E1894"/>
    <w:rsid w:val="0070087A"/>
    <w:rsid w:val="00700EED"/>
    <w:rsid w:val="00701C14"/>
    <w:rsid w:val="00707882"/>
    <w:rsid w:val="00720DA3"/>
    <w:rsid w:val="0072771A"/>
    <w:rsid w:val="0073690D"/>
    <w:rsid w:val="0074311A"/>
    <w:rsid w:val="00751D6A"/>
    <w:rsid w:val="00760898"/>
    <w:rsid w:val="00761666"/>
    <w:rsid w:val="00765096"/>
    <w:rsid w:val="00766B7B"/>
    <w:rsid w:val="0077056F"/>
    <w:rsid w:val="007903A9"/>
    <w:rsid w:val="007A3130"/>
    <w:rsid w:val="007A6725"/>
    <w:rsid w:val="007A7D7F"/>
    <w:rsid w:val="007B2BCF"/>
    <w:rsid w:val="007B42D2"/>
    <w:rsid w:val="007C0207"/>
    <w:rsid w:val="007D05E7"/>
    <w:rsid w:val="007D57E7"/>
    <w:rsid w:val="007E0268"/>
    <w:rsid w:val="007F67BE"/>
    <w:rsid w:val="007F7975"/>
    <w:rsid w:val="00803D9D"/>
    <w:rsid w:val="00806003"/>
    <w:rsid w:val="0081654D"/>
    <w:rsid w:val="00824C73"/>
    <w:rsid w:val="00830123"/>
    <w:rsid w:val="008309C5"/>
    <w:rsid w:val="00836486"/>
    <w:rsid w:val="00836CE7"/>
    <w:rsid w:val="00837E02"/>
    <w:rsid w:val="00853456"/>
    <w:rsid w:val="0086559E"/>
    <w:rsid w:val="0087172B"/>
    <w:rsid w:val="00873349"/>
    <w:rsid w:val="0087485C"/>
    <w:rsid w:val="008802D0"/>
    <w:rsid w:val="00897A8F"/>
    <w:rsid w:val="008A298D"/>
    <w:rsid w:val="008A621A"/>
    <w:rsid w:val="008A77B9"/>
    <w:rsid w:val="008C1EE2"/>
    <w:rsid w:val="008C3C07"/>
    <w:rsid w:val="008C3EAC"/>
    <w:rsid w:val="008D08C6"/>
    <w:rsid w:val="008D4902"/>
    <w:rsid w:val="008E5716"/>
    <w:rsid w:val="008E5E17"/>
    <w:rsid w:val="00902CA9"/>
    <w:rsid w:val="00905570"/>
    <w:rsid w:val="00912EEC"/>
    <w:rsid w:val="00940C13"/>
    <w:rsid w:val="00943DC9"/>
    <w:rsid w:val="00944379"/>
    <w:rsid w:val="009449C0"/>
    <w:rsid w:val="00950E4A"/>
    <w:rsid w:val="009537C1"/>
    <w:rsid w:val="00956C9A"/>
    <w:rsid w:val="0097028B"/>
    <w:rsid w:val="00972B1F"/>
    <w:rsid w:val="00973013"/>
    <w:rsid w:val="00976241"/>
    <w:rsid w:val="009A6327"/>
    <w:rsid w:val="009B231E"/>
    <w:rsid w:val="009C2AF4"/>
    <w:rsid w:val="009C2DC0"/>
    <w:rsid w:val="009C6D3F"/>
    <w:rsid w:val="009D2B43"/>
    <w:rsid w:val="009D66B3"/>
    <w:rsid w:val="009E2601"/>
    <w:rsid w:val="009F44F5"/>
    <w:rsid w:val="00A205F7"/>
    <w:rsid w:val="00A23AEC"/>
    <w:rsid w:val="00A36C63"/>
    <w:rsid w:val="00A521FD"/>
    <w:rsid w:val="00A65AF2"/>
    <w:rsid w:val="00A94628"/>
    <w:rsid w:val="00AA0CD3"/>
    <w:rsid w:val="00AA1E88"/>
    <w:rsid w:val="00AC2062"/>
    <w:rsid w:val="00AD398F"/>
    <w:rsid w:val="00AE60BE"/>
    <w:rsid w:val="00B001F9"/>
    <w:rsid w:val="00B00880"/>
    <w:rsid w:val="00B00A9B"/>
    <w:rsid w:val="00B03869"/>
    <w:rsid w:val="00B24849"/>
    <w:rsid w:val="00B25329"/>
    <w:rsid w:val="00B3510F"/>
    <w:rsid w:val="00B36A27"/>
    <w:rsid w:val="00B36F4F"/>
    <w:rsid w:val="00B37E8A"/>
    <w:rsid w:val="00B51983"/>
    <w:rsid w:val="00B707CE"/>
    <w:rsid w:val="00B70BD8"/>
    <w:rsid w:val="00B72CD5"/>
    <w:rsid w:val="00B73EEB"/>
    <w:rsid w:val="00B92D55"/>
    <w:rsid w:val="00B9493D"/>
    <w:rsid w:val="00B964FD"/>
    <w:rsid w:val="00BA1EFA"/>
    <w:rsid w:val="00BA512E"/>
    <w:rsid w:val="00BA7914"/>
    <w:rsid w:val="00BB355D"/>
    <w:rsid w:val="00BC1108"/>
    <w:rsid w:val="00BC3514"/>
    <w:rsid w:val="00BC69A0"/>
    <w:rsid w:val="00BE0428"/>
    <w:rsid w:val="00BE1B2C"/>
    <w:rsid w:val="00BF372C"/>
    <w:rsid w:val="00C017C0"/>
    <w:rsid w:val="00C20709"/>
    <w:rsid w:val="00C24522"/>
    <w:rsid w:val="00C42136"/>
    <w:rsid w:val="00C438B8"/>
    <w:rsid w:val="00C46AA7"/>
    <w:rsid w:val="00C50DC9"/>
    <w:rsid w:val="00C55989"/>
    <w:rsid w:val="00C6053A"/>
    <w:rsid w:val="00C62A1A"/>
    <w:rsid w:val="00C86761"/>
    <w:rsid w:val="00C90654"/>
    <w:rsid w:val="00CC5053"/>
    <w:rsid w:val="00CE1863"/>
    <w:rsid w:val="00CF3442"/>
    <w:rsid w:val="00D10007"/>
    <w:rsid w:val="00D10243"/>
    <w:rsid w:val="00D2464B"/>
    <w:rsid w:val="00D37AF0"/>
    <w:rsid w:val="00D65570"/>
    <w:rsid w:val="00D67F16"/>
    <w:rsid w:val="00D72102"/>
    <w:rsid w:val="00D81AAC"/>
    <w:rsid w:val="00DA0694"/>
    <w:rsid w:val="00DA12BA"/>
    <w:rsid w:val="00DA24C6"/>
    <w:rsid w:val="00DA253E"/>
    <w:rsid w:val="00DB1363"/>
    <w:rsid w:val="00DB42CB"/>
    <w:rsid w:val="00DB4F11"/>
    <w:rsid w:val="00DC02B5"/>
    <w:rsid w:val="00DC6140"/>
    <w:rsid w:val="00DD28AC"/>
    <w:rsid w:val="00DD5A35"/>
    <w:rsid w:val="00DF76C3"/>
    <w:rsid w:val="00E025D8"/>
    <w:rsid w:val="00E13A0C"/>
    <w:rsid w:val="00E164E5"/>
    <w:rsid w:val="00E31CE4"/>
    <w:rsid w:val="00E34875"/>
    <w:rsid w:val="00E4313F"/>
    <w:rsid w:val="00E44AAD"/>
    <w:rsid w:val="00E6762E"/>
    <w:rsid w:val="00E866E5"/>
    <w:rsid w:val="00EA43CD"/>
    <w:rsid w:val="00EB4E26"/>
    <w:rsid w:val="00EC0D1A"/>
    <w:rsid w:val="00EC3833"/>
    <w:rsid w:val="00ED736D"/>
    <w:rsid w:val="00EE1CF5"/>
    <w:rsid w:val="00F02EFE"/>
    <w:rsid w:val="00F034F3"/>
    <w:rsid w:val="00F06406"/>
    <w:rsid w:val="00F06740"/>
    <w:rsid w:val="00F12731"/>
    <w:rsid w:val="00F12772"/>
    <w:rsid w:val="00F1283C"/>
    <w:rsid w:val="00F257AF"/>
    <w:rsid w:val="00F26B82"/>
    <w:rsid w:val="00F30AD2"/>
    <w:rsid w:val="00F35632"/>
    <w:rsid w:val="00F375D7"/>
    <w:rsid w:val="00F42848"/>
    <w:rsid w:val="00F50F63"/>
    <w:rsid w:val="00F50FDE"/>
    <w:rsid w:val="00F579BF"/>
    <w:rsid w:val="00F6542B"/>
    <w:rsid w:val="00F72C16"/>
    <w:rsid w:val="00F765D9"/>
    <w:rsid w:val="00F82FF5"/>
    <w:rsid w:val="00F872A2"/>
    <w:rsid w:val="00F979B8"/>
    <w:rsid w:val="00FA0C7C"/>
    <w:rsid w:val="00FC78F8"/>
    <w:rsid w:val="00FD65DC"/>
    <w:rsid w:val="00FD6BE1"/>
    <w:rsid w:val="00FD7131"/>
    <w:rsid w:val="00FE6528"/>
    <w:rsid w:val="00FF5105"/>
    <w:rsid w:val="00FF658B"/>
    <w:rsid w:val="59CE9A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ABBC0"/>
  <w15:docId w15:val="{D0C05A73-7752-42C1-8913-1B1CE28B2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1A4387"/>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1A4387"/>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1A76D3"/>
    <w:rPr>
      <w:b/>
      <w:color w:val="FF0000"/>
    </w:rPr>
  </w:style>
  <w:style w:type="character" w:customStyle="1" w:styleId="BoldredChar">
    <w:name w:val="Boldred Char"/>
    <w:basedOn w:val="DefaultParagraphFont"/>
    <w:link w:val="Boldred"/>
    <w:rsid w:val="001A76D3"/>
    <w:rPr>
      <w:rFonts w:ascii="Arial" w:hAnsi="Arial"/>
      <w:b/>
      <w:color w:val="FF0000"/>
      <w:sz w:val="22"/>
      <w:szCs w:val="24"/>
      <w:lang w:eastAsia="en-US"/>
    </w:rPr>
  </w:style>
  <w:style w:type="paragraph" w:customStyle="1" w:styleId="Smalltext">
    <w:name w:val="Smalltext"/>
    <w:basedOn w:val="Normal"/>
    <w:link w:val="SmalltextChar"/>
    <w:autoRedefine/>
    <w:qFormat/>
    <w:rsid w:val="001A76D3"/>
    <w:rPr>
      <w:sz w:val="16"/>
    </w:rPr>
  </w:style>
  <w:style w:type="character" w:customStyle="1" w:styleId="SmalltextChar">
    <w:name w:val="Smalltext Char"/>
    <w:basedOn w:val="DefaultParagraphFont"/>
    <w:link w:val="Smalltext"/>
    <w:rsid w:val="001A76D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customStyle="1" w:styleId="paragraph">
    <w:name w:val="paragraph"/>
    <w:basedOn w:val="Normal"/>
    <w:rsid w:val="002B01FF"/>
    <w:pPr>
      <w:spacing w:before="100" w:beforeAutospacing="1" w:after="100" w:afterAutospacing="1" w:line="240" w:lineRule="auto"/>
    </w:pPr>
    <w:rPr>
      <w:rFonts w:ascii="Times New Roman" w:hAnsi="Times New Roman"/>
      <w:color w:val="auto"/>
      <w:sz w:val="24"/>
      <w:lang w:val="en-GB" w:eastAsia="en-GB"/>
    </w:rPr>
  </w:style>
  <w:style w:type="character" w:customStyle="1" w:styleId="eop">
    <w:name w:val="eop"/>
    <w:basedOn w:val="DefaultParagraphFont"/>
    <w:rsid w:val="002B01FF"/>
  </w:style>
  <w:style w:type="character" w:customStyle="1" w:styleId="normaltextrun">
    <w:name w:val="normaltextrun"/>
    <w:basedOn w:val="DefaultParagraphFont"/>
    <w:rsid w:val="007A3130"/>
  </w:style>
  <w:style w:type="paragraph" w:styleId="Revision">
    <w:name w:val="Revision"/>
    <w:hidden/>
    <w:uiPriority w:val="99"/>
    <w:semiHidden/>
    <w:rsid w:val="00CE1863"/>
    <w:rPr>
      <w:rFonts w:ascii="Arial" w:hAnsi="Arial"/>
      <w:color w:val="033636" w:themeColor="text1"/>
      <w:sz w:val="22"/>
      <w:szCs w:val="24"/>
      <w:lang w:eastAsia="en-US"/>
    </w:rPr>
  </w:style>
  <w:style w:type="character" w:styleId="CommentReference">
    <w:name w:val="annotation reference"/>
    <w:basedOn w:val="DefaultParagraphFont"/>
    <w:semiHidden/>
    <w:unhideWhenUsed/>
    <w:rsid w:val="00E6762E"/>
    <w:rPr>
      <w:sz w:val="16"/>
      <w:szCs w:val="16"/>
    </w:rPr>
  </w:style>
  <w:style w:type="paragraph" w:styleId="CommentText">
    <w:name w:val="annotation text"/>
    <w:basedOn w:val="Normal"/>
    <w:link w:val="CommentTextChar"/>
    <w:unhideWhenUsed/>
    <w:rsid w:val="00E6762E"/>
    <w:pPr>
      <w:spacing w:line="240" w:lineRule="auto"/>
    </w:pPr>
    <w:rPr>
      <w:sz w:val="20"/>
      <w:szCs w:val="20"/>
    </w:rPr>
  </w:style>
  <w:style w:type="character" w:customStyle="1" w:styleId="CommentTextChar">
    <w:name w:val="Comment Text Char"/>
    <w:basedOn w:val="DefaultParagraphFont"/>
    <w:link w:val="CommentText"/>
    <w:rsid w:val="00E6762E"/>
    <w:rPr>
      <w:rFonts w:ascii="Arial" w:hAnsi="Arial"/>
      <w:color w:val="033636" w:themeColor="text1"/>
      <w:lang w:eastAsia="en-US"/>
    </w:rPr>
  </w:style>
  <w:style w:type="paragraph" w:styleId="CommentSubject">
    <w:name w:val="annotation subject"/>
    <w:basedOn w:val="CommentText"/>
    <w:next w:val="CommentText"/>
    <w:link w:val="CommentSubjectChar"/>
    <w:semiHidden/>
    <w:unhideWhenUsed/>
    <w:rsid w:val="00E6762E"/>
    <w:rPr>
      <w:b/>
      <w:bCs/>
    </w:rPr>
  </w:style>
  <w:style w:type="character" w:customStyle="1" w:styleId="CommentSubjectChar">
    <w:name w:val="Comment Subject Char"/>
    <w:basedOn w:val="CommentTextChar"/>
    <w:link w:val="CommentSubject"/>
    <w:semiHidden/>
    <w:rsid w:val="00E6762E"/>
    <w:rPr>
      <w:rFonts w:ascii="Arial" w:hAnsi="Arial"/>
      <w:b/>
      <w:bCs/>
      <w:color w:val="033636"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33688792">
      <w:bodyDiv w:val="1"/>
      <w:marLeft w:val="0"/>
      <w:marRight w:val="0"/>
      <w:marTop w:val="0"/>
      <w:marBottom w:val="0"/>
      <w:divBdr>
        <w:top w:val="none" w:sz="0" w:space="0" w:color="auto"/>
        <w:left w:val="none" w:sz="0" w:space="0" w:color="auto"/>
        <w:bottom w:val="none" w:sz="0" w:space="0" w:color="auto"/>
        <w:right w:val="none" w:sz="0" w:space="0" w:color="auto"/>
      </w:divBdr>
      <w:divsChild>
        <w:div w:id="1323000171">
          <w:marLeft w:val="0"/>
          <w:marRight w:val="0"/>
          <w:marTop w:val="0"/>
          <w:marBottom w:val="0"/>
          <w:divBdr>
            <w:top w:val="none" w:sz="0" w:space="0" w:color="auto"/>
            <w:left w:val="none" w:sz="0" w:space="0" w:color="auto"/>
            <w:bottom w:val="none" w:sz="0" w:space="0" w:color="auto"/>
            <w:right w:val="none" w:sz="0" w:space="0" w:color="auto"/>
          </w:divBdr>
        </w:div>
        <w:div w:id="1645545904">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686130312">
      <w:bodyDiv w:val="1"/>
      <w:marLeft w:val="0"/>
      <w:marRight w:val="0"/>
      <w:marTop w:val="0"/>
      <w:marBottom w:val="0"/>
      <w:divBdr>
        <w:top w:val="none" w:sz="0" w:space="0" w:color="auto"/>
        <w:left w:val="none" w:sz="0" w:space="0" w:color="auto"/>
        <w:bottom w:val="none" w:sz="0" w:space="0" w:color="auto"/>
        <w:right w:val="none" w:sz="0" w:space="0" w:color="auto"/>
      </w:divBdr>
      <w:divsChild>
        <w:div w:id="20207316">
          <w:marLeft w:val="0"/>
          <w:marRight w:val="0"/>
          <w:marTop w:val="0"/>
          <w:marBottom w:val="0"/>
          <w:divBdr>
            <w:top w:val="none" w:sz="0" w:space="0" w:color="auto"/>
            <w:left w:val="none" w:sz="0" w:space="0" w:color="auto"/>
            <w:bottom w:val="none" w:sz="0" w:space="0" w:color="auto"/>
            <w:right w:val="none" w:sz="0" w:space="0" w:color="auto"/>
          </w:divBdr>
          <w:divsChild>
            <w:div w:id="862397736">
              <w:marLeft w:val="0"/>
              <w:marRight w:val="0"/>
              <w:marTop w:val="0"/>
              <w:marBottom w:val="0"/>
              <w:divBdr>
                <w:top w:val="none" w:sz="0" w:space="0" w:color="auto"/>
                <w:left w:val="none" w:sz="0" w:space="0" w:color="auto"/>
                <w:bottom w:val="none" w:sz="0" w:space="0" w:color="auto"/>
                <w:right w:val="none" w:sz="0" w:space="0" w:color="auto"/>
              </w:divBdr>
            </w:div>
          </w:divsChild>
        </w:div>
        <w:div w:id="31922687">
          <w:marLeft w:val="0"/>
          <w:marRight w:val="0"/>
          <w:marTop w:val="0"/>
          <w:marBottom w:val="0"/>
          <w:divBdr>
            <w:top w:val="none" w:sz="0" w:space="0" w:color="auto"/>
            <w:left w:val="none" w:sz="0" w:space="0" w:color="auto"/>
            <w:bottom w:val="none" w:sz="0" w:space="0" w:color="auto"/>
            <w:right w:val="none" w:sz="0" w:space="0" w:color="auto"/>
          </w:divBdr>
          <w:divsChild>
            <w:div w:id="661078481">
              <w:marLeft w:val="0"/>
              <w:marRight w:val="0"/>
              <w:marTop w:val="0"/>
              <w:marBottom w:val="0"/>
              <w:divBdr>
                <w:top w:val="none" w:sz="0" w:space="0" w:color="auto"/>
                <w:left w:val="none" w:sz="0" w:space="0" w:color="auto"/>
                <w:bottom w:val="none" w:sz="0" w:space="0" w:color="auto"/>
                <w:right w:val="none" w:sz="0" w:space="0" w:color="auto"/>
              </w:divBdr>
            </w:div>
          </w:divsChild>
        </w:div>
        <w:div w:id="40056867">
          <w:marLeft w:val="0"/>
          <w:marRight w:val="0"/>
          <w:marTop w:val="0"/>
          <w:marBottom w:val="0"/>
          <w:divBdr>
            <w:top w:val="none" w:sz="0" w:space="0" w:color="auto"/>
            <w:left w:val="none" w:sz="0" w:space="0" w:color="auto"/>
            <w:bottom w:val="none" w:sz="0" w:space="0" w:color="auto"/>
            <w:right w:val="none" w:sz="0" w:space="0" w:color="auto"/>
          </w:divBdr>
          <w:divsChild>
            <w:div w:id="1600259476">
              <w:marLeft w:val="0"/>
              <w:marRight w:val="0"/>
              <w:marTop w:val="0"/>
              <w:marBottom w:val="0"/>
              <w:divBdr>
                <w:top w:val="none" w:sz="0" w:space="0" w:color="auto"/>
                <w:left w:val="none" w:sz="0" w:space="0" w:color="auto"/>
                <w:bottom w:val="none" w:sz="0" w:space="0" w:color="auto"/>
                <w:right w:val="none" w:sz="0" w:space="0" w:color="auto"/>
              </w:divBdr>
            </w:div>
          </w:divsChild>
        </w:div>
        <w:div w:id="50034519">
          <w:marLeft w:val="0"/>
          <w:marRight w:val="0"/>
          <w:marTop w:val="0"/>
          <w:marBottom w:val="0"/>
          <w:divBdr>
            <w:top w:val="none" w:sz="0" w:space="0" w:color="auto"/>
            <w:left w:val="none" w:sz="0" w:space="0" w:color="auto"/>
            <w:bottom w:val="none" w:sz="0" w:space="0" w:color="auto"/>
            <w:right w:val="none" w:sz="0" w:space="0" w:color="auto"/>
          </w:divBdr>
          <w:divsChild>
            <w:div w:id="133912032">
              <w:marLeft w:val="0"/>
              <w:marRight w:val="0"/>
              <w:marTop w:val="0"/>
              <w:marBottom w:val="0"/>
              <w:divBdr>
                <w:top w:val="none" w:sz="0" w:space="0" w:color="auto"/>
                <w:left w:val="none" w:sz="0" w:space="0" w:color="auto"/>
                <w:bottom w:val="none" w:sz="0" w:space="0" w:color="auto"/>
                <w:right w:val="none" w:sz="0" w:space="0" w:color="auto"/>
              </w:divBdr>
            </w:div>
          </w:divsChild>
        </w:div>
        <w:div w:id="56242912">
          <w:marLeft w:val="0"/>
          <w:marRight w:val="0"/>
          <w:marTop w:val="0"/>
          <w:marBottom w:val="0"/>
          <w:divBdr>
            <w:top w:val="none" w:sz="0" w:space="0" w:color="auto"/>
            <w:left w:val="none" w:sz="0" w:space="0" w:color="auto"/>
            <w:bottom w:val="none" w:sz="0" w:space="0" w:color="auto"/>
            <w:right w:val="none" w:sz="0" w:space="0" w:color="auto"/>
          </w:divBdr>
          <w:divsChild>
            <w:div w:id="1430782886">
              <w:marLeft w:val="0"/>
              <w:marRight w:val="0"/>
              <w:marTop w:val="0"/>
              <w:marBottom w:val="0"/>
              <w:divBdr>
                <w:top w:val="none" w:sz="0" w:space="0" w:color="auto"/>
                <w:left w:val="none" w:sz="0" w:space="0" w:color="auto"/>
                <w:bottom w:val="none" w:sz="0" w:space="0" w:color="auto"/>
                <w:right w:val="none" w:sz="0" w:space="0" w:color="auto"/>
              </w:divBdr>
            </w:div>
          </w:divsChild>
        </w:div>
        <w:div w:id="65761573">
          <w:marLeft w:val="0"/>
          <w:marRight w:val="0"/>
          <w:marTop w:val="0"/>
          <w:marBottom w:val="0"/>
          <w:divBdr>
            <w:top w:val="none" w:sz="0" w:space="0" w:color="auto"/>
            <w:left w:val="none" w:sz="0" w:space="0" w:color="auto"/>
            <w:bottom w:val="none" w:sz="0" w:space="0" w:color="auto"/>
            <w:right w:val="none" w:sz="0" w:space="0" w:color="auto"/>
          </w:divBdr>
          <w:divsChild>
            <w:div w:id="476074747">
              <w:marLeft w:val="0"/>
              <w:marRight w:val="0"/>
              <w:marTop w:val="0"/>
              <w:marBottom w:val="0"/>
              <w:divBdr>
                <w:top w:val="none" w:sz="0" w:space="0" w:color="auto"/>
                <w:left w:val="none" w:sz="0" w:space="0" w:color="auto"/>
                <w:bottom w:val="none" w:sz="0" w:space="0" w:color="auto"/>
                <w:right w:val="none" w:sz="0" w:space="0" w:color="auto"/>
              </w:divBdr>
            </w:div>
          </w:divsChild>
        </w:div>
        <w:div w:id="71897156">
          <w:marLeft w:val="0"/>
          <w:marRight w:val="0"/>
          <w:marTop w:val="0"/>
          <w:marBottom w:val="0"/>
          <w:divBdr>
            <w:top w:val="none" w:sz="0" w:space="0" w:color="auto"/>
            <w:left w:val="none" w:sz="0" w:space="0" w:color="auto"/>
            <w:bottom w:val="none" w:sz="0" w:space="0" w:color="auto"/>
            <w:right w:val="none" w:sz="0" w:space="0" w:color="auto"/>
          </w:divBdr>
          <w:divsChild>
            <w:div w:id="1579054762">
              <w:marLeft w:val="0"/>
              <w:marRight w:val="0"/>
              <w:marTop w:val="0"/>
              <w:marBottom w:val="0"/>
              <w:divBdr>
                <w:top w:val="none" w:sz="0" w:space="0" w:color="auto"/>
                <w:left w:val="none" w:sz="0" w:space="0" w:color="auto"/>
                <w:bottom w:val="none" w:sz="0" w:space="0" w:color="auto"/>
                <w:right w:val="none" w:sz="0" w:space="0" w:color="auto"/>
              </w:divBdr>
            </w:div>
          </w:divsChild>
        </w:div>
        <w:div w:id="75366657">
          <w:marLeft w:val="0"/>
          <w:marRight w:val="0"/>
          <w:marTop w:val="0"/>
          <w:marBottom w:val="0"/>
          <w:divBdr>
            <w:top w:val="none" w:sz="0" w:space="0" w:color="auto"/>
            <w:left w:val="none" w:sz="0" w:space="0" w:color="auto"/>
            <w:bottom w:val="none" w:sz="0" w:space="0" w:color="auto"/>
            <w:right w:val="none" w:sz="0" w:space="0" w:color="auto"/>
          </w:divBdr>
          <w:divsChild>
            <w:div w:id="673922302">
              <w:marLeft w:val="0"/>
              <w:marRight w:val="0"/>
              <w:marTop w:val="0"/>
              <w:marBottom w:val="0"/>
              <w:divBdr>
                <w:top w:val="none" w:sz="0" w:space="0" w:color="auto"/>
                <w:left w:val="none" w:sz="0" w:space="0" w:color="auto"/>
                <w:bottom w:val="none" w:sz="0" w:space="0" w:color="auto"/>
                <w:right w:val="none" w:sz="0" w:space="0" w:color="auto"/>
              </w:divBdr>
            </w:div>
          </w:divsChild>
        </w:div>
        <w:div w:id="107772579">
          <w:marLeft w:val="0"/>
          <w:marRight w:val="0"/>
          <w:marTop w:val="0"/>
          <w:marBottom w:val="0"/>
          <w:divBdr>
            <w:top w:val="none" w:sz="0" w:space="0" w:color="auto"/>
            <w:left w:val="none" w:sz="0" w:space="0" w:color="auto"/>
            <w:bottom w:val="none" w:sz="0" w:space="0" w:color="auto"/>
            <w:right w:val="none" w:sz="0" w:space="0" w:color="auto"/>
          </w:divBdr>
          <w:divsChild>
            <w:div w:id="1904635174">
              <w:marLeft w:val="0"/>
              <w:marRight w:val="0"/>
              <w:marTop w:val="0"/>
              <w:marBottom w:val="0"/>
              <w:divBdr>
                <w:top w:val="none" w:sz="0" w:space="0" w:color="auto"/>
                <w:left w:val="none" w:sz="0" w:space="0" w:color="auto"/>
                <w:bottom w:val="none" w:sz="0" w:space="0" w:color="auto"/>
                <w:right w:val="none" w:sz="0" w:space="0" w:color="auto"/>
              </w:divBdr>
            </w:div>
          </w:divsChild>
        </w:div>
        <w:div w:id="122624103">
          <w:marLeft w:val="0"/>
          <w:marRight w:val="0"/>
          <w:marTop w:val="0"/>
          <w:marBottom w:val="0"/>
          <w:divBdr>
            <w:top w:val="none" w:sz="0" w:space="0" w:color="auto"/>
            <w:left w:val="none" w:sz="0" w:space="0" w:color="auto"/>
            <w:bottom w:val="none" w:sz="0" w:space="0" w:color="auto"/>
            <w:right w:val="none" w:sz="0" w:space="0" w:color="auto"/>
          </w:divBdr>
          <w:divsChild>
            <w:div w:id="1945922271">
              <w:marLeft w:val="0"/>
              <w:marRight w:val="0"/>
              <w:marTop w:val="0"/>
              <w:marBottom w:val="0"/>
              <w:divBdr>
                <w:top w:val="none" w:sz="0" w:space="0" w:color="auto"/>
                <w:left w:val="none" w:sz="0" w:space="0" w:color="auto"/>
                <w:bottom w:val="none" w:sz="0" w:space="0" w:color="auto"/>
                <w:right w:val="none" w:sz="0" w:space="0" w:color="auto"/>
              </w:divBdr>
            </w:div>
          </w:divsChild>
        </w:div>
        <w:div w:id="122891997">
          <w:marLeft w:val="0"/>
          <w:marRight w:val="0"/>
          <w:marTop w:val="0"/>
          <w:marBottom w:val="0"/>
          <w:divBdr>
            <w:top w:val="none" w:sz="0" w:space="0" w:color="auto"/>
            <w:left w:val="none" w:sz="0" w:space="0" w:color="auto"/>
            <w:bottom w:val="none" w:sz="0" w:space="0" w:color="auto"/>
            <w:right w:val="none" w:sz="0" w:space="0" w:color="auto"/>
          </w:divBdr>
          <w:divsChild>
            <w:div w:id="1406799880">
              <w:marLeft w:val="0"/>
              <w:marRight w:val="0"/>
              <w:marTop w:val="0"/>
              <w:marBottom w:val="0"/>
              <w:divBdr>
                <w:top w:val="none" w:sz="0" w:space="0" w:color="auto"/>
                <w:left w:val="none" w:sz="0" w:space="0" w:color="auto"/>
                <w:bottom w:val="none" w:sz="0" w:space="0" w:color="auto"/>
                <w:right w:val="none" w:sz="0" w:space="0" w:color="auto"/>
              </w:divBdr>
            </w:div>
          </w:divsChild>
        </w:div>
        <w:div w:id="130752451">
          <w:marLeft w:val="0"/>
          <w:marRight w:val="0"/>
          <w:marTop w:val="0"/>
          <w:marBottom w:val="0"/>
          <w:divBdr>
            <w:top w:val="none" w:sz="0" w:space="0" w:color="auto"/>
            <w:left w:val="none" w:sz="0" w:space="0" w:color="auto"/>
            <w:bottom w:val="none" w:sz="0" w:space="0" w:color="auto"/>
            <w:right w:val="none" w:sz="0" w:space="0" w:color="auto"/>
          </w:divBdr>
          <w:divsChild>
            <w:div w:id="1520850023">
              <w:marLeft w:val="0"/>
              <w:marRight w:val="0"/>
              <w:marTop w:val="0"/>
              <w:marBottom w:val="0"/>
              <w:divBdr>
                <w:top w:val="none" w:sz="0" w:space="0" w:color="auto"/>
                <w:left w:val="none" w:sz="0" w:space="0" w:color="auto"/>
                <w:bottom w:val="none" w:sz="0" w:space="0" w:color="auto"/>
                <w:right w:val="none" w:sz="0" w:space="0" w:color="auto"/>
              </w:divBdr>
            </w:div>
          </w:divsChild>
        </w:div>
        <w:div w:id="161625877">
          <w:marLeft w:val="0"/>
          <w:marRight w:val="0"/>
          <w:marTop w:val="0"/>
          <w:marBottom w:val="0"/>
          <w:divBdr>
            <w:top w:val="none" w:sz="0" w:space="0" w:color="auto"/>
            <w:left w:val="none" w:sz="0" w:space="0" w:color="auto"/>
            <w:bottom w:val="none" w:sz="0" w:space="0" w:color="auto"/>
            <w:right w:val="none" w:sz="0" w:space="0" w:color="auto"/>
          </w:divBdr>
          <w:divsChild>
            <w:div w:id="1171945360">
              <w:marLeft w:val="0"/>
              <w:marRight w:val="0"/>
              <w:marTop w:val="0"/>
              <w:marBottom w:val="0"/>
              <w:divBdr>
                <w:top w:val="none" w:sz="0" w:space="0" w:color="auto"/>
                <w:left w:val="none" w:sz="0" w:space="0" w:color="auto"/>
                <w:bottom w:val="none" w:sz="0" w:space="0" w:color="auto"/>
                <w:right w:val="none" w:sz="0" w:space="0" w:color="auto"/>
              </w:divBdr>
            </w:div>
          </w:divsChild>
        </w:div>
        <w:div w:id="169370962">
          <w:marLeft w:val="0"/>
          <w:marRight w:val="0"/>
          <w:marTop w:val="0"/>
          <w:marBottom w:val="0"/>
          <w:divBdr>
            <w:top w:val="none" w:sz="0" w:space="0" w:color="auto"/>
            <w:left w:val="none" w:sz="0" w:space="0" w:color="auto"/>
            <w:bottom w:val="none" w:sz="0" w:space="0" w:color="auto"/>
            <w:right w:val="none" w:sz="0" w:space="0" w:color="auto"/>
          </w:divBdr>
          <w:divsChild>
            <w:div w:id="848327925">
              <w:marLeft w:val="0"/>
              <w:marRight w:val="0"/>
              <w:marTop w:val="0"/>
              <w:marBottom w:val="0"/>
              <w:divBdr>
                <w:top w:val="none" w:sz="0" w:space="0" w:color="auto"/>
                <w:left w:val="none" w:sz="0" w:space="0" w:color="auto"/>
                <w:bottom w:val="none" w:sz="0" w:space="0" w:color="auto"/>
                <w:right w:val="none" w:sz="0" w:space="0" w:color="auto"/>
              </w:divBdr>
            </w:div>
          </w:divsChild>
        </w:div>
        <w:div w:id="172378201">
          <w:marLeft w:val="0"/>
          <w:marRight w:val="0"/>
          <w:marTop w:val="0"/>
          <w:marBottom w:val="0"/>
          <w:divBdr>
            <w:top w:val="none" w:sz="0" w:space="0" w:color="auto"/>
            <w:left w:val="none" w:sz="0" w:space="0" w:color="auto"/>
            <w:bottom w:val="none" w:sz="0" w:space="0" w:color="auto"/>
            <w:right w:val="none" w:sz="0" w:space="0" w:color="auto"/>
          </w:divBdr>
          <w:divsChild>
            <w:div w:id="1621689087">
              <w:marLeft w:val="0"/>
              <w:marRight w:val="0"/>
              <w:marTop w:val="0"/>
              <w:marBottom w:val="0"/>
              <w:divBdr>
                <w:top w:val="none" w:sz="0" w:space="0" w:color="auto"/>
                <w:left w:val="none" w:sz="0" w:space="0" w:color="auto"/>
                <w:bottom w:val="none" w:sz="0" w:space="0" w:color="auto"/>
                <w:right w:val="none" w:sz="0" w:space="0" w:color="auto"/>
              </w:divBdr>
            </w:div>
          </w:divsChild>
        </w:div>
        <w:div w:id="200022684">
          <w:marLeft w:val="0"/>
          <w:marRight w:val="0"/>
          <w:marTop w:val="0"/>
          <w:marBottom w:val="0"/>
          <w:divBdr>
            <w:top w:val="none" w:sz="0" w:space="0" w:color="auto"/>
            <w:left w:val="none" w:sz="0" w:space="0" w:color="auto"/>
            <w:bottom w:val="none" w:sz="0" w:space="0" w:color="auto"/>
            <w:right w:val="none" w:sz="0" w:space="0" w:color="auto"/>
          </w:divBdr>
          <w:divsChild>
            <w:div w:id="1087072694">
              <w:marLeft w:val="0"/>
              <w:marRight w:val="0"/>
              <w:marTop w:val="0"/>
              <w:marBottom w:val="0"/>
              <w:divBdr>
                <w:top w:val="none" w:sz="0" w:space="0" w:color="auto"/>
                <w:left w:val="none" w:sz="0" w:space="0" w:color="auto"/>
                <w:bottom w:val="none" w:sz="0" w:space="0" w:color="auto"/>
                <w:right w:val="none" w:sz="0" w:space="0" w:color="auto"/>
              </w:divBdr>
            </w:div>
          </w:divsChild>
        </w:div>
        <w:div w:id="201744741">
          <w:marLeft w:val="0"/>
          <w:marRight w:val="0"/>
          <w:marTop w:val="0"/>
          <w:marBottom w:val="0"/>
          <w:divBdr>
            <w:top w:val="none" w:sz="0" w:space="0" w:color="auto"/>
            <w:left w:val="none" w:sz="0" w:space="0" w:color="auto"/>
            <w:bottom w:val="none" w:sz="0" w:space="0" w:color="auto"/>
            <w:right w:val="none" w:sz="0" w:space="0" w:color="auto"/>
          </w:divBdr>
          <w:divsChild>
            <w:div w:id="1409618895">
              <w:marLeft w:val="0"/>
              <w:marRight w:val="0"/>
              <w:marTop w:val="0"/>
              <w:marBottom w:val="0"/>
              <w:divBdr>
                <w:top w:val="none" w:sz="0" w:space="0" w:color="auto"/>
                <w:left w:val="none" w:sz="0" w:space="0" w:color="auto"/>
                <w:bottom w:val="none" w:sz="0" w:space="0" w:color="auto"/>
                <w:right w:val="none" w:sz="0" w:space="0" w:color="auto"/>
              </w:divBdr>
            </w:div>
          </w:divsChild>
        </w:div>
        <w:div w:id="203490954">
          <w:marLeft w:val="0"/>
          <w:marRight w:val="0"/>
          <w:marTop w:val="0"/>
          <w:marBottom w:val="0"/>
          <w:divBdr>
            <w:top w:val="none" w:sz="0" w:space="0" w:color="auto"/>
            <w:left w:val="none" w:sz="0" w:space="0" w:color="auto"/>
            <w:bottom w:val="none" w:sz="0" w:space="0" w:color="auto"/>
            <w:right w:val="none" w:sz="0" w:space="0" w:color="auto"/>
          </w:divBdr>
          <w:divsChild>
            <w:div w:id="1634871422">
              <w:marLeft w:val="0"/>
              <w:marRight w:val="0"/>
              <w:marTop w:val="0"/>
              <w:marBottom w:val="0"/>
              <w:divBdr>
                <w:top w:val="none" w:sz="0" w:space="0" w:color="auto"/>
                <w:left w:val="none" w:sz="0" w:space="0" w:color="auto"/>
                <w:bottom w:val="none" w:sz="0" w:space="0" w:color="auto"/>
                <w:right w:val="none" w:sz="0" w:space="0" w:color="auto"/>
              </w:divBdr>
            </w:div>
          </w:divsChild>
        </w:div>
        <w:div w:id="230897190">
          <w:marLeft w:val="0"/>
          <w:marRight w:val="0"/>
          <w:marTop w:val="0"/>
          <w:marBottom w:val="0"/>
          <w:divBdr>
            <w:top w:val="none" w:sz="0" w:space="0" w:color="auto"/>
            <w:left w:val="none" w:sz="0" w:space="0" w:color="auto"/>
            <w:bottom w:val="none" w:sz="0" w:space="0" w:color="auto"/>
            <w:right w:val="none" w:sz="0" w:space="0" w:color="auto"/>
          </w:divBdr>
          <w:divsChild>
            <w:div w:id="1029380982">
              <w:marLeft w:val="0"/>
              <w:marRight w:val="0"/>
              <w:marTop w:val="0"/>
              <w:marBottom w:val="0"/>
              <w:divBdr>
                <w:top w:val="none" w:sz="0" w:space="0" w:color="auto"/>
                <w:left w:val="none" w:sz="0" w:space="0" w:color="auto"/>
                <w:bottom w:val="none" w:sz="0" w:space="0" w:color="auto"/>
                <w:right w:val="none" w:sz="0" w:space="0" w:color="auto"/>
              </w:divBdr>
            </w:div>
          </w:divsChild>
        </w:div>
        <w:div w:id="254748479">
          <w:marLeft w:val="0"/>
          <w:marRight w:val="0"/>
          <w:marTop w:val="0"/>
          <w:marBottom w:val="0"/>
          <w:divBdr>
            <w:top w:val="none" w:sz="0" w:space="0" w:color="auto"/>
            <w:left w:val="none" w:sz="0" w:space="0" w:color="auto"/>
            <w:bottom w:val="none" w:sz="0" w:space="0" w:color="auto"/>
            <w:right w:val="none" w:sz="0" w:space="0" w:color="auto"/>
          </w:divBdr>
          <w:divsChild>
            <w:div w:id="1882743268">
              <w:marLeft w:val="0"/>
              <w:marRight w:val="0"/>
              <w:marTop w:val="0"/>
              <w:marBottom w:val="0"/>
              <w:divBdr>
                <w:top w:val="none" w:sz="0" w:space="0" w:color="auto"/>
                <w:left w:val="none" w:sz="0" w:space="0" w:color="auto"/>
                <w:bottom w:val="none" w:sz="0" w:space="0" w:color="auto"/>
                <w:right w:val="none" w:sz="0" w:space="0" w:color="auto"/>
              </w:divBdr>
            </w:div>
          </w:divsChild>
        </w:div>
        <w:div w:id="255552716">
          <w:marLeft w:val="0"/>
          <w:marRight w:val="0"/>
          <w:marTop w:val="0"/>
          <w:marBottom w:val="0"/>
          <w:divBdr>
            <w:top w:val="none" w:sz="0" w:space="0" w:color="auto"/>
            <w:left w:val="none" w:sz="0" w:space="0" w:color="auto"/>
            <w:bottom w:val="none" w:sz="0" w:space="0" w:color="auto"/>
            <w:right w:val="none" w:sz="0" w:space="0" w:color="auto"/>
          </w:divBdr>
          <w:divsChild>
            <w:div w:id="1115252123">
              <w:marLeft w:val="0"/>
              <w:marRight w:val="0"/>
              <w:marTop w:val="0"/>
              <w:marBottom w:val="0"/>
              <w:divBdr>
                <w:top w:val="none" w:sz="0" w:space="0" w:color="auto"/>
                <w:left w:val="none" w:sz="0" w:space="0" w:color="auto"/>
                <w:bottom w:val="none" w:sz="0" w:space="0" w:color="auto"/>
                <w:right w:val="none" w:sz="0" w:space="0" w:color="auto"/>
              </w:divBdr>
            </w:div>
          </w:divsChild>
        </w:div>
        <w:div w:id="259801626">
          <w:marLeft w:val="0"/>
          <w:marRight w:val="0"/>
          <w:marTop w:val="0"/>
          <w:marBottom w:val="0"/>
          <w:divBdr>
            <w:top w:val="none" w:sz="0" w:space="0" w:color="auto"/>
            <w:left w:val="none" w:sz="0" w:space="0" w:color="auto"/>
            <w:bottom w:val="none" w:sz="0" w:space="0" w:color="auto"/>
            <w:right w:val="none" w:sz="0" w:space="0" w:color="auto"/>
          </w:divBdr>
          <w:divsChild>
            <w:div w:id="1950090678">
              <w:marLeft w:val="0"/>
              <w:marRight w:val="0"/>
              <w:marTop w:val="0"/>
              <w:marBottom w:val="0"/>
              <w:divBdr>
                <w:top w:val="none" w:sz="0" w:space="0" w:color="auto"/>
                <w:left w:val="none" w:sz="0" w:space="0" w:color="auto"/>
                <w:bottom w:val="none" w:sz="0" w:space="0" w:color="auto"/>
                <w:right w:val="none" w:sz="0" w:space="0" w:color="auto"/>
              </w:divBdr>
            </w:div>
          </w:divsChild>
        </w:div>
        <w:div w:id="262079288">
          <w:marLeft w:val="0"/>
          <w:marRight w:val="0"/>
          <w:marTop w:val="0"/>
          <w:marBottom w:val="0"/>
          <w:divBdr>
            <w:top w:val="none" w:sz="0" w:space="0" w:color="auto"/>
            <w:left w:val="none" w:sz="0" w:space="0" w:color="auto"/>
            <w:bottom w:val="none" w:sz="0" w:space="0" w:color="auto"/>
            <w:right w:val="none" w:sz="0" w:space="0" w:color="auto"/>
          </w:divBdr>
          <w:divsChild>
            <w:div w:id="1293052916">
              <w:marLeft w:val="0"/>
              <w:marRight w:val="0"/>
              <w:marTop w:val="0"/>
              <w:marBottom w:val="0"/>
              <w:divBdr>
                <w:top w:val="none" w:sz="0" w:space="0" w:color="auto"/>
                <w:left w:val="none" w:sz="0" w:space="0" w:color="auto"/>
                <w:bottom w:val="none" w:sz="0" w:space="0" w:color="auto"/>
                <w:right w:val="none" w:sz="0" w:space="0" w:color="auto"/>
              </w:divBdr>
            </w:div>
          </w:divsChild>
        </w:div>
        <w:div w:id="278032594">
          <w:marLeft w:val="0"/>
          <w:marRight w:val="0"/>
          <w:marTop w:val="0"/>
          <w:marBottom w:val="0"/>
          <w:divBdr>
            <w:top w:val="none" w:sz="0" w:space="0" w:color="auto"/>
            <w:left w:val="none" w:sz="0" w:space="0" w:color="auto"/>
            <w:bottom w:val="none" w:sz="0" w:space="0" w:color="auto"/>
            <w:right w:val="none" w:sz="0" w:space="0" w:color="auto"/>
          </w:divBdr>
          <w:divsChild>
            <w:div w:id="918757722">
              <w:marLeft w:val="0"/>
              <w:marRight w:val="0"/>
              <w:marTop w:val="0"/>
              <w:marBottom w:val="0"/>
              <w:divBdr>
                <w:top w:val="none" w:sz="0" w:space="0" w:color="auto"/>
                <w:left w:val="none" w:sz="0" w:space="0" w:color="auto"/>
                <w:bottom w:val="none" w:sz="0" w:space="0" w:color="auto"/>
                <w:right w:val="none" w:sz="0" w:space="0" w:color="auto"/>
              </w:divBdr>
            </w:div>
          </w:divsChild>
        </w:div>
        <w:div w:id="299655434">
          <w:marLeft w:val="0"/>
          <w:marRight w:val="0"/>
          <w:marTop w:val="0"/>
          <w:marBottom w:val="0"/>
          <w:divBdr>
            <w:top w:val="none" w:sz="0" w:space="0" w:color="auto"/>
            <w:left w:val="none" w:sz="0" w:space="0" w:color="auto"/>
            <w:bottom w:val="none" w:sz="0" w:space="0" w:color="auto"/>
            <w:right w:val="none" w:sz="0" w:space="0" w:color="auto"/>
          </w:divBdr>
          <w:divsChild>
            <w:div w:id="312149480">
              <w:marLeft w:val="0"/>
              <w:marRight w:val="0"/>
              <w:marTop w:val="0"/>
              <w:marBottom w:val="0"/>
              <w:divBdr>
                <w:top w:val="none" w:sz="0" w:space="0" w:color="auto"/>
                <w:left w:val="none" w:sz="0" w:space="0" w:color="auto"/>
                <w:bottom w:val="none" w:sz="0" w:space="0" w:color="auto"/>
                <w:right w:val="none" w:sz="0" w:space="0" w:color="auto"/>
              </w:divBdr>
            </w:div>
          </w:divsChild>
        </w:div>
        <w:div w:id="310525470">
          <w:marLeft w:val="0"/>
          <w:marRight w:val="0"/>
          <w:marTop w:val="0"/>
          <w:marBottom w:val="0"/>
          <w:divBdr>
            <w:top w:val="none" w:sz="0" w:space="0" w:color="auto"/>
            <w:left w:val="none" w:sz="0" w:space="0" w:color="auto"/>
            <w:bottom w:val="none" w:sz="0" w:space="0" w:color="auto"/>
            <w:right w:val="none" w:sz="0" w:space="0" w:color="auto"/>
          </w:divBdr>
          <w:divsChild>
            <w:div w:id="1730883451">
              <w:marLeft w:val="0"/>
              <w:marRight w:val="0"/>
              <w:marTop w:val="0"/>
              <w:marBottom w:val="0"/>
              <w:divBdr>
                <w:top w:val="none" w:sz="0" w:space="0" w:color="auto"/>
                <w:left w:val="none" w:sz="0" w:space="0" w:color="auto"/>
                <w:bottom w:val="none" w:sz="0" w:space="0" w:color="auto"/>
                <w:right w:val="none" w:sz="0" w:space="0" w:color="auto"/>
              </w:divBdr>
            </w:div>
          </w:divsChild>
        </w:div>
        <w:div w:id="336855939">
          <w:marLeft w:val="0"/>
          <w:marRight w:val="0"/>
          <w:marTop w:val="0"/>
          <w:marBottom w:val="0"/>
          <w:divBdr>
            <w:top w:val="none" w:sz="0" w:space="0" w:color="auto"/>
            <w:left w:val="none" w:sz="0" w:space="0" w:color="auto"/>
            <w:bottom w:val="none" w:sz="0" w:space="0" w:color="auto"/>
            <w:right w:val="none" w:sz="0" w:space="0" w:color="auto"/>
          </w:divBdr>
          <w:divsChild>
            <w:div w:id="1300500982">
              <w:marLeft w:val="0"/>
              <w:marRight w:val="0"/>
              <w:marTop w:val="0"/>
              <w:marBottom w:val="0"/>
              <w:divBdr>
                <w:top w:val="none" w:sz="0" w:space="0" w:color="auto"/>
                <w:left w:val="none" w:sz="0" w:space="0" w:color="auto"/>
                <w:bottom w:val="none" w:sz="0" w:space="0" w:color="auto"/>
                <w:right w:val="none" w:sz="0" w:space="0" w:color="auto"/>
              </w:divBdr>
            </w:div>
          </w:divsChild>
        </w:div>
        <w:div w:id="345254739">
          <w:marLeft w:val="0"/>
          <w:marRight w:val="0"/>
          <w:marTop w:val="0"/>
          <w:marBottom w:val="0"/>
          <w:divBdr>
            <w:top w:val="none" w:sz="0" w:space="0" w:color="auto"/>
            <w:left w:val="none" w:sz="0" w:space="0" w:color="auto"/>
            <w:bottom w:val="none" w:sz="0" w:space="0" w:color="auto"/>
            <w:right w:val="none" w:sz="0" w:space="0" w:color="auto"/>
          </w:divBdr>
          <w:divsChild>
            <w:div w:id="239487298">
              <w:marLeft w:val="0"/>
              <w:marRight w:val="0"/>
              <w:marTop w:val="0"/>
              <w:marBottom w:val="0"/>
              <w:divBdr>
                <w:top w:val="none" w:sz="0" w:space="0" w:color="auto"/>
                <w:left w:val="none" w:sz="0" w:space="0" w:color="auto"/>
                <w:bottom w:val="none" w:sz="0" w:space="0" w:color="auto"/>
                <w:right w:val="none" w:sz="0" w:space="0" w:color="auto"/>
              </w:divBdr>
            </w:div>
          </w:divsChild>
        </w:div>
        <w:div w:id="346099722">
          <w:marLeft w:val="0"/>
          <w:marRight w:val="0"/>
          <w:marTop w:val="0"/>
          <w:marBottom w:val="0"/>
          <w:divBdr>
            <w:top w:val="none" w:sz="0" w:space="0" w:color="auto"/>
            <w:left w:val="none" w:sz="0" w:space="0" w:color="auto"/>
            <w:bottom w:val="none" w:sz="0" w:space="0" w:color="auto"/>
            <w:right w:val="none" w:sz="0" w:space="0" w:color="auto"/>
          </w:divBdr>
          <w:divsChild>
            <w:div w:id="404760105">
              <w:marLeft w:val="0"/>
              <w:marRight w:val="0"/>
              <w:marTop w:val="0"/>
              <w:marBottom w:val="0"/>
              <w:divBdr>
                <w:top w:val="none" w:sz="0" w:space="0" w:color="auto"/>
                <w:left w:val="none" w:sz="0" w:space="0" w:color="auto"/>
                <w:bottom w:val="none" w:sz="0" w:space="0" w:color="auto"/>
                <w:right w:val="none" w:sz="0" w:space="0" w:color="auto"/>
              </w:divBdr>
            </w:div>
          </w:divsChild>
        </w:div>
        <w:div w:id="350841334">
          <w:marLeft w:val="0"/>
          <w:marRight w:val="0"/>
          <w:marTop w:val="0"/>
          <w:marBottom w:val="0"/>
          <w:divBdr>
            <w:top w:val="none" w:sz="0" w:space="0" w:color="auto"/>
            <w:left w:val="none" w:sz="0" w:space="0" w:color="auto"/>
            <w:bottom w:val="none" w:sz="0" w:space="0" w:color="auto"/>
            <w:right w:val="none" w:sz="0" w:space="0" w:color="auto"/>
          </w:divBdr>
          <w:divsChild>
            <w:div w:id="965547577">
              <w:marLeft w:val="0"/>
              <w:marRight w:val="0"/>
              <w:marTop w:val="0"/>
              <w:marBottom w:val="0"/>
              <w:divBdr>
                <w:top w:val="none" w:sz="0" w:space="0" w:color="auto"/>
                <w:left w:val="none" w:sz="0" w:space="0" w:color="auto"/>
                <w:bottom w:val="none" w:sz="0" w:space="0" w:color="auto"/>
                <w:right w:val="none" w:sz="0" w:space="0" w:color="auto"/>
              </w:divBdr>
            </w:div>
          </w:divsChild>
        </w:div>
        <w:div w:id="388842723">
          <w:marLeft w:val="0"/>
          <w:marRight w:val="0"/>
          <w:marTop w:val="0"/>
          <w:marBottom w:val="0"/>
          <w:divBdr>
            <w:top w:val="none" w:sz="0" w:space="0" w:color="auto"/>
            <w:left w:val="none" w:sz="0" w:space="0" w:color="auto"/>
            <w:bottom w:val="none" w:sz="0" w:space="0" w:color="auto"/>
            <w:right w:val="none" w:sz="0" w:space="0" w:color="auto"/>
          </w:divBdr>
          <w:divsChild>
            <w:div w:id="351761280">
              <w:marLeft w:val="0"/>
              <w:marRight w:val="0"/>
              <w:marTop w:val="0"/>
              <w:marBottom w:val="0"/>
              <w:divBdr>
                <w:top w:val="none" w:sz="0" w:space="0" w:color="auto"/>
                <w:left w:val="none" w:sz="0" w:space="0" w:color="auto"/>
                <w:bottom w:val="none" w:sz="0" w:space="0" w:color="auto"/>
                <w:right w:val="none" w:sz="0" w:space="0" w:color="auto"/>
              </w:divBdr>
            </w:div>
          </w:divsChild>
        </w:div>
        <w:div w:id="397285012">
          <w:marLeft w:val="0"/>
          <w:marRight w:val="0"/>
          <w:marTop w:val="0"/>
          <w:marBottom w:val="0"/>
          <w:divBdr>
            <w:top w:val="none" w:sz="0" w:space="0" w:color="auto"/>
            <w:left w:val="none" w:sz="0" w:space="0" w:color="auto"/>
            <w:bottom w:val="none" w:sz="0" w:space="0" w:color="auto"/>
            <w:right w:val="none" w:sz="0" w:space="0" w:color="auto"/>
          </w:divBdr>
          <w:divsChild>
            <w:div w:id="1775006478">
              <w:marLeft w:val="0"/>
              <w:marRight w:val="0"/>
              <w:marTop w:val="0"/>
              <w:marBottom w:val="0"/>
              <w:divBdr>
                <w:top w:val="none" w:sz="0" w:space="0" w:color="auto"/>
                <w:left w:val="none" w:sz="0" w:space="0" w:color="auto"/>
                <w:bottom w:val="none" w:sz="0" w:space="0" w:color="auto"/>
                <w:right w:val="none" w:sz="0" w:space="0" w:color="auto"/>
              </w:divBdr>
            </w:div>
          </w:divsChild>
        </w:div>
        <w:div w:id="503397717">
          <w:marLeft w:val="0"/>
          <w:marRight w:val="0"/>
          <w:marTop w:val="0"/>
          <w:marBottom w:val="0"/>
          <w:divBdr>
            <w:top w:val="none" w:sz="0" w:space="0" w:color="auto"/>
            <w:left w:val="none" w:sz="0" w:space="0" w:color="auto"/>
            <w:bottom w:val="none" w:sz="0" w:space="0" w:color="auto"/>
            <w:right w:val="none" w:sz="0" w:space="0" w:color="auto"/>
          </w:divBdr>
          <w:divsChild>
            <w:div w:id="1274248168">
              <w:marLeft w:val="0"/>
              <w:marRight w:val="0"/>
              <w:marTop w:val="0"/>
              <w:marBottom w:val="0"/>
              <w:divBdr>
                <w:top w:val="none" w:sz="0" w:space="0" w:color="auto"/>
                <w:left w:val="none" w:sz="0" w:space="0" w:color="auto"/>
                <w:bottom w:val="none" w:sz="0" w:space="0" w:color="auto"/>
                <w:right w:val="none" w:sz="0" w:space="0" w:color="auto"/>
              </w:divBdr>
            </w:div>
          </w:divsChild>
        </w:div>
        <w:div w:id="504593293">
          <w:marLeft w:val="0"/>
          <w:marRight w:val="0"/>
          <w:marTop w:val="0"/>
          <w:marBottom w:val="0"/>
          <w:divBdr>
            <w:top w:val="none" w:sz="0" w:space="0" w:color="auto"/>
            <w:left w:val="none" w:sz="0" w:space="0" w:color="auto"/>
            <w:bottom w:val="none" w:sz="0" w:space="0" w:color="auto"/>
            <w:right w:val="none" w:sz="0" w:space="0" w:color="auto"/>
          </w:divBdr>
          <w:divsChild>
            <w:div w:id="1054088054">
              <w:marLeft w:val="0"/>
              <w:marRight w:val="0"/>
              <w:marTop w:val="0"/>
              <w:marBottom w:val="0"/>
              <w:divBdr>
                <w:top w:val="none" w:sz="0" w:space="0" w:color="auto"/>
                <w:left w:val="none" w:sz="0" w:space="0" w:color="auto"/>
                <w:bottom w:val="none" w:sz="0" w:space="0" w:color="auto"/>
                <w:right w:val="none" w:sz="0" w:space="0" w:color="auto"/>
              </w:divBdr>
            </w:div>
          </w:divsChild>
        </w:div>
        <w:div w:id="518469728">
          <w:marLeft w:val="0"/>
          <w:marRight w:val="0"/>
          <w:marTop w:val="0"/>
          <w:marBottom w:val="0"/>
          <w:divBdr>
            <w:top w:val="none" w:sz="0" w:space="0" w:color="auto"/>
            <w:left w:val="none" w:sz="0" w:space="0" w:color="auto"/>
            <w:bottom w:val="none" w:sz="0" w:space="0" w:color="auto"/>
            <w:right w:val="none" w:sz="0" w:space="0" w:color="auto"/>
          </w:divBdr>
          <w:divsChild>
            <w:div w:id="386690587">
              <w:marLeft w:val="0"/>
              <w:marRight w:val="0"/>
              <w:marTop w:val="0"/>
              <w:marBottom w:val="0"/>
              <w:divBdr>
                <w:top w:val="none" w:sz="0" w:space="0" w:color="auto"/>
                <w:left w:val="none" w:sz="0" w:space="0" w:color="auto"/>
                <w:bottom w:val="none" w:sz="0" w:space="0" w:color="auto"/>
                <w:right w:val="none" w:sz="0" w:space="0" w:color="auto"/>
              </w:divBdr>
            </w:div>
          </w:divsChild>
        </w:div>
        <w:div w:id="560824265">
          <w:marLeft w:val="0"/>
          <w:marRight w:val="0"/>
          <w:marTop w:val="0"/>
          <w:marBottom w:val="0"/>
          <w:divBdr>
            <w:top w:val="none" w:sz="0" w:space="0" w:color="auto"/>
            <w:left w:val="none" w:sz="0" w:space="0" w:color="auto"/>
            <w:bottom w:val="none" w:sz="0" w:space="0" w:color="auto"/>
            <w:right w:val="none" w:sz="0" w:space="0" w:color="auto"/>
          </w:divBdr>
          <w:divsChild>
            <w:div w:id="247152879">
              <w:marLeft w:val="0"/>
              <w:marRight w:val="0"/>
              <w:marTop w:val="0"/>
              <w:marBottom w:val="0"/>
              <w:divBdr>
                <w:top w:val="none" w:sz="0" w:space="0" w:color="auto"/>
                <w:left w:val="none" w:sz="0" w:space="0" w:color="auto"/>
                <w:bottom w:val="none" w:sz="0" w:space="0" w:color="auto"/>
                <w:right w:val="none" w:sz="0" w:space="0" w:color="auto"/>
              </w:divBdr>
            </w:div>
          </w:divsChild>
        </w:div>
        <w:div w:id="582572302">
          <w:marLeft w:val="0"/>
          <w:marRight w:val="0"/>
          <w:marTop w:val="0"/>
          <w:marBottom w:val="0"/>
          <w:divBdr>
            <w:top w:val="none" w:sz="0" w:space="0" w:color="auto"/>
            <w:left w:val="none" w:sz="0" w:space="0" w:color="auto"/>
            <w:bottom w:val="none" w:sz="0" w:space="0" w:color="auto"/>
            <w:right w:val="none" w:sz="0" w:space="0" w:color="auto"/>
          </w:divBdr>
          <w:divsChild>
            <w:div w:id="1575236329">
              <w:marLeft w:val="0"/>
              <w:marRight w:val="0"/>
              <w:marTop w:val="0"/>
              <w:marBottom w:val="0"/>
              <w:divBdr>
                <w:top w:val="none" w:sz="0" w:space="0" w:color="auto"/>
                <w:left w:val="none" w:sz="0" w:space="0" w:color="auto"/>
                <w:bottom w:val="none" w:sz="0" w:space="0" w:color="auto"/>
                <w:right w:val="none" w:sz="0" w:space="0" w:color="auto"/>
              </w:divBdr>
            </w:div>
          </w:divsChild>
        </w:div>
        <w:div w:id="587613045">
          <w:marLeft w:val="0"/>
          <w:marRight w:val="0"/>
          <w:marTop w:val="0"/>
          <w:marBottom w:val="0"/>
          <w:divBdr>
            <w:top w:val="none" w:sz="0" w:space="0" w:color="auto"/>
            <w:left w:val="none" w:sz="0" w:space="0" w:color="auto"/>
            <w:bottom w:val="none" w:sz="0" w:space="0" w:color="auto"/>
            <w:right w:val="none" w:sz="0" w:space="0" w:color="auto"/>
          </w:divBdr>
          <w:divsChild>
            <w:div w:id="1192643577">
              <w:marLeft w:val="0"/>
              <w:marRight w:val="0"/>
              <w:marTop w:val="0"/>
              <w:marBottom w:val="0"/>
              <w:divBdr>
                <w:top w:val="none" w:sz="0" w:space="0" w:color="auto"/>
                <w:left w:val="none" w:sz="0" w:space="0" w:color="auto"/>
                <w:bottom w:val="none" w:sz="0" w:space="0" w:color="auto"/>
                <w:right w:val="none" w:sz="0" w:space="0" w:color="auto"/>
              </w:divBdr>
            </w:div>
          </w:divsChild>
        </w:div>
        <w:div w:id="599145585">
          <w:marLeft w:val="0"/>
          <w:marRight w:val="0"/>
          <w:marTop w:val="0"/>
          <w:marBottom w:val="0"/>
          <w:divBdr>
            <w:top w:val="none" w:sz="0" w:space="0" w:color="auto"/>
            <w:left w:val="none" w:sz="0" w:space="0" w:color="auto"/>
            <w:bottom w:val="none" w:sz="0" w:space="0" w:color="auto"/>
            <w:right w:val="none" w:sz="0" w:space="0" w:color="auto"/>
          </w:divBdr>
          <w:divsChild>
            <w:div w:id="522129253">
              <w:marLeft w:val="0"/>
              <w:marRight w:val="0"/>
              <w:marTop w:val="0"/>
              <w:marBottom w:val="0"/>
              <w:divBdr>
                <w:top w:val="none" w:sz="0" w:space="0" w:color="auto"/>
                <w:left w:val="none" w:sz="0" w:space="0" w:color="auto"/>
                <w:bottom w:val="none" w:sz="0" w:space="0" w:color="auto"/>
                <w:right w:val="none" w:sz="0" w:space="0" w:color="auto"/>
              </w:divBdr>
            </w:div>
          </w:divsChild>
        </w:div>
        <w:div w:id="635993134">
          <w:marLeft w:val="0"/>
          <w:marRight w:val="0"/>
          <w:marTop w:val="0"/>
          <w:marBottom w:val="0"/>
          <w:divBdr>
            <w:top w:val="none" w:sz="0" w:space="0" w:color="auto"/>
            <w:left w:val="none" w:sz="0" w:space="0" w:color="auto"/>
            <w:bottom w:val="none" w:sz="0" w:space="0" w:color="auto"/>
            <w:right w:val="none" w:sz="0" w:space="0" w:color="auto"/>
          </w:divBdr>
          <w:divsChild>
            <w:div w:id="1557813769">
              <w:marLeft w:val="0"/>
              <w:marRight w:val="0"/>
              <w:marTop w:val="0"/>
              <w:marBottom w:val="0"/>
              <w:divBdr>
                <w:top w:val="none" w:sz="0" w:space="0" w:color="auto"/>
                <w:left w:val="none" w:sz="0" w:space="0" w:color="auto"/>
                <w:bottom w:val="none" w:sz="0" w:space="0" w:color="auto"/>
                <w:right w:val="none" w:sz="0" w:space="0" w:color="auto"/>
              </w:divBdr>
            </w:div>
          </w:divsChild>
        </w:div>
        <w:div w:id="655453457">
          <w:marLeft w:val="0"/>
          <w:marRight w:val="0"/>
          <w:marTop w:val="0"/>
          <w:marBottom w:val="0"/>
          <w:divBdr>
            <w:top w:val="none" w:sz="0" w:space="0" w:color="auto"/>
            <w:left w:val="none" w:sz="0" w:space="0" w:color="auto"/>
            <w:bottom w:val="none" w:sz="0" w:space="0" w:color="auto"/>
            <w:right w:val="none" w:sz="0" w:space="0" w:color="auto"/>
          </w:divBdr>
          <w:divsChild>
            <w:div w:id="373770610">
              <w:marLeft w:val="0"/>
              <w:marRight w:val="0"/>
              <w:marTop w:val="0"/>
              <w:marBottom w:val="0"/>
              <w:divBdr>
                <w:top w:val="none" w:sz="0" w:space="0" w:color="auto"/>
                <w:left w:val="none" w:sz="0" w:space="0" w:color="auto"/>
                <w:bottom w:val="none" w:sz="0" w:space="0" w:color="auto"/>
                <w:right w:val="none" w:sz="0" w:space="0" w:color="auto"/>
              </w:divBdr>
            </w:div>
          </w:divsChild>
        </w:div>
        <w:div w:id="674067289">
          <w:marLeft w:val="0"/>
          <w:marRight w:val="0"/>
          <w:marTop w:val="0"/>
          <w:marBottom w:val="0"/>
          <w:divBdr>
            <w:top w:val="none" w:sz="0" w:space="0" w:color="auto"/>
            <w:left w:val="none" w:sz="0" w:space="0" w:color="auto"/>
            <w:bottom w:val="none" w:sz="0" w:space="0" w:color="auto"/>
            <w:right w:val="none" w:sz="0" w:space="0" w:color="auto"/>
          </w:divBdr>
          <w:divsChild>
            <w:div w:id="1394549800">
              <w:marLeft w:val="0"/>
              <w:marRight w:val="0"/>
              <w:marTop w:val="0"/>
              <w:marBottom w:val="0"/>
              <w:divBdr>
                <w:top w:val="none" w:sz="0" w:space="0" w:color="auto"/>
                <w:left w:val="none" w:sz="0" w:space="0" w:color="auto"/>
                <w:bottom w:val="none" w:sz="0" w:space="0" w:color="auto"/>
                <w:right w:val="none" w:sz="0" w:space="0" w:color="auto"/>
              </w:divBdr>
            </w:div>
          </w:divsChild>
        </w:div>
        <w:div w:id="682318159">
          <w:marLeft w:val="0"/>
          <w:marRight w:val="0"/>
          <w:marTop w:val="0"/>
          <w:marBottom w:val="0"/>
          <w:divBdr>
            <w:top w:val="none" w:sz="0" w:space="0" w:color="auto"/>
            <w:left w:val="none" w:sz="0" w:space="0" w:color="auto"/>
            <w:bottom w:val="none" w:sz="0" w:space="0" w:color="auto"/>
            <w:right w:val="none" w:sz="0" w:space="0" w:color="auto"/>
          </w:divBdr>
          <w:divsChild>
            <w:div w:id="1513379213">
              <w:marLeft w:val="0"/>
              <w:marRight w:val="0"/>
              <w:marTop w:val="0"/>
              <w:marBottom w:val="0"/>
              <w:divBdr>
                <w:top w:val="none" w:sz="0" w:space="0" w:color="auto"/>
                <w:left w:val="none" w:sz="0" w:space="0" w:color="auto"/>
                <w:bottom w:val="none" w:sz="0" w:space="0" w:color="auto"/>
                <w:right w:val="none" w:sz="0" w:space="0" w:color="auto"/>
              </w:divBdr>
            </w:div>
          </w:divsChild>
        </w:div>
        <w:div w:id="696390482">
          <w:marLeft w:val="0"/>
          <w:marRight w:val="0"/>
          <w:marTop w:val="0"/>
          <w:marBottom w:val="0"/>
          <w:divBdr>
            <w:top w:val="none" w:sz="0" w:space="0" w:color="auto"/>
            <w:left w:val="none" w:sz="0" w:space="0" w:color="auto"/>
            <w:bottom w:val="none" w:sz="0" w:space="0" w:color="auto"/>
            <w:right w:val="none" w:sz="0" w:space="0" w:color="auto"/>
          </w:divBdr>
          <w:divsChild>
            <w:div w:id="948660319">
              <w:marLeft w:val="0"/>
              <w:marRight w:val="0"/>
              <w:marTop w:val="0"/>
              <w:marBottom w:val="0"/>
              <w:divBdr>
                <w:top w:val="none" w:sz="0" w:space="0" w:color="auto"/>
                <w:left w:val="none" w:sz="0" w:space="0" w:color="auto"/>
                <w:bottom w:val="none" w:sz="0" w:space="0" w:color="auto"/>
                <w:right w:val="none" w:sz="0" w:space="0" w:color="auto"/>
              </w:divBdr>
            </w:div>
          </w:divsChild>
        </w:div>
        <w:div w:id="703136252">
          <w:marLeft w:val="0"/>
          <w:marRight w:val="0"/>
          <w:marTop w:val="0"/>
          <w:marBottom w:val="0"/>
          <w:divBdr>
            <w:top w:val="none" w:sz="0" w:space="0" w:color="auto"/>
            <w:left w:val="none" w:sz="0" w:space="0" w:color="auto"/>
            <w:bottom w:val="none" w:sz="0" w:space="0" w:color="auto"/>
            <w:right w:val="none" w:sz="0" w:space="0" w:color="auto"/>
          </w:divBdr>
          <w:divsChild>
            <w:div w:id="242568455">
              <w:marLeft w:val="0"/>
              <w:marRight w:val="0"/>
              <w:marTop w:val="0"/>
              <w:marBottom w:val="0"/>
              <w:divBdr>
                <w:top w:val="none" w:sz="0" w:space="0" w:color="auto"/>
                <w:left w:val="none" w:sz="0" w:space="0" w:color="auto"/>
                <w:bottom w:val="none" w:sz="0" w:space="0" w:color="auto"/>
                <w:right w:val="none" w:sz="0" w:space="0" w:color="auto"/>
              </w:divBdr>
            </w:div>
          </w:divsChild>
        </w:div>
        <w:div w:id="710770130">
          <w:marLeft w:val="0"/>
          <w:marRight w:val="0"/>
          <w:marTop w:val="0"/>
          <w:marBottom w:val="0"/>
          <w:divBdr>
            <w:top w:val="none" w:sz="0" w:space="0" w:color="auto"/>
            <w:left w:val="none" w:sz="0" w:space="0" w:color="auto"/>
            <w:bottom w:val="none" w:sz="0" w:space="0" w:color="auto"/>
            <w:right w:val="none" w:sz="0" w:space="0" w:color="auto"/>
          </w:divBdr>
          <w:divsChild>
            <w:div w:id="1500198290">
              <w:marLeft w:val="0"/>
              <w:marRight w:val="0"/>
              <w:marTop w:val="0"/>
              <w:marBottom w:val="0"/>
              <w:divBdr>
                <w:top w:val="none" w:sz="0" w:space="0" w:color="auto"/>
                <w:left w:val="none" w:sz="0" w:space="0" w:color="auto"/>
                <w:bottom w:val="none" w:sz="0" w:space="0" w:color="auto"/>
                <w:right w:val="none" w:sz="0" w:space="0" w:color="auto"/>
              </w:divBdr>
            </w:div>
          </w:divsChild>
        </w:div>
        <w:div w:id="740057791">
          <w:marLeft w:val="0"/>
          <w:marRight w:val="0"/>
          <w:marTop w:val="0"/>
          <w:marBottom w:val="0"/>
          <w:divBdr>
            <w:top w:val="none" w:sz="0" w:space="0" w:color="auto"/>
            <w:left w:val="none" w:sz="0" w:space="0" w:color="auto"/>
            <w:bottom w:val="none" w:sz="0" w:space="0" w:color="auto"/>
            <w:right w:val="none" w:sz="0" w:space="0" w:color="auto"/>
          </w:divBdr>
          <w:divsChild>
            <w:div w:id="726030964">
              <w:marLeft w:val="0"/>
              <w:marRight w:val="0"/>
              <w:marTop w:val="0"/>
              <w:marBottom w:val="0"/>
              <w:divBdr>
                <w:top w:val="none" w:sz="0" w:space="0" w:color="auto"/>
                <w:left w:val="none" w:sz="0" w:space="0" w:color="auto"/>
                <w:bottom w:val="none" w:sz="0" w:space="0" w:color="auto"/>
                <w:right w:val="none" w:sz="0" w:space="0" w:color="auto"/>
              </w:divBdr>
            </w:div>
          </w:divsChild>
        </w:div>
        <w:div w:id="743645210">
          <w:marLeft w:val="0"/>
          <w:marRight w:val="0"/>
          <w:marTop w:val="0"/>
          <w:marBottom w:val="0"/>
          <w:divBdr>
            <w:top w:val="none" w:sz="0" w:space="0" w:color="auto"/>
            <w:left w:val="none" w:sz="0" w:space="0" w:color="auto"/>
            <w:bottom w:val="none" w:sz="0" w:space="0" w:color="auto"/>
            <w:right w:val="none" w:sz="0" w:space="0" w:color="auto"/>
          </w:divBdr>
          <w:divsChild>
            <w:div w:id="1643848504">
              <w:marLeft w:val="0"/>
              <w:marRight w:val="0"/>
              <w:marTop w:val="0"/>
              <w:marBottom w:val="0"/>
              <w:divBdr>
                <w:top w:val="none" w:sz="0" w:space="0" w:color="auto"/>
                <w:left w:val="none" w:sz="0" w:space="0" w:color="auto"/>
                <w:bottom w:val="none" w:sz="0" w:space="0" w:color="auto"/>
                <w:right w:val="none" w:sz="0" w:space="0" w:color="auto"/>
              </w:divBdr>
            </w:div>
          </w:divsChild>
        </w:div>
        <w:div w:id="746459522">
          <w:marLeft w:val="0"/>
          <w:marRight w:val="0"/>
          <w:marTop w:val="0"/>
          <w:marBottom w:val="0"/>
          <w:divBdr>
            <w:top w:val="none" w:sz="0" w:space="0" w:color="auto"/>
            <w:left w:val="none" w:sz="0" w:space="0" w:color="auto"/>
            <w:bottom w:val="none" w:sz="0" w:space="0" w:color="auto"/>
            <w:right w:val="none" w:sz="0" w:space="0" w:color="auto"/>
          </w:divBdr>
          <w:divsChild>
            <w:div w:id="1522626255">
              <w:marLeft w:val="0"/>
              <w:marRight w:val="0"/>
              <w:marTop w:val="0"/>
              <w:marBottom w:val="0"/>
              <w:divBdr>
                <w:top w:val="none" w:sz="0" w:space="0" w:color="auto"/>
                <w:left w:val="none" w:sz="0" w:space="0" w:color="auto"/>
                <w:bottom w:val="none" w:sz="0" w:space="0" w:color="auto"/>
                <w:right w:val="none" w:sz="0" w:space="0" w:color="auto"/>
              </w:divBdr>
            </w:div>
          </w:divsChild>
        </w:div>
        <w:div w:id="786895605">
          <w:marLeft w:val="0"/>
          <w:marRight w:val="0"/>
          <w:marTop w:val="0"/>
          <w:marBottom w:val="0"/>
          <w:divBdr>
            <w:top w:val="none" w:sz="0" w:space="0" w:color="auto"/>
            <w:left w:val="none" w:sz="0" w:space="0" w:color="auto"/>
            <w:bottom w:val="none" w:sz="0" w:space="0" w:color="auto"/>
            <w:right w:val="none" w:sz="0" w:space="0" w:color="auto"/>
          </w:divBdr>
          <w:divsChild>
            <w:div w:id="31345784">
              <w:marLeft w:val="0"/>
              <w:marRight w:val="0"/>
              <w:marTop w:val="0"/>
              <w:marBottom w:val="0"/>
              <w:divBdr>
                <w:top w:val="none" w:sz="0" w:space="0" w:color="auto"/>
                <w:left w:val="none" w:sz="0" w:space="0" w:color="auto"/>
                <w:bottom w:val="none" w:sz="0" w:space="0" w:color="auto"/>
                <w:right w:val="none" w:sz="0" w:space="0" w:color="auto"/>
              </w:divBdr>
            </w:div>
          </w:divsChild>
        </w:div>
        <w:div w:id="803156281">
          <w:marLeft w:val="0"/>
          <w:marRight w:val="0"/>
          <w:marTop w:val="0"/>
          <w:marBottom w:val="0"/>
          <w:divBdr>
            <w:top w:val="none" w:sz="0" w:space="0" w:color="auto"/>
            <w:left w:val="none" w:sz="0" w:space="0" w:color="auto"/>
            <w:bottom w:val="none" w:sz="0" w:space="0" w:color="auto"/>
            <w:right w:val="none" w:sz="0" w:space="0" w:color="auto"/>
          </w:divBdr>
          <w:divsChild>
            <w:div w:id="1923296127">
              <w:marLeft w:val="0"/>
              <w:marRight w:val="0"/>
              <w:marTop w:val="0"/>
              <w:marBottom w:val="0"/>
              <w:divBdr>
                <w:top w:val="none" w:sz="0" w:space="0" w:color="auto"/>
                <w:left w:val="none" w:sz="0" w:space="0" w:color="auto"/>
                <w:bottom w:val="none" w:sz="0" w:space="0" w:color="auto"/>
                <w:right w:val="none" w:sz="0" w:space="0" w:color="auto"/>
              </w:divBdr>
            </w:div>
          </w:divsChild>
        </w:div>
        <w:div w:id="822157326">
          <w:marLeft w:val="0"/>
          <w:marRight w:val="0"/>
          <w:marTop w:val="0"/>
          <w:marBottom w:val="0"/>
          <w:divBdr>
            <w:top w:val="none" w:sz="0" w:space="0" w:color="auto"/>
            <w:left w:val="none" w:sz="0" w:space="0" w:color="auto"/>
            <w:bottom w:val="none" w:sz="0" w:space="0" w:color="auto"/>
            <w:right w:val="none" w:sz="0" w:space="0" w:color="auto"/>
          </w:divBdr>
          <w:divsChild>
            <w:div w:id="1219782638">
              <w:marLeft w:val="0"/>
              <w:marRight w:val="0"/>
              <w:marTop w:val="0"/>
              <w:marBottom w:val="0"/>
              <w:divBdr>
                <w:top w:val="none" w:sz="0" w:space="0" w:color="auto"/>
                <w:left w:val="none" w:sz="0" w:space="0" w:color="auto"/>
                <w:bottom w:val="none" w:sz="0" w:space="0" w:color="auto"/>
                <w:right w:val="none" w:sz="0" w:space="0" w:color="auto"/>
              </w:divBdr>
            </w:div>
          </w:divsChild>
        </w:div>
        <w:div w:id="860705578">
          <w:marLeft w:val="0"/>
          <w:marRight w:val="0"/>
          <w:marTop w:val="0"/>
          <w:marBottom w:val="0"/>
          <w:divBdr>
            <w:top w:val="none" w:sz="0" w:space="0" w:color="auto"/>
            <w:left w:val="none" w:sz="0" w:space="0" w:color="auto"/>
            <w:bottom w:val="none" w:sz="0" w:space="0" w:color="auto"/>
            <w:right w:val="none" w:sz="0" w:space="0" w:color="auto"/>
          </w:divBdr>
          <w:divsChild>
            <w:div w:id="384570277">
              <w:marLeft w:val="0"/>
              <w:marRight w:val="0"/>
              <w:marTop w:val="0"/>
              <w:marBottom w:val="0"/>
              <w:divBdr>
                <w:top w:val="none" w:sz="0" w:space="0" w:color="auto"/>
                <w:left w:val="none" w:sz="0" w:space="0" w:color="auto"/>
                <w:bottom w:val="none" w:sz="0" w:space="0" w:color="auto"/>
                <w:right w:val="none" w:sz="0" w:space="0" w:color="auto"/>
              </w:divBdr>
            </w:div>
          </w:divsChild>
        </w:div>
        <w:div w:id="875317495">
          <w:marLeft w:val="0"/>
          <w:marRight w:val="0"/>
          <w:marTop w:val="0"/>
          <w:marBottom w:val="0"/>
          <w:divBdr>
            <w:top w:val="none" w:sz="0" w:space="0" w:color="auto"/>
            <w:left w:val="none" w:sz="0" w:space="0" w:color="auto"/>
            <w:bottom w:val="none" w:sz="0" w:space="0" w:color="auto"/>
            <w:right w:val="none" w:sz="0" w:space="0" w:color="auto"/>
          </w:divBdr>
          <w:divsChild>
            <w:div w:id="1483500439">
              <w:marLeft w:val="0"/>
              <w:marRight w:val="0"/>
              <w:marTop w:val="0"/>
              <w:marBottom w:val="0"/>
              <w:divBdr>
                <w:top w:val="none" w:sz="0" w:space="0" w:color="auto"/>
                <w:left w:val="none" w:sz="0" w:space="0" w:color="auto"/>
                <w:bottom w:val="none" w:sz="0" w:space="0" w:color="auto"/>
                <w:right w:val="none" w:sz="0" w:space="0" w:color="auto"/>
              </w:divBdr>
            </w:div>
          </w:divsChild>
        </w:div>
        <w:div w:id="954865827">
          <w:marLeft w:val="0"/>
          <w:marRight w:val="0"/>
          <w:marTop w:val="0"/>
          <w:marBottom w:val="0"/>
          <w:divBdr>
            <w:top w:val="none" w:sz="0" w:space="0" w:color="auto"/>
            <w:left w:val="none" w:sz="0" w:space="0" w:color="auto"/>
            <w:bottom w:val="none" w:sz="0" w:space="0" w:color="auto"/>
            <w:right w:val="none" w:sz="0" w:space="0" w:color="auto"/>
          </w:divBdr>
          <w:divsChild>
            <w:div w:id="1142429559">
              <w:marLeft w:val="0"/>
              <w:marRight w:val="0"/>
              <w:marTop w:val="0"/>
              <w:marBottom w:val="0"/>
              <w:divBdr>
                <w:top w:val="none" w:sz="0" w:space="0" w:color="auto"/>
                <w:left w:val="none" w:sz="0" w:space="0" w:color="auto"/>
                <w:bottom w:val="none" w:sz="0" w:space="0" w:color="auto"/>
                <w:right w:val="none" w:sz="0" w:space="0" w:color="auto"/>
              </w:divBdr>
            </w:div>
          </w:divsChild>
        </w:div>
        <w:div w:id="955983243">
          <w:marLeft w:val="0"/>
          <w:marRight w:val="0"/>
          <w:marTop w:val="0"/>
          <w:marBottom w:val="0"/>
          <w:divBdr>
            <w:top w:val="none" w:sz="0" w:space="0" w:color="auto"/>
            <w:left w:val="none" w:sz="0" w:space="0" w:color="auto"/>
            <w:bottom w:val="none" w:sz="0" w:space="0" w:color="auto"/>
            <w:right w:val="none" w:sz="0" w:space="0" w:color="auto"/>
          </w:divBdr>
          <w:divsChild>
            <w:div w:id="858852604">
              <w:marLeft w:val="0"/>
              <w:marRight w:val="0"/>
              <w:marTop w:val="0"/>
              <w:marBottom w:val="0"/>
              <w:divBdr>
                <w:top w:val="none" w:sz="0" w:space="0" w:color="auto"/>
                <w:left w:val="none" w:sz="0" w:space="0" w:color="auto"/>
                <w:bottom w:val="none" w:sz="0" w:space="0" w:color="auto"/>
                <w:right w:val="none" w:sz="0" w:space="0" w:color="auto"/>
              </w:divBdr>
            </w:div>
          </w:divsChild>
        </w:div>
        <w:div w:id="959148793">
          <w:marLeft w:val="0"/>
          <w:marRight w:val="0"/>
          <w:marTop w:val="0"/>
          <w:marBottom w:val="0"/>
          <w:divBdr>
            <w:top w:val="none" w:sz="0" w:space="0" w:color="auto"/>
            <w:left w:val="none" w:sz="0" w:space="0" w:color="auto"/>
            <w:bottom w:val="none" w:sz="0" w:space="0" w:color="auto"/>
            <w:right w:val="none" w:sz="0" w:space="0" w:color="auto"/>
          </w:divBdr>
          <w:divsChild>
            <w:div w:id="1457336024">
              <w:marLeft w:val="0"/>
              <w:marRight w:val="0"/>
              <w:marTop w:val="0"/>
              <w:marBottom w:val="0"/>
              <w:divBdr>
                <w:top w:val="none" w:sz="0" w:space="0" w:color="auto"/>
                <w:left w:val="none" w:sz="0" w:space="0" w:color="auto"/>
                <w:bottom w:val="none" w:sz="0" w:space="0" w:color="auto"/>
                <w:right w:val="none" w:sz="0" w:space="0" w:color="auto"/>
              </w:divBdr>
            </w:div>
          </w:divsChild>
        </w:div>
        <w:div w:id="976838689">
          <w:marLeft w:val="0"/>
          <w:marRight w:val="0"/>
          <w:marTop w:val="0"/>
          <w:marBottom w:val="0"/>
          <w:divBdr>
            <w:top w:val="none" w:sz="0" w:space="0" w:color="auto"/>
            <w:left w:val="none" w:sz="0" w:space="0" w:color="auto"/>
            <w:bottom w:val="none" w:sz="0" w:space="0" w:color="auto"/>
            <w:right w:val="none" w:sz="0" w:space="0" w:color="auto"/>
          </w:divBdr>
          <w:divsChild>
            <w:div w:id="1310985298">
              <w:marLeft w:val="0"/>
              <w:marRight w:val="0"/>
              <w:marTop w:val="0"/>
              <w:marBottom w:val="0"/>
              <w:divBdr>
                <w:top w:val="none" w:sz="0" w:space="0" w:color="auto"/>
                <w:left w:val="none" w:sz="0" w:space="0" w:color="auto"/>
                <w:bottom w:val="none" w:sz="0" w:space="0" w:color="auto"/>
                <w:right w:val="none" w:sz="0" w:space="0" w:color="auto"/>
              </w:divBdr>
            </w:div>
          </w:divsChild>
        </w:div>
        <w:div w:id="1000042539">
          <w:marLeft w:val="0"/>
          <w:marRight w:val="0"/>
          <w:marTop w:val="0"/>
          <w:marBottom w:val="0"/>
          <w:divBdr>
            <w:top w:val="none" w:sz="0" w:space="0" w:color="auto"/>
            <w:left w:val="none" w:sz="0" w:space="0" w:color="auto"/>
            <w:bottom w:val="none" w:sz="0" w:space="0" w:color="auto"/>
            <w:right w:val="none" w:sz="0" w:space="0" w:color="auto"/>
          </w:divBdr>
          <w:divsChild>
            <w:div w:id="536282491">
              <w:marLeft w:val="0"/>
              <w:marRight w:val="0"/>
              <w:marTop w:val="0"/>
              <w:marBottom w:val="0"/>
              <w:divBdr>
                <w:top w:val="none" w:sz="0" w:space="0" w:color="auto"/>
                <w:left w:val="none" w:sz="0" w:space="0" w:color="auto"/>
                <w:bottom w:val="none" w:sz="0" w:space="0" w:color="auto"/>
                <w:right w:val="none" w:sz="0" w:space="0" w:color="auto"/>
              </w:divBdr>
            </w:div>
          </w:divsChild>
        </w:div>
        <w:div w:id="1012948092">
          <w:marLeft w:val="0"/>
          <w:marRight w:val="0"/>
          <w:marTop w:val="0"/>
          <w:marBottom w:val="0"/>
          <w:divBdr>
            <w:top w:val="none" w:sz="0" w:space="0" w:color="auto"/>
            <w:left w:val="none" w:sz="0" w:space="0" w:color="auto"/>
            <w:bottom w:val="none" w:sz="0" w:space="0" w:color="auto"/>
            <w:right w:val="none" w:sz="0" w:space="0" w:color="auto"/>
          </w:divBdr>
          <w:divsChild>
            <w:div w:id="784498064">
              <w:marLeft w:val="0"/>
              <w:marRight w:val="0"/>
              <w:marTop w:val="0"/>
              <w:marBottom w:val="0"/>
              <w:divBdr>
                <w:top w:val="none" w:sz="0" w:space="0" w:color="auto"/>
                <w:left w:val="none" w:sz="0" w:space="0" w:color="auto"/>
                <w:bottom w:val="none" w:sz="0" w:space="0" w:color="auto"/>
                <w:right w:val="none" w:sz="0" w:space="0" w:color="auto"/>
              </w:divBdr>
            </w:div>
          </w:divsChild>
        </w:div>
        <w:div w:id="1026057963">
          <w:marLeft w:val="0"/>
          <w:marRight w:val="0"/>
          <w:marTop w:val="0"/>
          <w:marBottom w:val="0"/>
          <w:divBdr>
            <w:top w:val="none" w:sz="0" w:space="0" w:color="auto"/>
            <w:left w:val="none" w:sz="0" w:space="0" w:color="auto"/>
            <w:bottom w:val="none" w:sz="0" w:space="0" w:color="auto"/>
            <w:right w:val="none" w:sz="0" w:space="0" w:color="auto"/>
          </w:divBdr>
          <w:divsChild>
            <w:div w:id="1795444873">
              <w:marLeft w:val="0"/>
              <w:marRight w:val="0"/>
              <w:marTop w:val="0"/>
              <w:marBottom w:val="0"/>
              <w:divBdr>
                <w:top w:val="none" w:sz="0" w:space="0" w:color="auto"/>
                <w:left w:val="none" w:sz="0" w:space="0" w:color="auto"/>
                <w:bottom w:val="none" w:sz="0" w:space="0" w:color="auto"/>
                <w:right w:val="none" w:sz="0" w:space="0" w:color="auto"/>
              </w:divBdr>
            </w:div>
          </w:divsChild>
        </w:div>
        <w:div w:id="1038505982">
          <w:marLeft w:val="0"/>
          <w:marRight w:val="0"/>
          <w:marTop w:val="0"/>
          <w:marBottom w:val="0"/>
          <w:divBdr>
            <w:top w:val="none" w:sz="0" w:space="0" w:color="auto"/>
            <w:left w:val="none" w:sz="0" w:space="0" w:color="auto"/>
            <w:bottom w:val="none" w:sz="0" w:space="0" w:color="auto"/>
            <w:right w:val="none" w:sz="0" w:space="0" w:color="auto"/>
          </w:divBdr>
          <w:divsChild>
            <w:div w:id="278223500">
              <w:marLeft w:val="0"/>
              <w:marRight w:val="0"/>
              <w:marTop w:val="0"/>
              <w:marBottom w:val="0"/>
              <w:divBdr>
                <w:top w:val="none" w:sz="0" w:space="0" w:color="auto"/>
                <w:left w:val="none" w:sz="0" w:space="0" w:color="auto"/>
                <w:bottom w:val="none" w:sz="0" w:space="0" w:color="auto"/>
                <w:right w:val="none" w:sz="0" w:space="0" w:color="auto"/>
              </w:divBdr>
            </w:div>
          </w:divsChild>
        </w:div>
        <w:div w:id="1045562709">
          <w:marLeft w:val="0"/>
          <w:marRight w:val="0"/>
          <w:marTop w:val="0"/>
          <w:marBottom w:val="0"/>
          <w:divBdr>
            <w:top w:val="none" w:sz="0" w:space="0" w:color="auto"/>
            <w:left w:val="none" w:sz="0" w:space="0" w:color="auto"/>
            <w:bottom w:val="none" w:sz="0" w:space="0" w:color="auto"/>
            <w:right w:val="none" w:sz="0" w:space="0" w:color="auto"/>
          </w:divBdr>
          <w:divsChild>
            <w:div w:id="2081562184">
              <w:marLeft w:val="0"/>
              <w:marRight w:val="0"/>
              <w:marTop w:val="0"/>
              <w:marBottom w:val="0"/>
              <w:divBdr>
                <w:top w:val="none" w:sz="0" w:space="0" w:color="auto"/>
                <w:left w:val="none" w:sz="0" w:space="0" w:color="auto"/>
                <w:bottom w:val="none" w:sz="0" w:space="0" w:color="auto"/>
                <w:right w:val="none" w:sz="0" w:space="0" w:color="auto"/>
              </w:divBdr>
            </w:div>
          </w:divsChild>
        </w:div>
        <w:div w:id="1112363209">
          <w:marLeft w:val="0"/>
          <w:marRight w:val="0"/>
          <w:marTop w:val="0"/>
          <w:marBottom w:val="0"/>
          <w:divBdr>
            <w:top w:val="none" w:sz="0" w:space="0" w:color="auto"/>
            <w:left w:val="none" w:sz="0" w:space="0" w:color="auto"/>
            <w:bottom w:val="none" w:sz="0" w:space="0" w:color="auto"/>
            <w:right w:val="none" w:sz="0" w:space="0" w:color="auto"/>
          </w:divBdr>
          <w:divsChild>
            <w:div w:id="153110621">
              <w:marLeft w:val="0"/>
              <w:marRight w:val="0"/>
              <w:marTop w:val="0"/>
              <w:marBottom w:val="0"/>
              <w:divBdr>
                <w:top w:val="none" w:sz="0" w:space="0" w:color="auto"/>
                <w:left w:val="none" w:sz="0" w:space="0" w:color="auto"/>
                <w:bottom w:val="none" w:sz="0" w:space="0" w:color="auto"/>
                <w:right w:val="none" w:sz="0" w:space="0" w:color="auto"/>
              </w:divBdr>
            </w:div>
          </w:divsChild>
        </w:div>
        <w:div w:id="1118186084">
          <w:marLeft w:val="0"/>
          <w:marRight w:val="0"/>
          <w:marTop w:val="0"/>
          <w:marBottom w:val="0"/>
          <w:divBdr>
            <w:top w:val="none" w:sz="0" w:space="0" w:color="auto"/>
            <w:left w:val="none" w:sz="0" w:space="0" w:color="auto"/>
            <w:bottom w:val="none" w:sz="0" w:space="0" w:color="auto"/>
            <w:right w:val="none" w:sz="0" w:space="0" w:color="auto"/>
          </w:divBdr>
          <w:divsChild>
            <w:div w:id="1804107356">
              <w:marLeft w:val="0"/>
              <w:marRight w:val="0"/>
              <w:marTop w:val="0"/>
              <w:marBottom w:val="0"/>
              <w:divBdr>
                <w:top w:val="none" w:sz="0" w:space="0" w:color="auto"/>
                <w:left w:val="none" w:sz="0" w:space="0" w:color="auto"/>
                <w:bottom w:val="none" w:sz="0" w:space="0" w:color="auto"/>
                <w:right w:val="none" w:sz="0" w:space="0" w:color="auto"/>
              </w:divBdr>
            </w:div>
          </w:divsChild>
        </w:div>
        <w:div w:id="1142387818">
          <w:marLeft w:val="0"/>
          <w:marRight w:val="0"/>
          <w:marTop w:val="0"/>
          <w:marBottom w:val="0"/>
          <w:divBdr>
            <w:top w:val="none" w:sz="0" w:space="0" w:color="auto"/>
            <w:left w:val="none" w:sz="0" w:space="0" w:color="auto"/>
            <w:bottom w:val="none" w:sz="0" w:space="0" w:color="auto"/>
            <w:right w:val="none" w:sz="0" w:space="0" w:color="auto"/>
          </w:divBdr>
          <w:divsChild>
            <w:div w:id="62921678">
              <w:marLeft w:val="0"/>
              <w:marRight w:val="0"/>
              <w:marTop w:val="0"/>
              <w:marBottom w:val="0"/>
              <w:divBdr>
                <w:top w:val="none" w:sz="0" w:space="0" w:color="auto"/>
                <w:left w:val="none" w:sz="0" w:space="0" w:color="auto"/>
                <w:bottom w:val="none" w:sz="0" w:space="0" w:color="auto"/>
                <w:right w:val="none" w:sz="0" w:space="0" w:color="auto"/>
              </w:divBdr>
            </w:div>
          </w:divsChild>
        </w:div>
        <w:div w:id="1151870954">
          <w:marLeft w:val="0"/>
          <w:marRight w:val="0"/>
          <w:marTop w:val="0"/>
          <w:marBottom w:val="0"/>
          <w:divBdr>
            <w:top w:val="none" w:sz="0" w:space="0" w:color="auto"/>
            <w:left w:val="none" w:sz="0" w:space="0" w:color="auto"/>
            <w:bottom w:val="none" w:sz="0" w:space="0" w:color="auto"/>
            <w:right w:val="none" w:sz="0" w:space="0" w:color="auto"/>
          </w:divBdr>
          <w:divsChild>
            <w:div w:id="479424511">
              <w:marLeft w:val="0"/>
              <w:marRight w:val="0"/>
              <w:marTop w:val="0"/>
              <w:marBottom w:val="0"/>
              <w:divBdr>
                <w:top w:val="none" w:sz="0" w:space="0" w:color="auto"/>
                <w:left w:val="none" w:sz="0" w:space="0" w:color="auto"/>
                <w:bottom w:val="none" w:sz="0" w:space="0" w:color="auto"/>
                <w:right w:val="none" w:sz="0" w:space="0" w:color="auto"/>
              </w:divBdr>
            </w:div>
          </w:divsChild>
        </w:div>
        <w:div w:id="1153302889">
          <w:marLeft w:val="0"/>
          <w:marRight w:val="0"/>
          <w:marTop w:val="0"/>
          <w:marBottom w:val="0"/>
          <w:divBdr>
            <w:top w:val="none" w:sz="0" w:space="0" w:color="auto"/>
            <w:left w:val="none" w:sz="0" w:space="0" w:color="auto"/>
            <w:bottom w:val="none" w:sz="0" w:space="0" w:color="auto"/>
            <w:right w:val="none" w:sz="0" w:space="0" w:color="auto"/>
          </w:divBdr>
          <w:divsChild>
            <w:div w:id="1408113020">
              <w:marLeft w:val="0"/>
              <w:marRight w:val="0"/>
              <w:marTop w:val="0"/>
              <w:marBottom w:val="0"/>
              <w:divBdr>
                <w:top w:val="none" w:sz="0" w:space="0" w:color="auto"/>
                <w:left w:val="none" w:sz="0" w:space="0" w:color="auto"/>
                <w:bottom w:val="none" w:sz="0" w:space="0" w:color="auto"/>
                <w:right w:val="none" w:sz="0" w:space="0" w:color="auto"/>
              </w:divBdr>
            </w:div>
          </w:divsChild>
        </w:div>
        <w:div w:id="1180506086">
          <w:marLeft w:val="0"/>
          <w:marRight w:val="0"/>
          <w:marTop w:val="0"/>
          <w:marBottom w:val="0"/>
          <w:divBdr>
            <w:top w:val="none" w:sz="0" w:space="0" w:color="auto"/>
            <w:left w:val="none" w:sz="0" w:space="0" w:color="auto"/>
            <w:bottom w:val="none" w:sz="0" w:space="0" w:color="auto"/>
            <w:right w:val="none" w:sz="0" w:space="0" w:color="auto"/>
          </w:divBdr>
          <w:divsChild>
            <w:div w:id="1039358077">
              <w:marLeft w:val="0"/>
              <w:marRight w:val="0"/>
              <w:marTop w:val="0"/>
              <w:marBottom w:val="0"/>
              <w:divBdr>
                <w:top w:val="none" w:sz="0" w:space="0" w:color="auto"/>
                <w:left w:val="none" w:sz="0" w:space="0" w:color="auto"/>
                <w:bottom w:val="none" w:sz="0" w:space="0" w:color="auto"/>
                <w:right w:val="none" w:sz="0" w:space="0" w:color="auto"/>
              </w:divBdr>
            </w:div>
          </w:divsChild>
        </w:div>
        <w:div w:id="1184129868">
          <w:marLeft w:val="0"/>
          <w:marRight w:val="0"/>
          <w:marTop w:val="0"/>
          <w:marBottom w:val="0"/>
          <w:divBdr>
            <w:top w:val="none" w:sz="0" w:space="0" w:color="auto"/>
            <w:left w:val="none" w:sz="0" w:space="0" w:color="auto"/>
            <w:bottom w:val="none" w:sz="0" w:space="0" w:color="auto"/>
            <w:right w:val="none" w:sz="0" w:space="0" w:color="auto"/>
          </w:divBdr>
          <w:divsChild>
            <w:div w:id="779684236">
              <w:marLeft w:val="0"/>
              <w:marRight w:val="0"/>
              <w:marTop w:val="0"/>
              <w:marBottom w:val="0"/>
              <w:divBdr>
                <w:top w:val="none" w:sz="0" w:space="0" w:color="auto"/>
                <w:left w:val="none" w:sz="0" w:space="0" w:color="auto"/>
                <w:bottom w:val="none" w:sz="0" w:space="0" w:color="auto"/>
                <w:right w:val="none" w:sz="0" w:space="0" w:color="auto"/>
              </w:divBdr>
            </w:div>
          </w:divsChild>
        </w:div>
        <w:div w:id="1188326745">
          <w:marLeft w:val="0"/>
          <w:marRight w:val="0"/>
          <w:marTop w:val="0"/>
          <w:marBottom w:val="0"/>
          <w:divBdr>
            <w:top w:val="none" w:sz="0" w:space="0" w:color="auto"/>
            <w:left w:val="none" w:sz="0" w:space="0" w:color="auto"/>
            <w:bottom w:val="none" w:sz="0" w:space="0" w:color="auto"/>
            <w:right w:val="none" w:sz="0" w:space="0" w:color="auto"/>
          </w:divBdr>
          <w:divsChild>
            <w:div w:id="1513297573">
              <w:marLeft w:val="0"/>
              <w:marRight w:val="0"/>
              <w:marTop w:val="0"/>
              <w:marBottom w:val="0"/>
              <w:divBdr>
                <w:top w:val="none" w:sz="0" w:space="0" w:color="auto"/>
                <w:left w:val="none" w:sz="0" w:space="0" w:color="auto"/>
                <w:bottom w:val="none" w:sz="0" w:space="0" w:color="auto"/>
                <w:right w:val="none" w:sz="0" w:space="0" w:color="auto"/>
              </w:divBdr>
            </w:div>
          </w:divsChild>
        </w:div>
        <w:div w:id="1205946429">
          <w:marLeft w:val="0"/>
          <w:marRight w:val="0"/>
          <w:marTop w:val="0"/>
          <w:marBottom w:val="0"/>
          <w:divBdr>
            <w:top w:val="none" w:sz="0" w:space="0" w:color="auto"/>
            <w:left w:val="none" w:sz="0" w:space="0" w:color="auto"/>
            <w:bottom w:val="none" w:sz="0" w:space="0" w:color="auto"/>
            <w:right w:val="none" w:sz="0" w:space="0" w:color="auto"/>
          </w:divBdr>
          <w:divsChild>
            <w:div w:id="311563734">
              <w:marLeft w:val="0"/>
              <w:marRight w:val="0"/>
              <w:marTop w:val="0"/>
              <w:marBottom w:val="0"/>
              <w:divBdr>
                <w:top w:val="none" w:sz="0" w:space="0" w:color="auto"/>
                <w:left w:val="none" w:sz="0" w:space="0" w:color="auto"/>
                <w:bottom w:val="none" w:sz="0" w:space="0" w:color="auto"/>
                <w:right w:val="none" w:sz="0" w:space="0" w:color="auto"/>
              </w:divBdr>
            </w:div>
          </w:divsChild>
        </w:div>
        <w:div w:id="1224177291">
          <w:marLeft w:val="0"/>
          <w:marRight w:val="0"/>
          <w:marTop w:val="0"/>
          <w:marBottom w:val="0"/>
          <w:divBdr>
            <w:top w:val="none" w:sz="0" w:space="0" w:color="auto"/>
            <w:left w:val="none" w:sz="0" w:space="0" w:color="auto"/>
            <w:bottom w:val="none" w:sz="0" w:space="0" w:color="auto"/>
            <w:right w:val="none" w:sz="0" w:space="0" w:color="auto"/>
          </w:divBdr>
          <w:divsChild>
            <w:div w:id="1761750865">
              <w:marLeft w:val="0"/>
              <w:marRight w:val="0"/>
              <w:marTop w:val="0"/>
              <w:marBottom w:val="0"/>
              <w:divBdr>
                <w:top w:val="none" w:sz="0" w:space="0" w:color="auto"/>
                <w:left w:val="none" w:sz="0" w:space="0" w:color="auto"/>
                <w:bottom w:val="none" w:sz="0" w:space="0" w:color="auto"/>
                <w:right w:val="none" w:sz="0" w:space="0" w:color="auto"/>
              </w:divBdr>
            </w:div>
          </w:divsChild>
        </w:div>
        <w:div w:id="1250500124">
          <w:marLeft w:val="0"/>
          <w:marRight w:val="0"/>
          <w:marTop w:val="0"/>
          <w:marBottom w:val="0"/>
          <w:divBdr>
            <w:top w:val="none" w:sz="0" w:space="0" w:color="auto"/>
            <w:left w:val="none" w:sz="0" w:space="0" w:color="auto"/>
            <w:bottom w:val="none" w:sz="0" w:space="0" w:color="auto"/>
            <w:right w:val="none" w:sz="0" w:space="0" w:color="auto"/>
          </w:divBdr>
          <w:divsChild>
            <w:div w:id="1125661418">
              <w:marLeft w:val="0"/>
              <w:marRight w:val="0"/>
              <w:marTop w:val="0"/>
              <w:marBottom w:val="0"/>
              <w:divBdr>
                <w:top w:val="none" w:sz="0" w:space="0" w:color="auto"/>
                <w:left w:val="none" w:sz="0" w:space="0" w:color="auto"/>
                <w:bottom w:val="none" w:sz="0" w:space="0" w:color="auto"/>
                <w:right w:val="none" w:sz="0" w:space="0" w:color="auto"/>
              </w:divBdr>
            </w:div>
          </w:divsChild>
        </w:div>
        <w:div w:id="1259799780">
          <w:marLeft w:val="0"/>
          <w:marRight w:val="0"/>
          <w:marTop w:val="0"/>
          <w:marBottom w:val="0"/>
          <w:divBdr>
            <w:top w:val="none" w:sz="0" w:space="0" w:color="auto"/>
            <w:left w:val="none" w:sz="0" w:space="0" w:color="auto"/>
            <w:bottom w:val="none" w:sz="0" w:space="0" w:color="auto"/>
            <w:right w:val="none" w:sz="0" w:space="0" w:color="auto"/>
          </w:divBdr>
          <w:divsChild>
            <w:div w:id="627784530">
              <w:marLeft w:val="0"/>
              <w:marRight w:val="0"/>
              <w:marTop w:val="0"/>
              <w:marBottom w:val="0"/>
              <w:divBdr>
                <w:top w:val="none" w:sz="0" w:space="0" w:color="auto"/>
                <w:left w:val="none" w:sz="0" w:space="0" w:color="auto"/>
                <w:bottom w:val="none" w:sz="0" w:space="0" w:color="auto"/>
                <w:right w:val="none" w:sz="0" w:space="0" w:color="auto"/>
              </w:divBdr>
            </w:div>
          </w:divsChild>
        </w:div>
        <w:div w:id="1283725259">
          <w:marLeft w:val="0"/>
          <w:marRight w:val="0"/>
          <w:marTop w:val="0"/>
          <w:marBottom w:val="0"/>
          <w:divBdr>
            <w:top w:val="none" w:sz="0" w:space="0" w:color="auto"/>
            <w:left w:val="none" w:sz="0" w:space="0" w:color="auto"/>
            <w:bottom w:val="none" w:sz="0" w:space="0" w:color="auto"/>
            <w:right w:val="none" w:sz="0" w:space="0" w:color="auto"/>
          </w:divBdr>
          <w:divsChild>
            <w:div w:id="794369441">
              <w:marLeft w:val="0"/>
              <w:marRight w:val="0"/>
              <w:marTop w:val="0"/>
              <w:marBottom w:val="0"/>
              <w:divBdr>
                <w:top w:val="none" w:sz="0" w:space="0" w:color="auto"/>
                <w:left w:val="none" w:sz="0" w:space="0" w:color="auto"/>
                <w:bottom w:val="none" w:sz="0" w:space="0" w:color="auto"/>
                <w:right w:val="none" w:sz="0" w:space="0" w:color="auto"/>
              </w:divBdr>
            </w:div>
          </w:divsChild>
        </w:div>
        <w:div w:id="1358577210">
          <w:marLeft w:val="0"/>
          <w:marRight w:val="0"/>
          <w:marTop w:val="0"/>
          <w:marBottom w:val="0"/>
          <w:divBdr>
            <w:top w:val="none" w:sz="0" w:space="0" w:color="auto"/>
            <w:left w:val="none" w:sz="0" w:space="0" w:color="auto"/>
            <w:bottom w:val="none" w:sz="0" w:space="0" w:color="auto"/>
            <w:right w:val="none" w:sz="0" w:space="0" w:color="auto"/>
          </w:divBdr>
          <w:divsChild>
            <w:div w:id="1134178249">
              <w:marLeft w:val="0"/>
              <w:marRight w:val="0"/>
              <w:marTop w:val="0"/>
              <w:marBottom w:val="0"/>
              <w:divBdr>
                <w:top w:val="none" w:sz="0" w:space="0" w:color="auto"/>
                <w:left w:val="none" w:sz="0" w:space="0" w:color="auto"/>
                <w:bottom w:val="none" w:sz="0" w:space="0" w:color="auto"/>
                <w:right w:val="none" w:sz="0" w:space="0" w:color="auto"/>
              </w:divBdr>
            </w:div>
          </w:divsChild>
        </w:div>
        <w:div w:id="1368678716">
          <w:marLeft w:val="0"/>
          <w:marRight w:val="0"/>
          <w:marTop w:val="0"/>
          <w:marBottom w:val="0"/>
          <w:divBdr>
            <w:top w:val="none" w:sz="0" w:space="0" w:color="auto"/>
            <w:left w:val="none" w:sz="0" w:space="0" w:color="auto"/>
            <w:bottom w:val="none" w:sz="0" w:space="0" w:color="auto"/>
            <w:right w:val="none" w:sz="0" w:space="0" w:color="auto"/>
          </w:divBdr>
          <w:divsChild>
            <w:div w:id="1663511067">
              <w:marLeft w:val="0"/>
              <w:marRight w:val="0"/>
              <w:marTop w:val="0"/>
              <w:marBottom w:val="0"/>
              <w:divBdr>
                <w:top w:val="none" w:sz="0" w:space="0" w:color="auto"/>
                <w:left w:val="none" w:sz="0" w:space="0" w:color="auto"/>
                <w:bottom w:val="none" w:sz="0" w:space="0" w:color="auto"/>
                <w:right w:val="none" w:sz="0" w:space="0" w:color="auto"/>
              </w:divBdr>
            </w:div>
          </w:divsChild>
        </w:div>
        <w:div w:id="1373848285">
          <w:marLeft w:val="0"/>
          <w:marRight w:val="0"/>
          <w:marTop w:val="0"/>
          <w:marBottom w:val="0"/>
          <w:divBdr>
            <w:top w:val="none" w:sz="0" w:space="0" w:color="auto"/>
            <w:left w:val="none" w:sz="0" w:space="0" w:color="auto"/>
            <w:bottom w:val="none" w:sz="0" w:space="0" w:color="auto"/>
            <w:right w:val="none" w:sz="0" w:space="0" w:color="auto"/>
          </w:divBdr>
          <w:divsChild>
            <w:div w:id="894122594">
              <w:marLeft w:val="0"/>
              <w:marRight w:val="0"/>
              <w:marTop w:val="0"/>
              <w:marBottom w:val="0"/>
              <w:divBdr>
                <w:top w:val="none" w:sz="0" w:space="0" w:color="auto"/>
                <w:left w:val="none" w:sz="0" w:space="0" w:color="auto"/>
                <w:bottom w:val="none" w:sz="0" w:space="0" w:color="auto"/>
                <w:right w:val="none" w:sz="0" w:space="0" w:color="auto"/>
              </w:divBdr>
            </w:div>
          </w:divsChild>
        </w:div>
        <w:div w:id="1440369963">
          <w:marLeft w:val="0"/>
          <w:marRight w:val="0"/>
          <w:marTop w:val="0"/>
          <w:marBottom w:val="0"/>
          <w:divBdr>
            <w:top w:val="none" w:sz="0" w:space="0" w:color="auto"/>
            <w:left w:val="none" w:sz="0" w:space="0" w:color="auto"/>
            <w:bottom w:val="none" w:sz="0" w:space="0" w:color="auto"/>
            <w:right w:val="none" w:sz="0" w:space="0" w:color="auto"/>
          </w:divBdr>
          <w:divsChild>
            <w:div w:id="1338269701">
              <w:marLeft w:val="0"/>
              <w:marRight w:val="0"/>
              <w:marTop w:val="0"/>
              <w:marBottom w:val="0"/>
              <w:divBdr>
                <w:top w:val="none" w:sz="0" w:space="0" w:color="auto"/>
                <w:left w:val="none" w:sz="0" w:space="0" w:color="auto"/>
                <w:bottom w:val="none" w:sz="0" w:space="0" w:color="auto"/>
                <w:right w:val="none" w:sz="0" w:space="0" w:color="auto"/>
              </w:divBdr>
            </w:div>
          </w:divsChild>
        </w:div>
        <w:div w:id="1446652866">
          <w:marLeft w:val="0"/>
          <w:marRight w:val="0"/>
          <w:marTop w:val="0"/>
          <w:marBottom w:val="0"/>
          <w:divBdr>
            <w:top w:val="none" w:sz="0" w:space="0" w:color="auto"/>
            <w:left w:val="none" w:sz="0" w:space="0" w:color="auto"/>
            <w:bottom w:val="none" w:sz="0" w:space="0" w:color="auto"/>
            <w:right w:val="none" w:sz="0" w:space="0" w:color="auto"/>
          </w:divBdr>
          <w:divsChild>
            <w:div w:id="1699232858">
              <w:marLeft w:val="0"/>
              <w:marRight w:val="0"/>
              <w:marTop w:val="0"/>
              <w:marBottom w:val="0"/>
              <w:divBdr>
                <w:top w:val="none" w:sz="0" w:space="0" w:color="auto"/>
                <w:left w:val="none" w:sz="0" w:space="0" w:color="auto"/>
                <w:bottom w:val="none" w:sz="0" w:space="0" w:color="auto"/>
                <w:right w:val="none" w:sz="0" w:space="0" w:color="auto"/>
              </w:divBdr>
            </w:div>
          </w:divsChild>
        </w:div>
        <w:div w:id="1452744732">
          <w:marLeft w:val="0"/>
          <w:marRight w:val="0"/>
          <w:marTop w:val="0"/>
          <w:marBottom w:val="0"/>
          <w:divBdr>
            <w:top w:val="none" w:sz="0" w:space="0" w:color="auto"/>
            <w:left w:val="none" w:sz="0" w:space="0" w:color="auto"/>
            <w:bottom w:val="none" w:sz="0" w:space="0" w:color="auto"/>
            <w:right w:val="none" w:sz="0" w:space="0" w:color="auto"/>
          </w:divBdr>
          <w:divsChild>
            <w:div w:id="117385228">
              <w:marLeft w:val="0"/>
              <w:marRight w:val="0"/>
              <w:marTop w:val="0"/>
              <w:marBottom w:val="0"/>
              <w:divBdr>
                <w:top w:val="none" w:sz="0" w:space="0" w:color="auto"/>
                <w:left w:val="none" w:sz="0" w:space="0" w:color="auto"/>
                <w:bottom w:val="none" w:sz="0" w:space="0" w:color="auto"/>
                <w:right w:val="none" w:sz="0" w:space="0" w:color="auto"/>
              </w:divBdr>
            </w:div>
          </w:divsChild>
        </w:div>
        <w:div w:id="1453326352">
          <w:marLeft w:val="0"/>
          <w:marRight w:val="0"/>
          <w:marTop w:val="0"/>
          <w:marBottom w:val="0"/>
          <w:divBdr>
            <w:top w:val="none" w:sz="0" w:space="0" w:color="auto"/>
            <w:left w:val="none" w:sz="0" w:space="0" w:color="auto"/>
            <w:bottom w:val="none" w:sz="0" w:space="0" w:color="auto"/>
            <w:right w:val="none" w:sz="0" w:space="0" w:color="auto"/>
          </w:divBdr>
          <w:divsChild>
            <w:div w:id="719062572">
              <w:marLeft w:val="0"/>
              <w:marRight w:val="0"/>
              <w:marTop w:val="0"/>
              <w:marBottom w:val="0"/>
              <w:divBdr>
                <w:top w:val="none" w:sz="0" w:space="0" w:color="auto"/>
                <w:left w:val="none" w:sz="0" w:space="0" w:color="auto"/>
                <w:bottom w:val="none" w:sz="0" w:space="0" w:color="auto"/>
                <w:right w:val="none" w:sz="0" w:space="0" w:color="auto"/>
              </w:divBdr>
            </w:div>
          </w:divsChild>
        </w:div>
        <w:div w:id="1472139527">
          <w:marLeft w:val="0"/>
          <w:marRight w:val="0"/>
          <w:marTop w:val="0"/>
          <w:marBottom w:val="0"/>
          <w:divBdr>
            <w:top w:val="none" w:sz="0" w:space="0" w:color="auto"/>
            <w:left w:val="none" w:sz="0" w:space="0" w:color="auto"/>
            <w:bottom w:val="none" w:sz="0" w:space="0" w:color="auto"/>
            <w:right w:val="none" w:sz="0" w:space="0" w:color="auto"/>
          </w:divBdr>
          <w:divsChild>
            <w:div w:id="133111569">
              <w:marLeft w:val="0"/>
              <w:marRight w:val="0"/>
              <w:marTop w:val="0"/>
              <w:marBottom w:val="0"/>
              <w:divBdr>
                <w:top w:val="none" w:sz="0" w:space="0" w:color="auto"/>
                <w:left w:val="none" w:sz="0" w:space="0" w:color="auto"/>
                <w:bottom w:val="none" w:sz="0" w:space="0" w:color="auto"/>
                <w:right w:val="none" w:sz="0" w:space="0" w:color="auto"/>
              </w:divBdr>
            </w:div>
          </w:divsChild>
        </w:div>
        <w:div w:id="1482577609">
          <w:marLeft w:val="0"/>
          <w:marRight w:val="0"/>
          <w:marTop w:val="0"/>
          <w:marBottom w:val="0"/>
          <w:divBdr>
            <w:top w:val="none" w:sz="0" w:space="0" w:color="auto"/>
            <w:left w:val="none" w:sz="0" w:space="0" w:color="auto"/>
            <w:bottom w:val="none" w:sz="0" w:space="0" w:color="auto"/>
            <w:right w:val="none" w:sz="0" w:space="0" w:color="auto"/>
          </w:divBdr>
          <w:divsChild>
            <w:div w:id="1096443760">
              <w:marLeft w:val="0"/>
              <w:marRight w:val="0"/>
              <w:marTop w:val="0"/>
              <w:marBottom w:val="0"/>
              <w:divBdr>
                <w:top w:val="none" w:sz="0" w:space="0" w:color="auto"/>
                <w:left w:val="none" w:sz="0" w:space="0" w:color="auto"/>
                <w:bottom w:val="none" w:sz="0" w:space="0" w:color="auto"/>
                <w:right w:val="none" w:sz="0" w:space="0" w:color="auto"/>
              </w:divBdr>
            </w:div>
          </w:divsChild>
        </w:div>
        <w:div w:id="1484128782">
          <w:marLeft w:val="0"/>
          <w:marRight w:val="0"/>
          <w:marTop w:val="0"/>
          <w:marBottom w:val="0"/>
          <w:divBdr>
            <w:top w:val="none" w:sz="0" w:space="0" w:color="auto"/>
            <w:left w:val="none" w:sz="0" w:space="0" w:color="auto"/>
            <w:bottom w:val="none" w:sz="0" w:space="0" w:color="auto"/>
            <w:right w:val="none" w:sz="0" w:space="0" w:color="auto"/>
          </w:divBdr>
          <w:divsChild>
            <w:div w:id="543831496">
              <w:marLeft w:val="0"/>
              <w:marRight w:val="0"/>
              <w:marTop w:val="0"/>
              <w:marBottom w:val="0"/>
              <w:divBdr>
                <w:top w:val="none" w:sz="0" w:space="0" w:color="auto"/>
                <w:left w:val="none" w:sz="0" w:space="0" w:color="auto"/>
                <w:bottom w:val="none" w:sz="0" w:space="0" w:color="auto"/>
                <w:right w:val="none" w:sz="0" w:space="0" w:color="auto"/>
              </w:divBdr>
            </w:div>
          </w:divsChild>
        </w:div>
        <w:div w:id="1487160309">
          <w:marLeft w:val="0"/>
          <w:marRight w:val="0"/>
          <w:marTop w:val="0"/>
          <w:marBottom w:val="0"/>
          <w:divBdr>
            <w:top w:val="none" w:sz="0" w:space="0" w:color="auto"/>
            <w:left w:val="none" w:sz="0" w:space="0" w:color="auto"/>
            <w:bottom w:val="none" w:sz="0" w:space="0" w:color="auto"/>
            <w:right w:val="none" w:sz="0" w:space="0" w:color="auto"/>
          </w:divBdr>
          <w:divsChild>
            <w:div w:id="1356349440">
              <w:marLeft w:val="0"/>
              <w:marRight w:val="0"/>
              <w:marTop w:val="0"/>
              <w:marBottom w:val="0"/>
              <w:divBdr>
                <w:top w:val="none" w:sz="0" w:space="0" w:color="auto"/>
                <w:left w:val="none" w:sz="0" w:space="0" w:color="auto"/>
                <w:bottom w:val="none" w:sz="0" w:space="0" w:color="auto"/>
                <w:right w:val="none" w:sz="0" w:space="0" w:color="auto"/>
              </w:divBdr>
            </w:div>
          </w:divsChild>
        </w:div>
        <w:div w:id="1505050920">
          <w:marLeft w:val="0"/>
          <w:marRight w:val="0"/>
          <w:marTop w:val="0"/>
          <w:marBottom w:val="0"/>
          <w:divBdr>
            <w:top w:val="none" w:sz="0" w:space="0" w:color="auto"/>
            <w:left w:val="none" w:sz="0" w:space="0" w:color="auto"/>
            <w:bottom w:val="none" w:sz="0" w:space="0" w:color="auto"/>
            <w:right w:val="none" w:sz="0" w:space="0" w:color="auto"/>
          </w:divBdr>
          <w:divsChild>
            <w:div w:id="1834758350">
              <w:marLeft w:val="0"/>
              <w:marRight w:val="0"/>
              <w:marTop w:val="0"/>
              <w:marBottom w:val="0"/>
              <w:divBdr>
                <w:top w:val="none" w:sz="0" w:space="0" w:color="auto"/>
                <w:left w:val="none" w:sz="0" w:space="0" w:color="auto"/>
                <w:bottom w:val="none" w:sz="0" w:space="0" w:color="auto"/>
                <w:right w:val="none" w:sz="0" w:space="0" w:color="auto"/>
              </w:divBdr>
            </w:div>
          </w:divsChild>
        </w:div>
        <w:div w:id="1517843458">
          <w:marLeft w:val="0"/>
          <w:marRight w:val="0"/>
          <w:marTop w:val="0"/>
          <w:marBottom w:val="0"/>
          <w:divBdr>
            <w:top w:val="none" w:sz="0" w:space="0" w:color="auto"/>
            <w:left w:val="none" w:sz="0" w:space="0" w:color="auto"/>
            <w:bottom w:val="none" w:sz="0" w:space="0" w:color="auto"/>
            <w:right w:val="none" w:sz="0" w:space="0" w:color="auto"/>
          </w:divBdr>
          <w:divsChild>
            <w:div w:id="867836946">
              <w:marLeft w:val="0"/>
              <w:marRight w:val="0"/>
              <w:marTop w:val="0"/>
              <w:marBottom w:val="0"/>
              <w:divBdr>
                <w:top w:val="none" w:sz="0" w:space="0" w:color="auto"/>
                <w:left w:val="none" w:sz="0" w:space="0" w:color="auto"/>
                <w:bottom w:val="none" w:sz="0" w:space="0" w:color="auto"/>
                <w:right w:val="none" w:sz="0" w:space="0" w:color="auto"/>
              </w:divBdr>
            </w:div>
          </w:divsChild>
        </w:div>
        <w:div w:id="1530482842">
          <w:marLeft w:val="0"/>
          <w:marRight w:val="0"/>
          <w:marTop w:val="0"/>
          <w:marBottom w:val="0"/>
          <w:divBdr>
            <w:top w:val="none" w:sz="0" w:space="0" w:color="auto"/>
            <w:left w:val="none" w:sz="0" w:space="0" w:color="auto"/>
            <w:bottom w:val="none" w:sz="0" w:space="0" w:color="auto"/>
            <w:right w:val="none" w:sz="0" w:space="0" w:color="auto"/>
          </w:divBdr>
          <w:divsChild>
            <w:div w:id="537859820">
              <w:marLeft w:val="0"/>
              <w:marRight w:val="0"/>
              <w:marTop w:val="0"/>
              <w:marBottom w:val="0"/>
              <w:divBdr>
                <w:top w:val="none" w:sz="0" w:space="0" w:color="auto"/>
                <w:left w:val="none" w:sz="0" w:space="0" w:color="auto"/>
                <w:bottom w:val="none" w:sz="0" w:space="0" w:color="auto"/>
                <w:right w:val="none" w:sz="0" w:space="0" w:color="auto"/>
              </w:divBdr>
            </w:div>
          </w:divsChild>
        </w:div>
        <w:div w:id="1546063243">
          <w:marLeft w:val="0"/>
          <w:marRight w:val="0"/>
          <w:marTop w:val="0"/>
          <w:marBottom w:val="0"/>
          <w:divBdr>
            <w:top w:val="none" w:sz="0" w:space="0" w:color="auto"/>
            <w:left w:val="none" w:sz="0" w:space="0" w:color="auto"/>
            <w:bottom w:val="none" w:sz="0" w:space="0" w:color="auto"/>
            <w:right w:val="none" w:sz="0" w:space="0" w:color="auto"/>
          </w:divBdr>
          <w:divsChild>
            <w:div w:id="1518732207">
              <w:marLeft w:val="0"/>
              <w:marRight w:val="0"/>
              <w:marTop w:val="0"/>
              <w:marBottom w:val="0"/>
              <w:divBdr>
                <w:top w:val="none" w:sz="0" w:space="0" w:color="auto"/>
                <w:left w:val="none" w:sz="0" w:space="0" w:color="auto"/>
                <w:bottom w:val="none" w:sz="0" w:space="0" w:color="auto"/>
                <w:right w:val="none" w:sz="0" w:space="0" w:color="auto"/>
              </w:divBdr>
            </w:div>
          </w:divsChild>
        </w:div>
        <w:div w:id="1556770134">
          <w:marLeft w:val="0"/>
          <w:marRight w:val="0"/>
          <w:marTop w:val="0"/>
          <w:marBottom w:val="0"/>
          <w:divBdr>
            <w:top w:val="none" w:sz="0" w:space="0" w:color="auto"/>
            <w:left w:val="none" w:sz="0" w:space="0" w:color="auto"/>
            <w:bottom w:val="none" w:sz="0" w:space="0" w:color="auto"/>
            <w:right w:val="none" w:sz="0" w:space="0" w:color="auto"/>
          </w:divBdr>
          <w:divsChild>
            <w:div w:id="1548713615">
              <w:marLeft w:val="0"/>
              <w:marRight w:val="0"/>
              <w:marTop w:val="0"/>
              <w:marBottom w:val="0"/>
              <w:divBdr>
                <w:top w:val="none" w:sz="0" w:space="0" w:color="auto"/>
                <w:left w:val="none" w:sz="0" w:space="0" w:color="auto"/>
                <w:bottom w:val="none" w:sz="0" w:space="0" w:color="auto"/>
                <w:right w:val="none" w:sz="0" w:space="0" w:color="auto"/>
              </w:divBdr>
            </w:div>
          </w:divsChild>
        </w:div>
        <w:div w:id="1558199032">
          <w:marLeft w:val="0"/>
          <w:marRight w:val="0"/>
          <w:marTop w:val="0"/>
          <w:marBottom w:val="0"/>
          <w:divBdr>
            <w:top w:val="none" w:sz="0" w:space="0" w:color="auto"/>
            <w:left w:val="none" w:sz="0" w:space="0" w:color="auto"/>
            <w:bottom w:val="none" w:sz="0" w:space="0" w:color="auto"/>
            <w:right w:val="none" w:sz="0" w:space="0" w:color="auto"/>
          </w:divBdr>
          <w:divsChild>
            <w:div w:id="918825576">
              <w:marLeft w:val="0"/>
              <w:marRight w:val="0"/>
              <w:marTop w:val="0"/>
              <w:marBottom w:val="0"/>
              <w:divBdr>
                <w:top w:val="none" w:sz="0" w:space="0" w:color="auto"/>
                <w:left w:val="none" w:sz="0" w:space="0" w:color="auto"/>
                <w:bottom w:val="none" w:sz="0" w:space="0" w:color="auto"/>
                <w:right w:val="none" w:sz="0" w:space="0" w:color="auto"/>
              </w:divBdr>
            </w:div>
          </w:divsChild>
        </w:div>
        <w:div w:id="1566329685">
          <w:marLeft w:val="0"/>
          <w:marRight w:val="0"/>
          <w:marTop w:val="0"/>
          <w:marBottom w:val="0"/>
          <w:divBdr>
            <w:top w:val="none" w:sz="0" w:space="0" w:color="auto"/>
            <w:left w:val="none" w:sz="0" w:space="0" w:color="auto"/>
            <w:bottom w:val="none" w:sz="0" w:space="0" w:color="auto"/>
            <w:right w:val="none" w:sz="0" w:space="0" w:color="auto"/>
          </w:divBdr>
          <w:divsChild>
            <w:div w:id="52193583">
              <w:marLeft w:val="0"/>
              <w:marRight w:val="0"/>
              <w:marTop w:val="0"/>
              <w:marBottom w:val="0"/>
              <w:divBdr>
                <w:top w:val="none" w:sz="0" w:space="0" w:color="auto"/>
                <w:left w:val="none" w:sz="0" w:space="0" w:color="auto"/>
                <w:bottom w:val="none" w:sz="0" w:space="0" w:color="auto"/>
                <w:right w:val="none" w:sz="0" w:space="0" w:color="auto"/>
              </w:divBdr>
            </w:div>
          </w:divsChild>
        </w:div>
        <w:div w:id="1572735429">
          <w:marLeft w:val="0"/>
          <w:marRight w:val="0"/>
          <w:marTop w:val="0"/>
          <w:marBottom w:val="0"/>
          <w:divBdr>
            <w:top w:val="none" w:sz="0" w:space="0" w:color="auto"/>
            <w:left w:val="none" w:sz="0" w:space="0" w:color="auto"/>
            <w:bottom w:val="none" w:sz="0" w:space="0" w:color="auto"/>
            <w:right w:val="none" w:sz="0" w:space="0" w:color="auto"/>
          </w:divBdr>
          <w:divsChild>
            <w:div w:id="712004199">
              <w:marLeft w:val="0"/>
              <w:marRight w:val="0"/>
              <w:marTop w:val="0"/>
              <w:marBottom w:val="0"/>
              <w:divBdr>
                <w:top w:val="none" w:sz="0" w:space="0" w:color="auto"/>
                <w:left w:val="none" w:sz="0" w:space="0" w:color="auto"/>
                <w:bottom w:val="none" w:sz="0" w:space="0" w:color="auto"/>
                <w:right w:val="none" w:sz="0" w:space="0" w:color="auto"/>
              </w:divBdr>
            </w:div>
          </w:divsChild>
        </w:div>
        <w:div w:id="1593511773">
          <w:marLeft w:val="0"/>
          <w:marRight w:val="0"/>
          <w:marTop w:val="0"/>
          <w:marBottom w:val="0"/>
          <w:divBdr>
            <w:top w:val="none" w:sz="0" w:space="0" w:color="auto"/>
            <w:left w:val="none" w:sz="0" w:space="0" w:color="auto"/>
            <w:bottom w:val="none" w:sz="0" w:space="0" w:color="auto"/>
            <w:right w:val="none" w:sz="0" w:space="0" w:color="auto"/>
          </w:divBdr>
          <w:divsChild>
            <w:div w:id="11811119">
              <w:marLeft w:val="0"/>
              <w:marRight w:val="0"/>
              <w:marTop w:val="0"/>
              <w:marBottom w:val="0"/>
              <w:divBdr>
                <w:top w:val="none" w:sz="0" w:space="0" w:color="auto"/>
                <w:left w:val="none" w:sz="0" w:space="0" w:color="auto"/>
                <w:bottom w:val="none" w:sz="0" w:space="0" w:color="auto"/>
                <w:right w:val="none" w:sz="0" w:space="0" w:color="auto"/>
              </w:divBdr>
            </w:div>
          </w:divsChild>
        </w:div>
        <w:div w:id="1616253725">
          <w:marLeft w:val="0"/>
          <w:marRight w:val="0"/>
          <w:marTop w:val="0"/>
          <w:marBottom w:val="0"/>
          <w:divBdr>
            <w:top w:val="none" w:sz="0" w:space="0" w:color="auto"/>
            <w:left w:val="none" w:sz="0" w:space="0" w:color="auto"/>
            <w:bottom w:val="none" w:sz="0" w:space="0" w:color="auto"/>
            <w:right w:val="none" w:sz="0" w:space="0" w:color="auto"/>
          </w:divBdr>
          <w:divsChild>
            <w:div w:id="477308186">
              <w:marLeft w:val="0"/>
              <w:marRight w:val="0"/>
              <w:marTop w:val="0"/>
              <w:marBottom w:val="0"/>
              <w:divBdr>
                <w:top w:val="none" w:sz="0" w:space="0" w:color="auto"/>
                <w:left w:val="none" w:sz="0" w:space="0" w:color="auto"/>
                <w:bottom w:val="none" w:sz="0" w:space="0" w:color="auto"/>
                <w:right w:val="none" w:sz="0" w:space="0" w:color="auto"/>
              </w:divBdr>
            </w:div>
          </w:divsChild>
        </w:div>
        <w:div w:id="1616984167">
          <w:marLeft w:val="0"/>
          <w:marRight w:val="0"/>
          <w:marTop w:val="0"/>
          <w:marBottom w:val="0"/>
          <w:divBdr>
            <w:top w:val="none" w:sz="0" w:space="0" w:color="auto"/>
            <w:left w:val="none" w:sz="0" w:space="0" w:color="auto"/>
            <w:bottom w:val="none" w:sz="0" w:space="0" w:color="auto"/>
            <w:right w:val="none" w:sz="0" w:space="0" w:color="auto"/>
          </w:divBdr>
          <w:divsChild>
            <w:div w:id="255988770">
              <w:marLeft w:val="0"/>
              <w:marRight w:val="0"/>
              <w:marTop w:val="0"/>
              <w:marBottom w:val="0"/>
              <w:divBdr>
                <w:top w:val="none" w:sz="0" w:space="0" w:color="auto"/>
                <w:left w:val="none" w:sz="0" w:space="0" w:color="auto"/>
                <w:bottom w:val="none" w:sz="0" w:space="0" w:color="auto"/>
                <w:right w:val="none" w:sz="0" w:space="0" w:color="auto"/>
              </w:divBdr>
            </w:div>
          </w:divsChild>
        </w:div>
        <w:div w:id="1631207688">
          <w:marLeft w:val="0"/>
          <w:marRight w:val="0"/>
          <w:marTop w:val="0"/>
          <w:marBottom w:val="0"/>
          <w:divBdr>
            <w:top w:val="none" w:sz="0" w:space="0" w:color="auto"/>
            <w:left w:val="none" w:sz="0" w:space="0" w:color="auto"/>
            <w:bottom w:val="none" w:sz="0" w:space="0" w:color="auto"/>
            <w:right w:val="none" w:sz="0" w:space="0" w:color="auto"/>
          </w:divBdr>
          <w:divsChild>
            <w:div w:id="1037388878">
              <w:marLeft w:val="0"/>
              <w:marRight w:val="0"/>
              <w:marTop w:val="0"/>
              <w:marBottom w:val="0"/>
              <w:divBdr>
                <w:top w:val="none" w:sz="0" w:space="0" w:color="auto"/>
                <w:left w:val="none" w:sz="0" w:space="0" w:color="auto"/>
                <w:bottom w:val="none" w:sz="0" w:space="0" w:color="auto"/>
                <w:right w:val="none" w:sz="0" w:space="0" w:color="auto"/>
              </w:divBdr>
            </w:div>
          </w:divsChild>
        </w:div>
        <w:div w:id="1692956413">
          <w:marLeft w:val="0"/>
          <w:marRight w:val="0"/>
          <w:marTop w:val="0"/>
          <w:marBottom w:val="0"/>
          <w:divBdr>
            <w:top w:val="none" w:sz="0" w:space="0" w:color="auto"/>
            <w:left w:val="none" w:sz="0" w:space="0" w:color="auto"/>
            <w:bottom w:val="none" w:sz="0" w:space="0" w:color="auto"/>
            <w:right w:val="none" w:sz="0" w:space="0" w:color="auto"/>
          </w:divBdr>
          <w:divsChild>
            <w:div w:id="709109922">
              <w:marLeft w:val="0"/>
              <w:marRight w:val="0"/>
              <w:marTop w:val="0"/>
              <w:marBottom w:val="0"/>
              <w:divBdr>
                <w:top w:val="none" w:sz="0" w:space="0" w:color="auto"/>
                <w:left w:val="none" w:sz="0" w:space="0" w:color="auto"/>
                <w:bottom w:val="none" w:sz="0" w:space="0" w:color="auto"/>
                <w:right w:val="none" w:sz="0" w:space="0" w:color="auto"/>
              </w:divBdr>
            </w:div>
          </w:divsChild>
        </w:div>
        <w:div w:id="1693385492">
          <w:marLeft w:val="0"/>
          <w:marRight w:val="0"/>
          <w:marTop w:val="0"/>
          <w:marBottom w:val="0"/>
          <w:divBdr>
            <w:top w:val="none" w:sz="0" w:space="0" w:color="auto"/>
            <w:left w:val="none" w:sz="0" w:space="0" w:color="auto"/>
            <w:bottom w:val="none" w:sz="0" w:space="0" w:color="auto"/>
            <w:right w:val="none" w:sz="0" w:space="0" w:color="auto"/>
          </w:divBdr>
          <w:divsChild>
            <w:div w:id="1752846611">
              <w:marLeft w:val="0"/>
              <w:marRight w:val="0"/>
              <w:marTop w:val="0"/>
              <w:marBottom w:val="0"/>
              <w:divBdr>
                <w:top w:val="none" w:sz="0" w:space="0" w:color="auto"/>
                <w:left w:val="none" w:sz="0" w:space="0" w:color="auto"/>
                <w:bottom w:val="none" w:sz="0" w:space="0" w:color="auto"/>
                <w:right w:val="none" w:sz="0" w:space="0" w:color="auto"/>
              </w:divBdr>
            </w:div>
          </w:divsChild>
        </w:div>
        <w:div w:id="1716008384">
          <w:marLeft w:val="0"/>
          <w:marRight w:val="0"/>
          <w:marTop w:val="0"/>
          <w:marBottom w:val="0"/>
          <w:divBdr>
            <w:top w:val="none" w:sz="0" w:space="0" w:color="auto"/>
            <w:left w:val="none" w:sz="0" w:space="0" w:color="auto"/>
            <w:bottom w:val="none" w:sz="0" w:space="0" w:color="auto"/>
            <w:right w:val="none" w:sz="0" w:space="0" w:color="auto"/>
          </w:divBdr>
          <w:divsChild>
            <w:div w:id="674652953">
              <w:marLeft w:val="0"/>
              <w:marRight w:val="0"/>
              <w:marTop w:val="0"/>
              <w:marBottom w:val="0"/>
              <w:divBdr>
                <w:top w:val="none" w:sz="0" w:space="0" w:color="auto"/>
                <w:left w:val="none" w:sz="0" w:space="0" w:color="auto"/>
                <w:bottom w:val="none" w:sz="0" w:space="0" w:color="auto"/>
                <w:right w:val="none" w:sz="0" w:space="0" w:color="auto"/>
              </w:divBdr>
            </w:div>
          </w:divsChild>
        </w:div>
        <w:div w:id="1725136706">
          <w:marLeft w:val="0"/>
          <w:marRight w:val="0"/>
          <w:marTop w:val="0"/>
          <w:marBottom w:val="0"/>
          <w:divBdr>
            <w:top w:val="none" w:sz="0" w:space="0" w:color="auto"/>
            <w:left w:val="none" w:sz="0" w:space="0" w:color="auto"/>
            <w:bottom w:val="none" w:sz="0" w:space="0" w:color="auto"/>
            <w:right w:val="none" w:sz="0" w:space="0" w:color="auto"/>
          </w:divBdr>
          <w:divsChild>
            <w:div w:id="149641562">
              <w:marLeft w:val="0"/>
              <w:marRight w:val="0"/>
              <w:marTop w:val="0"/>
              <w:marBottom w:val="0"/>
              <w:divBdr>
                <w:top w:val="none" w:sz="0" w:space="0" w:color="auto"/>
                <w:left w:val="none" w:sz="0" w:space="0" w:color="auto"/>
                <w:bottom w:val="none" w:sz="0" w:space="0" w:color="auto"/>
                <w:right w:val="none" w:sz="0" w:space="0" w:color="auto"/>
              </w:divBdr>
            </w:div>
          </w:divsChild>
        </w:div>
        <w:div w:id="1748460418">
          <w:marLeft w:val="0"/>
          <w:marRight w:val="0"/>
          <w:marTop w:val="0"/>
          <w:marBottom w:val="0"/>
          <w:divBdr>
            <w:top w:val="none" w:sz="0" w:space="0" w:color="auto"/>
            <w:left w:val="none" w:sz="0" w:space="0" w:color="auto"/>
            <w:bottom w:val="none" w:sz="0" w:space="0" w:color="auto"/>
            <w:right w:val="none" w:sz="0" w:space="0" w:color="auto"/>
          </w:divBdr>
          <w:divsChild>
            <w:div w:id="1815947646">
              <w:marLeft w:val="0"/>
              <w:marRight w:val="0"/>
              <w:marTop w:val="0"/>
              <w:marBottom w:val="0"/>
              <w:divBdr>
                <w:top w:val="none" w:sz="0" w:space="0" w:color="auto"/>
                <w:left w:val="none" w:sz="0" w:space="0" w:color="auto"/>
                <w:bottom w:val="none" w:sz="0" w:space="0" w:color="auto"/>
                <w:right w:val="none" w:sz="0" w:space="0" w:color="auto"/>
              </w:divBdr>
            </w:div>
          </w:divsChild>
        </w:div>
        <w:div w:id="1765419345">
          <w:marLeft w:val="0"/>
          <w:marRight w:val="0"/>
          <w:marTop w:val="0"/>
          <w:marBottom w:val="0"/>
          <w:divBdr>
            <w:top w:val="none" w:sz="0" w:space="0" w:color="auto"/>
            <w:left w:val="none" w:sz="0" w:space="0" w:color="auto"/>
            <w:bottom w:val="none" w:sz="0" w:space="0" w:color="auto"/>
            <w:right w:val="none" w:sz="0" w:space="0" w:color="auto"/>
          </w:divBdr>
          <w:divsChild>
            <w:div w:id="88939468">
              <w:marLeft w:val="0"/>
              <w:marRight w:val="0"/>
              <w:marTop w:val="0"/>
              <w:marBottom w:val="0"/>
              <w:divBdr>
                <w:top w:val="none" w:sz="0" w:space="0" w:color="auto"/>
                <w:left w:val="none" w:sz="0" w:space="0" w:color="auto"/>
                <w:bottom w:val="none" w:sz="0" w:space="0" w:color="auto"/>
                <w:right w:val="none" w:sz="0" w:space="0" w:color="auto"/>
              </w:divBdr>
            </w:div>
          </w:divsChild>
        </w:div>
        <w:div w:id="1767270080">
          <w:marLeft w:val="0"/>
          <w:marRight w:val="0"/>
          <w:marTop w:val="0"/>
          <w:marBottom w:val="0"/>
          <w:divBdr>
            <w:top w:val="none" w:sz="0" w:space="0" w:color="auto"/>
            <w:left w:val="none" w:sz="0" w:space="0" w:color="auto"/>
            <w:bottom w:val="none" w:sz="0" w:space="0" w:color="auto"/>
            <w:right w:val="none" w:sz="0" w:space="0" w:color="auto"/>
          </w:divBdr>
          <w:divsChild>
            <w:div w:id="1368261521">
              <w:marLeft w:val="0"/>
              <w:marRight w:val="0"/>
              <w:marTop w:val="0"/>
              <w:marBottom w:val="0"/>
              <w:divBdr>
                <w:top w:val="none" w:sz="0" w:space="0" w:color="auto"/>
                <w:left w:val="none" w:sz="0" w:space="0" w:color="auto"/>
                <w:bottom w:val="none" w:sz="0" w:space="0" w:color="auto"/>
                <w:right w:val="none" w:sz="0" w:space="0" w:color="auto"/>
              </w:divBdr>
            </w:div>
          </w:divsChild>
        </w:div>
        <w:div w:id="1814254940">
          <w:marLeft w:val="0"/>
          <w:marRight w:val="0"/>
          <w:marTop w:val="0"/>
          <w:marBottom w:val="0"/>
          <w:divBdr>
            <w:top w:val="none" w:sz="0" w:space="0" w:color="auto"/>
            <w:left w:val="none" w:sz="0" w:space="0" w:color="auto"/>
            <w:bottom w:val="none" w:sz="0" w:space="0" w:color="auto"/>
            <w:right w:val="none" w:sz="0" w:space="0" w:color="auto"/>
          </w:divBdr>
          <w:divsChild>
            <w:div w:id="1823810161">
              <w:marLeft w:val="0"/>
              <w:marRight w:val="0"/>
              <w:marTop w:val="0"/>
              <w:marBottom w:val="0"/>
              <w:divBdr>
                <w:top w:val="none" w:sz="0" w:space="0" w:color="auto"/>
                <w:left w:val="none" w:sz="0" w:space="0" w:color="auto"/>
                <w:bottom w:val="none" w:sz="0" w:space="0" w:color="auto"/>
                <w:right w:val="none" w:sz="0" w:space="0" w:color="auto"/>
              </w:divBdr>
            </w:div>
          </w:divsChild>
        </w:div>
        <w:div w:id="1815295574">
          <w:marLeft w:val="0"/>
          <w:marRight w:val="0"/>
          <w:marTop w:val="0"/>
          <w:marBottom w:val="0"/>
          <w:divBdr>
            <w:top w:val="none" w:sz="0" w:space="0" w:color="auto"/>
            <w:left w:val="none" w:sz="0" w:space="0" w:color="auto"/>
            <w:bottom w:val="none" w:sz="0" w:space="0" w:color="auto"/>
            <w:right w:val="none" w:sz="0" w:space="0" w:color="auto"/>
          </w:divBdr>
          <w:divsChild>
            <w:div w:id="2014525040">
              <w:marLeft w:val="0"/>
              <w:marRight w:val="0"/>
              <w:marTop w:val="0"/>
              <w:marBottom w:val="0"/>
              <w:divBdr>
                <w:top w:val="none" w:sz="0" w:space="0" w:color="auto"/>
                <w:left w:val="none" w:sz="0" w:space="0" w:color="auto"/>
                <w:bottom w:val="none" w:sz="0" w:space="0" w:color="auto"/>
                <w:right w:val="none" w:sz="0" w:space="0" w:color="auto"/>
              </w:divBdr>
            </w:div>
          </w:divsChild>
        </w:div>
        <w:div w:id="1816986334">
          <w:marLeft w:val="0"/>
          <w:marRight w:val="0"/>
          <w:marTop w:val="0"/>
          <w:marBottom w:val="0"/>
          <w:divBdr>
            <w:top w:val="none" w:sz="0" w:space="0" w:color="auto"/>
            <w:left w:val="none" w:sz="0" w:space="0" w:color="auto"/>
            <w:bottom w:val="none" w:sz="0" w:space="0" w:color="auto"/>
            <w:right w:val="none" w:sz="0" w:space="0" w:color="auto"/>
          </w:divBdr>
          <w:divsChild>
            <w:div w:id="1204823879">
              <w:marLeft w:val="0"/>
              <w:marRight w:val="0"/>
              <w:marTop w:val="0"/>
              <w:marBottom w:val="0"/>
              <w:divBdr>
                <w:top w:val="none" w:sz="0" w:space="0" w:color="auto"/>
                <w:left w:val="none" w:sz="0" w:space="0" w:color="auto"/>
                <w:bottom w:val="none" w:sz="0" w:space="0" w:color="auto"/>
                <w:right w:val="none" w:sz="0" w:space="0" w:color="auto"/>
              </w:divBdr>
            </w:div>
          </w:divsChild>
        </w:div>
        <w:div w:id="1848590314">
          <w:marLeft w:val="0"/>
          <w:marRight w:val="0"/>
          <w:marTop w:val="0"/>
          <w:marBottom w:val="0"/>
          <w:divBdr>
            <w:top w:val="none" w:sz="0" w:space="0" w:color="auto"/>
            <w:left w:val="none" w:sz="0" w:space="0" w:color="auto"/>
            <w:bottom w:val="none" w:sz="0" w:space="0" w:color="auto"/>
            <w:right w:val="none" w:sz="0" w:space="0" w:color="auto"/>
          </w:divBdr>
          <w:divsChild>
            <w:div w:id="377094160">
              <w:marLeft w:val="0"/>
              <w:marRight w:val="0"/>
              <w:marTop w:val="0"/>
              <w:marBottom w:val="0"/>
              <w:divBdr>
                <w:top w:val="none" w:sz="0" w:space="0" w:color="auto"/>
                <w:left w:val="none" w:sz="0" w:space="0" w:color="auto"/>
                <w:bottom w:val="none" w:sz="0" w:space="0" w:color="auto"/>
                <w:right w:val="none" w:sz="0" w:space="0" w:color="auto"/>
              </w:divBdr>
            </w:div>
          </w:divsChild>
        </w:div>
        <w:div w:id="1878662132">
          <w:marLeft w:val="0"/>
          <w:marRight w:val="0"/>
          <w:marTop w:val="0"/>
          <w:marBottom w:val="0"/>
          <w:divBdr>
            <w:top w:val="none" w:sz="0" w:space="0" w:color="auto"/>
            <w:left w:val="none" w:sz="0" w:space="0" w:color="auto"/>
            <w:bottom w:val="none" w:sz="0" w:space="0" w:color="auto"/>
            <w:right w:val="none" w:sz="0" w:space="0" w:color="auto"/>
          </w:divBdr>
          <w:divsChild>
            <w:div w:id="550115923">
              <w:marLeft w:val="0"/>
              <w:marRight w:val="0"/>
              <w:marTop w:val="0"/>
              <w:marBottom w:val="0"/>
              <w:divBdr>
                <w:top w:val="none" w:sz="0" w:space="0" w:color="auto"/>
                <w:left w:val="none" w:sz="0" w:space="0" w:color="auto"/>
                <w:bottom w:val="none" w:sz="0" w:space="0" w:color="auto"/>
                <w:right w:val="none" w:sz="0" w:space="0" w:color="auto"/>
              </w:divBdr>
            </w:div>
          </w:divsChild>
        </w:div>
        <w:div w:id="1889605348">
          <w:marLeft w:val="0"/>
          <w:marRight w:val="0"/>
          <w:marTop w:val="0"/>
          <w:marBottom w:val="0"/>
          <w:divBdr>
            <w:top w:val="none" w:sz="0" w:space="0" w:color="auto"/>
            <w:left w:val="none" w:sz="0" w:space="0" w:color="auto"/>
            <w:bottom w:val="none" w:sz="0" w:space="0" w:color="auto"/>
            <w:right w:val="none" w:sz="0" w:space="0" w:color="auto"/>
          </w:divBdr>
          <w:divsChild>
            <w:div w:id="923150892">
              <w:marLeft w:val="0"/>
              <w:marRight w:val="0"/>
              <w:marTop w:val="0"/>
              <w:marBottom w:val="0"/>
              <w:divBdr>
                <w:top w:val="none" w:sz="0" w:space="0" w:color="auto"/>
                <w:left w:val="none" w:sz="0" w:space="0" w:color="auto"/>
                <w:bottom w:val="none" w:sz="0" w:space="0" w:color="auto"/>
                <w:right w:val="none" w:sz="0" w:space="0" w:color="auto"/>
              </w:divBdr>
            </w:div>
          </w:divsChild>
        </w:div>
        <w:div w:id="1892184605">
          <w:marLeft w:val="0"/>
          <w:marRight w:val="0"/>
          <w:marTop w:val="0"/>
          <w:marBottom w:val="0"/>
          <w:divBdr>
            <w:top w:val="none" w:sz="0" w:space="0" w:color="auto"/>
            <w:left w:val="none" w:sz="0" w:space="0" w:color="auto"/>
            <w:bottom w:val="none" w:sz="0" w:space="0" w:color="auto"/>
            <w:right w:val="none" w:sz="0" w:space="0" w:color="auto"/>
          </w:divBdr>
          <w:divsChild>
            <w:div w:id="333918718">
              <w:marLeft w:val="0"/>
              <w:marRight w:val="0"/>
              <w:marTop w:val="0"/>
              <w:marBottom w:val="0"/>
              <w:divBdr>
                <w:top w:val="none" w:sz="0" w:space="0" w:color="auto"/>
                <w:left w:val="none" w:sz="0" w:space="0" w:color="auto"/>
                <w:bottom w:val="none" w:sz="0" w:space="0" w:color="auto"/>
                <w:right w:val="none" w:sz="0" w:space="0" w:color="auto"/>
              </w:divBdr>
            </w:div>
          </w:divsChild>
        </w:div>
        <w:div w:id="1899514383">
          <w:marLeft w:val="0"/>
          <w:marRight w:val="0"/>
          <w:marTop w:val="0"/>
          <w:marBottom w:val="0"/>
          <w:divBdr>
            <w:top w:val="none" w:sz="0" w:space="0" w:color="auto"/>
            <w:left w:val="none" w:sz="0" w:space="0" w:color="auto"/>
            <w:bottom w:val="none" w:sz="0" w:space="0" w:color="auto"/>
            <w:right w:val="none" w:sz="0" w:space="0" w:color="auto"/>
          </w:divBdr>
          <w:divsChild>
            <w:div w:id="1625234363">
              <w:marLeft w:val="0"/>
              <w:marRight w:val="0"/>
              <w:marTop w:val="0"/>
              <w:marBottom w:val="0"/>
              <w:divBdr>
                <w:top w:val="none" w:sz="0" w:space="0" w:color="auto"/>
                <w:left w:val="none" w:sz="0" w:space="0" w:color="auto"/>
                <w:bottom w:val="none" w:sz="0" w:space="0" w:color="auto"/>
                <w:right w:val="none" w:sz="0" w:space="0" w:color="auto"/>
              </w:divBdr>
            </w:div>
          </w:divsChild>
        </w:div>
        <w:div w:id="1912813477">
          <w:marLeft w:val="0"/>
          <w:marRight w:val="0"/>
          <w:marTop w:val="0"/>
          <w:marBottom w:val="0"/>
          <w:divBdr>
            <w:top w:val="none" w:sz="0" w:space="0" w:color="auto"/>
            <w:left w:val="none" w:sz="0" w:space="0" w:color="auto"/>
            <w:bottom w:val="none" w:sz="0" w:space="0" w:color="auto"/>
            <w:right w:val="none" w:sz="0" w:space="0" w:color="auto"/>
          </w:divBdr>
          <w:divsChild>
            <w:div w:id="1288046816">
              <w:marLeft w:val="0"/>
              <w:marRight w:val="0"/>
              <w:marTop w:val="0"/>
              <w:marBottom w:val="0"/>
              <w:divBdr>
                <w:top w:val="none" w:sz="0" w:space="0" w:color="auto"/>
                <w:left w:val="none" w:sz="0" w:space="0" w:color="auto"/>
                <w:bottom w:val="none" w:sz="0" w:space="0" w:color="auto"/>
                <w:right w:val="none" w:sz="0" w:space="0" w:color="auto"/>
              </w:divBdr>
            </w:div>
          </w:divsChild>
        </w:div>
        <w:div w:id="1914388213">
          <w:marLeft w:val="0"/>
          <w:marRight w:val="0"/>
          <w:marTop w:val="0"/>
          <w:marBottom w:val="0"/>
          <w:divBdr>
            <w:top w:val="none" w:sz="0" w:space="0" w:color="auto"/>
            <w:left w:val="none" w:sz="0" w:space="0" w:color="auto"/>
            <w:bottom w:val="none" w:sz="0" w:space="0" w:color="auto"/>
            <w:right w:val="none" w:sz="0" w:space="0" w:color="auto"/>
          </w:divBdr>
          <w:divsChild>
            <w:div w:id="1454710993">
              <w:marLeft w:val="0"/>
              <w:marRight w:val="0"/>
              <w:marTop w:val="0"/>
              <w:marBottom w:val="0"/>
              <w:divBdr>
                <w:top w:val="none" w:sz="0" w:space="0" w:color="auto"/>
                <w:left w:val="none" w:sz="0" w:space="0" w:color="auto"/>
                <w:bottom w:val="none" w:sz="0" w:space="0" w:color="auto"/>
                <w:right w:val="none" w:sz="0" w:space="0" w:color="auto"/>
              </w:divBdr>
            </w:div>
          </w:divsChild>
        </w:div>
        <w:div w:id="1926451444">
          <w:marLeft w:val="0"/>
          <w:marRight w:val="0"/>
          <w:marTop w:val="0"/>
          <w:marBottom w:val="0"/>
          <w:divBdr>
            <w:top w:val="none" w:sz="0" w:space="0" w:color="auto"/>
            <w:left w:val="none" w:sz="0" w:space="0" w:color="auto"/>
            <w:bottom w:val="none" w:sz="0" w:space="0" w:color="auto"/>
            <w:right w:val="none" w:sz="0" w:space="0" w:color="auto"/>
          </w:divBdr>
          <w:divsChild>
            <w:div w:id="263074536">
              <w:marLeft w:val="0"/>
              <w:marRight w:val="0"/>
              <w:marTop w:val="0"/>
              <w:marBottom w:val="0"/>
              <w:divBdr>
                <w:top w:val="none" w:sz="0" w:space="0" w:color="auto"/>
                <w:left w:val="none" w:sz="0" w:space="0" w:color="auto"/>
                <w:bottom w:val="none" w:sz="0" w:space="0" w:color="auto"/>
                <w:right w:val="none" w:sz="0" w:space="0" w:color="auto"/>
              </w:divBdr>
            </w:div>
          </w:divsChild>
        </w:div>
        <w:div w:id="1927106349">
          <w:marLeft w:val="0"/>
          <w:marRight w:val="0"/>
          <w:marTop w:val="0"/>
          <w:marBottom w:val="0"/>
          <w:divBdr>
            <w:top w:val="none" w:sz="0" w:space="0" w:color="auto"/>
            <w:left w:val="none" w:sz="0" w:space="0" w:color="auto"/>
            <w:bottom w:val="none" w:sz="0" w:space="0" w:color="auto"/>
            <w:right w:val="none" w:sz="0" w:space="0" w:color="auto"/>
          </w:divBdr>
          <w:divsChild>
            <w:div w:id="1563641974">
              <w:marLeft w:val="0"/>
              <w:marRight w:val="0"/>
              <w:marTop w:val="0"/>
              <w:marBottom w:val="0"/>
              <w:divBdr>
                <w:top w:val="none" w:sz="0" w:space="0" w:color="auto"/>
                <w:left w:val="none" w:sz="0" w:space="0" w:color="auto"/>
                <w:bottom w:val="none" w:sz="0" w:space="0" w:color="auto"/>
                <w:right w:val="none" w:sz="0" w:space="0" w:color="auto"/>
              </w:divBdr>
            </w:div>
          </w:divsChild>
        </w:div>
        <w:div w:id="1986428480">
          <w:marLeft w:val="0"/>
          <w:marRight w:val="0"/>
          <w:marTop w:val="0"/>
          <w:marBottom w:val="0"/>
          <w:divBdr>
            <w:top w:val="none" w:sz="0" w:space="0" w:color="auto"/>
            <w:left w:val="none" w:sz="0" w:space="0" w:color="auto"/>
            <w:bottom w:val="none" w:sz="0" w:space="0" w:color="auto"/>
            <w:right w:val="none" w:sz="0" w:space="0" w:color="auto"/>
          </w:divBdr>
          <w:divsChild>
            <w:div w:id="923489022">
              <w:marLeft w:val="0"/>
              <w:marRight w:val="0"/>
              <w:marTop w:val="0"/>
              <w:marBottom w:val="0"/>
              <w:divBdr>
                <w:top w:val="none" w:sz="0" w:space="0" w:color="auto"/>
                <w:left w:val="none" w:sz="0" w:space="0" w:color="auto"/>
                <w:bottom w:val="none" w:sz="0" w:space="0" w:color="auto"/>
                <w:right w:val="none" w:sz="0" w:space="0" w:color="auto"/>
              </w:divBdr>
            </w:div>
          </w:divsChild>
        </w:div>
        <w:div w:id="1988626691">
          <w:marLeft w:val="0"/>
          <w:marRight w:val="0"/>
          <w:marTop w:val="0"/>
          <w:marBottom w:val="0"/>
          <w:divBdr>
            <w:top w:val="none" w:sz="0" w:space="0" w:color="auto"/>
            <w:left w:val="none" w:sz="0" w:space="0" w:color="auto"/>
            <w:bottom w:val="none" w:sz="0" w:space="0" w:color="auto"/>
            <w:right w:val="none" w:sz="0" w:space="0" w:color="auto"/>
          </w:divBdr>
          <w:divsChild>
            <w:div w:id="1667241074">
              <w:marLeft w:val="0"/>
              <w:marRight w:val="0"/>
              <w:marTop w:val="0"/>
              <w:marBottom w:val="0"/>
              <w:divBdr>
                <w:top w:val="none" w:sz="0" w:space="0" w:color="auto"/>
                <w:left w:val="none" w:sz="0" w:space="0" w:color="auto"/>
                <w:bottom w:val="none" w:sz="0" w:space="0" w:color="auto"/>
                <w:right w:val="none" w:sz="0" w:space="0" w:color="auto"/>
              </w:divBdr>
            </w:div>
          </w:divsChild>
        </w:div>
        <w:div w:id="1995254358">
          <w:marLeft w:val="0"/>
          <w:marRight w:val="0"/>
          <w:marTop w:val="0"/>
          <w:marBottom w:val="0"/>
          <w:divBdr>
            <w:top w:val="none" w:sz="0" w:space="0" w:color="auto"/>
            <w:left w:val="none" w:sz="0" w:space="0" w:color="auto"/>
            <w:bottom w:val="none" w:sz="0" w:space="0" w:color="auto"/>
            <w:right w:val="none" w:sz="0" w:space="0" w:color="auto"/>
          </w:divBdr>
          <w:divsChild>
            <w:div w:id="1238204141">
              <w:marLeft w:val="0"/>
              <w:marRight w:val="0"/>
              <w:marTop w:val="0"/>
              <w:marBottom w:val="0"/>
              <w:divBdr>
                <w:top w:val="none" w:sz="0" w:space="0" w:color="auto"/>
                <w:left w:val="none" w:sz="0" w:space="0" w:color="auto"/>
                <w:bottom w:val="none" w:sz="0" w:space="0" w:color="auto"/>
                <w:right w:val="none" w:sz="0" w:space="0" w:color="auto"/>
              </w:divBdr>
            </w:div>
          </w:divsChild>
        </w:div>
        <w:div w:id="2012835034">
          <w:marLeft w:val="0"/>
          <w:marRight w:val="0"/>
          <w:marTop w:val="0"/>
          <w:marBottom w:val="0"/>
          <w:divBdr>
            <w:top w:val="none" w:sz="0" w:space="0" w:color="auto"/>
            <w:left w:val="none" w:sz="0" w:space="0" w:color="auto"/>
            <w:bottom w:val="none" w:sz="0" w:space="0" w:color="auto"/>
            <w:right w:val="none" w:sz="0" w:space="0" w:color="auto"/>
          </w:divBdr>
          <w:divsChild>
            <w:div w:id="1518688379">
              <w:marLeft w:val="0"/>
              <w:marRight w:val="0"/>
              <w:marTop w:val="0"/>
              <w:marBottom w:val="0"/>
              <w:divBdr>
                <w:top w:val="none" w:sz="0" w:space="0" w:color="auto"/>
                <w:left w:val="none" w:sz="0" w:space="0" w:color="auto"/>
                <w:bottom w:val="none" w:sz="0" w:space="0" w:color="auto"/>
                <w:right w:val="none" w:sz="0" w:space="0" w:color="auto"/>
              </w:divBdr>
            </w:div>
          </w:divsChild>
        </w:div>
        <w:div w:id="2027636759">
          <w:marLeft w:val="0"/>
          <w:marRight w:val="0"/>
          <w:marTop w:val="0"/>
          <w:marBottom w:val="0"/>
          <w:divBdr>
            <w:top w:val="none" w:sz="0" w:space="0" w:color="auto"/>
            <w:left w:val="none" w:sz="0" w:space="0" w:color="auto"/>
            <w:bottom w:val="none" w:sz="0" w:space="0" w:color="auto"/>
            <w:right w:val="none" w:sz="0" w:space="0" w:color="auto"/>
          </w:divBdr>
          <w:divsChild>
            <w:div w:id="409273758">
              <w:marLeft w:val="0"/>
              <w:marRight w:val="0"/>
              <w:marTop w:val="0"/>
              <w:marBottom w:val="0"/>
              <w:divBdr>
                <w:top w:val="none" w:sz="0" w:space="0" w:color="auto"/>
                <w:left w:val="none" w:sz="0" w:space="0" w:color="auto"/>
                <w:bottom w:val="none" w:sz="0" w:space="0" w:color="auto"/>
                <w:right w:val="none" w:sz="0" w:space="0" w:color="auto"/>
              </w:divBdr>
            </w:div>
          </w:divsChild>
        </w:div>
        <w:div w:id="2042900516">
          <w:marLeft w:val="0"/>
          <w:marRight w:val="0"/>
          <w:marTop w:val="0"/>
          <w:marBottom w:val="0"/>
          <w:divBdr>
            <w:top w:val="none" w:sz="0" w:space="0" w:color="auto"/>
            <w:left w:val="none" w:sz="0" w:space="0" w:color="auto"/>
            <w:bottom w:val="none" w:sz="0" w:space="0" w:color="auto"/>
            <w:right w:val="none" w:sz="0" w:space="0" w:color="auto"/>
          </w:divBdr>
          <w:divsChild>
            <w:div w:id="820194740">
              <w:marLeft w:val="0"/>
              <w:marRight w:val="0"/>
              <w:marTop w:val="0"/>
              <w:marBottom w:val="0"/>
              <w:divBdr>
                <w:top w:val="none" w:sz="0" w:space="0" w:color="auto"/>
                <w:left w:val="none" w:sz="0" w:space="0" w:color="auto"/>
                <w:bottom w:val="none" w:sz="0" w:space="0" w:color="auto"/>
                <w:right w:val="none" w:sz="0" w:space="0" w:color="auto"/>
              </w:divBdr>
            </w:div>
          </w:divsChild>
        </w:div>
        <w:div w:id="2061705317">
          <w:marLeft w:val="0"/>
          <w:marRight w:val="0"/>
          <w:marTop w:val="0"/>
          <w:marBottom w:val="0"/>
          <w:divBdr>
            <w:top w:val="none" w:sz="0" w:space="0" w:color="auto"/>
            <w:left w:val="none" w:sz="0" w:space="0" w:color="auto"/>
            <w:bottom w:val="none" w:sz="0" w:space="0" w:color="auto"/>
            <w:right w:val="none" w:sz="0" w:space="0" w:color="auto"/>
          </w:divBdr>
          <w:divsChild>
            <w:div w:id="2132241595">
              <w:marLeft w:val="0"/>
              <w:marRight w:val="0"/>
              <w:marTop w:val="0"/>
              <w:marBottom w:val="0"/>
              <w:divBdr>
                <w:top w:val="none" w:sz="0" w:space="0" w:color="auto"/>
                <w:left w:val="none" w:sz="0" w:space="0" w:color="auto"/>
                <w:bottom w:val="none" w:sz="0" w:space="0" w:color="auto"/>
                <w:right w:val="none" w:sz="0" w:space="0" w:color="auto"/>
              </w:divBdr>
            </w:div>
          </w:divsChild>
        </w:div>
        <w:div w:id="2083141275">
          <w:marLeft w:val="0"/>
          <w:marRight w:val="0"/>
          <w:marTop w:val="0"/>
          <w:marBottom w:val="0"/>
          <w:divBdr>
            <w:top w:val="none" w:sz="0" w:space="0" w:color="auto"/>
            <w:left w:val="none" w:sz="0" w:space="0" w:color="auto"/>
            <w:bottom w:val="none" w:sz="0" w:space="0" w:color="auto"/>
            <w:right w:val="none" w:sz="0" w:space="0" w:color="auto"/>
          </w:divBdr>
          <w:divsChild>
            <w:div w:id="781801234">
              <w:marLeft w:val="0"/>
              <w:marRight w:val="0"/>
              <w:marTop w:val="0"/>
              <w:marBottom w:val="0"/>
              <w:divBdr>
                <w:top w:val="none" w:sz="0" w:space="0" w:color="auto"/>
                <w:left w:val="none" w:sz="0" w:space="0" w:color="auto"/>
                <w:bottom w:val="none" w:sz="0" w:space="0" w:color="auto"/>
                <w:right w:val="none" w:sz="0" w:space="0" w:color="auto"/>
              </w:divBdr>
            </w:div>
          </w:divsChild>
        </w:div>
        <w:div w:id="2124155972">
          <w:marLeft w:val="0"/>
          <w:marRight w:val="0"/>
          <w:marTop w:val="0"/>
          <w:marBottom w:val="0"/>
          <w:divBdr>
            <w:top w:val="none" w:sz="0" w:space="0" w:color="auto"/>
            <w:left w:val="none" w:sz="0" w:space="0" w:color="auto"/>
            <w:bottom w:val="none" w:sz="0" w:space="0" w:color="auto"/>
            <w:right w:val="none" w:sz="0" w:space="0" w:color="auto"/>
          </w:divBdr>
          <w:divsChild>
            <w:div w:id="205746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0.sv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svgz"/><Relationship Id="rId42" Type="http://schemas.openxmlformats.org/officeDocument/2006/relationships/image" Target="media/image26.svgz"/><Relationship Id="rId47" Type="http://schemas.openxmlformats.org/officeDocument/2006/relationships/image" Target="media/image31.png"/><Relationship Id="rId50" Type="http://schemas.openxmlformats.org/officeDocument/2006/relationships/image" Target="media/image33.svgz"/><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svgz"/><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png"/><Relationship Id="rId11" Type="http://schemas.openxmlformats.org/officeDocument/2006/relationships/hyperlink" Target="https://www.health.gov.au/resources/publications/australian-national-surveillance-plan-for-covid-19-influenza-and-rsv" TargetMode="External"/><Relationship Id="rId24" Type="http://schemas.openxmlformats.org/officeDocument/2006/relationships/image" Target="media/image8.svg"/><Relationship Id="rId32" Type="http://schemas.openxmlformats.org/officeDocument/2006/relationships/image" Target="media/image16.svgz"/><Relationship Id="rId37" Type="http://schemas.openxmlformats.org/officeDocument/2006/relationships/image" Target="media/image21.png"/><Relationship Id="rId40" Type="http://schemas.openxmlformats.org/officeDocument/2006/relationships/image" Target="media/image24.svgz"/><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0.svgz"/><Relationship Id="rId66" Type="http://schemas.openxmlformats.org/officeDocument/2006/relationships/image" Target="media/image48.svgz"/><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7.png"/><Relationship Id="rId28" Type="http://schemas.openxmlformats.org/officeDocument/2006/relationships/image" Target="media/image12.svg"/><Relationship Id="rId36" Type="http://schemas.openxmlformats.org/officeDocument/2006/relationships/image" Target="media/image20.svgz"/><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image" Target="media/image4.svgz"/><Relationship Id="rId31" Type="http://schemas.openxmlformats.org/officeDocument/2006/relationships/image" Target="media/image15.png"/><Relationship Id="rId44" Type="http://schemas.openxmlformats.org/officeDocument/2006/relationships/image" Target="media/image28.svgz"/><Relationship Id="rId52" Type="http://schemas.openxmlformats.org/officeDocument/2006/relationships/image" Target="media/image35.svgz"/><Relationship Id="rId60" Type="http://schemas.openxmlformats.org/officeDocument/2006/relationships/image" Target="media/image42.svg"/><Relationship Id="rId65" Type="http://schemas.openxmlformats.org/officeDocument/2006/relationships/image" Target="media/image47.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6.svg"/><Relationship Id="rId27" Type="http://schemas.openxmlformats.org/officeDocument/2006/relationships/image" Target="media/image11.png"/><Relationship Id="rId30" Type="http://schemas.openxmlformats.org/officeDocument/2006/relationships/image" Target="media/image14.svgz"/><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health.gov.au/resources/publications/technical-supplement-australian-respiratory-surveillance-report" TargetMode="External"/><Relationship Id="rId56" Type="http://schemas.openxmlformats.org/officeDocument/2006/relationships/image" Target="media/image38.svgz"/><Relationship Id="rId64" Type="http://schemas.openxmlformats.org/officeDocument/2006/relationships/image" Target="media/image46.svgz"/><Relationship Id="rId69" Type="http://schemas.openxmlformats.org/officeDocument/2006/relationships/hyperlink" Target="https://www.health.gov.au/resources/publications/technical-supplement-australian-respiratory-surveillance-report"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svg"/><Relationship Id="rId46" Type="http://schemas.openxmlformats.org/officeDocument/2006/relationships/image" Target="media/image30.svgz"/><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s://www.health.gov.au/resources/publications/technical-supplement-australian-respiratory-surveillance-report" TargetMode="External"/><Relationship Id="rId41" Type="http://schemas.openxmlformats.org/officeDocument/2006/relationships/image" Target="media/image25.png"/><Relationship Id="rId54" Type="http://schemas.openxmlformats.org/officeDocument/2006/relationships/hyperlink" Target="https://www1.health.gov.au/internet/main/publishing.nsf/Content/novel_coronavirus_2019_ncov_weekly_epidemiology_reports_australia_2020.htm" TargetMode="External"/><Relationship Id="rId62" Type="http://schemas.openxmlformats.org/officeDocument/2006/relationships/image" Target="media/image44.svg"/><Relationship Id="rId70" Type="http://schemas.openxmlformats.org/officeDocument/2006/relationships/hyperlink" Target="https://www.health.gov.au/resources/publications/atagi-statement-on-the-administration-of-seasonal-influenza-vaccines-in-2024"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418F1-01D1-41D4-9BFC-5AA71F4355ED}">
  <ds:schemaRefs>
    <ds:schemaRef ds:uri="http://schemas.microsoft.com/sharepoint/v3/contenttype/forms"/>
  </ds:schemaRefs>
</ds:datastoreItem>
</file>

<file path=customXml/itemProps2.xml><?xml version="1.0" encoding="utf-8"?>
<ds:datastoreItem xmlns:ds="http://schemas.openxmlformats.org/officeDocument/2006/customXml" ds:itemID="{C053BC78-FE9F-4BB0-82B3-AB3100FBF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70AF57-99CD-4AB4-9A5F-B0725734BFD9}">
  <ds:schemaRefs>
    <ds:schemaRef ds:uri="http://schemas.microsoft.com/office/2006/metadata/properties"/>
    <ds:schemaRef ds:uri="http://schemas.microsoft.com/office/infopath/2007/PartnerControls"/>
    <ds:schemaRef ds:uri="084f2b4f-2535-46c8-ae12-341bccf6b9a4"/>
  </ds:schemaRefs>
</ds:datastoreItem>
</file>

<file path=customXml/itemProps4.xml><?xml version="1.0" encoding="utf-8"?>
<ds:datastoreItem xmlns:ds="http://schemas.openxmlformats.org/officeDocument/2006/customXml" ds:itemID="{5A4CE07E-1ACE-4772-A7E3-0A5E3C95E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9703</Words>
  <Characters>53079</Characters>
  <Application>Microsoft Office Word</Application>
  <DocSecurity>0</DocSecurity>
  <Lines>1474</Lines>
  <Paragraphs>871</Paragraphs>
  <ScaleCrop>false</ScaleCrop>
  <HeadingPairs>
    <vt:vector size="2" baseType="variant">
      <vt:variant>
        <vt:lpstr>Title</vt:lpstr>
      </vt:variant>
      <vt:variant>
        <vt:i4>1</vt:i4>
      </vt:variant>
    </vt:vector>
  </HeadingPairs>
  <TitlesOfParts>
    <vt:vector size="1" baseType="lpstr">
      <vt:lpstr>Australian Respiratory Surveillance Report 6 – 3 June to 16 June 2024</vt:lpstr>
    </vt:vector>
  </TitlesOfParts>
  <Company/>
  <LinksUpToDate>false</LinksUpToDate>
  <CharactersWithSpaces>61911</CharactersWithSpaces>
  <SharedDoc>false</SharedDoc>
  <HLinks>
    <vt:vector size="60" baseType="variant">
      <vt:variant>
        <vt:i4>5308487</vt:i4>
      </vt:variant>
      <vt:variant>
        <vt:i4>27</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21</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6 – 3 June to 16 June 2024</dc:title>
  <dc:subject>Australian Respiratory Surveillance</dc:subject>
  <cp:keywords>Respiratory syncytial virus (RSV) infection; Influenza (flu); COVID-19, Coronavirus; Influenza surveillance program</cp:keywords>
  <cp:revision>2</cp:revision>
  <dcterms:created xsi:type="dcterms:W3CDTF">2024-12-10T21:18:00Z</dcterms:created>
  <dcterms:modified xsi:type="dcterms:W3CDTF">2024-12-10T21:18:00Z</dcterms:modified>
</cp:coreProperties>
</file>