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82FD48" w14:textId="77777777" w:rsidR="000F69E9" w:rsidRDefault="00DA3F8E">
      <w:pPr>
        <w:pStyle w:val="Title"/>
      </w:pPr>
      <w:r>
        <w:t>Australian Respiratory Surveillance Report</w:t>
      </w:r>
    </w:p>
    <w:p w14:paraId="683B8666" w14:textId="77777777" w:rsidR="000F69E9" w:rsidRDefault="00DA3F8E">
      <w:r>
        <w:t>Viral Respiratory Diseases Epidemiology and Surveillance Section</w:t>
      </w:r>
    </w:p>
    <w:p w14:paraId="4E9FEFB0" w14:textId="77777777" w:rsidR="000F69E9" w:rsidRDefault="00DA3F8E">
      <w:r>
        <w:t>Report 9, 2024</w:t>
      </w:r>
    </w:p>
    <w:p w14:paraId="68BB1DB5" w14:textId="77777777" w:rsidR="000F69E9" w:rsidRDefault="00DA3F8E">
      <w:r>
        <w:br w:type="page"/>
      </w:r>
    </w:p>
    <w:p w14:paraId="6D6FA2BC" w14:textId="77777777" w:rsidR="000F69E9" w:rsidRDefault="00DA3F8E">
      <w:pPr>
        <w:pStyle w:val="Heading2"/>
      </w:pPr>
      <w:bookmarkStart w:id="0" w:name="key-messages"/>
      <w:r>
        <w:lastRenderedPageBreak/>
        <w:t>Key messages</w:t>
      </w:r>
    </w:p>
    <w:p w14:paraId="6EC2FB68" w14:textId="77777777" w:rsidR="000F69E9" w:rsidRDefault="00DA3F8E">
      <w:r>
        <w:t>This report presents a national epidemiological update for coronavirus disease 2019 (COVID-19), influenza and respiratory syncytial virus (RSV) with a focus on the current reporting period (15 July to 28 July 2024) and earlier severity reporting periods (up to 14 July 2024).</w:t>
      </w:r>
    </w:p>
    <w:p w14:paraId="4933C163" w14:textId="59E6B8A3" w:rsidR="000F69E9" w:rsidRPr="00852621" w:rsidRDefault="00DA3F8E">
      <w:pPr>
        <w:pStyle w:val="Boxtype"/>
        <w:rPr>
          <w:highlight w:val="yellow"/>
          <w:lang w:val="en-US"/>
        </w:rPr>
      </w:pPr>
      <w:r w:rsidRPr="47A3418A">
        <w:rPr>
          <w:b/>
          <w:lang w:val="en-US"/>
        </w:rPr>
        <w:t>Activity:</w:t>
      </w:r>
      <w:r w:rsidRPr="47A3418A">
        <w:rPr>
          <w:lang w:val="en-US"/>
        </w:rPr>
        <w:t xml:space="preserve"> In </w:t>
      </w:r>
      <w:r w:rsidR="00897B1D" w:rsidRPr="47A3418A">
        <w:rPr>
          <w:lang w:val="en-US"/>
        </w:rPr>
        <w:t>recent weeks</w:t>
      </w:r>
      <w:r w:rsidRPr="47A3418A">
        <w:rPr>
          <w:lang w:val="en-US"/>
        </w:rPr>
        <w:t xml:space="preserve">, respiratory illness activity (self-reported new fever and cough symptoms) in the community has </w:t>
      </w:r>
      <w:r w:rsidR="00897B1D" w:rsidRPr="47A3418A">
        <w:rPr>
          <w:lang w:val="en-US"/>
        </w:rPr>
        <w:t>decreased and is currently lower than the proportion observed in the same period in previous years</w:t>
      </w:r>
      <w:r w:rsidR="001B7282">
        <w:rPr>
          <w:lang w:val="en-US"/>
        </w:rPr>
        <w:t>.</w:t>
      </w:r>
      <w:r w:rsidR="00897B1D" w:rsidRPr="47A3418A">
        <w:rPr>
          <w:lang w:val="en-US"/>
        </w:rPr>
        <w:t xml:space="preserve"> </w:t>
      </w:r>
      <w:r w:rsidRPr="47A3418A">
        <w:rPr>
          <w:lang w:val="en-US"/>
        </w:rPr>
        <w:t xml:space="preserve">General practice consultation rates for respiratory illnesses (new fever and cough symptoms) monitored through sentinel surveillance sites have </w:t>
      </w:r>
      <w:r w:rsidR="00BC5CBC" w:rsidRPr="47A3418A">
        <w:rPr>
          <w:lang w:val="en-US"/>
        </w:rPr>
        <w:t>decreased</w:t>
      </w:r>
      <w:r w:rsidRPr="47A3418A">
        <w:rPr>
          <w:lang w:val="en-US"/>
        </w:rPr>
        <w:t xml:space="preserve"> in the last fortnight and are slightly higher than consultation rates observed in previous years. </w:t>
      </w:r>
      <w:r w:rsidR="00F01D4B" w:rsidRPr="47A3418A">
        <w:rPr>
          <w:lang w:val="en-US"/>
        </w:rPr>
        <w:t xml:space="preserve">In this fortnight, nationally notified COVID-19, influenza, and RSV cases have decreased compared with the previous fortnight, though this trend was not observed across all jurisdictions. </w:t>
      </w:r>
    </w:p>
    <w:p w14:paraId="618ECF80" w14:textId="59D96908" w:rsidR="000F69E9" w:rsidRPr="00852621" w:rsidRDefault="00DA3F8E">
      <w:pPr>
        <w:pStyle w:val="Boxtype"/>
        <w:rPr>
          <w:highlight w:val="yellow"/>
          <w:lang w:val="en-US"/>
        </w:rPr>
      </w:pPr>
      <w:r w:rsidRPr="47A3418A">
        <w:rPr>
          <w:b/>
          <w:lang w:val="en-US"/>
        </w:rPr>
        <w:t>Severity:</w:t>
      </w:r>
      <w:r w:rsidRPr="47A3418A">
        <w:rPr>
          <w:lang w:val="en-US"/>
        </w:rPr>
        <w:t xml:space="preserve"> The number of patients hospitalised with COVID-19 monitored through sentinel hospital-based surveillance has </w:t>
      </w:r>
      <w:r w:rsidR="00862AB7" w:rsidRPr="47A3418A">
        <w:rPr>
          <w:lang w:val="en-US"/>
        </w:rPr>
        <w:t xml:space="preserve">been </w:t>
      </w:r>
      <w:r w:rsidRPr="47A3418A">
        <w:rPr>
          <w:lang w:val="en-US"/>
        </w:rPr>
        <w:t>decreas</w:t>
      </w:r>
      <w:r w:rsidR="00862AB7" w:rsidRPr="47A3418A">
        <w:rPr>
          <w:lang w:val="en-US"/>
        </w:rPr>
        <w:t xml:space="preserve">ing since </w:t>
      </w:r>
      <w:r w:rsidR="004E18C7" w:rsidRPr="47A3418A">
        <w:rPr>
          <w:lang w:val="en-US"/>
        </w:rPr>
        <w:t>reaching an apparent peak in May 2024</w:t>
      </w:r>
      <w:r w:rsidRPr="47A3418A">
        <w:rPr>
          <w:lang w:val="en-US"/>
        </w:rPr>
        <w:t>. The number of patients hospitalized with influenza, monitored through sentinel hospital-based surveillance, has followed an increasing trend since April 2024. In 2024, the proportion of those patients with a severe acute respiratory infection (SARI) who were admitted directly to an intensive care, monitored through sentinel hospital-based surveillance, has remained low and stable. Nationally, the number of patients admitted to sentinel intensive care surveillance sites with COVID-</w:t>
      </w:r>
      <w:proofErr w:type="gramStart"/>
      <w:r w:rsidRPr="47A3418A">
        <w:rPr>
          <w:lang w:val="en-US"/>
        </w:rPr>
        <w:t>19</w:t>
      </w:r>
      <w:proofErr w:type="gramEnd"/>
      <w:r w:rsidRPr="47A3418A">
        <w:rPr>
          <w:lang w:val="en-US"/>
        </w:rPr>
        <w:t xml:space="preserve"> or </w:t>
      </w:r>
      <w:r w:rsidR="00563E56" w:rsidRPr="47A3418A">
        <w:rPr>
          <w:lang w:val="en-US"/>
        </w:rPr>
        <w:t>RSV</w:t>
      </w:r>
      <w:r w:rsidRPr="47A3418A">
        <w:rPr>
          <w:lang w:val="en-US"/>
        </w:rPr>
        <w:t xml:space="preserve"> have </w:t>
      </w:r>
      <w:r w:rsidR="00563E56" w:rsidRPr="47A3418A">
        <w:rPr>
          <w:lang w:val="en-US"/>
        </w:rPr>
        <w:t>decreased</w:t>
      </w:r>
      <w:r w:rsidRPr="47A3418A">
        <w:rPr>
          <w:lang w:val="en-US"/>
        </w:rPr>
        <w:t xml:space="preserve"> in recent weeks, whereas the number of patients admitted with </w:t>
      </w:r>
      <w:r w:rsidR="00563E56" w:rsidRPr="47A3418A">
        <w:rPr>
          <w:lang w:val="en-US"/>
        </w:rPr>
        <w:t>influenza</w:t>
      </w:r>
      <w:r w:rsidRPr="47A3418A">
        <w:rPr>
          <w:lang w:val="en-US"/>
        </w:rPr>
        <w:t xml:space="preserve"> have followed an increasing trend since April 2024. </w:t>
      </w:r>
    </w:p>
    <w:p w14:paraId="3EBB47DA" w14:textId="77777777" w:rsidR="000F69E9" w:rsidRPr="00793BCE" w:rsidRDefault="00DA3F8E">
      <w:pPr>
        <w:pStyle w:val="Boxtype"/>
      </w:pPr>
      <w:r w:rsidRPr="00793BCE">
        <w:rPr>
          <w:b/>
          <w:bCs/>
        </w:rPr>
        <w:t>At-risk populations:</w:t>
      </w:r>
      <w:r w:rsidRPr="00793BCE">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31C054AE" w14:textId="4F48B86B" w:rsidR="000F69E9" w:rsidRPr="00793BCE" w:rsidRDefault="00DA3F8E">
      <w:pPr>
        <w:pStyle w:val="Boxtype"/>
      </w:pPr>
      <w:r w:rsidRPr="47A3418A">
        <w:rPr>
          <w:b/>
          <w:lang w:val="en-US"/>
        </w:rPr>
        <w:t>Impact:</w:t>
      </w:r>
      <w:r w:rsidRPr="47A3418A">
        <w:rPr>
          <w:lang w:val="en-US"/>
        </w:rPr>
        <w:t xml:space="preserve"> The proportion of people taking time off work due to respiratory illness (self-reported new fever and cough symptoms) decreased last fortnight, compared with the previous fortnight. Nationally, the mean number of COVID-19 cases in intensive care and the mean number of intensive care staff unavailable due to COVID-19 illness or exposure each fortnight </w:t>
      </w:r>
      <w:r w:rsidR="00793BCE" w:rsidRPr="47A3418A">
        <w:rPr>
          <w:lang w:val="en-US"/>
        </w:rPr>
        <w:t>decreased</w:t>
      </w:r>
      <w:r w:rsidRPr="47A3418A">
        <w:rPr>
          <w:lang w:val="en-US"/>
        </w:rPr>
        <w:t xml:space="preserve"> during the last fortnight.</w:t>
      </w:r>
    </w:p>
    <w:p w14:paraId="3A7D72ED" w14:textId="3B48A01E" w:rsidR="000F69E9" w:rsidRDefault="00DA3F8E">
      <w:pPr>
        <w:pStyle w:val="Boxtype"/>
      </w:pPr>
      <w:r w:rsidRPr="47A3418A">
        <w:rPr>
          <w:b/>
          <w:lang w:val="en-US"/>
        </w:rPr>
        <w:t>Genomic surveillance and virology:</w:t>
      </w:r>
      <w:r w:rsidRPr="47A3418A">
        <w:rPr>
          <w:lang w:val="en-US"/>
        </w:rPr>
        <w:t xml:space="preserve"> Nationally, the Omicron BA.2.86 sublineage, JN.1, remains the dominant circulating sub-lineage (which includes the KP, JN.1.17, and JN.1.8 sub-sub-lineages). The KP.3 sub-sub-lineage represents the most common JN.1 sub-lineage in AusTrakka, followed KP.2. In this year to date, influenza A has accounted for most influenza notifications nationally.</w:t>
      </w:r>
    </w:p>
    <w:p w14:paraId="79AEAE28" w14:textId="77777777" w:rsidR="000F69E9" w:rsidRDefault="00DA3F8E">
      <w:pPr>
        <w:pStyle w:val="Boxtype"/>
      </w:pPr>
      <w:r w:rsidRPr="47A3418A">
        <w:rPr>
          <w:b/>
          <w:lang w:val="en-US"/>
        </w:rPr>
        <w:t>Vaccine coverage, effectiveness and match:</w:t>
      </w:r>
      <w:r w:rsidRPr="47A3418A">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3D5C4059" w14:textId="77777777" w:rsidR="000F69E9" w:rsidRDefault="00DA3F8E">
      <w:r>
        <w:br w:type="page"/>
      </w:r>
    </w:p>
    <w:p w14:paraId="171D6E13" w14:textId="77777777" w:rsidR="000F69E9" w:rsidRDefault="00DA3F8E">
      <w:pPr>
        <w:pStyle w:val="Heading2"/>
      </w:pPr>
      <w:bookmarkStart w:id="1" w:name="introduction"/>
      <w:bookmarkEnd w:id="0"/>
      <w:r>
        <w:lastRenderedPageBreak/>
        <w:t>Introduction</w:t>
      </w:r>
    </w:p>
    <w:p w14:paraId="088B57F2" w14:textId="4C89C78E" w:rsidR="00FC22A1" w:rsidRDefault="00FC22A1" w:rsidP="00FC22A1">
      <w:bookmarkStart w:id="2" w:name="data-considerations"/>
      <w:r>
        <w:t xml:space="preserve">This Australian Respiratory Surveillance Report was prepared by Jenna Hassall and Siobhan St George on behalf of the interim Australian Centre for Disease Control. We thank the staff and participants from the surveillance systems who contribute data for acute respiratory illness surveillance across Australia. </w:t>
      </w:r>
    </w:p>
    <w:p w14:paraId="64B9A27F" w14:textId="77777777" w:rsidR="00FC22A1" w:rsidRDefault="00FC22A1" w:rsidP="00FC22A1">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409BDC32" w14:textId="77777777" w:rsidR="00FC22A1" w:rsidRDefault="00FC22A1" w:rsidP="00FC22A1">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714E06C8" w14:textId="77777777" w:rsidR="000F69E9" w:rsidRDefault="00DA3F8E">
      <w:pPr>
        <w:pStyle w:val="Heading3"/>
      </w:pPr>
      <w:r>
        <w:t>Data considerations</w:t>
      </w:r>
    </w:p>
    <w:p w14:paraId="1F344B7C" w14:textId="77777777" w:rsidR="00FC22A1" w:rsidRDefault="00FC22A1" w:rsidP="00FC22A1">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2F87750F" w14:textId="62ED1525" w:rsidR="000F69E9" w:rsidRDefault="00FC22A1" w:rsidP="00FC22A1">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DA3F8E">
        <w:t>NNDSS data were extracted on 31 July 2024.</w:t>
      </w:r>
    </w:p>
    <w:p w14:paraId="7AA29DF5" w14:textId="0C03C52F" w:rsidR="000F69E9" w:rsidRDefault="00DA3F8E" w:rsidP="009A15CD">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FC22A1">
        <w:t>For this report, severity reporting includes data up to</w:t>
      </w:r>
      <w:r>
        <w:t xml:space="preserve"> 14 July 2024.</w:t>
      </w:r>
    </w:p>
    <w:p w14:paraId="3BD97BC0" w14:textId="77777777" w:rsidR="00FC22A1" w:rsidRDefault="00FC22A1" w:rsidP="00FC22A1">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561897B1" w14:textId="77777777" w:rsidR="000F69E9" w:rsidRDefault="00DA3F8E">
      <w:pPr>
        <w:pStyle w:val="Heading2"/>
      </w:pPr>
      <w:r>
        <w:lastRenderedPageBreak/>
        <w:t>1. Activity</w:t>
      </w:r>
    </w:p>
    <w:p w14:paraId="088048DB" w14:textId="77777777" w:rsidR="000F69E9" w:rsidRDefault="00DA3F8E">
      <w:pPr>
        <w:pStyle w:val="Boxheading"/>
      </w:pPr>
      <w:r w:rsidRPr="47A3418A">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3C77AE15" w14:textId="77777777" w:rsidR="000F69E9" w:rsidRDefault="00DA3F8E">
      <w:pPr>
        <w:pStyle w:val="Heading3"/>
      </w:pPr>
      <w:bookmarkStart w:id="4" w:name="community-based-surveillance"/>
      <w:r>
        <w:t>1.1 Community-based surveillance</w:t>
      </w:r>
    </w:p>
    <w:p w14:paraId="565E4221" w14:textId="77777777" w:rsidR="000F69E9" w:rsidRDefault="00DA3F8E">
      <w:pPr>
        <w:pStyle w:val="Heading4"/>
      </w:pPr>
      <w:bookmarkStart w:id="5" w:name="flutracking"/>
      <w:r>
        <w:t>FluTracking</w:t>
      </w:r>
    </w:p>
    <w:p w14:paraId="791BD868" w14:textId="48A825B2" w:rsidR="000F69E9" w:rsidRDefault="00DA3F8E" w:rsidP="009A15CD">
      <w:pPr>
        <w:numPr>
          <w:ilvl w:val="0"/>
          <w:numId w:val="8"/>
        </w:numPr>
      </w:pPr>
      <w:r>
        <w:t>This fortnight (15 July to 28 July 2024), the mean incidence of new fever and cough among FluTracking participants was 1.9%, a decrease compared with the mean incidence of 2.2% in the previous fortnight (Figure 1). Note, FluTracking data are age standardised.</w:t>
      </w:r>
    </w:p>
    <w:p w14:paraId="3C4A079D" w14:textId="77777777" w:rsidR="000F69E9" w:rsidRDefault="00DA3F8E" w:rsidP="009A15CD">
      <w:pPr>
        <w:numPr>
          <w:ilvl w:val="0"/>
          <w:numId w:val="8"/>
        </w:numPr>
      </w:pPr>
      <w:r>
        <w:t>This fortnight, 13.6% (170/1,248) of FluTracking participants who reported new fever and cough symptoms reported testing for severe acute respiratory syndrome coronavirus 2 (SARS-CoV-2) with a polymerase chain reaction (PCR) test and 61.5% (767/1,248) reported testing with a rapid antigen test (RAT) (noting that in some instances a RAT will be followed by a PCR test for the same participant, or vice versa).</w:t>
      </w:r>
    </w:p>
    <w:p w14:paraId="7F12F95C" w14:textId="70A99612" w:rsidR="000F69E9" w:rsidRDefault="00DA3F8E" w:rsidP="009A15CD">
      <w:pPr>
        <w:numPr>
          <w:ilvl w:val="1"/>
          <w:numId w:val="9"/>
        </w:numPr>
      </w:pPr>
      <w:r>
        <w:t>This fortnight, the self-reported percent positivity among participants with new fever and cough symptoms decreased for SARS-CoV-2 PCR tests (9.4%; 16/170) and decreased for RATs (23.5%; 180/767) compared with the previous fortnight (12.5% [35/281] and 24.1% [282/1,172] respectively).</w:t>
      </w:r>
    </w:p>
    <w:p w14:paraId="15F52AC5" w14:textId="77777777" w:rsidR="000F69E9" w:rsidRDefault="00DA3F8E" w:rsidP="009A15CD">
      <w:pPr>
        <w:numPr>
          <w:ilvl w:val="0"/>
          <w:numId w:val="8"/>
        </w:numPr>
      </w:pPr>
      <w:r>
        <w:t>This fortnight, 21.7% (271/1,248) of FluTracking participants with new fever and cough symptoms reported testing for influenza with a PCR test.</w:t>
      </w:r>
    </w:p>
    <w:p w14:paraId="79769437" w14:textId="4EDF01E0" w:rsidR="000F69E9" w:rsidRDefault="00DA3F8E" w:rsidP="009A15CD">
      <w:pPr>
        <w:numPr>
          <w:ilvl w:val="1"/>
          <w:numId w:val="10"/>
        </w:numPr>
      </w:pPr>
      <w:r>
        <w:t>This fortnight, the self-reported percent positivity among participants with new fever and cough symptoms decreased for influenza PCR tests (38.0%; 103/271), compared with the previous fortnight (40.8%; 157/385).</w:t>
      </w:r>
    </w:p>
    <w:p w14:paraId="5520FB37" w14:textId="19051FFB" w:rsidR="000F69E9" w:rsidRDefault="00DA3F8E" w:rsidP="009A15CD">
      <w:pPr>
        <w:numPr>
          <w:ilvl w:val="0"/>
          <w:numId w:val="8"/>
        </w:numPr>
      </w:pPr>
      <w:r>
        <w:t>In the year to date, the incidence of new fever and cough symptoms reported to FluTracking has fluctuated, peaking in the week ending 30 June 2024 at 2.6% (Figure 1). The incidence of fever and cough</w:t>
      </w:r>
      <w:r w:rsidR="00CD3E89">
        <w:t xml:space="preserve"> has decreased in recent weeks and</w:t>
      </w:r>
      <w:r>
        <w:t xml:space="preserve"> is currently </w:t>
      </w:r>
      <w:r w:rsidR="00CD3E89">
        <w:t xml:space="preserve">lower than </w:t>
      </w:r>
      <w:r>
        <w:t xml:space="preserve">the proportion observed in the same period in previous years </w:t>
      </w:r>
      <w:r w:rsidR="00CD3E89">
        <w:t>and</w:t>
      </w:r>
      <w:r>
        <w:t xml:space="preserve"> the five-year mean (Figure 1).</w:t>
      </w:r>
    </w:p>
    <w:p w14:paraId="6D5242EC" w14:textId="77777777" w:rsidR="000F69E9" w:rsidRDefault="00DA3F8E">
      <w:r>
        <w:br w:type="page"/>
      </w:r>
    </w:p>
    <w:p w14:paraId="07DE3EB1" w14:textId="77777777" w:rsidR="000F69E9" w:rsidRDefault="00DA3F8E">
      <w:r>
        <w:rPr>
          <w:b/>
          <w:bCs/>
        </w:rPr>
        <w:lastRenderedPageBreak/>
        <w:t>Figure 1: Age standardised percentage of FluTracking participants reporting new fever and cough symptoms compared with the five-year mean by year and week of report*, Australia, 2017 to 28 July 2024</w:t>
      </w:r>
    </w:p>
    <w:p w14:paraId="7417AF97" w14:textId="77777777" w:rsidR="000F69E9" w:rsidRDefault="00DA3F8E">
      <w:pPr>
        <w:pStyle w:val="BodyText"/>
      </w:pPr>
      <w:r>
        <w:rPr>
          <w:noProof/>
        </w:rPr>
        <w:drawing>
          <wp:inline distT="0" distB="0" distL="0" distR="0" wp14:anchorId="0965F37D" wp14:editId="3A486294">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consistent with the corresponding weeks of the 2017-2019, 2022, 2023 historical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consistent with the corresponding weeks of the 2017-2019, 2022, 2023 historical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BB822E6" w14:textId="77777777" w:rsidR="000F69E9" w:rsidRDefault="00DA3F8E">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721FB2E2" w14:textId="77777777" w:rsidR="000F69E9" w:rsidRDefault="000F69E9">
      <w:pPr>
        <w:pStyle w:val="Smalltext"/>
      </w:pPr>
    </w:p>
    <w:p w14:paraId="451E866E" w14:textId="77777777" w:rsidR="000F69E9" w:rsidRDefault="00DA3F8E">
      <w:pPr>
        <w:pStyle w:val="Heading4"/>
      </w:pPr>
      <w:bookmarkStart w:id="6" w:name="Xd23077d57510771b8eac36b0c692964a7c92ff0"/>
      <w:bookmarkEnd w:id="5"/>
      <w:r>
        <w:t>Australian Sentinel Practice Research Network (ASPREN)</w:t>
      </w:r>
    </w:p>
    <w:p w14:paraId="3F180D64" w14:textId="2A6B78C9" w:rsidR="000F69E9" w:rsidRDefault="00DA3F8E" w:rsidP="009A15CD">
      <w:pPr>
        <w:numPr>
          <w:ilvl w:val="0"/>
          <w:numId w:val="11"/>
        </w:numPr>
      </w:pPr>
      <w:r>
        <w:t>This fortnight (15 July to 28 July 2024), a mean rate of 11.7 per 1,000 consultations per fortnight due to new fever and cough symptoms were reported by ASPREN sentinel general practitioners and nurse practitioners. This is a decrease compared with 12.6 per 1,000 consultations in the previous fortnight (Figure 2).</w:t>
      </w:r>
    </w:p>
    <w:p w14:paraId="18C69098" w14:textId="77777777" w:rsidR="000F69E9" w:rsidRDefault="00DA3F8E" w:rsidP="009A15CD">
      <w:pPr>
        <w:numPr>
          <w:ilvl w:val="0"/>
          <w:numId w:val="11"/>
        </w:numPr>
      </w:pPr>
      <w:r>
        <w:t>This fortnight, 146 people presented to ASPREN sentinel general practitioners and nurse practitioners with new fever and cough symptoms and were tested for respiratory pathogens. Of those, 60.3% (88/146) have tested positive for a respiratory pathogen.</w:t>
      </w:r>
    </w:p>
    <w:p w14:paraId="14A5D3D7" w14:textId="77777777" w:rsidR="000F69E9" w:rsidRDefault="00DA3F8E" w:rsidP="009A15CD">
      <w:pPr>
        <w:numPr>
          <w:ilvl w:val="1"/>
          <w:numId w:val="12"/>
        </w:numPr>
      </w:pPr>
      <w:r>
        <w:t>Among those positive for a respiratory pathogen, the most common respiratory pathogen reported was influenza (38.6%; 34/88). Other respiratory pathogens detected included parainfluenza type-3 (10.2%; 9/88), rhinovirus (10.2%; 9/88), and SARS-CoV-2 (8.0%; 7/88).</w:t>
      </w:r>
    </w:p>
    <w:p w14:paraId="38BC908F" w14:textId="27092A8C" w:rsidR="000F69E9" w:rsidRDefault="00DA3F8E" w:rsidP="009A15CD">
      <w:pPr>
        <w:numPr>
          <w:ilvl w:val="0"/>
          <w:numId w:val="11"/>
        </w:numPr>
      </w:pPr>
      <w:r>
        <w:t xml:space="preserve">In the year to date, the rate of new fever and cough symptoms per 1,000 consultations per week has </w:t>
      </w:r>
      <w:r w:rsidR="00207501">
        <w:t xml:space="preserve">generally </w:t>
      </w:r>
      <w:r>
        <w:t xml:space="preserve">remained above the rate observed in the corresponding weeks of earlier years (excluding </w:t>
      </w:r>
      <w:r w:rsidR="00B346C7">
        <w:t xml:space="preserve">2017 and </w:t>
      </w:r>
      <w:r>
        <w:t>2019 in recent weeks) and the five-year mean (Figure 2).</w:t>
      </w:r>
    </w:p>
    <w:p w14:paraId="3502934B" w14:textId="77777777" w:rsidR="000F69E9" w:rsidRDefault="00DA3F8E" w:rsidP="009A15CD">
      <w:pPr>
        <w:numPr>
          <w:ilvl w:val="0"/>
          <w:numId w:val="11"/>
        </w:numPr>
      </w:pPr>
      <w:r>
        <w:t>In the year to date, 1,542 people presented to ASPREN sentinel general practitioners and nurse practitioners with new fever and cough symptoms and have been tested for respiratory pathogens. Of those, 66.6% (1,027/1,542) have tested positive for a respiratory pathogen.</w:t>
      </w:r>
    </w:p>
    <w:p w14:paraId="3ED979D1" w14:textId="7B294AC6" w:rsidR="000F69E9" w:rsidRDefault="00DA3F8E" w:rsidP="009A15CD">
      <w:pPr>
        <w:numPr>
          <w:ilvl w:val="1"/>
          <w:numId w:val="13"/>
        </w:numPr>
      </w:pPr>
      <w:r>
        <w:t xml:space="preserve">Among those positive for a respiratory pathogen, the most common respiratory pathogen reported has been rhinovirus (30.5%; 313/1,027). Other respiratory pathogens detected included influenza (23.1%; 237/1,027), SARS-CoV-2 (13.9%; 143/1,027), RSV (10.7%; 110/1,027), </w:t>
      </w:r>
      <w:r w:rsidR="00D81D6A">
        <w:rPr>
          <w:i/>
          <w:iCs/>
        </w:rPr>
        <w:t>M</w:t>
      </w:r>
      <w:r w:rsidRPr="00D81D6A">
        <w:rPr>
          <w:i/>
          <w:iCs/>
        </w:rPr>
        <w:t>ycoplasma pneumoniae</w:t>
      </w:r>
      <w:r>
        <w:t xml:space="preserve"> (7.0%; 72/1,027) and adenovirus (3.9%; 40/1,027).</w:t>
      </w:r>
    </w:p>
    <w:p w14:paraId="38230B09" w14:textId="77777777" w:rsidR="000F69E9" w:rsidRDefault="00DA3F8E">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28 July 2024</w:t>
      </w:r>
    </w:p>
    <w:p w14:paraId="336B3661" w14:textId="77777777" w:rsidR="000F69E9" w:rsidRDefault="00DA3F8E">
      <w:pPr>
        <w:pStyle w:val="BodyText"/>
      </w:pPr>
      <w:r>
        <w:rPr>
          <w:noProof/>
        </w:rPr>
        <w:drawing>
          <wp:inline distT="0" distB="0" distL="0" distR="0" wp14:anchorId="127A75FA" wp14:editId="38D3DC81">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over the past three reporting periods.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7 July 2024 at approximately 12 per 1,000 consultations, largely exceeding the rate for the corresponding weeks in 2017 and 2018. Over the last two reporting periods, the rate of new fever and cough symptoms per 1,000 consultations per week has remained relatively stable or gradually decreased.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over the past three reporting periods.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7 July 2024 at approximately 12 per 1,000 consultations, largely exceeding the rate for the corresponding weeks in 2017 and 2018. Over the last two reporting periods, the rate of new fever and cough symptoms per 1,000 consultations per week has remained relatively stable or gradually decreased.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3120679" w14:textId="77777777" w:rsidR="000F69E9" w:rsidRDefault="00DA3F8E">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558F24A0" w14:textId="77777777" w:rsidR="000F69E9" w:rsidRDefault="000F69E9">
      <w:pPr>
        <w:pStyle w:val="Smalltext"/>
      </w:pPr>
    </w:p>
    <w:p w14:paraId="6F7CF1B4" w14:textId="77777777" w:rsidR="000F69E9" w:rsidRDefault="00DA3F8E">
      <w:pPr>
        <w:pStyle w:val="Heading4"/>
      </w:pPr>
      <w:bookmarkStart w:id="7" w:name="wastewater-surveillance"/>
      <w:bookmarkEnd w:id="6"/>
      <w:r>
        <w:t>Wastewater surveillance</w:t>
      </w:r>
    </w:p>
    <w:p w14:paraId="27516F97" w14:textId="77777777" w:rsidR="000F69E9" w:rsidRDefault="00DA3F8E">
      <w:r>
        <w:t>At present, there are no national wastewater surveillance data for SARS-CoV-2, influenza, or RSV. For information regarding SARS-CoV-2 wastewater surveillance at the jurisdictional level, please refer to the state and territory health webpages and/or respiratory surveillance reports.</w:t>
      </w:r>
    </w:p>
    <w:p w14:paraId="7A32CE97" w14:textId="77777777" w:rsidR="000F69E9" w:rsidRDefault="000F69E9">
      <w:pPr>
        <w:pStyle w:val="BodyText"/>
      </w:pPr>
    </w:p>
    <w:p w14:paraId="0A2C75CA" w14:textId="77777777" w:rsidR="000F69E9" w:rsidRDefault="00DA3F8E">
      <w:pPr>
        <w:pStyle w:val="Heading3"/>
      </w:pPr>
      <w:bookmarkStart w:id="8" w:name="laboratory-based-surveillance"/>
      <w:bookmarkEnd w:id="4"/>
      <w:bookmarkEnd w:id="7"/>
      <w:r>
        <w:t>1.2 Laboratory-based surveillance</w:t>
      </w:r>
    </w:p>
    <w:p w14:paraId="66AF6E78" w14:textId="77777777" w:rsidR="000F69E9" w:rsidRDefault="00DA3F8E">
      <w:pPr>
        <w:pStyle w:val="Heading4"/>
      </w:pPr>
      <w:bookmarkStart w:id="9" w:name="Xe26c365f2fc725ff56923a02a88adf6e38446e9"/>
      <w:r>
        <w:t>Sentinel laboratories, including National Influenza Centres</w:t>
      </w:r>
    </w:p>
    <w:p w14:paraId="732DD240" w14:textId="3B73A66F" w:rsidR="000F69E9" w:rsidRDefault="00DA3F8E" w:rsidP="009A15CD">
      <w:pPr>
        <w:numPr>
          <w:ilvl w:val="0"/>
          <w:numId w:val="14"/>
        </w:numPr>
      </w:pPr>
      <w:r>
        <w:t>This fortnight (15 July to 28 July 2024), 3.0% (591/19,447) of samples tested for SARS-CoV-2 across sentinel laboratories have been positive for SARS-CoV-2, a decrease in positivity compared with the previous fortnight (4.0%; 852/21,082) (Figure 3).</w:t>
      </w:r>
    </w:p>
    <w:p w14:paraId="3FE7C73A" w14:textId="02C3CF94" w:rsidR="000F69E9" w:rsidRDefault="00DA3F8E" w:rsidP="009A15CD">
      <w:pPr>
        <w:numPr>
          <w:ilvl w:val="0"/>
          <w:numId w:val="14"/>
        </w:numPr>
      </w:pPr>
      <w:r>
        <w:t>This fortnight, 13.9% (3,181/22,860) of the samples tested for influenza across sentinel laboratories have been positive for influenza, a decrease in positivity compared with the previous fortnight (16.8%; 4,133/24,672) (Figure 3).</w:t>
      </w:r>
    </w:p>
    <w:p w14:paraId="39D2DE27" w14:textId="7576F763" w:rsidR="000F69E9" w:rsidRDefault="00DA3F8E" w:rsidP="009A15CD">
      <w:pPr>
        <w:numPr>
          <w:ilvl w:val="0"/>
          <w:numId w:val="14"/>
        </w:numPr>
      </w:pPr>
      <w:r>
        <w:t>This fortnight, 4.7% (918/19,447) of the samples tested for RSV across sentinel laboratories have been positive for RSV, a decrease in positivity compared with the previous fortnight (5.2%; 1,089/21,082) (Figure 3).</w:t>
      </w:r>
    </w:p>
    <w:p w14:paraId="69A14F17" w14:textId="77777777" w:rsidR="000F69E9" w:rsidRDefault="00DA3F8E" w:rsidP="009A15CD">
      <w:pPr>
        <w:numPr>
          <w:ilvl w:val="0"/>
          <w:numId w:val="14"/>
        </w:numPr>
      </w:pPr>
      <w:r>
        <w:t xml:space="preserve">This fortnight, the </w:t>
      </w:r>
      <w:proofErr w:type="gramStart"/>
      <w:r>
        <w:t>most commonly detected</w:t>
      </w:r>
      <w:proofErr w:type="gramEnd"/>
      <w:r>
        <w:t xml:space="preserve"> respiratory viruses by sentinel laboratory site and week were:</w:t>
      </w:r>
    </w:p>
    <w:p w14:paraId="6C6405C9" w14:textId="77777777" w:rsidR="000F69E9" w:rsidRDefault="00DA3F8E" w:rsidP="009A15CD">
      <w:pPr>
        <w:numPr>
          <w:ilvl w:val="1"/>
          <w:numId w:val="15"/>
        </w:numPr>
      </w:pPr>
      <w:r>
        <w:t>New South Wales: influenza A (both weeks)</w:t>
      </w:r>
    </w:p>
    <w:p w14:paraId="543EE774" w14:textId="77777777" w:rsidR="000F69E9" w:rsidRDefault="00DA3F8E" w:rsidP="009A15CD">
      <w:pPr>
        <w:numPr>
          <w:ilvl w:val="1"/>
          <w:numId w:val="15"/>
        </w:numPr>
      </w:pPr>
      <w:r>
        <w:t>South Australia: influenza A (both weeks)</w:t>
      </w:r>
    </w:p>
    <w:p w14:paraId="0C423BAA" w14:textId="77777777" w:rsidR="000F69E9" w:rsidRDefault="00DA3F8E" w:rsidP="009A15CD">
      <w:pPr>
        <w:numPr>
          <w:ilvl w:val="1"/>
          <w:numId w:val="15"/>
        </w:numPr>
      </w:pPr>
      <w:r>
        <w:t>Tasmania: influenza A (both weeks)</w:t>
      </w:r>
    </w:p>
    <w:p w14:paraId="63F79929" w14:textId="77777777" w:rsidR="000F69E9" w:rsidRDefault="00DA3F8E" w:rsidP="009A15CD">
      <w:pPr>
        <w:numPr>
          <w:ilvl w:val="1"/>
          <w:numId w:val="15"/>
        </w:numPr>
      </w:pPr>
      <w:r>
        <w:lastRenderedPageBreak/>
        <w:t>Victoria: influenza A (both weeks)</w:t>
      </w:r>
    </w:p>
    <w:p w14:paraId="2CBBA0C6" w14:textId="77777777" w:rsidR="000F69E9" w:rsidRDefault="00DA3F8E" w:rsidP="009A15CD">
      <w:pPr>
        <w:numPr>
          <w:ilvl w:val="1"/>
          <w:numId w:val="15"/>
        </w:numPr>
      </w:pPr>
      <w:r>
        <w:t>Western Australia: influenza A (both weeks).</w:t>
      </w:r>
    </w:p>
    <w:p w14:paraId="35138E78" w14:textId="77777777" w:rsidR="000F69E9" w:rsidRDefault="00DA3F8E" w:rsidP="009A15CD">
      <w:pPr>
        <w:numPr>
          <w:ilvl w:val="0"/>
          <w:numId w:val="14"/>
        </w:numPr>
      </w:pPr>
      <w:r>
        <w:t>In the year to date, 5.1% (11,048/215,477) of samples tested for SARS-CoV-2 have been positive for SARS-CoV-2, 7.0% (17,697/251,605) of samples tested for influenza have been positive for influenza and 3.1% (6,707/215,477) of samples tested for RSV have been positive for RSV (Figure 3).</w:t>
      </w:r>
    </w:p>
    <w:p w14:paraId="4A4D5075" w14:textId="77777777" w:rsidR="000F69E9" w:rsidRDefault="000F69E9"/>
    <w:p w14:paraId="1314818E" w14:textId="77777777" w:rsidR="000F69E9" w:rsidRDefault="00DA3F8E">
      <w:pPr>
        <w:pStyle w:val="BodyText"/>
      </w:pPr>
      <w:r>
        <w:rPr>
          <w:b/>
          <w:bCs/>
        </w:rPr>
        <w:t>Figure 3: Total number of specimens tested by sentinel laboratories and proportion of positive sentinel laboratory tests by pathogen and week of report*</w:t>
      </w:r>
      <w:r>
        <w:rPr>
          <w:b/>
          <w:bCs/>
          <w:vertAlign w:val="superscript"/>
        </w:rPr>
        <w:t>†</w:t>
      </w:r>
      <w:r>
        <w:rPr>
          <w:b/>
          <w:bCs/>
        </w:rPr>
        <w:t>, 1 January to 28 July 2024</w:t>
      </w:r>
    </w:p>
    <w:p w14:paraId="14BAF164" w14:textId="77777777" w:rsidR="000F69E9" w:rsidRDefault="00DA3F8E">
      <w:pPr>
        <w:pStyle w:val="BodyText"/>
      </w:pPr>
      <w:r>
        <w:rPr>
          <w:noProof/>
        </w:rPr>
        <w:drawing>
          <wp:inline distT="0" distB="0" distL="0" distR="0" wp14:anchorId="2433F2DC" wp14:editId="11B2F35D">
            <wp:extent cx="6184900" cy="2731980"/>
            <wp:effectExtent l="0" t="0" r="0" b="0"/>
            <wp:docPr id="38" name="Picture" descr="A stacked bar chart showing the weekly proportion of sentinel laboratory tests positive for SARS-CoV-2, influenza, or RSV by week of report, from 1 January to 28 July 2024. A line graph plotted on the secondary (right) axis shows the total number of specimens tested, by week of report, from 1 January to 28 July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continued to decrease, down to 3.0% in the most recent fortnight. The weekly proportion of influenza positive tests has followed a gradual increasing trend since mid-February 2024. Influenza test positivity increased from approximately 2.0% in the fortnight ending 14 January 2024 to almost 14.0% in the most recent fortnight. The weekly proportion of RSV positive tests has followed an increasing trend since mid-February 2024, with test positivity decreasing slightly to 4.7% in the most recent fortnight. The total number of specimens tested gradually increased since late March 2024 at approximately 5,300 tests per week to approximately 9,5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Picture" descr="A stacked bar chart showing the weekly proportion of sentinel laboratory tests positive for SARS-CoV-2, influenza, or RSV by week of report, from 1 January to 28 July 2024. A line graph plotted on the secondary (right) axis shows the total number of specimens tested, by week of report, from 1 January to 28 July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continued to decrease, down to 3.0% in the most recent fortnight. The weekly proportion of influenza positive tests has followed a gradual increasing trend since mid-February 2024. Influenza test positivity increased from approximately 2.0% in the fortnight ending 14 January 2024 to almost 14.0% in the most recent fortnight. The weekly proportion of RSV positive tests has followed an increasing trend since mid-February 2024, with test positivity decreasing slightly to 4.7% in the most recent fortnight. The total number of specimens tested gradually increased since late March 2024 at approximately 5,300 tests per week to approximately 9,500 tests per week in the most recent fortnight."/>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2CB43C5" w14:textId="77777777" w:rsidR="000F69E9" w:rsidRDefault="00DA3F8E">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AF3D07B" w14:textId="77777777" w:rsidR="000F69E9" w:rsidRDefault="00DA3F8E">
      <w:pPr>
        <w:pStyle w:val="Heading3"/>
      </w:pPr>
      <w:bookmarkStart w:id="10" w:name="case-based-surveillance"/>
      <w:bookmarkEnd w:id="8"/>
      <w:bookmarkEnd w:id="9"/>
      <w:r>
        <w:t>1.3 Case-based surveillance</w:t>
      </w:r>
    </w:p>
    <w:p w14:paraId="6691D872" w14:textId="77777777" w:rsidR="000F69E9" w:rsidRDefault="00DA3F8E">
      <w:pPr>
        <w:pStyle w:val="Heading4"/>
      </w:pPr>
      <w:bookmarkStart w:id="11" w:name="nndss"/>
      <w:r>
        <w:t>NNDSS</w:t>
      </w:r>
    </w:p>
    <w:p w14:paraId="04297E7C" w14:textId="1B73A274" w:rsidR="000F69E9" w:rsidRPr="00F01D4B" w:rsidRDefault="00860A82" w:rsidP="009A15CD">
      <w:pPr>
        <w:numPr>
          <w:ilvl w:val="0"/>
          <w:numId w:val="16"/>
        </w:numPr>
      </w:pPr>
      <w:r w:rsidRPr="00F01D4B">
        <w:t xml:space="preserve">In this fortnight, nationally notified COVID-19, influenza, and RSV cases have decreased compared with the previous fortnight, though this trend was not observed across all jurisdictions. </w:t>
      </w:r>
    </w:p>
    <w:p w14:paraId="46E61232" w14:textId="77777777" w:rsidR="000F69E9" w:rsidRDefault="00DA3F8E">
      <w:r>
        <w:br w:type="page"/>
      </w:r>
    </w:p>
    <w:p w14:paraId="0354D605" w14:textId="77777777" w:rsidR="000F69E9" w:rsidRDefault="00DA3F8E">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28 July 2024</w:t>
      </w:r>
    </w:p>
    <w:tbl>
      <w:tblPr>
        <w:tblW w:w="5015" w:type="pct"/>
        <w:jc w:val="center"/>
        <w:tblLayout w:type="fixed"/>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5 July to 28 July 2024) and for year to date (1 January to 28 July 2024). There were 11,180 COVID-19 notifications with a diagnosis date this fortnight. In the year to date, the national notification rate of COVID-19 is 732.6 notifications per 100,000 population. Since the beginning of 2024, COVID-19 notification rates have been highest among those aged 70 years or over (2,137.2 notifications per 100,000 population), followed by those aged 0–4 years (1,045.8 notifications per 100,000 population). In the year to date, COVID-19 notification rates were highest in New South Wales (1,026.6 notifications per 100,000 population) and lowest in Western Australia (376.0 notifications per 100,000 population). There were 41,212 influenza notifications with a diagnosis date this fortnight. In the year to date, the national notification rate of influenza is 913.2 notifications per 100,000 population. Influenza notification rates have been highest among those aged 5–9 (2,231.7 notifications per 100,000 population) followed by those aged 0–4 years (2,203.6 notifications per 100,000 population). In the year to date, influenza notification rates have been highest in New South Wales (1,552.4 notifications per 100,000 population) and lowest in Western Australia (275.3 notifications per 100,000 population). There were 8,762 RSV notifications with a diagnosis date this fortnight. In the year to date, the national notification rate of RSV is 495.9 notifications per 100,000 population. RSV notification rates have been highest among those aged 0–4 years (4,533.3 notifications per 100,000 population), followed by those aged 5–9 years (666.2 notifications per 100,000 population). In the year to date, RSV notification rates have been highest in New South Wales (712.2 notifications per 100,000 population) and lowest in Western Australia (144.6 notifications per 100,000 population)."/>
      </w:tblPr>
      <w:tblGrid>
        <w:gridCol w:w="977"/>
        <w:gridCol w:w="973"/>
        <w:gridCol w:w="6"/>
        <w:gridCol w:w="481"/>
        <w:gridCol w:w="489"/>
        <w:gridCol w:w="8"/>
        <w:gridCol w:w="966"/>
        <w:gridCol w:w="12"/>
        <w:gridCol w:w="964"/>
        <w:gridCol w:w="14"/>
        <w:gridCol w:w="960"/>
        <w:gridCol w:w="18"/>
        <w:gridCol w:w="957"/>
        <w:gridCol w:w="22"/>
        <w:gridCol w:w="468"/>
        <w:gridCol w:w="485"/>
        <w:gridCol w:w="25"/>
        <w:gridCol w:w="949"/>
        <w:gridCol w:w="29"/>
        <w:gridCol w:w="949"/>
        <w:gridCol w:w="29"/>
      </w:tblGrid>
      <w:tr w:rsidR="000F69E9" w14:paraId="251F177C" w14:textId="77777777" w:rsidTr="00737E06">
        <w:trPr>
          <w:gridAfter w:val="1"/>
          <w:wAfter w:w="15" w:type="pct"/>
          <w:tblHeader/>
          <w:jc w:val="center"/>
        </w:trPr>
        <w:tc>
          <w:tcPr>
            <w:tcW w:w="1246"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A326BA" w14:textId="77777777" w:rsidR="000F69E9" w:rsidRDefault="000F69E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118E2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46" w:type="pct"/>
            <w:gridSpan w:val="6"/>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87642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1B15C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RSV</w:t>
            </w:r>
          </w:p>
        </w:tc>
      </w:tr>
      <w:tr w:rsidR="00EA4F91" w:rsidRPr="00EA4F91" w14:paraId="27F19021" w14:textId="77777777" w:rsidTr="00735617">
        <w:trPr>
          <w:gridAfter w:val="1"/>
          <w:wAfter w:w="15" w:type="pct"/>
          <w:tblHeader/>
          <w:jc w:val="center"/>
        </w:trPr>
        <w:tc>
          <w:tcPr>
            <w:tcW w:w="498"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D4BF9F" w14:textId="77777777" w:rsidR="000F69E9" w:rsidRPr="00EA4F91" w:rsidRDefault="000F69E9">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498"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60C80CDA"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Reporting</w:t>
            </w:r>
            <w:r w:rsidRPr="00EA4F91">
              <w:rPr>
                <w:rFonts w:eastAsia="Arial" w:cs="Arial"/>
                <w:b/>
                <w:color w:val="033636"/>
                <w:sz w:val="14"/>
                <w:szCs w:val="14"/>
              </w:rPr>
              <w:br/>
              <w:t>fortnight</w:t>
            </w:r>
            <w:r w:rsidRPr="00EA4F91">
              <w:rPr>
                <w:rFonts w:eastAsia="Arial" w:cs="Arial"/>
                <w:b/>
                <w:color w:val="033636"/>
                <w:sz w:val="14"/>
                <w:szCs w:val="14"/>
              </w:rPr>
              <w:br/>
              <w:t>(n)</w:t>
            </w:r>
          </w:p>
        </w:tc>
        <w:tc>
          <w:tcPr>
            <w:tcW w:w="498" w:type="pct"/>
            <w:gridSpan w:val="3"/>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75A1FC15"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(n)</w:t>
            </w:r>
          </w:p>
        </w:tc>
        <w:tc>
          <w:tcPr>
            <w:tcW w:w="498"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62509941"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 xml:space="preserve"> date</w:t>
            </w:r>
            <w:r w:rsidRPr="00EA4F91">
              <w:rPr>
                <w:rFonts w:eastAsia="Arial" w:cs="Arial"/>
                <w:b/>
                <w:color w:val="033636"/>
                <w:sz w:val="14"/>
                <w:szCs w:val="14"/>
              </w:rPr>
              <w:br/>
              <w:t>(rate)</w:t>
            </w:r>
          </w:p>
        </w:tc>
        <w:tc>
          <w:tcPr>
            <w:tcW w:w="499"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4914348B"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Reporting</w:t>
            </w:r>
            <w:r w:rsidRPr="00EA4F91">
              <w:rPr>
                <w:rFonts w:eastAsia="Arial" w:cs="Arial"/>
                <w:b/>
                <w:color w:val="033636"/>
                <w:sz w:val="14"/>
                <w:szCs w:val="14"/>
              </w:rPr>
              <w:br/>
              <w:t>fortnight</w:t>
            </w:r>
            <w:r w:rsidRPr="00EA4F91">
              <w:rPr>
                <w:rFonts w:eastAsia="Arial" w:cs="Arial"/>
                <w:b/>
                <w:color w:val="033636"/>
                <w:sz w:val="14"/>
                <w:szCs w:val="14"/>
              </w:rPr>
              <w:br/>
              <w:t>(n)</w:t>
            </w:r>
          </w:p>
        </w:tc>
        <w:tc>
          <w:tcPr>
            <w:tcW w:w="498"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2730A1D9"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(n)</w:t>
            </w:r>
          </w:p>
        </w:tc>
        <w:tc>
          <w:tcPr>
            <w:tcW w:w="498"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0FBDC426"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(rate)</w:t>
            </w:r>
          </w:p>
        </w:tc>
        <w:tc>
          <w:tcPr>
            <w:tcW w:w="498" w:type="pct"/>
            <w:gridSpan w:val="3"/>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7E1A8FC3"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Reporting</w:t>
            </w:r>
            <w:r w:rsidRPr="00EA4F91">
              <w:rPr>
                <w:rFonts w:eastAsia="Arial" w:cs="Arial"/>
                <w:b/>
                <w:color w:val="033636"/>
                <w:sz w:val="14"/>
                <w:szCs w:val="14"/>
              </w:rPr>
              <w:br/>
              <w:t>fortnight</w:t>
            </w:r>
            <w:r w:rsidRPr="00EA4F91">
              <w:rPr>
                <w:rFonts w:eastAsia="Arial" w:cs="Arial"/>
                <w:b/>
                <w:color w:val="033636"/>
                <w:sz w:val="14"/>
                <w:szCs w:val="14"/>
              </w:rPr>
              <w:br/>
              <w:t>(n)</w:t>
            </w:r>
          </w:p>
        </w:tc>
        <w:tc>
          <w:tcPr>
            <w:tcW w:w="498"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5C0A2140"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(n)</w:t>
            </w:r>
          </w:p>
        </w:tc>
        <w:tc>
          <w:tcPr>
            <w:tcW w:w="499" w:type="pct"/>
            <w:gridSpan w:val="2"/>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0BAA865F" w14:textId="77777777" w:rsidR="000F69E9" w:rsidRPr="00EA4F91"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r w:rsidRPr="00EA4F91">
              <w:rPr>
                <w:rFonts w:eastAsia="Arial" w:cs="Arial"/>
                <w:b/>
                <w:color w:val="033636"/>
                <w:sz w:val="14"/>
                <w:szCs w:val="14"/>
              </w:rPr>
              <w:t>Year to</w:t>
            </w:r>
            <w:r w:rsidRPr="00EA4F91">
              <w:rPr>
                <w:rFonts w:eastAsia="Arial" w:cs="Arial"/>
                <w:b/>
                <w:color w:val="033636"/>
                <w:sz w:val="14"/>
                <w:szCs w:val="14"/>
              </w:rPr>
              <w:br/>
              <w:t>date</w:t>
            </w:r>
            <w:r w:rsidRPr="00EA4F91">
              <w:rPr>
                <w:rFonts w:eastAsia="Arial" w:cs="Arial"/>
                <w:b/>
                <w:color w:val="033636"/>
                <w:sz w:val="14"/>
                <w:szCs w:val="14"/>
              </w:rPr>
              <w:br/>
              <w:t>(rate)</w:t>
            </w:r>
          </w:p>
        </w:tc>
      </w:tr>
      <w:tr w:rsidR="000F69E9" w14:paraId="3EC2CEE5" w14:textId="77777777" w:rsidTr="00EA4F91">
        <w:trPr>
          <w:gridAfter w:val="1"/>
          <w:wAfter w:w="15" w:type="pct"/>
          <w:tblHeader/>
          <w:jc w:val="center"/>
        </w:trPr>
        <w:tc>
          <w:tcPr>
            <w:tcW w:w="4985" w:type="pct"/>
            <w:gridSpan w:val="2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36AAED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EA4F91" w14:paraId="1B16E0C5"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7EEA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DC214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F4ECF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15,855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2BF1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1,045.8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940E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6,239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BA13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33,407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4261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2,203.6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B58D1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3155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68,725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7280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4,533.3</w:t>
            </w:r>
          </w:p>
        </w:tc>
      </w:tr>
      <w:tr w:rsidR="00EA4F91" w14:paraId="608213F3"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B9ABB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CCC7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CD44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4,319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A8D3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F289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4,681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3CBE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35,940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1D0C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2,231.7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23522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3D00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10,729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F796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666.2</w:t>
            </w:r>
          </w:p>
        </w:tc>
      </w:tr>
      <w:tr w:rsidR="00EA4F91" w14:paraId="388B828A"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44AC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6D8D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A854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4,406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6E8D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265.8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1EDB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2,741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AC56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22,633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3F6E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22F64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DA6E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5,066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9BC5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305.7</w:t>
            </w:r>
          </w:p>
        </w:tc>
      </w:tr>
      <w:tr w:rsidR="00EA4F91" w14:paraId="058DD9E2"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BCAA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AB02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A9B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5,404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11E4F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A70C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2,514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5B5A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14,939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75B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928.6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D48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5DA7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2,715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9F4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168.8</w:t>
            </w:r>
          </w:p>
        </w:tc>
      </w:tr>
      <w:tr w:rsidR="00EA4F91" w14:paraId="672C6CED"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C778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1B03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1D65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6,392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9AA5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369.1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17BAE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AACE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11,701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6EF9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2EC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B05C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ACE6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121.5</w:t>
            </w:r>
          </w:p>
        </w:tc>
      </w:tr>
      <w:tr w:rsidR="00EA4F91" w14:paraId="50D42689"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BAC8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F63DC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D2F3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8,296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86F9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431.7</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D2F2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2,695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6688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12,964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A2372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674.6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A22C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4860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5B5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125.7</w:t>
            </w:r>
          </w:p>
        </w:tc>
      </w:tr>
      <w:tr w:rsidR="00EA4F91" w14:paraId="70BD019E"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72F9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A455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31A8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9,835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CC96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496.1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6C4D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A38D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14,640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31D3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738.4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14BF1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3B5B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EF79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161.0</w:t>
            </w:r>
          </w:p>
        </w:tc>
      </w:tr>
      <w:tr w:rsidR="00EA4F91" w14:paraId="629C74D5"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4104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1FDD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4E15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10,619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5F9E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548.0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12CA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2,886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BB91D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16,068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67FE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829.2</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6A85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544E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16BA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164.7</w:t>
            </w:r>
          </w:p>
        </w:tc>
      </w:tr>
      <w:tr w:rsidR="00EA4F91" w14:paraId="66277AAB"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AF6E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FE35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1B3D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10,140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3CDEC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569.6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C31F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2,442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4D1B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14,577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EAAF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818.8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233E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BEF5A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2,671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E2A0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150.0</w:t>
            </w:r>
          </w:p>
        </w:tc>
      </w:tr>
      <w:tr w:rsidR="00EA4F91" w14:paraId="192DF8D0"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9E54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E025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C1E1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9,346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A4BF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579.0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0274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EC62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11,268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C387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698.1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1229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0901C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2,570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6F4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159.2</w:t>
            </w:r>
          </w:p>
        </w:tc>
      </w:tr>
      <w:tr w:rsidR="00EA4F91" w14:paraId="2B3405C2"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F0D3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9AE60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77555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29AD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594.5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A091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1,792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B5D9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10,526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175F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626.4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6787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845D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4D514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189.3</w:t>
            </w:r>
          </w:p>
        </w:tc>
      </w:tr>
      <w:tr w:rsidR="00EA4F91" w14:paraId="624FF6FC"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DABB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411C7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EECA2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9,776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E968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641.6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1C11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1,645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0A49F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8,920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C4F0E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585.5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5BD6F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3A3C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E79B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207.8</w:t>
            </w:r>
          </w:p>
        </w:tc>
      </w:tr>
      <w:tr w:rsidR="00EA4F91" w14:paraId="65F36B10"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C300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64DD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5252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10,543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3FCA5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695.1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1949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F294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8,510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00F6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561.1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2C486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E14FC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3,599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F963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237.3</w:t>
            </w:r>
          </w:p>
        </w:tc>
      </w:tr>
      <w:tr w:rsidR="00EA4F91" w14:paraId="59264D04"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F3AE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636D9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6FD9C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11,080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0269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835.0</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EB02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08815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6,842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6B0D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515.6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CBC1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DC72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3,607</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2CE3A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271.8</w:t>
            </w:r>
          </w:p>
        </w:tc>
      </w:tr>
      <w:tr w:rsidR="00EA4F91" w:rsidRPr="00737E06" w14:paraId="1527C966" w14:textId="77777777" w:rsidTr="00737E06">
        <w:trPr>
          <w:gridAfter w:val="1"/>
          <w:wAfter w:w="15" w:type="pct"/>
          <w:jc w:val="center"/>
        </w:trPr>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657A01"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737E06">
              <w:rPr>
                <w:rFonts w:eastAsia="Arial" w:cs="Arial"/>
                <w:bCs/>
                <w:color w:val="033636"/>
                <w:sz w:val="18"/>
                <w:szCs w:val="18"/>
              </w:rPr>
              <w:t>70+</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65341"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3,777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4A4C0"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69,032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1462D"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2,137.2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8DD987"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3,643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EFE30"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20,311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A51E0"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628.8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3E16E"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1,254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C17E6"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15,162</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D8B5A" w14:textId="77777777" w:rsidR="000F69E9" w:rsidRPr="00737E06"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737E06">
              <w:rPr>
                <w:rFonts w:eastAsia="Arial" w:cs="Arial"/>
                <w:bCs/>
                <w:color w:val="033636"/>
                <w:sz w:val="18"/>
                <w:szCs w:val="18"/>
              </w:rPr>
              <w:t>469.4</w:t>
            </w:r>
          </w:p>
        </w:tc>
      </w:tr>
      <w:tr w:rsidR="000F69E9" w14:paraId="05F5BAC1" w14:textId="77777777" w:rsidTr="00EA4F91">
        <w:trPr>
          <w:tblHeader/>
          <w:jc w:val="center"/>
        </w:trPr>
        <w:tc>
          <w:tcPr>
            <w:tcW w:w="5000" w:type="pct"/>
            <w:gridSpan w:val="21"/>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68EA6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EA4F91" w14:paraId="345DA7CD"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A343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1DB0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BB719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0222A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717.2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7FDE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D3E7A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3,075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B952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658.7</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54FE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667B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2,409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95D6C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516.1</w:t>
            </w:r>
          </w:p>
        </w:tc>
      </w:tr>
      <w:tr w:rsidR="00EA4F91" w14:paraId="666ED005"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B219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4679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4,944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6B52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85,615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0032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5467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17,668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DDBB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129,460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31C44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1,552.4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3D3B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1E4AA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59,396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3D35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712.2</w:t>
            </w:r>
          </w:p>
        </w:tc>
      </w:tr>
      <w:tr w:rsidR="00EA4F91" w14:paraId="52ED6447"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F4AD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74A6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E875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B15B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794.1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EC995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2AD3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CDDD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873.8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680E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9BFFE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5F10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503.4</w:t>
            </w:r>
          </w:p>
        </w:tc>
      </w:tr>
      <w:tr w:rsidR="00EA4F91" w14:paraId="3FDA58FD"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2CC87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1455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3,256</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9486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44,636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BAB0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817.6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DCFEF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10,586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D1D6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D99B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769.4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DC14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D113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29,812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CB5DC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546.1</w:t>
            </w:r>
          </w:p>
        </w:tc>
      </w:tr>
      <w:tr w:rsidR="00EA4F91" w14:paraId="75290BD0"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4C1B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97C1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9CDE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13,174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DBF69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8F23F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3AE4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11,981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16A8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647.0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F9DB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537BC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7,918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087D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427.6</w:t>
            </w:r>
          </w:p>
        </w:tc>
      </w:tr>
      <w:tr w:rsidR="00EA4F91" w14:paraId="02F1585D"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7254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EA7D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A4ED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F05C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DEA0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6F71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2E9C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399.5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2F53C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CF28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FD4B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278.1</w:t>
            </w:r>
          </w:p>
        </w:tc>
      </w:tr>
      <w:tr w:rsidR="00EA4F91" w14:paraId="3B277C85"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7AB5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6463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0246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32,281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91C31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473.9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5EEE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AA11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44,330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3617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650.7</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E4E1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1,296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7D0D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25,552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33F7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375.1</w:t>
            </w:r>
          </w:p>
        </w:tc>
      </w:tr>
      <w:tr w:rsidR="00EA4F91" w14:paraId="59034E04"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0D98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6CAE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2708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10,823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4EEC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376.0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09E19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1,708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F99B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7,924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5A09F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275.3</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CC01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2F6A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DCF72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144.6</w:t>
            </w:r>
          </w:p>
        </w:tc>
      </w:tr>
      <w:tr w:rsidR="00EA4F91" w14:paraId="2847C2B1" w14:textId="77777777" w:rsidTr="00737E06">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D4D30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0C31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11,180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9BD8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195,162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97C8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A0FC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41,212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BC72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243,266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F484E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913.2</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C5CC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8,762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1031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132,113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10C7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495.9</w:t>
            </w:r>
          </w:p>
        </w:tc>
      </w:tr>
    </w:tbl>
    <w:p w14:paraId="6404C023" w14:textId="77777777" w:rsidR="000F69E9" w:rsidRDefault="00DA3F8E">
      <w:pPr>
        <w:pStyle w:val="Smalltext"/>
      </w:pPr>
      <w:r>
        <w:t xml:space="preserve">* Rate per 100,000 population for the given </w:t>
      </w:r>
      <w:proofErr w:type="gramStart"/>
      <w:r>
        <w:t>time period</w:t>
      </w:r>
      <w:proofErr w:type="gramEnd"/>
      <w:r>
        <w:t xml:space="preserve">.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254BF5A1" w14:textId="77777777" w:rsidR="000F69E9" w:rsidRDefault="00DA3F8E">
      <w:r>
        <w:br w:type="page"/>
      </w:r>
    </w:p>
    <w:p w14:paraId="6E1ADF14" w14:textId="1F9D8D46" w:rsidR="000F69E9" w:rsidRDefault="004F0F91" w:rsidP="009A15CD">
      <w:pPr>
        <w:numPr>
          <w:ilvl w:val="0"/>
          <w:numId w:val="17"/>
        </w:numPr>
      </w:pPr>
      <w:r w:rsidRPr="006A4C11">
        <w:lastRenderedPageBreak/>
        <w:t>This year to date, COVID-19 notifications followed a decreasing trend from January through to mid-April before increasing to an apparent peak in early June 2024</w:t>
      </w:r>
      <w:r w:rsidR="00A61A25">
        <w:t>. COVID-19 notifications have continued to decrease since</w:t>
      </w:r>
      <w:r w:rsidR="00567CBF">
        <w:t xml:space="preserve"> </w:t>
      </w:r>
      <w:r w:rsidR="00DA3F8E">
        <w:t>(Figure 4).</w:t>
      </w:r>
      <w:r w:rsidR="00F85824">
        <w:t xml:space="preserve"> </w:t>
      </w:r>
    </w:p>
    <w:p w14:paraId="17ECE7F2" w14:textId="67444D64" w:rsidR="000F69E9" w:rsidRDefault="00DA3F8E" w:rsidP="009A15CD">
      <w:pPr>
        <w:numPr>
          <w:ilvl w:val="0"/>
          <w:numId w:val="17"/>
        </w:numPr>
      </w:pPr>
      <w:r>
        <w:t>Nationally, there were 11,180 COVID-19 notifications with a diagnosis date this fortnight (15 July to 28 July 2024), a decrease compared with 14,693 notifications in the previous fortnight (Figure 4).</w:t>
      </w:r>
    </w:p>
    <w:p w14:paraId="768AF51E" w14:textId="55460C5B" w:rsidR="000F69E9" w:rsidRDefault="00DA3F8E" w:rsidP="009A15CD">
      <w:pPr>
        <w:numPr>
          <w:ilvl w:val="0"/>
          <w:numId w:val="17"/>
        </w:numPr>
      </w:pPr>
      <w:r>
        <w:t xml:space="preserve">In the year to date, there have been 195,162 COVID-19 notifications reported to the NNDSS. This is </w:t>
      </w:r>
      <w:r w:rsidR="00E01A45">
        <w:t xml:space="preserve">approximately 15% </w:t>
      </w:r>
      <w:r>
        <w:t xml:space="preserve">lower than the number of laboratory-confirmed </w:t>
      </w:r>
      <w:r w:rsidR="00FC5C29">
        <w:t xml:space="preserve">COVID-19 </w:t>
      </w:r>
      <w:r>
        <w:t>notifications in the same period in 2023; however, this trend should be interpreted with caution due to a reduction in case ascertainment and reporting in all jurisdictions (Figure 4).</w:t>
      </w:r>
    </w:p>
    <w:p w14:paraId="4BEA87AB" w14:textId="0C0B706D" w:rsidR="000F69E9" w:rsidRDefault="00DA3F8E" w:rsidP="009A15CD">
      <w:pPr>
        <w:numPr>
          <w:ilvl w:val="0"/>
          <w:numId w:val="17"/>
        </w:numPr>
      </w:pPr>
      <w:r>
        <w:t>In the year to date, COVID-19 notification rates have been highest in people aged 70 years</w:t>
      </w:r>
      <w:r w:rsidR="006B1FDF">
        <w:t xml:space="preserve"> or over</w:t>
      </w:r>
      <w:r>
        <w:t xml:space="preserve">, followed by </w:t>
      </w:r>
      <w:r w:rsidR="006B1FDF">
        <w:t>children</w:t>
      </w:r>
      <w:r>
        <w:t xml:space="preserve"> aged 0–4 years (Table 1).</w:t>
      </w:r>
    </w:p>
    <w:p w14:paraId="7F638A0D" w14:textId="77777777" w:rsidR="000F69E9" w:rsidRDefault="00DA3F8E" w:rsidP="009A15CD">
      <w:pPr>
        <w:numPr>
          <w:ilvl w:val="1"/>
          <w:numId w:val="18"/>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28B41A3F" w14:textId="77777777" w:rsidR="000F69E9" w:rsidRDefault="000F69E9"/>
    <w:p w14:paraId="205FB0BD" w14:textId="77777777" w:rsidR="000F69E9" w:rsidRDefault="00DA3F8E">
      <w:pPr>
        <w:pStyle w:val="BodyText"/>
      </w:pPr>
      <w:r>
        <w:rPr>
          <w:b/>
          <w:bCs/>
        </w:rPr>
        <w:t>Figure 4: COVID-19 cases notified to the NNDSS showing (A) laboratory-confirmed and probable cases in all pandemic years 2020–2024 and (B) laboratory-confirmed cases in recent pandemic years 2023 and 2024 by year and week of diagnosis, Australia, 1 January 2020 to 28 July 2024</w:t>
      </w:r>
    </w:p>
    <w:p w14:paraId="120C11F0" w14:textId="77777777" w:rsidR="000F69E9" w:rsidRDefault="00DA3F8E">
      <w:pPr>
        <w:pStyle w:val="BodyText"/>
      </w:pPr>
      <w:r>
        <w:rPr>
          <w:noProof/>
        </w:rPr>
        <w:drawing>
          <wp:inline distT="0" distB="0" distL="0" distR="0" wp14:anchorId="1B2E4630" wp14:editId="5224E5D1">
            <wp:extent cx="6184900" cy="2086929"/>
            <wp:effectExtent l="0" t="0" r="0" b="0"/>
            <wp:docPr id="43" name="Picture" descr="A line graph showing all laboratory-confirmed and probable COVID-19 cases notified to the NNDSS in Australia, by year and week of diagnosis, from 1 January 2020 to 14 Jul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Picture" descr="A line graph showing all laboratory-confirmed and probable COVID-19 cases notified to the NNDSS in Australia, by year and week of diagnosis, from 1 January 2020 to 14 Jul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418DE67" w14:textId="77777777" w:rsidR="000F69E9" w:rsidRDefault="00DA3F8E">
      <w:pPr>
        <w:pStyle w:val="BodyText"/>
      </w:pPr>
      <w:r>
        <w:rPr>
          <w:noProof/>
        </w:rPr>
        <w:drawing>
          <wp:inline distT="0" distB="0" distL="0" distR="0" wp14:anchorId="233B8A8A" wp14:editId="575B97C5">
            <wp:extent cx="6184900" cy="2086929"/>
            <wp:effectExtent l="0" t="0" r="0" b="0"/>
            <wp:docPr id="46" name="Picture" descr="A second line graph showing laboratory-confirmed COVID-19 cases notified to the NNDSS in Australia, by selected years (the whole year of 2023, and 1 January to 14 July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2,000 cases per week in the week ending 2 June 2024, and have slowly declined since. In the current reporting fortnight, approximately 5,000 COVID-19 cases per week have been reported."/>
            <wp:cNvGraphicFramePr/>
            <a:graphic xmlns:a="http://schemas.openxmlformats.org/drawingml/2006/main">
              <a:graphicData uri="http://schemas.openxmlformats.org/drawingml/2006/picture">
                <pic:pic xmlns:pic="http://schemas.openxmlformats.org/drawingml/2006/picture">
                  <pic:nvPicPr>
                    <pic:cNvPr id="46" name="Picture" descr="A second line graph showing laboratory-confirmed COVID-19 cases notified to the NNDSS in Australia, by selected years (the whole year of 2023, and 1 January to 14 July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2,000 cases per week in the week ending 2 June 2024, and have slowly declined since. In the current reporting fortnight, approximately 5,000 COVID-19 cases per week have been reported."/>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9191ACA" w14:textId="1A23A74D" w:rsidR="000F69E9" w:rsidRDefault="00DF07A3" w:rsidP="009A15CD">
      <w:pPr>
        <w:numPr>
          <w:ilvl w:val="0"/>
          <w:numId w:val="19"/>
        </w:numPr>
      </w:pPr>
      <w:r w:rsidRPr="004B3E77">
        <w:lastRenderedPageBreak/>
        <w:t>This fortnight, COVID-19 notification rates have follow</w:t>
      </w:r>
      <w:r w:rsidR="00C156F7">
        <w:t>ed</w:t>
      </w:r>
      <w:r w:rsidRPr="004B3E77">
        <w:t xml:space="preserve"> a decreasing trend in all jurisdictions compared with the previous fortnight, except in Queensland where a</w:t>
      </w:r>
      <w:r w:rsidR="009A42AC">
        <w:t xml:space="preserve"> small</w:t>
      </w:r>
      <w:r w:rsidR="00B337EA" w:rsidRPr="004B3E77">
        <w:t xml:space="preserve"> uptick in</w:t>
      </w:r>
      <w:r w:rsidR="00B337EA">
        <w:t xml:space="preserve"> COVID-19 notification rates was observed in this fortnight</w:t>
      </w:r>
      <w:r w:rsidR="00DA3F8E">
        <w:t xml:space="preserve"> (Figure 5).</w:t>
      </w:r>
    </w:p>
    <w:p w14:paraId="53259D82" w14:textId="77777777" w:rsidR="000F69E9" w:rsidRDefault="00DA3F8E" w:rsidP="009A15CD">
      <w:pPr>
        <w:numPr>
          <w:ilvl w:val="0"/>
          <w:numId w:val="19"/>
        </w:numPr>
      </w:pPr>
      <w:r>
        <w:t>In the year to date, COVID-19 notification rates have been highest in New South Wales, followed by Queensland (Table 1).</w:t>
      </w:r>
    </w:p>
    <w:p w14:paraId="6518743E" w14:textId="77777777" w:rsidR="000F69E9" w:rsidRDefault="00DA3F8E">
      <w:r>
        <w:rPr>
          <w:b/>
          <w:bCs/>
        </w:rPr>
        <w:t>Figure 5: Notification rates per 100,000 population for COVID-19 cases notified to the NNDSS* by state or territory and week of diagnosis, Australia, 1 January to 28 July 2024</w:t>
      </w:r>
    </w:p>
    <w:p w14:paraId="76305D90" w14:textId="77777777" w:rsidR="000F69E9" w:rsidRDefault="00DA3F8E">
      <w:pPr>
        <w:pStyle w:val="BodyText"/>
      </w:pPr>
      <w:r>
        <w:rPr>
          <w:noProof/>
        </w:rPr>
        <w:drawing>
          <wp:inline distT="0" distB="0" distL="0" distR="0" wp14:anchorId="02E95FB4" wp14:editId="7F2628B4">
            <wp:extent cx="6184900" cy="2731980"/>
            <wp:effectExtent l="0" t="0" r="0" b="0"/>
            <wp:docPr id="49" name="Picture" descr="A line graph showing the notification rates per 100,000 population for COVID-19 cases notified to the NNDSS, by state or territory in Australia with diagnosis dates from 1 January to 28 July 2024. Following a decreasing trend since the beginning of 2024, COVID-19 notification rates per 100,000 population in most jurisdictions have rapidly increased since late April 2024. COVID-19 notification rates declined in all jurisdictions in the fortnight ending 14 July 2024. In the current reporting period, an increase in COVID-19 notification rates was observed in Queensland. All other jurisdictions observed a plateau or decrease in COVID-19 notification rates per 100,000 population. "/>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COVID-19 cases notified to the NNDSS, by state or territory in Australia with diagnosis dates from 1 January to 28 July 2024. Following a decreasing trend since the beginning of 2024, COVID-19 notification rates per 100,000 population in most jurisdictions have rapidly increased since late April 2024. COVID-19 notification rates declined in all jurisdictions in the fortnight ending 14 July 2024. In the current reporting period, an increase in COVID-19 notification rates was observed in Queensland. All other jurisdictions observed a plateau or decrease in COVID-19 notification rates per 100,000 population.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88264DC" w14:textId="77777777" w:rsidR="000F69E9" w:rsidRDefault="00DA3F8E">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7D641606" w14:textId="2FCB7726" w:rsidR="000F69E9" w:rsidRDefault="001249FA" w:rsidP="009A15CD">
      <w:pPr>
        <w:numPr>
          <w:ilvl w:val="0"/>
          <w:numId w:val="20"/>
        </w:numPr>
      </w:pPr>
      <w:r w:rsidRPr="00066134">
        <w:t xml:space="preserve">Nationally, influenza notifications </w:t>
      </w:r>
      <w:r w:rsidR="00C0054D">
        <w:t>rose</w:t>
      </w:r>
      <w:r w:rsidRPr="00066134">
        <w:t xml:space="preserve"> steeply </w:t>
      </w:r>
      <w:r w:rsidR="00C0054D">
        <w:t>from</w:t>
      </w:r>
      <w:r w:rsidR="00C0054D" w:rsidRPr="00066134">
        <w:t xml:space="preserve"> </w:t>
      </w:r>
      <w:r w:rsidRPr="00066134">
        <w:t>late April 2024 to an apparent peak in the week ending 7 July 2024.</w:t>
      </w:r>
      <w:r w:rsidR="00DC4865">
        <w:t xml:space="preserve"> Nationally, influenza notifications have decreased since early July</w:t>
      </w:r>
      <w:r w:rsidR="0045054B">
        <w:t xml:space="preserve"> 2024</w:t>
      </w:r>
      <w:r w:rsidR="00DC4865">
        <w:t>, stabilising in the last week of this fortnight.</w:t>
      </w:r>
      <w:r w:rsidRPr="00066134">
        <w:t xml:space="preserve"> However, this trend has not been consistent across jurisdictions, and it is too early to determine a peak in the 2024 influenza season </w:t>
      </w:r>
      <w:r w:rsidR="00DA3F8E">
        <w:t>(Figure 6).</w:t>
      </w:r>
    </w:p>
    <w:p w14:paraId="03ADD6AD" w14:textId="6BEB8ACB" w:rsidR="000F69E9" w:rsidRDefault="00DA3F8E" w:rsidP="009A15CD">
      <w:pPr>
        <w:numPr>
          <w:ilvl w:val="0"/>
          <w:numId w:val="20"/>
        </w:numPr>
      </w:pPr>
      <w:r>
        <w:t>Nationally, there were 41,212 influenza notifications with a diagnosis date this fortnight, a decrease compared with 53,001 notifications in the previous fortnight (Figure 6).</w:t>
      </w:r>
    </w:p>
    <w:p w14:paraId="3F114CF1" w14:textId="5320B655" w:rsidR="000F69E9" w:rsidRDefault="00DA3F8E" w:rsidP="009A15CD">
      <w:pPr>
        <w:numPr>
          <w:ilvl w:val="0"/>
          <w:numId w:val="20"/>
        </w:numPr>
      </w:pPr>
      <w:r>
        <w:t>In the year to date, there have been 243,266 influenza notifications reported to the NNDSS, which is higher than the number of notifications in the same period in all other years and</w:t>
      </w:r>
      <w:r w:rsidR="009E49B0">
        <w:t xml:space="preserve"> </w:t>
      </w:r>
      <w:r>
        <w:t>the five-year mean (Figure 6).</w:t>
      </w:r>
    </w:p>
    <w:p w14:paraId="15C185D5" w14:textId="77777777" w:rsidR="000F69E9" w:rsidRDefault="00DA3F8E" w:rsidP="009A15CD">
      <w:pPr>
        <w:numPr>
          <w:ilvl w:val="1"/>
          <w:numId w:val="21"/>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3C37EC69" w14:textId="7C0AB635" w:rsidR="000F69E9" w:rsidRDefault="00DA3F8E" w:rsidP="009A15CD">
      <w:pPr>
        <w:numPr>
          <w:ilvl w:val="0"/>
          <w:numId w:val="20"/>
        </w:numPr>
      </w:pPr>
      <w:r>
        <w:t xml:space="preserve">In the year to date, influenza notification rates have been highest in </w:t>
      </w:r>
      <w:r w:rsidR="00A8147B">
        <w:t>children</w:t>
      </w:r>
      <w:r>
        <w:t xml:space="preserve"> aged 5–9 years, followed closely by </w:t>
      </w:r>
      <w:r w:rsidR="00A8147B">
        <w:t>children</w:t>
      </w:r>
      <w:r>
        <w:t xml:space="preserve"> aged 0–4 years (Table 1).</w:t>
      </w:r>
    </w:p>
    <w:p w14:paraId="48753C2E" w14:textId="77777777" w:rsidR="000F69E9" w:rsidRDefault="00DA3F8E">
      <w:r>
        <w:br w:type="page"/>
      </w:r>
    </w:p>
    <w:p w14:paraId="549287DA" w14:textId="77777777" w:rsidR="000F69E9" w:rsidRDefault="00DA3F8E">
      <w:r>
        <w:rPr>
          <w:b/>
          <w:bCs/>
        </w:rPr>
        <w:lastRenderedPageBreak/>
        <w:t>Figure 6: Influenza cases notified to the NNDSS and five-year mean* by year and week of diagnosis, Australia, 2017 to 28 July 2024</w:t>
      </w:r>
    </w:p>
    <w:p w14:paraId="1472998E" w14:textId="77777777" w:rsidR="000F69E9" w:rsidRDefault="00DA3F8E">
      <w:pPr>
        <w:pStyle w:val="BodyText"/>
      </w:pPr>
      <w:r>
        <w:rPr>
          <w:noProof/>
        </w:rPr>
        <w:drawing>
          <wp:inline distT="0" distB="0" distL="0" distR="0" wp14:anchorId="53C88EF0" wp14:editId="43A356C5">
            <wp:extent cx="6184900" cy="2731980"/>
            <wp:effectExtent l="0" t="0" r="0" b="0"/>
            <wp:docPr id="52" name="Picture" descr="A line graph showing influenza cases notified to the NNDSS in Australia, by year and week of diagnosis, from 1 January 2017 to 28 Jul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0,500 per week in the week ending 28 July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52" name="Picture" descr="A line graph showing influenza cases notified to the NNDSS in Australia, by year and week of diagnosis, from 1 January 2017 to 28 Jul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0,500 per week in the week ending 28 July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B798A85" w14:textId="77777777" w:rsidR="000F69E9" w:rsidRDefault="00DA3F8E">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50C3D10E" w14:textId="5C409B9B" w:rsidR="000F69E9" w:rsidRPr="0004470C" w:rsidRDefault="00E22244" w:rsidP="009A15CD">
      <w:pPr>
        <w:numPr>
          <w:ilvl w:val="0"/>
          <w:numId w:val="22"/>
        </w:numPr>
      </w:pPr>
      <w:r w:rsidRPr="0004470C">
        <w:t xml:space="preserve">This fortnight, influenza notifications </w:t>
      </w:r>
      <w:r w:rsidR="00D95038" w:rsidRPr="0004470C">
        <w:t>decreased</w:t>
      </w:r>
      <w:r w:rsidRPr="0004470C">
        <w:t xml:space="preserve"> or remained stable across </w:t>
      </w:r>
      <w:r w:rsidR="00D95038" w:rsidRPr="0004470C">
        <w:t>most</w:t>
      </w:r>
      <w:r w:rsidRPr="0004470C">
        <w:t xml:space="preserve"> jurisdictions, except </w:t>
      </w:r>
      <w:r w:rsidR="00D95038" w:rsidRPr="0004470C">
        <w:t>the Northern Territory, Queensland and Western Australia</w:t>
      </w:r>
      <w:r w:rsidRPr="0004470C">
        <w:t xml:space="preserve">, where </w:t>
      </w:r>
      <w:r w:rsidR="00D95038" w:rsidRPr="0004470C">
        <w:t xml:space="preserve">increases </w:t>
      </w:r>
      <w:r w:rsidRPr="0004470C">
        <w:t>compared with the previous fortnight w</w:t>
      </w:r>
      <w:r w:rsidR="00D95038" w:rsidRPr="0004470C">
        <w:t>ere</w:t>
      </w:r>
      <w:r w:rsidRPr="0004470C">
        <w:t xml:space="preserve"> observed (Figure 7). This fortnight, notification rates in</w:t>
      </w:r>
      <w:r w:rsidR="00B22CD9" w:rsidRPr="0004470C">
        <w:t xml:space="preserve"> Queensland exceeded those in</w:t>
      </w:r>
      <w:r w:rsidRPr="0004470C">
        <w:t xml:space="preserve"> New South Wales </w:t>
      </w:r>
      <w:r w:rsidR="00B22CD9" w:rsidRPr="0004470C">
        <w:t xml:space="preserve">where influenza notification rates have been </w:t>
      </w:r>
      <w:r w:rsidRPr="0004470C">
        <w:t xml:space="preserve">considerably higher than notification rates </w:t>
      </w:r>
      <w:r w:rsidR="00076655">
        <w:t xml:space="preserve">in </w:t>
      </w:r>
      <w:r w:rsidRPr="0004470C">
        <w:t>all other jurisdictions</w:t>
      </w:r>
      <w:r w:rsidR="00B22CD9" w:rsidRPr="0004470C">
        <w:t xml:space="preserve"> since</w:t>
      </w:r>
      <w:r w:rsidR="0004470C" w:rsidRPr="0004470C">
        <w:t xml:space="preserve"> early June 2024</w:t>
      </w:r>
      <w:r w:rsidR="00DA3F8E" w:rsidRPr="0004470C">
        <w:t xml:space="preserve"> (Figure 7).</w:t>
      </w:r>
    </w:p>
    <w:p w14:paraId="0337DD88" w14:textId="77777777" w:rsidR="000F69E9" w:rsidRDefault="00DA3F8E" w:rsidP="009A15CD">
      <w:pPr>
        <w:numPr>
          <w:ilvl w:val="0"/>
          <w:numId w:val="22"/>
        </w:numPr>
      </w:pPr>
      <w:r>
        <w:t>In the year to date, influenza notification rates have been highest in New South Wales, followed by the Northern Territory (Table 1).</w:t>
      </w:r>
    </w:p>
    <w:p w14:paraId="113A5CE9" w14:textId="77777777" w:rsidR="000F69E9" w:rsidRDefault="000F69E9"/>
    <w:p w14:paraId="070B1A76" w14:textId="77777777" w:rsidR="000F69E9" w:rsidRDefault="00DA3F8E">
      <w:pPr>
        <w:pStyle w:val="BodyText"/>
      </w:pPr>
      <w:r>
        <w:rPr>
          <w:b/>
          <w:bCs/>
        </w:rPr>
        <w:t>Figure 7: Notification rates per 100,000 population for influenza cases notified to the NNDSS* by state or territory and week of diagnosis, Australia, 1 January to 28 July 2024</w:t>
      </w:r>
    </w:p>
    <w:p w14:paraId="5002D3BE" w14:textId="77777777" w:rsidR="000F69E9" w:rsidRDefault="00DA3F8E">
      <w:pPr>
        <w:pStyle w:val="BodyText"/>
      </w:pPr>
      <w:r>
        <w:rPr>
          <w:noProof/>
        </w:rPr>
        <w:drawing>
          <wp:inline distT="0" distB="0" distL="0" distR="0" wp14:anchorId="09FCFC9A" wp14:editId="282C6F7E">
            <wp:extent cx="6184900" cy="2700000"/>
            <wp:effectExtent l="0" t="0" r="6350" b="5715"/>
            <wp:docPr id="55" name="Picture" descr="A line graph showing the notification rates per 100,000 population for influenza cases notified to the NNDSS, by state or territory in Australia, with diagnosis dates from 1 January to 28 July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100 notifications per 100,000 population in the reporting period. Influenza notification rates steadily increased from late April in most other jurisdictions but have remained relatively stable in Western Australia until recent weeks. In the week ending 28 July 2024, the highest influenza notification rate was observed in Queensland at approximately 120 notifications per 100,000 population; the lowest influenza notification rate was observed in Northern Territory at approximately 10 notifications per 100,000 popula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influenza cases notified to the NNDSS, by state or territory in Australia, with diagnosis dates from 1 January to 28 July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100 notifications per 100,000 population in the reporting period. Influenza notification rates steadily increased from late April in most other jurisdictions but have remained relatively stable in Western Australia until recent weeks. In the week ending 28 July 2024, the highest influenza notification rate was observed in Queensland at approximately 120 notifications per 100,000 population; the lowest influenza notification rate was observed in Northern Territory at approximately 10 notifications per 100,000 population."/>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00000"/>
                    </a:xfrm>
                    <a:prstGeom prst="rect">
                      <a:avLst/>
                    </a:prstGeom>
                    <a:noFill/>
                    <a:ln w="9525">
                      <a:noFill/>
                      <a:headEnd/>
                      <a:tailEnd/>
                    </a:ln>
                  </pic:spPr>
                </pic:pic>
              </a:graphicData>
            </a:graphic>
          </wp:inline>
        </w:drawing>
      </w:r>
    </w:p>
    <w:p w14:paraId="178206AE" w14:textId="77777777" w:rsidR="000F69E9" w:rsidRDefault="00DA3F8E">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7246EED7" w14:textId="2E0599C1" w:rsidR="000F69E9" w:rsidRDefault="000103E7" w:rsidP="009A15CD">
      <w:pPr>
        <w:numPr>
          <w:ilvl w:val="0"/>
          <w:numId w:val="23"/>
        </w:numPr>
      </w:pPr>
      <w:r w:rsidRPr="000103E7">
        <w:lastRenderedPageBreak/>
        <w:t xml:space="preserve">This year to date, RSV notifications followed an increasing trend from January through to an apparent peak in late May 2024 and have followed a decreasing trend since </w:t>
      </w:r>
      <w:r w:rsidR="00DA3F8E">
        <w:t>(Figure 8).</w:t>
      </w:r>
    </w:p>
    <w:p w14:paraId="26459FB3" w14:textId="0DE093C0" w:rsidR="000F69E9" w:rsidRDefault="00DA3F8E" w:rsidP="009A15CD">
      <w:pPr>
        <w:numPr>
          <w:ilvl w:val="0"/>
          <w:numId w:val="23"/>
        </w:numPr>
      </w:pPr>
      <w:r>
        <w:t>Nationally, there were 8,762 RSV notifications with a diagnosis date this fortnight, a decrease compared with 10,820 notifications in the previous fortnight (Figure 8).</w:t>
      </w:r>
    </w:p>
    <w:p w14:paraId="580C5797" w14:textId="2F417F1B" w:rsidR="000F69E9" w:rsidRDefault="00DA3F8E" w:rsidP="009A15CD">
      <w:pPr>
        <w:numPr>
          <w:ilvl w:val="0"/>
          <w:numId w:val="23"/>
        </w:numPr>
      </w:pPr>
      <w:r>
        <w:t xml:space="preserve">In the year to date, there have been 132,113 RSV notifications reported to the NNDSS, which is almost </w:t>
      </w:r>
      <w:r w:rsidR="003337D6">
        <w:t>1.5</w:t>
      </w:r>
      <w:r w:rsidR="006C12AA">
        <w:t xml:space="preserve"> times</w:t>
      </w:r>
      <w:r>
        <w:t xml:space="preserve"> the number of RSV notifications in the same period in 2023 (Figure 8).</w:t>
      </w:r>
    </w:p>
    <w:p w14:paraId="6C891338" w14:textId="77777777" w:rsidR="000F69E9" w:rsidRDefault="00DA3F8E" w:rsidP="009A15CD">
      <w:pPr>
        <w:numPr>
          <w:ilvl w:val="1"/>
          <w:numId w:val="24"/>
        </w:numPr>
      </w:pPr>
      <w:r>
        <w:t>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61B3439A" w14:textId="4345B5EC" w:rsidR="000F69E9" w:rsidRDefault="00DA3F8E" w:rsidP="009A15CD">
      <w:pPr>
        <w:numPr>
          <w:ilvl w:val="0"/>
          <w:numId w:val="23"/>
        </w:numPr>
      </w:pPr>
      <w:r>
        <w:t xml:space="preserve">In the year to date, RSV notification rates have been highest in </w:t>
      </w:r>
      <w:r w:rsidR="00623C46">
        <w:t>children</w:t>
      </w:r>
      <w:r>
        <w:t xml:space="preserve"> aged 0–4 years, followed by </w:t>
      </w:r>
      <w:r w:rsidR="00623C46">
        <w:t>children</w:t>
      </w:r>
      <w:r>
        <w:t xml:space="preserve"> aged 5–9 years (Table 1).</w:t>
      </w:r>
    </w:p>
    <w:p w14:paraId="35355951" w14:textId="77777777" w:rsidR="000F69E9" w:rsidRDefault="000F69E9"/>
    <w:p w14:paraId="5AB04141" w14:textId="77777777" w:rsidR="000F69E9" w:rsidRDefault="00DA3F8E">
      <w:pPr>
        <w:pStyle w:val="BodyText"/>
      </w:pPr>
      <w:r>
        <w:rPr>
          <w:b/>
          <w:bCs/>
        </w:rPr>
        <w:t>Figure 8: RSV cases notified to the NNDSS by year and week of diagnosis*, Australia, 2023 to 28 July 2024</w:t>
      </w:r>
    </w:p>
    <w:p w14:paraId="36C449BC" w14:textId="77777777" w:rsidR="000F69E9" w:rsidRDefault="00DA3F8E">
      <w:pPr>
        <w:pStyle w:val="BodyText"/>
      </w:pPr>
      <w:r>
        <w:rPr>
          <w:noProof/>
        </w:rPr>
        <w:drawing>
          <wp:inline distT="0" distB="0" distL="0" distR="0" wp14:anchorId="67E9CCB0" wp14:editId="02159C1B">
            <wp:extent cx="6184900" cy="2731980"/>
            <wp:effectExtent l="0" t="0" r="0" b="0"/>
            <wp:docPr id="58" name="Picture" descr="A line graph showing RSV cases notified to the NNDSS by year and week of diagnosis in Australia, from 1 January 2023 to 28 July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4,8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Picture" descr="A line graph showing RSV cases notified to the NNDSS by year and week of diagnosis in Australia, from 1 January 2023 to 28 July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4,8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34D7316" w14:textId="1D554034" w:rsidR="000F69E9" w:rsidRDefault="005D75EF" w:rsidP="009A15CD">
      <w:pPr>
        <w:numPr>
          <w:ilvl w:val="0"/>
          <w:numId w:val="25"/>
        </w:numPr>
      </w:pPr>
      <w:r w:rsidRPr="005D75EF">
        <w:t xml:space="preserve">This fortnight, RSV notification rates decreased or remained </w:t>
      </w:r>
      <w:r w:rsidR="004D62D6">
        <w:t xml:space="preserve">relatively </w:t>
      </w:r>
      <w:r w:rsidRPr="005D75EF">
        <w:t xml:space="preserve">stable in </w:t>
      </w:r>
      <w:r w:rsidR="004D62D6">
        <w:t>all</w:t>
      </w:r>
      <w:r w:rsidRPr="005D75EF">
        <w:t xml:space="preserve"> jurisdictions compared with the previous fortnight </w:t>
      </w:r>
      <w:r w:rsidR="00DA3F8E">
        <w:t>(Figure 9).</w:t>
      </w:r>
      <w:r w:rsidR="0054117F">
        <w:t xml:space="preserve"> This fortnight, RSV notification rates were </w:t>
      </w:r>
      <w:r w:rsidR="00782262">
        <w:t xml:space="preserve">considerably higher in South Australia compared with RSV notification rates in </w:t>
      </w:r>
      <w:r w:rsidR="00CC393F">
        <w:t>all other jurisdictions (Figure 9).</w:t>
      </w:r>
    </w:p>
    <w:p w14:paraId="6D44D8E6" w14:textId="77777777" w:rsidR="000F69E9" w:rsidRDefault="00DA3F8E" w:rsidP="009A15CD">
      <w:pPr>
        <w:numPr>
          <w:ilvl w:val="0"/>
          <w:numId w:val="25"/>
        </w:numPr>
      </w:pPr>
      <w:r>
        <w:t>In the year to date, RSV notification rates have been highest in New South Wales, followed by Queensland (Table 1).</w:t>
      </w:r>
    </w:p>
    <w:p w14:paraId="0541DB75" w14:textId="77777777" w:rsidR="000F69E9" w:rsidRDefault="00DA3F8E">
      <w:r>
        <w:br w:type="page"/>
      </w:r>
    </w:p>
    <w:p w14:paraId="4A8CBA32" w14:textId="77777777" w:rsidR="000F69E9" w:rsidRDefault="00DA3F8E">
      <w:r>
        <w:rPr>
          <w:b/>
          <w:bCs/>
        </w:rPr>
        <w:lastRenderedPageBreak/>
        <w:t>Figure 9: Notification rates per 100,000 population for RSV cases notified to the NNDSS* by state or territory and week of diagnosis, Australia, 1 January to 28 July 2024</w:t>
      </w:r>
    </w:p>
    <w:p w14:paraId="13CFEDD4" w14:textId="77777777" w:rsidR="000F69E9" w:rsidRDefault="00DA3F8E">
      <w:pPr>
        <w:pStyle w:val="BodyText"/>
      </w:pPr>
      <w:r>
        <w:rPr>
          <w:noProof/>
        </w:rPr>
        <w:drawing>
          <wp:inline distT="0" distB="0" distL="0" distR="0" wp14:anchorId="3696A535" wp14:editId="7EB82BFA">
            <wp:extent cx="6184900" cy="2731980"/>
            <wp:effectExtent l="0" t="0" r="0" b="0"/>
            <wp:docPr id="61" name="Picture" descr="A line graph showing the notification rates per 100,000 population for RSV cases notified to the NNDSS, by state or territory in Australia, with diagnosis dates from 1 January to 28 July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have increased considerably to an apparent peak in the week ending 21 July 2024 at approximately 50 RSV notifications per 100,000 population per week. In the current reporting period, RSV notification rate per 100,000 population declined in all jurisdictions except in Western Australia. In the week ending 28 July 2024, the highest RSV notification rate was observed in South Australia at approximately 45 notifications per 100,000 population; the lowest influenza notification rate was observed in Northern Territory and Victoria at approximately 10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61" name="Picture" descr="A line graph showing the notification rates per 100,000 population for RSV cases notified to the NNDSS, by state or territory in Australia, with diagnosis dates from 1 January to 28 July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have increased considerably to an apparent peak in the week ending 21 July 2024 at approximately 50 RSV notifications per 100,000 population per week. In the current reporting period, RSV notification rate per 100,000 population declined in all jurisdictions except in Western Australia. In the week ending 28 July 2024, the highest RSV notification rate was observed in South Australia at approximately 45 notifications per 100,000 population; the lowest influenza notification rate was observed in Northern Territory and Victoria at approximately 10 notifications per 100,000 population in each jurisdiction."/>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AE39371" w14:textId="77777777" w:rsidR="000F69E9" w:rsidRDefault="00DA3F8E">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779C1D14" w14:textId="77777777" w:rsidR="000F69E9" w:rsidRDefault="00DA3F8E">
      <w:pPr>
        <w:pStyle w:val="BodyText"/>
      </w:pPr>
      <w:r>
        <w:t>For further information regarding respiratory virus activity at the jurisdictional level, please refer to the state and territory health respiratory surveillance reports.</w:t>
      </w:r>
    </w:p>
    <w:p w14:paraId="3B148FF6" w14:textId="77777777" w:rsidR="000F69E9" w:rsidRDefault="00DA3F8E">
      <w:r>
        <w:br w:type="page"/>
      </w:r>
    </w:p>
    <w:p w14:paraId="1EE3A869" w14:textId="77777777" w:rsidR="000F69E9" w:rsidRDefault="00DA3F8E">
      <w:pPr>
        <w:pStyle w:val="Heading2"/>
      </w:pPr>
      <w:bookmarkStart w:id="12" w:name="severity"/>
      <w:bookmarkEnd w:id="3"/>
      <w:bookmarkEnd w:id="10"/>
      <w:bookmarkEnd w:id="11"/>
      <w:r>
        <w:lastRenderedPageBreak/>
        <w:t>2. Severity*</w:t>
      </w:r>
    </w:p>
    <w:p w14:paraId="1EC08808" w14:textId="77777777" w:rsidR="000F69E9" w:rsidRDefault="00DA3F8E">
      <w:pPr>
        <w:pStyle w:val="Boxheading"/>
      </w:pPr>
      <w:r w:rsidRPr="47A3418A">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5B2F641C" w14:textId="77777777" w:rsidR="000F69E9" w:rsidRDefault="00DA3F8E">
      <w:pPr>
        <w:pStyle w:val="Heading3"/>
      </w:pPr>
      <w:bookmarkStart w:id="13" w:name="hospital-based-surveillance"/>
      <w:r>
        <w:t>2.1 Hospital-based surveillance</w:t>
      </w:r>
    </w:p>
    <w:p w14:paraId="442071C5" w14:textId="77777777" w:rsidR="000F69E9" w:rsidRDefault="00DA3F8E">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BB9661D" w14:textId="77777777" w:rsidR="000F69E9" w:rsidRDefault="00DA3F8E">
      <w:pPr>
        <w:pStyle w:val="Heading4"/>
      </w:pPr>
      <w:bookmarkStart w:id="14" w:name="Xd45a069d4d32576e6a2f39111d1451a633a425e"/>
      <w:r>
        <w:t>Influenza Complications Alert Network (FluCAN)</w:t>
      </w:r>
    </w:p>
    <w:p w14:paraId="028F2E52" w14:textId="77777777" w:rsidR="000F69E9" w:rsidRDefault="00DA3F8E">
      <w:r>
        <w:t>In FluCAN sentinel hospitals RSV surveillance commenced on 1 April 2024; however, due to unforeseen issues RSV data are not yet available. These data will be included in future iterations of the Australian Respiratory Surveillance Report.</w:t>
      </w:r>
    </w:p>
    <w:p w14:paraId="49F0B3B7" w14:textId="77777777" w:rsidR="000F69E9" w:rsidRDefault="00DA3F8E" w:rsidP="009A15CD">
      <w:pPr>
        <w:numPr>
          <w:ilvl w:val="0"/>
          <w:numId w:val="26"/>
        </w:numPr>
      </w:pPr>
      <w:r>
        <w:t>In this fortnight for FluCAN severity reporting (1 July to 14 July 2024), there were 646 patients admitted with a severe acute respiratory infection (SARI) to FluCAN sentinel hospitals, of whom 7.1% (46/646) were admitted directly to intensive care (Figure 10).</w:t>
      </w:r>
    </w:p>
    <w:p w14:paraId="322B489A" w14:textId="77777777" w:rsidR="000F69E9" w:rsidRDefault="00DA3F8E" w:rsidP="009A15CD">
      <w:pPr>
        <w:numPr>
          <w:ilvl w:val="0"/>
          <w:numId w:val="26"/>
        </w:numPr>
      </w:pPr>
      <w:r>
        <w:t>In the year to date for FluCAN severity reporting (1 January to 14 July 2024), there have been 5,163 patients admitted with a SARI to FluCAN sentinel hospitals, of which 6.5% (338/5,163) have been admitted directly to intensive care (Figure 10).</w:t>
      </w:r>
    </w:p>
    <w:p w14:paraId="418D139D" w14:textId="34D5D194" w:rsidR="000F69E9" w:rsidRDefault="00DA3F8E" w:rsidP="009A15CD">
      <w:pPr>
        <w:numPr>
          <w:ilvl w:val="0"/>
          <w:numId w:val="26"/>
        </w:numPr>
      </w:pPr>
      <w:r>
        <w:t>In the year to date for FluCAN severity reporting, there have been 3,165 patients admitted with COVID-19 to FluCAN sentinel hospitals, of whom 6.7% (212/3,165) were admitted directly to intensive care (Figure 10). This excludes 10 patients with COVID-19 admitted to FluCAN sentinel hospitals with a missing admission location. The number of patients admitted with COVID-19 to FluCAN sentinel hospitals each week reached an apparent peak in the week ending 19 May 2024, and a</w:t>
      </w:r>
      <w:r w:rsidR="00F35671">
        <w:t>n overall</w:t>
      </w:r>
      <w:r>
        <w:t xml:space="preserve"> decreasing trend in the number of patients admitted with COVID-19 each week has been observed since the apparent peak (Figure 10).</w:t>
      </w:r>
    </w:p>
    <w:p w14:paraId="5C363571" w14:textId="77777777" w:rsidR="000F69E9" w:rsidRDefault="00DA3F8E" w:rsidP="009A15CD">
      <w:pPr>
        <w:numPr>
          <w:ilvl w:val="1"/>
          <w:numId w:val="27"/>
        </w:numPr>
      </w:pPr>
      <w:r>
        <w:t>For patients admitted with COVID-19 to FluCAN sentinel hospitals, the median length of stay in hospital was 3 days (interquartile range [IQR]: 2–6 days).</w:t>
      </w:r>
    </w:p>
    <w:p w14:paraId="26AD0DDD" w14:textId="77777777" w:rsidR="000F69E9" w:rsidRDefault="00DA3F8E" w:rsidP="009A15CD">
      <w:pPr>
        <w:numPr>
          <w:ilvl w:val="1"/>
          <w:numId w:val="27"/>
        </w:numPr>
      </w:pPr>
      <w:r>
        <w:t>Note, all length of stay calculations exclude patients that acquired their infection in hospital. Please see the Technical Supplement for further detail.</w:t>
      </w:r>
    </w:p>
    <w:p w14:paraId="57F99AA5" w14:textId="6CF9AAFB" w:rsidR="000F69E9" w:rsidRDefault="00DA3F8E" w:rsidP="009A15CD">
      <w:pPr>
        <w:numPr>
          <w:ilvl w:val="0"/>
          <w:numId w:val="26"/>
        </w:numPr>
      </w:pPr>
      <w:r>
        <w:t>Since influenza surveillance commenced on 1 April 2024 to date for FluCAN severity reporting, there have been 1,998 patients admitted with influenza to FluCAN sentinel hospitals, of whom 6.3% (126/1,998) were admitted directly to intensive care (Figure 10). The number of patients admitted with influenza to FluCAN sentinel hospitals each week has followed an increasing trend since influenza surveillance commenced, noting that data in the most recent week may be incomplete (Figure 10).</w:t>
      </w:r>
    </w:p>
    <w:p w14:paraId="1DAE9119" w14:textId="77777777" w:rsidR="000F69E9" w:rsidRDefault="00DA3F8E" w:rsidP="009A15CD">
      <w:pPr>
        <w:numPr>
          <w:ilvl w:val="1"/>
          <w:numId w:val="28"/>
        </w:numPr>
      </w:pPr>
      <w:r>
        <w:t>For patients admitted with influenza to FluCAN sentinel hospitals, the median length of stay in hospital was 2 days (IQR: 1–4 days).</w:t>
      </w:r>
    </w:p>
    <w:p w14:paraId="4060B465" w14:textId="77777777" w:rsidR="000F69E9" w:rsidRDefault="00DA3F8E">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58F5671F" w14:textId="77777777" w:rsidR="000F69E9" w:rsidRDefault="00DA3F8E">
      <w:pPr>
        <w:pStyle w:val="BodyText"/>
      </w:pPr>
      <w:r>
        <w:rPr>
          <w:b/>
          <w:bCs/>
        </w:rPr>
        <w:lastRenderedPageBreak/>
        <w:t>Figure 10: Number of patients admitted with a severe acute respiratory infection to FluCAN sentinel hospitals by disease, admission location and week of admission*</w:t>
      </w:r>
      <w:r>
        <w:rPr>
          <w:b/>
          <w:bCs/>
          <w:vertAlign w:val="superscript"/>
        </w:rPr>
        <w:t>†‡</w:t>
      </w:r>
      <w:r>
        <w:rPr>
          <w:b/>
          <w:bCs/>
        </w:rPr>
        <w:t>, Australia, 1 January to 14 July 2024</w:t>
      </w:r>
    </w:p>
    <w:p w14:paraId="598207B2" w14:textId="77777777" w:rsidR="000F69E9" w:rsidRDefault="00DA3F8E">
      <w:pPr>
        <w:pStyle w:val="BodyText"/>
      </w:pPr>
      <w:r>
        <w:rPr>
          <w:noProof/>
        </w:rPr>
        <w:drawing>
          <wp:inline distT="0" distB="0" distL="0" distR="0" wp14:anchorId="3703D474" wp14:editId="18DA4A20">
            <wp:extent cx="6184900" cy="4097970"/>
            <wp:effectExtent l="0" t="0" r="0" b="0"/>
            <wp:docPr id="67"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4 July 2024. The y-axis is different for each disease relative to the number of admissions. In 2024 to date for FluCAN severity reporting, the number of patients admitted with confirmed COVID-19 to FluCAN sentinel hospitals peaked in week ending 19 May 2024 at approximately 18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 July to 14 July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50 patients. The number of influenza patients admitted directly to FluCAN sentinel intensive cares have remained low in the current 14-day severity reporting period, not exceeding ten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7"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4 July 2024. The y-axis is different for each disease relative to the number of admissions. In 2024 to date for FluCAN severity reporting, the number of patients admitted with confirmed COVID-19 to FluCAN sentinel hospitals peaked in week ending 19 May 2024 at approximately 18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1 July to 14 July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50 patients. The number of influenza patients admitted directly to FluCAN sentinel intensive cares have remained low in the current 14-day severity reporting period, not exceeding ten admissions directly to intensive care per week."/>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6C6E2608" w14:textId="0331C93D" w:rsidR="000F69E9" w:rsidRDefault="00DA3F8E">
      <w:pPr>
        <w:pStyle w:val="Smalltext"/>
      </w:pPr>
      <w:r>
        <w:t>* Axis varies between disease groups.</w:t>
      </w:r>
      <w:r>
        <w:br/>
        <w:t>† Excludes 10 patients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w:t>
      </w:r>
      <w:r>
        <w:br/>
      </w:r>
    </w:p>
    <w:p w14:paraId="58B5F019" w14:textId="162FEB69" w:rsidR="000F69E9" w:rsidRDefault="00DA3F8E">
      <w:pPr>
        <w:pStyle w:val="Heading4"/>
      </w:pPr>
      <w:bookmarkStart w:id="15" w:name="Xeac5668dd8fd754ec66a11b9dd28f4ccb451c4d"/>
      <w:bookmarkEnd w:id="14"/>
      <w:r>
        <w:t xml:space="preserve">Short Period Incidence Study of Severe Acute Respiratory Infection (SPRINT-SARI) Australia </w:t>
      </w:r>
    </w:p>
    <w:p w14:paraId="56C8DE33" w14:textId="77777777" w:rsidR="000F69E9" w:rsidRDefault="00DA3F8E">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730132AD" w14:textId="77777777" w:rsidR="000F69E9" w:rsidRDefault="00DA3F8E" w:rsidP="009A15CD">
      <w:pPr>
        <w:numPr>
          <w:ilvl w:val="0"/>
          <w:numId w:val="29"/>
        </w:numPr>
      </w:pPr>
      <w:r>
        <w:t>In the most recent 28-day period for SPRINT-SARI severity reporting (17 June to 14 July 2024), there were 226 patients admitted with a SARI to a SPRINT-SARI sentinel intensive care. Patients with influenza accounted for the highest proportion of patients admitted with a SARI to a SPRINT-SARI sentinel intensive care during this time (Figure 11).</w:t>
      </w:r>
    </w:p>
    <w:p w14:paraId="1002031F" w14:textId="77777777" w:rsidR="000F69E9" w:rsidRDefault="00DA3F8E" w:rsidP="009A15CD">
      <w:pPr>
        <w:numPr>
          <w:ilvl w:val="0"/>
          <w:numId w:val="29"/>
        </w:numPr>
      </w:pPr>
      <w:r>
        <w:t>In the year to date for SPRINT-SARI severity reporting (1 January to 14 July 2024), there have been 1,421 patients admitted with a SARI to a SPRINT-SARI sentinel intensive care (Figure 11). This includes:</w:t>
      </w:r>
    </w:p>
    <w:p w14:paraId="383E81DF" w14:textId="77777777" w:rsidR="000F69E9" w:rsidRDefault="00DA3F8E" w:rsidP="009A15CD">
      <w:pPr>
        <w:numPr>
          <w:ilvl w:val="1"/>
          <w:numId w:val="30"/>
        </w:numPr>
      </w:pPr>
      <w:r>
        <w:t>49.9% (709/1,421) patients with SARS-CoV-2</w:t>
      </w:r>
    </w:p>
    <w:p w14:paraId="51091809" w14:textId="77777777" w:rsidR="000F69E9" w:rsidRDefault="00DA3F8E" w:rsidP="009A15CD">
      <w:pPr>
        <w:numPr>
          <w:ilvl w:val="1"/>
          <w:numId w:val="30"/>
        </w:numPr>
      </w:pPr>
      <w:r>
        <w:t>22.5% (320/1,421) patients with influenza</w:t>
      </w:r>
    </w:p>
    <w:p w14:paraId="64EBEACF" w14:textId="77777777" w:rsidR="000F69E9" w:rsidRDefault="00DA3F8E" w:rsidP="009A15CD">
      <w:pPr>
        <w:numPr>
          <w:ilvl w:val="1"/>
          <w:numId w:val="30"/>
        </w:numPr>
      </w:pPr>
      <w:r>
        <w:t>12.5% (178/1,421) patients with RSV</w:t>
      </w:r>
    </w:p>
    <w:p w14:paraId="499BE35C" w14:textId="77777777" w:rsidR="000F69E9" w:rsidRDefault="00DA3F8E" w:rsidP="009A15CD">
      <w:pPr>
        <w:numPr>
          <w:ilvl w:val="1"/>
          <w:numId w:val="30"/>
        </w:numPr>
      </w:pPr>
      <w:r>
        <w:lastRenderedPageBreak/>
        <w:t>17.1% (243/1,421) patients with other respiratory pathogens including parainfluenza and rhinovirus.</w:t>
      </w:r>
    </w:p>
    <w:p w14:paraId="7C6E2A4B" w14:textId="77777777" w:rsidR="000F69E9" w:rsidRDefault="00DA3F8E" w:rsidP="009A15CD">
      <w:pPr>
        <w:numPr>
          <w:ilvl w:val="0"/>
          <w:numId w:val="29"/>
        </w:numPr>
      </w:pPr>
      <w:r>
        <w:t>Approximately 2.0% (29/1,421) of patients had co-infections of multiple pathogens; therefore, the sum of pathogen-specific totals above may not equal the total number of patients.</w:t>
      </w:r>
    </w:p>
    <w:p w14:paraId="29597256" w14:textId="77777777" w:rsidR="000F69E9" w:rsidRDefault="00DA3F8E" w:rsidP="009A15CD">
      <w:pPr>
        <w:numPr>
          <w:ilvl w:val="0"/>
          <w:numId w:val="29"/>
        </w:numPr>
      </w:pPr>
      <w:r>
        <w:t>In the year to date for SPRINT-SARI severity reporting, for all patients admitted with a SARI to a SPRINT-SARI sentinel intensive care, the median duration of mechanical ventilation was 3.2 days (IQR: 1.3–7.2 days), the median length of stay in intensive care was 3.0 days (IQR: 1.7–5.6 days), and the median length of stay in hospital was 8.0 days (IQR: 4.8–15.0 days).</w:t>
      </w:r>
    </w:p>
    <w:p w14:paraId="67842714" w14:textId="77777777" w:rsidR="000F69E9" w:rsidRDefault="00DA3F8E" w:rsidP="009A15CD">
      <w:pPr>
        <w:numPr>
          <w:ilvl w:val="0"/>
          <w:numId w:val="29"/>
        </w:numPr>
      </w:pPr>
      <w:r>
        <w:t>In the year to date for SPRINT-SARI severity reporting, most patients admitted with a SARI (67.7%; 962/1,421) have been discharged home, 6.9% (98/1,421) died in intensive care and 3.3% (47/1,421) died within a general hospital ward after intensive care admission, with an overall in-hospital mortality rate of 10.2% (145/1,421) for all patients admitted with a SARI to a SPRINT-SARI sentinel intensive care.</w:t>
      </w:r>
    </w:p>
    <w:p w14:paraId="53DC224D" w14:textId="77777777" w:rsidR="000F69E9" w:rsidRDefault="00DA3F8E" w:rsidP="009A15CD">
      <w:pPr>
        <w:numPr>
          <w:ilvl w:val="1"/>
          <w:numId w:val="31"/>
        </w:numPr>
      </w:pPr>
      <w:r>
        <w:t>Note, deaths in patients admitted with a SARI to a SPRINT-SARI sentinel intensive care may not necessarily represent a death due to SARI.</w:t>
      </w:r>
    </w:p>
    <w:p w14:paraId="4C996703" w14:textId="77777777" w:rsidR="000F69E9" w:rsidRDefault="00DA3F8E">
      <w:pPr>
        <w:pStyle w:val="BodyText"/>
      </w:pPr>
      <w:r>
        <w:rPr>
          <w:b/>
          <w:bCs/>
        </w:rPr>
        <w:t>Figure 11: Number of patients admitted with severe acute respiratory infections to a SPRINT-SARI sentinel intensive care by disease*</w:t>
      </w:r>
      <w:r>
        <w:rPr>
          <w:b/>
          <w:bCs/>
          <w:vertAlign w:val="superscript"/>
        </w:rPr>
        <w:t>†</w:t>
      </w:r>
      <w:r>
        <w:rPr>
          <w:b/>
          <w:bCs/>
        </w:rPr>
        <w:t xml:space="preserve"> and week of admission, Australia, 1 January to 14 July 2024</w:t>
      </w:r>
    </w:p>
    <w:p w14:paraId="24255A11" w14:textId="5368B9C4" w:rsidR="00AB4657" w:rsidRDefault="00744B6A">
      <w:pPr>
        <w:pStyle w:val="Smalltext"/>
      </w:pPr>
      <w:r w:rsidRPr="0034202E">
        <w:rPr>
          <w:rFonts w:ascii="Helvetica" w:hAnsi="Helvetica"/>
          <w:noProof/>
        </w:rPr>
        <w:drawing>
          <wp:inline distT="0" distB="0" distL="0" distR="0" wp14:anchorId="73AB838B" wp14:editId="0A1C128C">
            <wp:extent cx="4751309" cy="4636008"/>
            <wp:effectExtent l="0" t="0" r="0" b="0"/>
            <wp:docPr id="21" name="Picture" descr="intensive care by disease and week of admission, Australia, 1 January to 14 July 2024&#10;A set of three bar charts, one for each disease (COVID-19, influenza and RSV) showing the number of severe acute respiratory illness patients admitted to participating SPRINT-SARI intensive care by week of admission, with admission dates from 1 January to 14 July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4 July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7 June to 14 July 2024): an average of 18 patients with COVID-19; 29 patients with influenza; and five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descr="intensive care by disease and week of admission, Australia, 1 January to 14 July 2024&#10;A set of three bar charts, one for each disease (COVID-19, influenza and RSV) showing the number of severe acute respiratory illness patients admitted to participating SPRINT-SARI intensive care by week of admission, with admission dates from 1 January to 14 July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4 July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7 June to 14 July 2024): an average of 18 patients with COVID-19; 29 patients with influenza; and five patients with RSV were admitted to SPRINT-SARI intensive care each week. "/>
                    <pic:cNvPicPr>
                      <a:picLocks noChangeAspect="1" noChangeArrowheads="1"/>
                    </pic:cNvPicPr>
                  </pic:nvPicPr>
                  <pic:blipFill>
                    <a:blip r:embed="rId37"/>
                    <a:stretch>
                      <a:fillRect/>
                    </a:stretch>
                  </pic:blipFill>
                  <pic:spPr bwMode="auto">
                    <a:xfrm>
                      <a:off x="0" y="0"/>
                      <a:ext cx="4754483" cy="4639105"/>
                    </a:xfrm>
                    <a:prstGeom prst="rect">
                      <a:avLst/>
                    </a:prstGeom>
                    <a:noFill/>
                    <a:ln w="9525">
                      <a:noFill/>
                      <a:headEnd/>
                      <a:tailEnd/>
                    </a:ln>
                  </pic:spPr>
                </pic:pic>
              </a:graphicData>
            </a:graphic>
          </wp:inline>
        </w:drawing>
      </w:r>
    </w:p>
    <w:p w14:paraId="24AD8F73" w14:textId="70B831E0" w:rsidR="000F69E9" w:rsidRDefault="00DA3F8E" w:rsidP="005F7EF9">
      <w:pPr>
        <w:pStyle w:val="Smalltext"/>
      </w:pPr>
      <w:r>
        <w:t>* Axis varies between disease groups.</w:t>
      </w:r>
      <w:r>
        <w:br/>
        <w:t>† Includes 10 patients with viral co-infection of SARS-CoV-2/influenza/RSV in the year to date for severity reporting.</w:t>
      </w:r>
      <w:r>
        <w:br w:type="page"/>
      </w:r>
    </w:p>
    <w:p w14:paraId="3164E94C" w14:textId="77777777" w:rsidR="000F69E9" w:rsidRPr="0029745C" w:rsidRDefault="00DA3F8E">
      <w:pPr>
        <w:pStyle w:val="BodyText"/>
      </w:pPr>
      <w:r w:rsidRPr="0029745C">
        <w:rPr>
          <w:b/>
          <w:bCs/>
        </w:rPr>
        <w:lastRenderedPageBreak/>
        <w:t>Table 2: Outcomes for patients admitted with a severe acute respiratory infection(s) to a SPRINT-SARI sentinel intensive care by disease*</w:t>
      </w:r>
      <w:r w:rsidRPr="0029745C">
        <w:rPr>
          <w:b/>
          <w:bCs/>
          <w:vertAlign w:val="superscript"/>
        </w:rPr>
        <w:t>†‡</w:t>
      </w:r>
      <w:r w:rsidRPr="0029745C">
        <w:rPr>
          <w:b/>
          <w:bCs/>
        </w:rPr>
        <w:t>, Australia, 1 January to 14 July 2024</w:t>
      </w:r>
    </w:p>
    <w:tbl>
      <w:tblPr>
        <w:tblStyle w:val="DepartmentofHealthtable"/>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7 June to 14 July 2024) and the year to date for severity (1 January to 14 July 2024). In the year to date for severity indicators, 29.5% (209/709) of patients admitted to SPRINT-SARI sentinel sites with COVID-19 received invasive mechanical ventilation. In the year to date for severity indicators, for patients admitted to SPRINT-SARI sentinel sites with COVID-19 (n=709), the median duration of mechanical ventilation was 2.5 days (interquartile range [IQR]: 1.0–7.2 days); the median length of stay in intensive care was 2.9 days (IQR: 1.7–5.2 days); and the median length of stay in hospital was 8.8 days (IQR: 5.0–17.0 days). Of the 709 COVID-19 cases admitted to a SPRINT-SARI sentinel intensive care, a majority (62.3%; 442/709) were discharged home. Approximately eight percent (60/709) died in intensive care and 4.8% (34/709) died in a general hospital ward after their discharge from intensive care. In the year to date for severity indicators, 31.6% (101/320) of patients admitted to SPRINT-SARI sentinel sites with influenza received invasive mechanical ventilation. In the year to date for severity indicators, for patients admitted to SPRINT-SARI sentinel sites with influenza (n=320), the median duration of mechanical ventilation was 4.6 days (IQR: 1.7–8.3 days); the median length of stay in intensive care was 3.4 days (IQR: 2.–6.2 days); and the median length of stay in hospital was 8.1 days (IQR: 4.8–13.0 days). Of the 320 influenza cases with severe illness admitted to intensive care, a majority (68.1%; 218/320) were discharged home. Six percent (19/320) died in intensive care and 2.5% (8/320) died in a general hospital ward after their discharge from intensive care. In the year to date for severity indicators, 24.7% (44/178) of patients admitted to SPRINT-SARI sentinel sites with RSV received invasive mechanical ventilation. In the year to date for severity indicators, for patients admitted to SPRINT-SARI sentinel sites with RSV (n=178), the median duration of mechanical ventilation was 4.7 days (IQR: 2.3–6.7 days); the median length of stay in intensive care was 2.8 days (IQR: 1.7–4.8 days); and the median length of stay in hospital was 6.9 days (IQR: 4.3–12.0 days). Of the 178 RSV patients admitted to intensive care, a majority (80.3%; 143/178) were discharged home. Five percent (9/178) died in intensive care and 1.7% (3/178) died in a general hospital ward after their discharge from intensive care. In the year to date for severity indicators, 30.9% (75/243) of patients admitted to SPRINT-SARI sentinel sites with other respiratory pathogens received invasive mechanical ventilation. In the year to date for severity indicators, for patients admitted to SPRINT-SARI sentinel sites with other respiratory pathogens (n=243), the median duration of mechanical ventilation was 3.2 days (IQR: 1.6–7.9 days); the median length of stay in intensive care was 3.0 days (IQR: 1.8–5.8 days); and the median length of stay in hospital was 7.5 days (IQR: 4.0–14 days). Of the 243 patients with another respiratory pathogen admitted to a SPRINT-SARI sentinel intensive care, a majority (74.9%; 182/243) were discharged home. Five percent (13/243) died in intensive care and two patients with another respiratory pathogen died in a general hospital ward after their discharge from intensive care."/>
      </w:tblPr>
      <w:tblGrid>
        <w:gridCol w:w="1409"/>
        <w:gridCol w:w="1054"/>
        <w:gridCol w:w="1031"/>
        <w:gridCol w:w="1055"/>
        <w:gridCol w:w="1031"/>
        <w:gridCol w:w="1055"/>
        <w:gridCol w:w="1031"/>
        <w:gridCol w:w="1055"/>
        <w:gridCol w:w="1031"/>
      </w:tblGrid>
      <w:tr w:rsidR="0029745C" w:rsidRPr="0029745C" w14:paraId="2412F54D" w14:textId="77777777" w:rsidTr="0029745C">
        <w:trPr>
          <w:cnfStyle w:val="100000000000" w:firstRow="1" w:lastRow="0" w:firstColumn="0" w:lastColumn="0" w:oddVBand="0" w:evenVBand="0" w:oddHBand="0" w:evenHBand="0" w:firstRowFirstColumn="0" w:firstRowLastColumn="0" w:lastRowFirstColumn="0" w:lastRowLastColumn="0"/>
        </w:trPr>
        <w:tc>
          <w:tcPr>
            <w:tcW w:w="724" w:type="pct"/>
            <w:tcBorders>
              <w:bottom w:val="nil"/>
            </w:tcBorders>
          </w:tcPr>
          <w:p w14:paraId="0EC2777D" w14:textId="77777777" w:rsidR="002F1133" w:rsidRPr="0029745C" w:rsidRDefault="002F1133">
            <w:pPr>
              <w:pBdr>
                <w:top w:val="none" w:sz="0" w:space="0" w:color="000000"/>
                <w:left w:val="none" w:sz="0" w:space="0" w:color="000000"/>
                <w:bottom w:val="none" w:sz="0" w:space="0" w:color="000000"/>
                <w:right w:val="none" w:sz="0" w:space="0" w:color="000000"/>
              </w:pBdr>
              <w:ind w:left="100" w:right="100"/>
              <w:rPr>
                <w:b w:val="0"/>
              </w:rPr>
            </w:pPr>
          </w:p>
        </w:tc>
        <w:tc>
          <w:tcPr>
            <w:tcW w:w="1069" w:type="pct"/>
            <w:gridSpan w:val="2"/>
            <w:tcBorders>
              <w:bottom w:val="single" w:sz="4" w:space="0" w:color="ACC8FA" w:themeColor="accent1" w:themeTint="40"/>
            </w:tcBorders>
          </w:tcPr>
          <w:p w14:paraId="556EB92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Cs/>
                <w:sz w:val="18"/>
                <w:szCs w:val="20"/>
              </w:rPr>
            </w:pPr>
            <w:r w:rsidRPr="004C5182">
              <w:rPr>
                <w:bCs/>
                <w:sz w:val="18"/>
                <w:szCs w:val="20"/>
              </w:rPr>
              <w:t>COVID-19</w:t>
            </w:r>
          </w:p>
        </w:tc>
        <w:tc>
          <w:tcPr>
            <w:tcW w:w="1069" w:type="pct"/>
            <w:gridSpan w:val="2"/>
            <w:tcBorders>
              <w:bottom w:val="single" w:sz="4" w:space="0" w:color="ACC8FA" w:themeColor="accent1" w:themeTint="40"/>
            </w:tcBorders>
          </w:tcPr>
          <w:p w14:paraId="13C2A0C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Cs/>
                <w:sz w:val="18"/>
                <w:szCs w:val="20"/>
              </w:rPr>
            </w:pPr>
            <w:r w:rsidRPr="004C5182">
              <w:rPr>
                <w:bCs/>
                <w:sz w:val="18"/>
                <w:szCs w:val="20"/>
              </w:rPr>
              <w:t>Influenza</w:t>
            </w:r>
          </w:p>
        </w:tc>
        <w:tc>
          <w:tcPr>
            <w:tcW w:w="1069" w:type="pct"/>
            <w:gridSpan w:val="2"/>
            <w:tcBorders>
              <w:bottom w:val="single" w:sz="4" w:space="0" w:color="ACC8FA" w:themeColor="accent1" w:themeTint="40"/>
            </w:tcBorders>
          </w:tcPr>
          <w:p w14:paraId="2C9DE8C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Cs/>
                <w:sz w:val="18"/>
                <w:szCs w:val="20"/>
              </w:rPr>
            </w:pPr>
            <w:r w:rsidRPr="004C5182">
              <w:rPr>
                <w:bCs/>
                <w:sz w:val="18"/>
                <w:szCs w:val="20"/>
              </w:rPr>
              <w:t>RSV</w:t>
            </w:r>
          </w:p>
        </w:tc>
        <w:tc>
          <w:tcPr>
            <w:tcW w:w="1069" w:type="pct"/>
            <w:gridSpan w:val="2"/>
            <w:tcBorders>
              <w:bottom w:val="single" w:sz="4" w:space="0" w:color="ACC8FA" w:themeColor="accent1" w:themeTint="40"/>
            </w:tcBorders>
          </w:tcPr>
          <w:p w14:paraId="40F8CE6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Cs/>
                <w:sz w:val="18"/>
                <w:szCs w:val="20"/>
              </w:rPr>
            </w:pPr>
            <w:r w:rsidRPr="004C5182">
              <w:rPr>
                <w:bCs/>
                <w:sz w:val="18"/>
                <w:szCs w:val="20"/>
              </w:rPr>
              <w:t>Other</w:t>
            </w:r>
          </w:p>
        </w:tc>
      </w:tr>
      <w:tr w:rsidR="0029745C" w:rsidRPr="004C5182" w14:paraId="5C920E68" w14:textId="77777777" w:rsidTr="004C5182">
        <w:tc>
          <w:tcPr>
            <w:tcW w:w="724" w:type="pct"/>
            <w:tcBorders>
              <w:top w:val="nil"/>
              <w:bottom w:val="nil"/>
            </w:tcBorders>
            <w:shd w:val="clear" w:color="auto" w:fill="00DCA1" w:themeFill="background1"/>
          </w:tcPr>
          <w:p w14:paraId="06594113" w14:textId="77777777" w:rsidR="002F1133" w:rsidRPr="004C5182" w:rsidRDefault="002F1133">
            <w:pPr>
              <w:ind w:left="100" w:right="100"/>
              <w:rPr>
                <w:sz w:val="14"/>
                <w:szCs w:val="14"/>
              </w:rPr>
            </w:pPr>
          </w:p>
        </w:tc>
        <w:tc>
          <w:tcPr>
            <w:tcW w:w="542" w:type="pct"/>
            <w:tcBorders>
              <w:top w:val="single" w:sz="12" w:space="0" w:color="93F9F9" w:themeColor="text1" w:themeTint="40"/>
              <w:bottom w:val="nil"/>
            </w:tcBorders>
            <w:shd w:val="clear" w:color="auto" w:fill="00DCA1" w:themeFill="background1"/>
          </w:tcPr>
          <w:p w14:paraId="29222EE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(n=72)</w:t>
            </w:r>
          </w:p>
        </w:tc>
        <w:tc>
          <w:tcPr>
            <w:tcW w:w="527" w:type="pct"/>
            <w:tcBorders>
              <w:top w:val="single" w:sz="12" w:space="0" w:color="93F9F9" w:themeColor="text1" w:themeTint="40"/>
              <w:bottom w:val="nil"/>
            </w:tcBorders>
            <w:shd w:val="clear" w:color="auto" w:fill="00DCA1" w:themeFill="background1"/>
          </w:tcPr>
          <w:p w14:paraId="1F6EF65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(n=709)</w:t>
            </w:r>
          </w:p>
        </w:tc>
        <w:tc>
          <w:tcPr>
            <w:tcW w:w="542" w:type="pct"/>
            <w:tcBorders>
              <w:top w:val="single" w:sz="12" w:space="0" w:color="93F9F9" w:themeColor="text1" w:themeTint="40"/>
              <w:bottom w:val="nil"/>
            </w:tcBorders>
            <w:shd w:val="clear" w:color="auto" w:fill="00DCA1" w:themeFill="background1"/>
          </w:tcPr>
          <w:p w14:paraId="7EED42F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(n=115)</w:t>
            </w:r>
          </w:p>
        </w:tc>
        <w:tc>
          <w:tcPr>
            <w:tcW w:w="527" w:type="pct"/>
            <w:tcBorders>
              <w:top w:val="single" w:sz="12" w:space="0" w:color="93F9F9" w:themeColor="text1" w:themeTint="40"/>
              <w:bottom w:val="nil"/>
            </w:tcBorders>
            <w:shd w:val="clear" w:color="auto" w:fill="00DCA1" w:themeFill="background1"/>
          </w:tcPr>
          <w:p w14:paraId="6F2E017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(n=320)</w:t>
            </w:r>
          </w:p>
        </w:tc>
        <w:tc>
          <w:tcPr>
            <w:tcW w:w="542" w:type="pct"/>
            <w:tcBorders>
              <w:top w:val="single" w:sz="12" w:space="0" w:color="93F9F9" w:themeColor="text1" w:themeTint="40"/>
              <w:bottom w:val="nil"/>
            </w:tcBorders>
            <w:shd w:val="clear" w:color="auto" w:fill="00DCA1" w:themeFill="background1"/>
          </w:tcPr>
          <w:p w14:paraId="52FC5F5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(n=18)</w:t>
            </w:r>
          </w:p>
        </w:tc>
        <w:tc>
          <w:tcPr>
            <w:tcW w:w="527" w:type="pct"/>
            <w:tcBorders>
              <w:top w:val="single" w:sz="12" w:space="0" w:color="93F9F9" w:themeColor="text1" w:themeTint="40"/>
              <w:bottom w:val="nil"/>
            </w:tcBorders>
            <w:shd w:val="clear" w:color="auto" w:fill="00DCA1" w:themeFill="background1"/>
          </w:tcPr>
          <w:p w14:paraId="36E296B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(n=178)</w:t>
            </w:r>
          </w:p>
        </w:tc>
        <w:tc>
          <w:tcPr>
            <w:tcW w:w="542" w:type="pct"/>
            <w:tcBorders>
              <w:top w:val="single" w:sz="12" w:space="0" w:color="93F9F9" w:themeColor="text1" w:themeTint="40"/>
              <w:bottom w:val="nil"/>
            </w:tcBorders>
            <w:shd w:val="clear" w:color="auto" w:fill="00DCA1" w:themeFill="background1"/>
          </w:tcPr>
          <w:p w14:paraId="2DBC21C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(n=23)</w:t>
            </w:r>
          </w:p>
        </w:tc>
        <w:tc>
          <w:tcPr>
            <w:tcW w:w="527" w:type="pct"/>
            <w:tcBorders>
              <w:top w:val="single" w:sz="12" w:space="0" w:color="93F9F9" w:themeColor="text1" w:themeTint="40"/>
              <w:bottom w:val="nil"/>
            </w:tcBorders>
            <w:shd w:val="clear" w:color="auto" w:fill="00DCA1" w:themeFill="background1"/>
          </w:tcPr>
          <w:p w14:paraId="256987F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(n=243)</w:t>
            </w:r>
          </w:p>
        </w:tc>
      </w:tr>
      <w:tr w:rsidR="0029745C" w:rsidRPr="004C5182" w14:paraId="24ECD44B" w14:textId="77777777" w:rsidTr="004C5182">
        <w:tc>
          <w:tcPr>
            <w:tcW w:w="5000" w:type="pct"/>
            <w:gridSpan w:val="9"/>
            <w:tcBorders>
              <w:top w:val="nil"/>
              <w:bottom w:val="nil"/>
            </w:tcBorders>
            <w:shd w:val="clear" w:color="auto" w:fill="00DCA1" w:themeFill="background1"/>
          </w:tcPr>
          <w:p w14:paraId="6A3F996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Received invasive mechanical ventilation</w:t>
            </w:r>
          </w:p>
        </w:tc>
      </w:tr>
      <w:tr w:rsidR="0029745C" w:rsidRPr="004C5182" w14:paraId="2045DC18" w14:textId="77777777" w:rsidTr="004C5182">
        <w:tc>
          <w:tcPr>
            <w:tcW w:w="724" w:type="pct"/>
            <w:tcBorders>
              <w:top w:val="nil"/>
            </w:tcBorders>
          </w:tcPr>
          <w:p w14:paraId="2C990CD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Number (%)</w:t>
            </w:r>
          </w:p>
        </w:tc>
        <w:tc>
          <w:tcPr>
            <w:tcW w:w="542" w:type="pct"/>
            <w:tcBorders>
              <w:top w:val="nil"/>
            </w:tcBorders>
          </w:tcPr>
          <w:p w14:paraId="068EC53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20 (27.8%)</w:t>
            </w:r>
          </w:p>
        </w:tc>
        <w:tc>
          <w:tcPr>
            <w:tcW w:w="527" w:type="pct"/>
            <w:tcBorders>
              <w:top w:val="nil"/>
            </w:tcBorders>
          </w:tcPr>
          <w:p w14:paraId="2E3177E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209 (29.5%)</w:t>
            </w:r>
          </w:p>
        </w:tc>
        <w:tc>
          <w:tcPr>
            <w:tcW w:w="542" w:type="pct"/>
            <w:tcBorders>
              <w:top w:val="nil"/>
            </w:tcBorders>
          </w:tcPr>
          <w:p w14:paraId="3AD26C8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32 (27.8%)</w:t>
            </w:r>
          </w:p>
        </w:tc>
        <w:tc>
          <w:tcPr>
            <w:tcW w:w="527" w:type="pct"/>
            <w:tcBorders>
              <w:top w:val="nil"/>
            </w:tcBorders>
          </w:tcPr>
          <w:p w14:paraId="35996D8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101 (31.6%)</w:t>
            </w:r>
          </w:p>
        </w:tc>
        <w:tc>
          <w:tcPr>
            <w:tcW w:w="542" w:type="pct"/>
            <w:tcBorders>
              <w:top w:val="nil"/>
            </w:tcBorders>
          </w:tcPr>
          <w:p w14:paraId="5A0C882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5</w:t>
            </w:r>
            <w:r w:rsidRPr="004C5182">
              <w:rPr>
                <w:rFonts w:cs="Arial"/>
                <w:sz w:val="14"/>
                <w:szCs w:val="14"/>
                <w:lang w:val="en-US"/>
              </w:rPr>
              <w:br/>
              <w:t>(27.8%)</w:t>
            </w:r>
          </w:p>
        </w:tc>
        <w:tc>
          <w:tcPr>
            <w:tcW w:w="527" w:type="pct"/>
            <w:tcBorders>
              <w:top w:val="nil"/>
            </w:tcBorders>
          </w:tcPr>
          <w:p w14:paraId="2DCFF00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44 (24.7%)</w:t>
            </w:r>
          </w:p>
        </w:tc>
        <w:tc>
          <w:tcPr>
            <w:tcW w:w="542" w:type="pct"/>
            <w:tcBorders>
              <w:top w:val="nil"/>
            </w:tcBorders>
          </w:tcPr>
          <w:p w14:paraId="1D38D8D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 xml:space="preserve">6 </w:t>
            </w:r>
            <w:r w:rsidRPr="004C5182">
              <w:rPr>
                <w:rFonts w:cs="Arial"/>
                <w:sz w:val="14"/>
                <w:szCs w:val="14"/>
                <w:lang w:val="en-US"/>
              </w:rPr>
              <w:br/>
              <w:t>(26.1%)</w:t>
            </w:r>
          </w:p>
        </w:tc>
        <w:tc>
          <w:tcPr>
            <w:tcW w:w="527" w:type="pct"/>
            <w:tcBorders>
              <w:top w:val="nil"/>
            </w:tcBorders>
          </w:tcPr>
          <w:p w14:paraId="28E2CFA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cs="Arial"/>
                <w:sz w:val="14"/>
                <w:szCs w:val="14"/>
                <w:lang w:val="en-US"/>
              </w:rPr>
              <w:t>75 (30.9%)</w:t>
            </w:r>
          </w:p>
        </w:tc>
      </w:tr>
      <w:tr w:rsidR="0029745C" w:rsidRPr="004C5182" w14:paraId="69C7253F" w14:textId="77777777" w:rsidTr="0029745C">
        <w:tc>
          <w:tcPr>
            <w:tcW w:w="5000" w:type="pct"/>
            <w:gridSpan w:val="9"/>
            <w:shd w:val="clear" w:color="auto" w:fill="00DCA1" w:themeFill="background1"/>
          </w:tcPr>
          <w:p w14:paraId="331939B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Duration of invasive mechanical ventilation (days)</w:t>
            </w:r>
          </w:p>
        </w:tc>
      </w:tr>
      <w:tr w:rsidR="0029745C" w:rsidRPr="004C5182" w14:paraId="68F0A313" w14:textId="77777777">
        <w:tc>
          <w:tcPr>
            <w:tcW w:w="724" w:type="pct"/>
          </w:tcPr>
          <w:p w14:paraId="17ECDBF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2" w:type="pct"/>
            <w:vAlign w:val="center"/>
          </w:tcPr>
          <w:p w14:paraId="74BEA8A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1.5</w:t>
            </w:r>
            <w:r w:rsidRPr="004C5182">
              <w:rPr>
                <w:rFonts w:ascii="Helvetica" w:eastAsia="Helvetica" w:hAnsi="Helvetica" w:cs="Helvetica"/>
                <w:sz w:val="14"/>
                <w:szCs w:val="14"/>
              </w:rPr>
              <w:br/>
              <w:t>[1.1–2.2]</w:t>
            </w:r>
          </w:p>
        </w:tc>
        <w:tc>
          <w:tcPr>
            <w:tcW w:w="527" w:type="pct"/>
            <w:vAlign w:val="center"/>
          </w:tcPr>
          <w:p w14:paraId="515820E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2.5</w:t>
            </w:r>
            <w:r w:rsidRPr="004C5182">
              <w:rPr>
                <w:rFonts w:ascii="Helvetica" w:eastAsia="Helvetica" w:hAnsi="Helvetica" w:cs="Helvetica"/>
                <w:sz w:val="14"/>
                <w:szCs w:val="14"/>
              </w:rPr>
              <w:br/>
              <w:t>[1.0–7.2]</w:t>
            </w:r>
          </w:p>
        </w:tc>
        <w:tc>
          <w:tcPr>
            <w:tcW w:w="542" w:type="pct"/>
            <w:vAlign w:val="center"/>
          </w:tcPr>
          <w:p w14:paraId="3CF2ED7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1.7</w:t>
            </w:r>
            <w:r w:rsidRPr="004C5182">
              <w:rPr>
                <w:rFonts w:ascii="Helvetica" w:eastAsia="Helvetica" w:hAnsi="Helvetica" w:cs="Helvetica"/>
                <w:sz w:val="14"/>
                <w:szCs w:val="14"/>
              </w:rPr>
              <w:br/>
              <w:t>[0.97–3.8]</w:t>
            </w:r>
          </w:p>
        </w:tc>
        <w:tc>
          <w:tcPr>
            <w:tcW w:w="527" w:type="pct"/>
            <w:vAlign w:val="center"/>
          </w:tcPr>
          <w:p w14:paraId="4E8E081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4.6</w:t>
            </w:r>
            <w:r w:rsidRPr="004C5182">
              <w:rPr>
                <w:rFonts w:ascii="Helvetica" w:eastAsia="Helvetica" w:hAnsi="Helvetica" w:cs="Helvetica"/>
                <w:sz w:val="14"/>
                <w:szCs w:val="14"/>
              </w:rPr>
              <w:br/>
              <w:t>[1.7–8.3]</w:t>
            </w:r>
          </w:p>
        </w:tc>
        <w:tc>
          <w:tcPr>
            <w:tcW w:w="542" w:type="pct"/>
            <w:vAlign w:val="center"/>
          </w:tcPr>
          <w:p w14:paraId="39D923D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3.4</w:t>
            </w:r>
            <w:r w:rsidRPr="004C5182">
              <w:rPr>
                <w:rFonts w:ascii="Helvetica" w:eastAsia="Helvetica" w:hAnsi="Helvetica" w:cs="Helvetica"/>
                <w:sz w:val="14"/>
                <w:szCs w:val="14"/>
              </w:rPr>
              <w:br/>
              <w:t>[2.2–4.8]</w:t>
            </w:r>
          </w:p>
        </w:tc>
        <w:tc>
          <w:tcPr>
            <w:tcW w:w="527" w:type="pct"/>
            <w:vAlign w:val="center"/>
          </w:tcPr>
          <w:p w14:paraId="5A41900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4.7</w:t>
            </w:r>
            <w:r w:rsidRPr="004C5182">
              <w:rPr>
                <w:rFonts w:ascii="Helvetica" w:eastAsia="Helvetica" w:hAnsi="Helvetica" w:cs="Helvetica"/>
                <w:sz w:val="14"/>
                <w:szCs w:val="14"/>
              </w:rPr>
              <w:br/>
              <w:t>[2.3–6.7]</w:t>
            </w:r>
          </w:p>
        </w:tc>
        <w:tc>
          <w:tcPr>
            <w:tcW w:w="542" w:type="pct"/>
            <w:vAlign w:val="center"/>
          </w:tcPr>
          <w:p w14:paraId="203F45F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13.0</w:t>
            </w:r>
            <w:r w:rsidRPr="004C5182">
              <w:rPr>
                <w:rFonts w:ascii="Helvetica" w:eastAsia="Helvetica" w:hAnsi="Helvetica" w:cs="Helvetica"/>
                <w:sz w:val="14"/>
                <w:szCs w:val="14"/>
              </w:rPr>
              <w:br/>
              <w:t>[8.2–15]</w:t>
            </w:r>
          </w:p>
        </w:tc>
        <w:tc>
          <w:tcPr>
            <w:tcW w:w="527" w:type="pct"/>
            <w:vAlign w:val="center"/>
          </w:tcPr>
          <w:p w14:paraId="366C046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3.2</w:t>
            </w:r>
            <w:r w:rsidRPr="004C5182">
              <w:rPr>
                <w:rFonts w:ascii="Helvetica" w:eastAsia="Helvetica" w:hAnsi="Helvetica" w:cs="Helvetica"/>
                <w:sz w:val="14"/>
                <w:szCs w:val="14"/>
              </w:rPr>
              <w:br/>
              <w:t>[1.6–7.9]</w:t>
            </w:r>
          </w:p>
        </w:tc>
      </w:tr>
      <w:tr w:rsidR="0029745C" w:rsidRPr="004C5182" w14:paraId="72C01F74" w14:textId="77777777" w:rsidTr="0029745C">
        <w:tc>
          <w:tcPr>
            <w:tcW w:w="5000" w:type="pct"/>
            <w:gridSpan w:val="9"/>
            <w:shd w:val="clear" w:color="auto" w:fill="00DCA1" w:themeFill="background1"/>
          </w:tcPr>
          <w:p w14:paraId="72AD05B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b/>
                <w:bCs/>
                <w:sz w:val="14"/>
                <w:szCs w:val="14"/>
              </w:rPr>
            </w:pPr>
            <w:r w:rsidRPr="004C5182">
              <w:rPr>
                <w:b/>
                <w:bCs/>
                <w:sz w:val="14"/>
                <w:szCs w:val="14"/>
              </w:rPr>
              <w:t>Length of intensive care stay (days)</w:t>
            </w:r>
          </w:p>
        </w:tc>
      </w:tr>
      <w:tr w:rsidR="0029745C" w:rsidRPr="004C5182" w14:paraId="5E62234C" w14:textId="77777777">
        <w:tc>
          <w:tcPr>
            <w:tcW w:w="724" w:type="pct"/>
          </w:tcPr>
          <w:p w14:paraId="4F83A25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rFonts w:cs="Arial"/>
                <w:sz w:val="14"/>
                <w:szCs w:val="14"/>
                <w:lang w:val="en-US"/>
              </w:rPr>
            </w:pPr>
            <w:r w:rsidRPr="004C5182">
              <w:rPr>
                <w:rFonts w:cs="Arial"/>
                <w:sz w:val="14"/>
                <w:szCs w:val="14"/>
                <w:lang w:val="en-US"/>
              </w:rPr>
              <w:t>Median [IQR]</w:t>
            </w:r>
          </w:p>
        </w:tc>
        <w:tc>
          <w:tcPr>
            <w:tcW w:w="542" w:type="pct"/>
            <w:vAlign w:val="center"/>
          </w:tcPr>
          <w:p w14:paraId="07F7F7E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 xml:space="preserve">2.9 </w:t>
            </w:r>
            <w:r w:rsidRPr="004C5182">
              <w:rPr>
                <w:rFonts w:ascii="Helvetica" w:eastAsia="Helvetica" w:hAnsi="Helvetica" w:cs="Helvetica"/>
                <w:sz w:val="14"/>
                <w:szCs w:val="14"/>
              </w:rPr>
              <w:br/>
              <w:t>[1.7–4.0]</w:t>
            </w:r>
          </w:p>
        </w:tc>
        <w:tc>
          <w:tcPr>
            <w:tcW w:w="527" w:type="pct"/>
            <w:vAlign w:val="center"/>
          </w:tcPr>
          <w:p w14:paraId="4EEDAB3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2.9</w:t>
            </w:r>
            <w:r w:rsidRPr="004C5182">
              <w:rPr>
                <w:rFonts w:ascii="Helvetica" w:eastAsia="Helvetica" w:hAnsi="Helvetica" w:cs="Helvetica"/>
                <w:sz w:val="14"/>
                <w:szCs w:val="14"/>
              </w:rPr>
              <w:br/>
              <w:t>[1.7–5.2]</w:t>
            </w:r>
          </w:p>
        </w:tc>
        <w:tc>
          <w:tcPr>
            <w:tcW w:w="542" w:type="pct"/>
            <w:vAlign w:val="center"/>
          </w:tcPr>
          <w:p w14:paraId="0ECE181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3.0</w:t>
            </w:r>
            <w:r w:rsidRPr="004C5182">
              <w:rPr>
                <w:rFonts w:ascii="Helvetica" w:eastAsia="Helvetica" w:hAnsi="Helvetica" w:cs="Helvetica"/>
                <w:sz w:val="14"/>
                <w:szCs w:val="14"/>
              </w:rPr>
              <w:br/>
              <w:t>[1.9–5.0]</w:t>
            </w:r>
          </w:p>
        </w:tc>
        <w:tc>
          <w:tcPr>
            <w:tcW w:w="527" w:type="pct"/>
            <w:vAlign w:val="center"/>
          </w:tcPr>
          <w:p w14:paraId="137F5CF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3.4</w:t>
            </w:r>
            <w:r w:rsidRPr="004C5182">
              <w:rPr>
                <w:rFonts w:ascii="Helvetica" w:eastAsia="Helvetica" w:hAnsi="Helvetica" w:cs="Helvetica"/>
                <w:sz w:val="14"/>
                <w:szCs w:val="14"/>
              </w:rPr>
              <w:br/>
              <w:t>[2.0–6.2]</w:t>
            </w:r>
          </w:p>
        </w:tc>
        <w:tc>
          <w:tcPr>
            <w:tcW w:w="542" w:type="pct"/>
            <w:vAlign w:val="center"/>
          </w:tcPr>
          <w:p w14:paraId="181F0A9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2.1</w:t>
            </w:r>
            <w:r w:rsidRPr="004C5182">
              <w:rPr>
                <w:rFonts w:ascii="Helvetica" w:eastAsia="Helvetica" w:hAnsi="Helvetica" w:cs="Helvetica"/>
                <w:sz w:val="14"/>
                <w:szCs w:val="14"/>
              </w:rPr>
              <w:br/>
              <w:t>[1.9–4.8]</w:t>
            </w:r>
          </w:p>
        </w:tc>
        <w:tc>
          <w:tcPr>
            <w:tcW w:w="527" w:type="pct"/>
            <w:vAlign w:val="center"/>
          </w:tcPr>
          <w:p w14:paraId="79E5EA9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2.8</w:t>
            </w:r>
            <w:r w:rsidRPr="004C5182">
              <w:rPr>
                <w:rFonts w:ascii="Helvetica" w:eastAsia="Helvetica" w:hAnsi="Helvetica" w:cs="Helvetica"/>
                <w:sz w:val="14"/>
                <w:szCs w:val="14"/>
              </w:rPr>
              <w:br/>
              <w:t>[1.7–4.8]</w:t>
            </w:r>
          </w:p>
        </w:tc>
        <w:tc>
          <w:tcPr>
            <w:tcW w:w="542" w:type="pct"/>
            <w:vAlign w:val="center"/>
          </w:tcPr>
          <w:p w14:paraId="0464A0D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4.9</w:t>
            </w:r>
            <w:r w:rsidRPr="004C5182">
              <w:rPr>
                <w:rFonts w:ascii="Helvetica" w:eastAsia="Helvetica" w:hAnsi="Helvetica" w:cs="Helvetica"/>
                <w:sz w:val="14"/>
                <w:szCs w:val="14"/>
              </w:rPr>
              <w:br/>
              <w:t>[2.2–7.4]</w:t>
            </w:r>
          </w:p>
        </w:tc>
        <w:tc>
          <w:tcPr>
            <w:tcW w:w="527" w:type="pct"/>
            <w:vAlign w:val="center"/>
          </w:tcPr>
          <w:p w14:paraId="237BC5DB"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cs="Arial"/>
                <w:sz w:val="14"/>
                <w:szCs w:val="14"/>
                <w:lang w:val="en-US"/>
              </w:rPr>
            </w:pPr>
            <w:r w:rsidRPr="004C5182">
              <w:rPr>
                <w:rFonts w:ascii="Helvetica" w:eastAsia="Helvetica" w:hAnsi="Helvetica" w:cs="Helvetica"/>
                <w:sz w:val="14"/>
                <w:szCs w:val="14"/>
              </w:rPr>
              <w:t>3.0</w:t>
            </w:r>
            <w:r w:rsidRPr="004C5182">
              <w:rPr>
                <w:rFonts w:ascii="Helvetica" w:eastAsia="Helvetica" w:hAnsi="Helvetica" w:cs="Helvetica"/>
                <w:sz w:val="14"/>
                <w:szCs w:val="14"/>
              </w:rPr>
              <w:br/>
              <w:t>[1.8–5.8]</w:t>
            </w:r>
          </w:p>
        </w:tc>
      </w:tr>
      <w:tr w:rsidR="0029745C" w:rsidRPr="004C5182" w14:paraId="3782B597" w14:textId="77777777" w:rsidTr="0029745C">
        <w:tc>
          <w:tcPr>
            <w:tcW w:w="5000" w:type="pct"/>
            <w:gridSpan w:val="9"/>
            <w:shd w:val="clear" w:color="auto" w:fill="00DCA1" w:themeFill="background1"/>
          </w:tcPr>
          <w:p w14:paraId="75F0F20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Length of hospital stay (days)</w:t>
            </w:r>
          </w:p>
        </w:tc>
      </w:tr>
      <w:tr w:rsidR="0029745C" w:rsidRPr="004C5182" w14:paraId="5426EFC5" w14:textId="77777777">
        <w:tc>
          <w:tcPr>
            <w:tcW w:w="724" w:type="pct"/>
            <w:vAlign w:val="center"/>
          </w:tcPr>
          <w:p w14:paraId="2C7D25D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2" w:type="pct"/>
            <w:vAlign w:val="center"/>
          </w:tcPr>
          <w:p w14:paraId="58209319"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w:t>
            </w:r>
            <w:r w:rsidRPr="004C5182">
              <w:rPr>
                <w:rFonts w:ascii="Helvetica" w:eastAsia="Helvetica" w:hAnsi="Helvetica" w:cs="Helvetica"/>
                <w:sz w:val="14"/>
                <w:szCs w:val="14"/>
              </w:rPr>
              <w:br/>
              <w:t>[5.6–17]</w:t>
            </w:r>
          </w:p>
        </w:tc>
        <w:tc>
          <w:tcPr>
            <w:tcW w:w="527" w:type="pct"/>
            <w:vAlign w:val="center"/>
          </w:tcPr>
          <w:p w14:paraId="74B80D8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8.8</w:t>
            </w:r>
            <w:r w:rsidRPr="004C5182">
              <w:rPr>
                <w:rFonts w:ascii="Helvetica" w:eastAsia="Helvetica" w:hAnsi="Helvetica" w:cs="Helvetica"/>
                <w:sz w:val="14"/>
                <w:szCs w:val="14"/>
              </w:rPr>
              <w:br/>
              <w:t>[5.0–17]</w:t>
            </w:r>
          </w:p>
        </w:tc>
        <w:tc>
          <w:tcPr>
            <w:tcW w:w="542" w:type="pct"/>
            <w:vAlign w:val="center"/>
          </w:tcPr>
          <w:p w14:paraId="53ECFAD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7.1</w:t>
            </w:r>
            <w:r w:rsidRPr="004C5182">
              <w:rPr>
                <w:rFonts w:ascii="Helvetica" w:eastAsia="Helvetica" w:hAnsi="Helvetica" w:cs="Helvetica"/>
                <w:sz w:val="14"/>
                <w:szCs w:val="14"/>
              </w:rPr>
              <w:br/>
              <w:t>[4.8–11]</w:t>
            </w:r>
          </w:p>
        </w:tc>
        <w:tc>
          <w:tcPr>
            <w:tcW w:w="527" w:type="pct"/>
            <w:vAlign w:val="center"/>
          </w:tcPr>
          <w:p w14:paraId="4561014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8.1</w:t>
            </w:r>
            <w:r w:rsidRPr="004C5182">
              <w:rPr>
                <w:rFonts w:ascii="Helvetica" w:eastAsia="Helvetica" w:hAnsi="Helvetica" w:cs="Helvetica"/>
                <w:sz w:val="14"/>
                <w:szCs w:val="14"/>
              </w:rPr>
              <w:br/>
              <w:t>[4.8–13]</w:t>
            </w:r>
          </w:p>
        </w:tc>
        <w:tc>
          <w:tcPr>
            <w:tcW w:w="542" w:type="pct"/>
            <w:vAlign w:val="center"/>
          </w:tcPr>
          <w:p w14:paraId="357AA01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7.8</w:t>
            </w:r>
            <w:r w:rsidRPr="004C5182">
              <w:rPr>
                <w:rFonts w:ascii="Helvetica" w:eastAsia="Helvetica" w:hAnsi="Helvetica" w:cs="Helvetica"/>
                <w:sz w:val="14"/>
                <w:szCs w:val="14"/>
              </w:rPr>
              <w:br/>
              <w:t>[4.6–13]</w:t>
            </w:r>
          </w:p>
        </w:tc>
        <w:tc>
          <w:tcPr>
            <w:tcW w:w="527" w:type="pct"/>
            <w:vAlign w:val="center"/>
          </w:tcPr>
          <w:p w14:paraId="3C5D4F8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6.9</w:t>
            </w:r>
            <w:r w:rsidRPr="004C5182">
              <w:rPr>
                <w:rFonts w:ascii="Helvetica" w:eastAsia="Helvetica" w:hAnsi="Helvetica" w:cs="Helvetica"/>
                <w:sz w:val="14"/>
                <w:szCs w:val="14"/>
              </w:rPr>
              <w:br/>
              <w:t>[4.3–12]</w:t>
            </w:r>
          </w:p>
        </w:tc>
        <w:tc>
          <w:tcPr>
            <w:tcW w:w="542" w:type="pct"/>
            <w:vAlign w:val="center"/>
          </w:tcPr>
          <w:p w14:paraId="62C0C37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9.3</w:t>
            </w:r>
            <w:r w:rsidRPr="004C5182">
              <w:rPr>
                <w:rFonts w:ascii="Helvetica" w:eastAsia="Helvetica" w:hAnsi="Helvetica" w:cs="Helvetica"/>
                <w:sz w:val="14"/>
                <w:szCs w:val="14"/>
              </w:rPr>
              <w:br/>
              <w:t>[5.7–13]</w:t>
            </w:r>
          </w:p>
        </w:tc>
        <w:tc>
          <w:tcPr>
            <w:tcW w:w="527" w:type="pct"/>
            <w:vAlign w:val="center"/>
          </w:tcPr>
          <w:p w14:paraId="1817626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7.5</w:t>
            </w:r>
            <w:r w:rsidRPr="004C5182">
              <w:rPr>
                <w:rFonts w:ascii="Helvetica" w:eastAsia="Helvetica" w:hAnsi="Helvetica" w:cs="Helvetica"/>
                <w:sz w:val="14"/>
                <w:szCs w:val="14"/>
              </w:rPr>
              <w:br/>
              <w:t>[4.0–14]</w:t>
            </w:r>
          </w:p>
        </w:tc>
      </w:tr>
      <w:tr w:rsidR="0029745C" w:rsidRPr="004C5182" w14:paraId="6651C96F" w14:textId="77777777" w:rsidTr="0029745C">
        <w:tc>
          <w:tcPr>
            <w:tcW w:w="5000" w:type="pct"/>
            <w:gridSpan w:val="9"/>
            <w:shd w:val="clear" w:color="auto" w:fill="00DCA1" w:themeFill="background1"/>
          </w:tcPr>
          <w:p w14:paraId="74C9370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rFonts w:cs="Arial"/>
                <w:b/>
                <w:sz w:val="14"/>
                <w:szCs w:val="14"/>
              </w:rPr>
            </w:pPr>
            <w:r w:rsidRPr="004C5182">
              <w:rPr>
                <w:rFonts w:cs="Arial"/>
                <w:b/>
                <w:sz w:val="14"/>
                <w:szCs w:val="14"/>
              </w:rPr>
              <w:t>Patient outcome</w:t>
            </w:r>
          </w:p>
        </w:tc>
      </w:tr>
      <w:tr w:rsidR="0029745C" w:rsidRPr="004C5182" w14:paraId="400CADA0" w14:textId="77777777">
        <w:tc>
          <w:tcPr>
            <w:tcW w:w="724" w:type="pct"/>
          </w:tcPr>
          <w:p w14:paraId="6AA98DC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intensive care</w:t>
            </w:r>
          </w:p>
        </w:tc>
        <w:tc>
          <w:tcPr>
            <w:tcW w:w="542" w:type="pct"/>
            <w:vAlign w:val="center"/>
          </w:tcPr>
          <w:p w14:paraId="05AFE43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 (19.4%)</w:t>
            </w:r>
          </w:p>
        </w:tc>
        <w:tc>
          <w:tcPr>
            <w:tcW w:w="527" w:type="pct"/>
            <w:vAlign w:val="center"/>
          </w:tcPr>
          <w:p w14:paraId="47D2767B"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41 </w:t>
            </w:r>
            <w:r w:rsidRPr="004C5182">
              <w:rPr>
                <w:rFonts w:ascii="Helvetica" w:eastAsia="Helvetica" w:hAnsi="Helvetica" w:cs="Helvetica"/>
                <w:sz w:val="14"/>
                <w:szCs w:val="14"/>
              </w:rPr>
              <w:br/>
              <w:t>(5.8%)</w:t>
            </w:r>
          </w:p>
        </w:tc>
        <w:tc>
          <w:tcPr>
            <w:tcW w:w="542" w:type="pct"/>
            <w:vAlign w:val="center"/>
          </w:tcPr>
          <w:p w14:paraId="7018337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29 (25.2%)</w:t>
            </w:r>
          </w:p>
        </w:tc>
        <w:tc>
          <w:tcPr>
            <w:tcW w:w="527" w:type="pct"/>
            <w:vAlign w:val="center"/>
          </w:tcPr>
          <w:p w14:paraId="6B7BFDF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36 (11.3%)</w:t>
            </w:r>
          </w:p>
        </w:tc>
        <w:tc>
          <w:tcPr>
            <w:tcW w:w="542" w:type="pct"/>
            <w:vAlign w:val="center"/>
          </w:tcPr>
          <w:p w14:paraId="0ECB493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7" w:type="pct"/>
            <w:vAlign w:val="center"/>
          </w:tcPr>
          <w:p w14:paraId="27C5BF3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(3.4%)</w:t>
            </w:r>
          </w:p>
        </w:tc>
        <w:tc>
          <w:tcPr>
            <w:tcW w:w="542" w:type="pct"/>
            <w:vAlign w:val="center"/>
          </w:tcPr>
          <w:p w14:paraId="684680B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(34.8%)</w:t>
            </w:r>
          </w:p>
        </w:tc>
        <w:tc>
          <w:tcPr>
            <w:tcW w:w="527" w:type="pct"/>
            <w:vAlign w:val="center"/>
          </w:tcPr>
          <w:p w14:paraId="73C3F7F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r w:rsidR="0029745C" w:rsidRPr="004C5182" w14:paraId="12AD2773" w14:textId="77777777">
        <w:tc>
          <w:tcPr>
            <w:tcW w:w="724" w:type="pct"/>
          </w:tcPr>
          <w:p w14:paraId="416DA65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hospital ward*</w:t>
            </w:r>
          </w:p>
        </w:tc>
        <w:tc>
          <w:tcPr>
            <w:tcW w:w="542" w:type="pct"/>
            <w:vAlign w:val="center"/>
          </w:tcPr>
          <w:p w14:paraId="26945CC9"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 (15.3%)</w:t>
            </w:r>
          </w:p>
        </w:tc>
        <w:tc>
          <w:tcPr>
            <w:tcW w:w="527" w:type="pct"/>
            <w:vAlign w:val="center"/>
          </w:tcPr>
          <w:p w14:paraId="24B84F6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26 </w:t>
            </w:r>
            <w:r w:rsidRPr="004C5182">
              <w:rPr>
                <w:rFonts w:ascii="Helvetica" w:eastAsia="Helvetica" w:hAnsi="Helvetica" w:cs="Helvetica"/>
                <w:sz w:val="14"/>
                <w:szCs w:val="14"/>
              </w:rPr>
              <w:br/>
              <w:t>(3.7%)</w:t>
            </w:r>
          </w:p>
        </w:tc>
        <w:tc>
          <w:tcPr>
            <w:tcW w:w="542" w:type="pct"/>
            <w:vAlign w:val="center"/>
          </w:tcPr>
          <w:p w14:paraId="4DCC029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10 </w:t>
            </w:r>
            <w:r w:rsidRPr="004C5182">
              <w:rPr>
                <w:rFonts w:ascii="Helvetica" w:eastAsia="Helvetica" w:hAnsi="Helvetica" w:cs="Helvetica"/>
                <w:sz w:val="14"/>
                <w:szCs w:val="14"/>
              </w:rPr>
              <w:br/>
              <w:t>(8.7%)</w:t>
            </w:r>
          </w:p>
        </w:tc>
        <w:tc>
          <w:tcPr>
            <w:tcW w:w="527" w:type="pct"/>
            <w:vAlign w:val="center"/>
          </w:tcPr>
          <w:p w14:paraId="268BDCE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(4.1%)</w:t>
            </w:r>
          </w:p>
        </w:tc>
        <w:tc>
          <w:tcPr>
            <w:tcW w:w="542" w:type="pct"/>
            <w:vAlign w:val="center"/>
          </w:tcPr>
          <w:p w14:paraId="5EA579E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(22.2%)</w:t>
            </w:r>
          </w:p>
        </w:tc>
        <w:tc>
          <w:tcPr>
            <w:tcW w:w="527" w:type="pct"/>
            <w:vAlign w:val="center"/>
          </w:tcPr>
          <w:p w14:paraId="0D428EC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(4.5%)</w:t>
            </w:r>
          </w:p>
        </w:tc>
        <w:tc>
          <w:tcPr>
            <w:tcW w:w="542" w:type="pct"/>
            <w:vAlign w:val="center"/>
          </w:tcPr>
          <w:p w14:paraId="4D6C256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(4.3%)</w:t>
            </w:r>
          </w:p>
        </w:tc>
        <w:tc>
          <w:tcPr>
            <w:tcW w:w="527" w:type="pct"/>
            <w:vAlign w:val="center"/>
          </w:tcPr>
          <w:p w14:paraId="48E4F58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(2.5%)</w:t>
            </w:r>
          </w:p>
        </w:tc>
      </w:tr>
      <w:tr w:rsidR="0029745C" w:rsidRPr="004C5182" w14:paraId="26DF80BE" w14:textId="77777777">
        <w:tc>
          <w:tcPr>
            <w:tcW w:w="724" w:type="pct"/>
          </w:tcPr>
          <w:p w14:paraId="17CF189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other hospital or facility</w:t>
            </w:r>
          </w:p>
        </w:tc>
        <w:tc>
          <w:tcPr>
            <w:tcW w:w="542" w:type="pct"/>
            <w:vAlign w:val="center"/>
          </w:tcPr>
          <w:p w14:paraId="7EEFC42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(11.1%)</w:t>
            </w:r>
          </w:p>
        </w:tc>
        <w:tc>
          <w:tcPr>
            <w:tcW w:w="527" w:type="pct"/>
            <w:vAlign w:val="center"/>
          </w:tcPr>
          <w:p w14:paraId="4F440D5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63 </w:t>
            </w:r>
            <w:r w:rsidRPr="004C5182">
              <w:rPr>
                <w:rFonts w:ascii="Helvetica" w:eastAsia="Helvetica" w:hAnsi="Helvetica" w:cs="Helvetica"/>
                <w:sz w:val="14"/>
                <w:szCs w:val="14"/>
              </w:rPr>
              <w:br/>
              <w:t>(8.9%)</w:t>
            </w:r>
          </w:p>
        </w:tc>
        <w:tc>
          <w:tcPr>
            <w:tcW w:w="542" w:type="pct"/>
            <w:vAlign w:val="center"/>
          </w:tcPr>
          <w:p w14:paraId="00BFA27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(5.2%)</w:t>
            </w:r>
          </w:p>
        </w:tc>
        <w:tc>
          <w:tcPr>
            <w:tcW w:w="527" w:type="pct"/>
            <w:vAlign w:val="center"/>
          </w:tcPr>
          <w:p w14:paraId="52C9428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15 </w:t>
            </w:r>
            <w:r w:rsidRPr="004C5182">
              <w:rPr>
                <w:rFonts w:ascii="Helvetica" w:eastAsia="Helvetica" w:hAnsi="Helvetica" w:cs="Helvetica"/>
                <w:sz w:val="14"/>
                <w:szCs w:val="14"/>
              </w:rPr>
              <w:br/>
              <w:t>(4.7%)</w:t>
            </w:r>
          </w:p>
        </w:tc>
        <w:tc>
          <w:tcPr>
            <w:tcW w:w="542" w:type="pct"/>
            <w:vAlign w:val="center"/>
          </w:tcPr>
          <w:p w14:paraId="0E09A92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4C5182">
              <w:rPr>
                <w:rFonts w:ascii="Helvetica" w:eastAsia="Helvetica" w:hAnsi="Helvetica" w:cs="Helvetica"/>
                <w:sz w:val="14"/>
                <w:szCs w:val="14"/>
              </w:rPr>
              <w:t xml:space="preserve">0 </w:t>
            </w:r>
          </w:p>
          <w:p w14:paraId="23AA40D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(0%)</w:t>
            </w:r>
          </w:p>
        </w:tc>
        <w:tc>
          <w:tcPr>
            <w:tcW w:w="527" w:type="pct"/>
            <w:vAlign w:val="center"/>
          </w:tcPr>
          <w:p w14:paraId="55872B0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7 </w:t>
            </w:r>
            <w:r w:rsidRPr="004C5182">
              <w:rPr>
                <w:rFonts w:ascii="Helvetica" w:eastAsia="Helvetica" w:hAnsi="Helvetica" w:cs="Helvetica"/>
                <w:sz w:val="14"/>
                <w:szCs w:val="14"/>
              </w:rPr>
              <w:br/>
              <w:t>(3.9%)</w:t>
            </w:r>
          </w:p>
        </w:tc>
        <w:tc>
          <w:tcPr>
            <w:tcW w:w="542" w:type="pct"/>
            <w:vAlign w:val="center"/>
          </w:tcPr>
          <w:p w14:paraId="3D89EBE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(4.3%)</w:t>
            </w:r>
          </w:p>
        </w:tc>
        <w:tc>
          <w:tcPr>
            <w:tcW w:w="527" w:type="pct"/>
            <w:vAlign w:val="center"/>
          </w:tcPr>
          <w:p w14:paraId="6F2CDB2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18 </w:t>
            </w:r>
            <w:r w:rsidRPr="004C5182">
              <w:rPr>
                <w:rFonts w:ascii="Helvetica" w:eastAsia="Helvetica" w:hAnsi="Helvetica" w:cs="Helvetica"/>
                <w:sz w:val="14"/>
                <w:szCs w:val="14"/>
              </w:rPr>
              <w:br/>
              <w:t>(7.4%)</w:t>
            </w:r>
          </w:p>
        </w:tc>
      </w:tr>
      <w:tr w:rsidR="0029745C" w:rsidRPr="004C5182" w14:paraId="715158E4" w14:textId="77777777">
        <w:tc>
          <w:tcPr>
            <w:tcW w:w="724" w:type="pct"/>
          </w:tcPr>
          <w:p w14:paraId="675AC75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rehabilitation</w:t>
            </w:r>
          </w:p>
        </w:tc>
        <w:tc>
          <w:tcPr>
            <w:tcW w:w="542" w:type="pct"/>
            <w:vAlign w:val="center"/>
          </w:tcPr>
          <w:p w14:paraId="209D8DE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(2.8%)</w:t>
            </w:r>
          </w:p>
        </w:tc>
        <w:tc>
          <w:tcPr>
            <w:tcW w:w="527" w:type="pct"/>
            <w:vAlign w:val="center"/>
          </w:tcPr>
          <w:p w14:paraId="5758923B"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37 </w:t>
            </w:r>
            <w:r w:rsidRPr="004C5182">
              <w:rPr>
                <w:rFonts w:ascii="Helvetica" w:eastAsia="Helvetica" w:hAnsi="Helvetica" w:cs="Helvetica"/>
                <w:sz w:val="14"/>
                <w:szCs w:val="14"/>
              </w:rPr>
              <w:br/>
              <w:t>(5.2%)</w:t>
            </w:r>
          </w:p>
        </w:tc>
        <w:tc>
          <w:tcPr>
            <w:tcW w:w="542" w:type="pct"/>
            <w:vAlign w:val="center"/>
          </w:tcPr>
          <w:p w14:paraId="7BEEC2B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(3.5%)</w:t>
            </w:r>
          </w:p>
        </w:tc>
        <w:tc>
          <w:tcPr>
            <w:tcW w:w="527" w:type="pct"/>
            <w:vAlign w:val="center"/>
          </w:tcPr>
          <w:p w14:paraId="11AFD14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10 </w:t>
            </w:r>
            <w:r w:rsidRPr="004C5182">
              <w:rPr>
                <w:rFonts w:ascii="Helvetica" w:eastAsia="Helvetica" w:hAnsi="Helvetica" w:cs="Helvetica"/>
                <w:sz w:val="14"/>
                <w:szCs w:val="14"/>
              </w:rPr>
              <w:br/>
              <w:t>(3.1%)</w:t>
            </w:r>
          </w:p>
        </w:tc>
        <w:tc>
          <w:tcPr>
            <w:tcW w:w="542" w:type="pct"/>
            <w:vAlign w:val="center"/>
          </w:tcPr>
          <w:p w14:paraId="20FD381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0 </w:t>
            </w:r>
            <w:r w:rsidRPr="004C5182">
              <w:rPr>
                <w:rFonts w:ascii="Helvetica" w:eastAsia="Helvetica" w:hAnsi="Helvetica" w:cs="Helvetica"/>
                <w:sz w:val="14"/>
                <w:szCs w:val="14"/>
              </w:rPr>
              <w:br/>
              <w:t>(0%)</w:t>
            </w:r>
          </w:p>
        </w:tc>
        <w:tc>
          <w:tcPr>
            <w:tcW w:w="527" w:type="pct"/>
            <w:vAlign w:val="center"/>
          </w:tcPr>
          <w:p w14:paraId="2D5D77E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(0.6%)</w:t>
            </w:r>
          </w:p>
        </w:tc>
        <w:tc>
          <w:tcPr>
            <w:tcW w:w="542" w:type="pct"/>
            <w:vAlign w:val="center"/>
          </w:tcPr>
          <w:p w14:paraId="75CE104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(8.7%)</w:t>
            </w:r>
          </w:p>
        </w:tc>
        <w:tc>
          <w:tcPr>
            <w:tcW w:w="527" w:type="pct"/>
            <w:vAlign w:val="center"/>
          </w:tcPr>
          <w:p w14:paraId="7D52ECBF"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(3.7%)</w:t>
            </w:r>
          </w:p>
        </w:tc>
      </w:tr>
      <w:tr w:rsidR="0029745C" w:rsidRPr="004C5182" w14:paraId="1FEC6EC5" w14:textId="77777777">
        <w:tc>
          <w:tcPr>
            <w:tcW w:w="724" w:type="pct"/>
          </w:tcPr>
          <w:p w14:paraId="58CC064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Discharge home</w:t>
            </w:r>
          </w:p>
        </w:tc>
        <w:tc>
          <w:tcPr>
            <w:tcW w:w="542" w:type="pct"/>
            <w:vAlign w:val="center"/>
          </w:tcPr>
          <w:p w14:paraId="2618ED5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32 (44.4%)</w:t>
            </w:r>
          </w:p>
        </w:tc>
        <w:tc>
          <w:tcPr>
            <w:tcW w:w="527" w:type="pct"/>
            <w:vAlign w:val="center"/>
          </w:tcPr>
          <w:p w14:paraId="25550003"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442 (62.3%)</w:t>
            </w:r>
          </w:p>
        </w:tc>
        <w:tc>
          <w:tcPr>
            <w:tcW w:w="542" w:type="pct"/>
            <w:vAlign w:val="center"/>
          </w:tcPr>
          <w:p w14:paraId="48EE46C9"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59 (51.3%)</w:t>
            </w:r>
          </w:p>
        </w:tc>
        <w:tc>
          <w:tcPr>
            <w:tcW w:w="527" w:type="pct"/>
            <w:vAlign w:val="center"/>
          </w:tcPr>
          <w:p w14:paraId="781E62B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218 (68.1%)</w:t>
            </w:r>
          </w:p>
        </w:tc>
        <w:tc>
          <w:tcPr>
            <w:tcW w:w="542" w:type="pct"/>
            <w:vAlign w:val="center"/>
          </w:tcPr>
          <w:p w14:paraId="40BEBEB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11 (61.1%)</w:t>
            </w:r>
          </w:p>
        </w:tc>
        <w:tc>
          <w:tcPr>
            <w:tcW w:w="527" w:type="pct"/>
            <w:vAlign w:val="center"/>
          </w:tcPr>
          <w:p w14:paraId="70A6FBB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143 (80.3%)</w:t>
            </w:r>
          </w:p>
        </w:tc>
        <w:tc>
          <w:tcPr>
            <w:tcW w:w="542" w:type="pct"/>
            <w:vAlign w:val="center"/>
          </w:tcPr>
          <w:p w14:paraId="5112C29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(39.1%)</w:t>
            </w:r>
          </w:p>
        </w:tc>
        <w:tc>
          <w:tcPr>
            <w:tcW w:w="527" w:type="pct"/>
            <w:vAlign w:val="center"/>
          </w:tcPr>
          <w:p w14:paraId="57C0F10D"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182 (74.9%)</w:t>
            </w:r>
          </w:p>
        </w:tc>
      </w:tr>
      <w:tr w:rsidR="0029745C" w:rsidRPr="004C5182" w14:paraId="3F3C2C12" w14:textId="77777777">
        <w:tc>
          <w:tcPr>
            <w:tcW w:w="724" w:type="pct"/>
          </w:tcPr>
          <w:p w14:paraId="4C62366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intensive care</w:t>
            </w:r>
            <w:r w:rsidRPr="004C5182">
              <w:rPr>
                <w:rFonts w:cs="Arial"/>
                <w:sz w:val="14"/>
                <w:szCs w:val="14"/>
                <w:vertAlign w:val="superscript"/>
              </w:rPr>
              <w:t>†</w:t>
            </w:r>
          </w:p>
        </w:tc>
        <w:tc>
          <w:tcPr>
            <w:tcW w:w="542" w:type="pct"/>
            <w:vAlign w:val="center"/>
          </w:tcPr>
          <w:p w14:paraId="6ECD3DF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(5.6%)</w:t>
            </w:r>
          </w:p>
        </w:tc>
        <w:tc>
          <w:tcPr>
            <w:tcW w:w="527" w:type="pct"/>
            <w:vAlign w:val="center"/>
          </w:tcPr>
          <w:p w14:paraId="52D024CB"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60 </w:t>
            </w:r>
            <w:r w:rsidRPr="004C5182">
              <w:rPr>
                <w:rFonts w:ascii="Helvetica" w:eastAsia="Helvetica" w:hAnsi="Helvetica" w:cs="Helvetica"/>
                <w:sz w:val="14"/>
                <w:szCs w:val="14"/>
              </w:rPr>
              <w:br/>
              <w:t>(8.5%)</w:t>
            </w:r>
          </w:p>
        </w:tc>
        <w:tc>
          <w:tcPr>
            <w:tcW w:w="542" w:type="pct"/>
            <w:vAlign w:val="center"/>
          </w:tcPr>
          <w:p w14:paraId="162072C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 </w:t>
            </w:r>
            <w:r w:rsidRPr="004C5182">
              <w:rPr>
                <w:rFonts w:ascii="Helvetica" w:eastAsia="Helvetica" w:hAnsi="Helvetica" w:cs="Helvetica"/>
                <w:sz w:val="14"/>
                <w:szCs w:val="14"/>
              </w:rPr>
              <w:br/>
              <w:t>(3.5%)</w:t>
            </w:r>
          </w:p>
        </w:tc>
        <w:tc>
          <w:tcPr>
            <w:tcW w:w="527" w:type="pct"/>
            <w:vAlign w:val="center"/>
          </w:tcPr>
          <w:p w14:paraId="75DF75B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19 </w:t>
            </w:r>
            <w:r w:rsidRPr="004C5182">
              <w:rPr>
                <w:rFonts w:ascii="Helvetica" w:eastAsia="Helvetica" w:hAnsi="Helvetica" w:cs="Helvetica"/>
                <w:sz w:val="14"/>
                <w:szCs w:val="14"/>
              </w:rPr>
              <w:br/>
              <w:t>(5.9%)</w:t>
            </w:r>
          </w:p>
        </w:tc>
        <w:tc>
          <w:tcPr>
            <w:tcW w:w="542" w:type="pct"/>
            <w:vAlign w:val="center"/>
          </w:tcPr>
          <w:p w14:paraId="18B39CEA"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7" w:type="pct"/>
            <w:vAlign w:val="center"/>
          </w:tcPr>
          <w:p w14:paraId="3D976FB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9 </w:t>
            </w:r>
            <w:r w:rsidRPr="004C5182">
              <w:rPr>
                <w:rFonts w:ascii="Helvetica" w:eastAsia="Helvetica" w:hAnsi="Helvetica" w:cs="Helvetica"/>
                <w:sz w:val="14"/>
                <w:szCs w:val="14"/>
              </w:rPr>
              <w:br/>
              <w:t>(5.1%)</w:t>
            </w:r>
          </w:p>
        </w:tc>
        <w:tc>
          <w:tcPr>
            <w:tcW w:w="542" w:type="pct"/>
            <w:vAlign w:val="center"/>
          </w:tcPr>
          <w:p w14:paraId="75A6580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(8.7%)</w:t>
            </w:r>
          </w:p>
        </w:tc>
        <w:tc>
          <w:tcPr>
            <w:tcW w:w="527" w:type="pct"/>
            <w:vAlign w:val="center"/>
          </w:tcPr>
          <w:p w14:paraId="098B4755"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r w:rsidR="0029745C" w:rsidRPr="004C5182" w14:paraId="20AE8654" w14:textId="77777777">
        <w:tc>
          <w:tcPr>
            <w:tcW w:w="724" w:type="pct"/>
          </w:tcPr>
          <w:p w14:paraId="02737E1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hospital ward</w:t>
            </w:r>
            <w:r w:rsidRPr="004C5182">
              <w:rPr>
                <w:rFonts w:cs="Arial"/>
                <w:sz w:val="14"/>
                <w:szCs w:val="14"/>
                <w:vertAlign w:val="superscript"/>
              </w:rPr>
              <w:t>†</w:t>
            </w:r>
          </w:p>
        </w:tc>
        <w:tc>
          <w:tcPr>
            <w:tcW w:w="542" w:type="pct"/>
            <w:vAlign w:val="center"/>
          </w:tcPr>
          <w:p w14:paraId="23B9F4A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(1.4%)</w:t>
            </w:r>
          </w:p>
        </w:tc>
        <w:tc>
          <w:tcPr>
            <w:tcW w:w="527" w:type="pct"/>
            <w:vAlign w:val="center"/>
          </w:tcPr>
          <w:p w14:paraId="2FEA9304"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34 </w:t>
            </w:r>
            <w:r w:rsidRPr="004C5182">
              <w:rPr>
                <w:rFonts w:ascii="Helvetica" w:eastAsia="Helvetica" w:hAnsi="Helvetica" w:cs="Helvetica"/>
                <w:sz w:val="14"/>
                <w:szCs w:val="14"/>
              </w:rPr>
              <w:br/>
              <w:t>(4.8%)</w:t>
            </w:r>
          </w:p>
        </w:tc>
        <w:tc>
          <w:tcPr>
            <w:tcW w:w="542" w:type="pct"/>
            <w:vAlign w:val="center"/>
          </w:tcPr>
          <w:p w14:paraId="5516D8B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 </w:t>
            </w:r>
            <w:r w:rsidRPr="004C5182">
              <w:rPr>
                <w:rFonts w:ascii="Helvetica" w:eastAsia="Helvetica" w:hAnsi="Helvetica" w:cs="Helvetica"/>
                <w:sz w:val="14"/>
                <w:szCs w:val="14"/>
              </w:rPr>
              <w:br/>
              <w:t>(2.6%)</w:t>
            </w:r>
          </w:p>
        </w:tc>
        <w:tc>
          <w:tcPr>
            <w:tcW w:w="527" w:type="pct"/>
            <w:vAlign w:val="center"/>
          </w:tcPr>
          <w:p w14:paraId="6884E3A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(2.5%)</w:t>
            </w:r>
          </w:p>
        </w:tc>
        <w:tc>
          <w:tcPr>
            <w:tcW w:w="542" w:type="pct"/>
            <w:vAlign w:val="center"/>
          </w:tcPr>
          <w:p w14:paraId="4D1DA10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7" w:type="pct"/>
            <w:vAlign w:val="center"/>
          </w:tcPr>
          <w:p w14:paraId="04B882D0"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3 </w:t>
            </w:r>
            <w:r w:rsidRPr="004C5182">
              <w:rPr>
                <w:rFonts w:ascii="Helvetica" w:eastAsia="Helvetica" w:hAnsi="Helvetica" w:cs="Helvetica"/>
                <w:sz w:val="14"/>
                <w:szCs w:val="14"/>
              </w:rPr>
              <w:br/>
              <w:t>(1.7%)</w:t>
            </w:r>
          </w:p>
        </w:tc>
        <w:tc>
          <w:tcPr>
            <w:tcW w:w="542" w:type="pct"/>
            <w:vAlign w:val="center"/>
          </w:tcPr>
          <w:p w14:paraId="357F082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0 </w:t>
            </w:r>
            <w:r w:rsidRPr="004C5182">
              <w:rPr>
                <w:rFonts w:ascii="Helvetica" w:eastAsia="Helvetica" w:hAnsi="Helvetica" w:cs="Helvetica"/>
                <w:sz w:val="14"/>
                <w:szCs w:val="14"/>
              </w:rPr>
              <w:br/>
              <w:t>(0%)</w:t>
            </w:r>
          </w:p>
        </w:tc>
        <w:tc>
          <w:tcPr>
            <w:tcW w:w="527" w:type="pct"/>
            <w:vAlign w:val="center"/>
          </w:tcPr>
          <w:p w14:paraId="6569A36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2 </w:t>
            </w:r>
            <w:r w:rsidRPr="004C5182">
              <w:rPr>
                <w:rFonts w:ascii="Helvetica" w:eastAsia="Helvetica" w:hAnsi="Helvetica" w:cs="Helvetica"/>
                <w:sz w:val="14"/>
                <w:szCs w:val="14"/>
              </w:rPr>
              <w:br/>
              <w:t>(0.8%)</w:t>
            </w:r>
          </w:p>
        </w:tc>
      </w:tr>
      <w:tr w:rsidR="0029745C" w:rsidRPr="004C5182" w14:paraId="2B048CC6" w14:textId="77777777">
        <w:tc>
          <w:tcPr>
            <w:tcW w:w="724" w:type="pct"/>
          </w:tcPr>
          <w:p w14:paraId="62640B2C"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Missing</w:t>
            </w:r>
            <w:r w:rsidRPr="004C5182">
              <w:rPr>
                <w:rFonts w:cs="Arial"/>
                <w:sz w:val="14"/>
                <w:szCs w:val="14"/>
                <w:vertAlign w:val="superscript"/>
              </w:rPr>
              <w:t>‡</w:t>
            </w:r>
          </w:p>
        </w:tc>
        <w:tc>
          <w:tcPr>
            <w:tcW w:w="542" w:type="pct"/>
            <w:vAlign w:val="center"/>
          </w:tcPr>
          <w:p w14:paraId="330D7BD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14 (19.4%)</w:t>
            </w:r>
          </w:p>
        </w:tc>
        <w:tc>
          <w:tcPr>
            <w:tcW w:w="527" w:type="pct"/>
            <w:vAlign w:val="center"/>
          </w:tcPr>
          <w:p w14:paraId="2754AD51"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41 </w:t>
            </w:r>
            <w:r w:rsidRPr="004C5182">
              <w:rPr>
                <w:rFonts w:ascii="Helvetica" w:eastAsia="Helvetica" w:hAnsi="Helvetica" w:cs="Helvetica"/>
                <w:sz w:val="14"/>
                <w:szCs w:val="14"/>
              </w:rPr>
              <w:br/>
              <w:t>(5.8%)</w:t>
            </w:r>
          </w:p>
        </w:tc>
        <w:tc>
          <w:tcPr>
            <w:tcW w:w="542" w:type="pct"/>
            <w:vAlign w:val="center"/>
          </w:tcPr>
          <w:p w14:paraId="7689B77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29 (25.2%)</w:t>
            </w:r>
          </w:p>
        </w:tc>
        <w:tc>
          <w:tcPr>
            <w:tcW w:w="527" w:type="pct"/>
            <w:vAlign w:val="center"/>
          </w:tcPr>
          <w:p w14:paraId="1C505588"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36 (11.3%)</w:t>
            </w:r>
          </w:p>
        </w:tc>
        <w:tc>
          <w:tcPr>
            <w:tcW w:w="542" w:type="pct"/>
            <w:vAlign w:val="center"/>
          </w:tcPr>
          <w:p w14:paraId="50EDFB47"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 </w:t>
            </w:r>
            <w:r w:rsidRPr="004C5182">
              <w:rPr>
                <w:rFonts w:ascii="Helvetica" w:eastAsia="Helvetica" w:hAnsi="Helvetica" w:cs="Helvetica"/>
                <w:sz w:val="14"/>
                <w:szCs w:val="14"/>
              </w:rPr>
              <w:br/>
              <w:t>(5.6%)</w:t>
            </w:r>
          </w:p>
        </w:tc>
        <w:tc>
          <w:tcPr>
            <w:tcW w:w="527" w:type="pct"/>
            <w:vAlign w:val="center"/>
          </w:tcPr>
          <w:p w14:paraId="54CDA776"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6 </w:t>
            </w:r>
            <w:r w:rsidRPr="004C5182">
              <w:rPr>
                <w:rFonts w:ascii="Helvetica" w:eastAsia="Helvetica" w:hAnsi="Helvetica" w:cs="Helvetica"/>
                <w:sz w:val="14"/>
                <w:szCs w:val="14"/>
              </w:rPr>
              <w:br/>
              <w:t>(3.4%)</w:t>
            </w:r>
          </w:p>
        </w:tc>
        <w:tc>
          <w:tcPr>
            <w:tcW w:w="542" w:type="pct"/>
            <w:vAlign w:val="center"/>
          </w:tcPr>
          <w:p w14:paraId="709E3D72"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8 </w:t>
            </w:r>
            <w:r w:rsidRPr="004C5182">
              <w:rPr>
                <w:rFonts w:ascii="Helvetica" w:eastAsia="Helvetica" w:hAnsi="Helvetica" w:cs="Helvetica"/>
                <w:sz w:val="14"/>
                <w:szCs w:val="14"/>
              </w:rPr>
              <w:br/>
              <w:t>(34.8%)</w:t>
            </w:r>
          </w:p>
        </w:tc>
        <w:tc>
          <w:tcPr>
            <w:tcW w:w="527" w:type="pct"/>
            <w:vAlign w:val="center"/>
          </w:tcPr>
          <w:p w14:paraId="01A8279E" w14:textId="77777777" w:rsidR="002F1133" w:rsidRPr="004C5182" w:rsidRDefault="002F1133">
            <w:pPr>
              <w:pBdr>
                <w:top w:val="none" w:sz="0" w:space="0" w:color="000000"/>
                <w:left w:val="none" w:sz="0" w:space="0" w:color="000000"/>
                <w:bottom w:val="none" w:sz="0" w:space="0" w:color="000000"/>
                <w:right w:val="none" w:sz="0" w:space="0" w:color="000000"/>
              </w:pBdr>
              <w:ind w:left="100" w:right="100"/>
              <w:jc w:val="right"/>
              <w:rPr>
                <w:sz w:val="14"/>
                <w:szCs w:val="14"/>
              </w:rPr>
            </w:pPr>
            <w:r w:rsidRPr="004C5182">
              <w:rPr>
                <w:rFonts w:ascii="Helvetica" w:eastAsia="Helvetica" w:hAnsi="Helvetica" w:cs="Helvetica"/>
                <w:sz w:val="14"/>
                <w:szCs w:val="14"/>
              </w:rPr>
              <w:t xml:space="preserve">13 </w:t>
            </w:r>
            <w:r w:rsidRPr="004C5182">
              <w:rPr>
                <w:rFonts w:ascii="Helvetica" w:eastAsia="Helvetica" w:hAnsi="Helvetica" w:cs="Helvetica"/>
                <w:sz w:val="14"/>
                <w:szCs w:val="14"/>
              </w:rPr>
              <w:br/>
              <w:t>(5.3%)</w:t>
            </w:r>
          </w:p>
        </w:tc>
      </w:tr>
    </w:tbl>
    <w:p w14:paraId="0756DD22" w14:textId="1DB3BBE3" w:rsidR="000F69E9" w:rsidRDefault="00DA3F8E">
      <w:pPr>
        <w:pStyle w:val="Smalltext"/>
      </w:pPr>
      <w:r>
        <w:t>Note: Includes two patients with viral co-infection of multiple pathogens in the 28-day severity reporting period and 29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2A6E10A2" w14:textId="77777777" w:rsidR="000F69E9" w:rsidRDefault="00DA3F8E">
      <w:r>
        <w:br w:type="page"/>
      </w:r>
    </w:p>
    <w:p w14:paraId="5B80E1EE" w14:textId="77777777" w:rsidR="000F69E9" w:rsidRDefault="00DA3F8E">
      <w:pPr>
        <w:pStyle w:val="Heading3"/>
      </w:pPr>
      <w:bookmarkStart w:id="16" w:name="case-based-surveillance-1"/>
      <w:bookmarkEnd w:id="13"/>
      <w:bookmarkEnd w:id="15"/>
      <w:r>
        <w:lastRenderedPageBreak/>
        <w:t>2.2 Case-based surveillance</w:t>
      </w:r>
    </w:p>
    <w:p w14:paraId="7A684172" w14:textId="77777777" w:rsidR="000F69E9" w:rsidRDefault="00DA3F8E">
      <w:pPr>
        <w:pStyle w:val="Heading4"/>
      </w:pPr>
      <w:bookmarkStart w:id="17" w:name="nndss-1"/>
      <w:r>
        <w:t>NNDSS</w:t>
      </w:r>
    </w:p>
    <w:p w14:paraId="0CA3B864" w14:textId="77777777" w:rsidR="000F69E9" w:rsidRDefault="00DA3F8E">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8">
        <w:r>
          <w:rPr>
            <w:rStyle w:val="Hyperlink"/>
          </w:rPr>
          <w:t>Technical Supplement – Australian Respiratory Surveillance Report</w:t>
        </w:r>
      </w:hyperlink>
      <w:r>
        <w:t>.</w:t>
      </w:r>
    </w:p>
    <w:p w14:paraId="7FE57F1C" w14:textId="77777777" w:rsidR="000F69E9" w:rsidRDefault="00DA3F8E" w:rsidP="009A15CD">
      <w:pPr>
        <w:numPr>
          <w:ilvl w:val="0"/>
          <w:numId w:val="32"/>
        </w:numPr>
      </w:pPr>
      <w:r>
        <w:t>In the year to date for severity reporting (1 January to 14 July 2024), there have been 1,365 COVID-19-associated deaths notified to the NNDSS (Table 3).</w:t>
      </w:r>
    </w:p>
    <w:p w14:paraId="224A4A83" w14:textId="77777777" w:rsidR="000F69E9" w:rsidRDefault="00DA3F8E" w:rsidP="009A15CD">
      <w:pPr>
        <w:numPr>
          <w:ilvl w:val="0"/>
          <w:numId w:val="32"/>
        </w:numPr>
      </w:pPr>
      <w:r>
        <w:t>In the year to date for severity reporting, there have been 183 influenza-associated deaths notified to the NNDSS (Table 3).</w:t>
      </w:r>
    </w:p>
    <w:p w14:paraId="17194874" w14:textId="77777777" w:rsidR="000F69E9" w:rsidRDefault="00DA3F8E" w:rsidP="009A15CD">
      <w:pPr>
        <w:numPr>
          <w:ilvl w:val="1"/>
          <w:numId w:val="33"/>
        </w:numPr>
      </w:pPr>
      <w:r>
        <w:t>Of the influenza-associated deaths, 92.3% (169/183) have been attributed to influenza A(Unsubtyped), 4.9% (9/183) to influenza A(H1N1), 2.2% (4/183) to influenza A(H3N2), and 0.5% (1/183) to influenza B.</w:t>
      </w:r>
    </w:p>
    <w:p w14:paraId="3FFD3AD8" w14:textId="77777777" w:rsidR="000F69E9" w:rsidRDefault="00DA3F8E" w:rsidP="009A15CD">
      <w:pPr>
        <w:numPr>
          <w:ilvl w:val="0"/>
          <w:numId w:val="32"/>
        </w:numPr>
      </w:pPr>
      <w:r>
        <w:t>In the year to date for severity reporting, there have been 103 RSV-associated deaths notified to the NNDSS (Table 3).</w:t>
      </w:r>
    </w:p>
    <w:p w14:paraId="70C74CDA" w14:textId="77777777" w:rsidR="000F69E9" w:rsidRDefault="00DA3F8E">
      <w:r>
        <w:rPr>
          <w:b/>
          <w:bCs/>
        </w:rPr>
        <w:t>Table 3: Notifications of deaths to the NNDSS and mortality rates per 100,000 population by disease and ten-year age groups*</w:t>
      </w:r>
      <w:r>
        <w:rPr>
          <w:b/>
          <w:bCs/>
          <w:vertAlign w:val="superscript"/>
        </w:rPr>
        <w:t>†‡</w:t>
      </w:r>
      <w:r>
        <w:rPr>
          <w:b/>
          <w:bCs/>
        </w:rPr>
        <w:t>, Australia, 1 January to 14 July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14 July 2024 and mortality rates per 100,000 population by ten-year age group in years (0–9, 10–19, 20–29, 30–39, 40–49, 50–59, 60–69, 70+). In 2024 to date, there have been 1,365 COVID-19, 183 influenza, and 103 RSV-associated deaths notified to the NNDSS. The highest mortality rates per 100,000 population were among those aged 70 years or over across the three diseases (37.5 notifications per 100,000 population for COVID-19-associated deaths, 4.4 notifications per 100,000 population for influenza-associated deaths and 2.6 notifications per 100,000 population for RSV-associated deaths). Note, to reduce the risk of re-identification, primary cell suppression has been applied to table cells with a value of &lt; 5. Cell suppression has not been applied to total cells."/>
      </w:tblPr>
      <w:tblGrid>
        <w:gridCol w:w="2236"/>
        <w:gridCol w:w="1285"/>
        <w:gridCol w:w="1523"/>
        <w:gridCol w:w="1047"/>
        <w:gridCol w:w="1285"/>
        <w:gridCol w:w="1069"/>
        <w:gridCol w:w="1307"/>
      </w:tblGrid>
      <w:tr w:rsidR="000F69E9" w14:paraId="4EB4A6F6" w14:textId="77777777" w:rsidTr="000F4A6A">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DC45FA" w14:textId="77777777" w:rsidR="000F69E9" w:rsidRDefault="000F69E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4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754830" w14:textId="3E85F35A" w:rsidR="000F69E9" w:rsidRDefault="000F4A6A" w:rsidP="000F4A6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DA3F8E">
              <w:rPr>
                <w:rFonts w:eastAsia="Arial" w:cs="Arial"/>
                <w:b/>
                <w:color w:val="033636"/>
                <w:sz w:val="18"/>
                <w:szCs w:val="18"/>
              </w:rPr>
              <w:t>COVID-19</w:t>
            </w:r>
          </w:p>
        </w:tc>
        <w:tc>
          <w:tcPr>
            <w:tcW w:w="1196"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5F0E0A" w14:textId="78588604" w:rsidR="000F69E9" w:rsidRDefault="000F4A6A" w:rsidP="000F4A6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DA3F8E">
              <w:rPr>
                <w:rFonts w:eastAsia="Arial" w:cs="Arial"/>
                <w:b/>
                <w:color w:val="033636"/>
                <w:sz w:val="18"/>
                <w:szCs w:val="18"/>
              </w:rPr>
              <w:t>Influenza</w:t>
            </w:r>
          </w:p>
        </w:tc>
        <w:tc>
          <w:tcPr>
            <w:tcW w:w="1218"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AA5CBE" w14:textId="6AB0BA2A" w:rsidR="000F69E9" w:rsidRDefault="000F4A6A" w:rsidP="000F4A6A">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DA3F8E">
              <w:rPr>
                <w:rFonts w:eastAsia="Arial" w:cs="Arial"/>
                <w:b/>
                <w:color w:val="033636"/>
                <w:sz w:val="18"/>
                <w:szCs w:val="18"/>
              </w:rPr>
              <w:t>RSV</w:t>
            </w:r>
          </w:p>
        </w:tc>
      </w:tr>
      <w:tr w:rsidR="000F69E9" w:rsidRPr="00522FED" w14:paraId="30D3EBE8" w14:textId="77777777" w:rsidTr="00942648">
        <w:trPr>
          <w:tblHeader/>
          <w:jc w:val="center"/>
        </w:trPr>
        <w:tc>
          <w:tcPr>
            <w:tcW w:w="114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375FF37" w14:textId="77777777" w:rsidR="000F69E9" w:rsidRPr="00522FED" w:rsidRDefault="000F69E9">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659"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60CC9E45"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(n)</w:t>
            </w:r>
          </w:p>
        </w:tc>
        <w:tc>
          <w:tcPr>
            <w:tcW w:w="781"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24E0AD3C"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(rate)</w:t>
            </w:r>
          </w:p>
        </w:tc>
        <w:tc>
          <w:tcPr>
            <w:tcW w:w="537"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5A62AD6A"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(n)</w:t>
            </w:r>
          </w:p>
        </w:tc>
        <w:tc>
          <w:tcPr>
            <w:tcW w:w="659"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16A39473"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(rate)</w:t>
            </w:r>
          </w:p>
        </w:tc>
        <w:tc>
          <w:tcPr>
            <w:tcW w:w="548"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1C82CA8F"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(n)</w:t>
            </w:r>
          </w:p>
        </w:tc>
        <w:tc>
          <w:tcPr>
            <w:tcW w:w="670" w:type="pct"/>
            <w:tcBorders>
              <w:top w:val="single" w:sz="12" w:space="0" w:color="93F9F9" w:themeColor="text1" w:themeTint="40"/>
              <w:left w:val="none" w:sz="0" w:space="0" w:color="000000"/>
              <w:bottom w:val="single" w:sz="12" w:space="0" w:color="93F9F9" w:themeColor="text1" w:themeTint="40"/>
              <w:right w:val="none" w:sz="0" w:space="0" w:color="000000"/>
            </w:tcBorders>
            <w:shd w:val="clear" w:color="auto" w:fill="00DCA1"/>
            <w:tcMar>
              <w:top w:w="0" w:type="dxa"/>
              <w:left w:w="0" w:type="dxa"/>
              <w:bottom w:w="0" w:type="dxa"/>
              <w:right w:w="0" w:type="dxa"/>
            </w:tcMar>
            <w:vAlign w:val="center"/>
          </w:tcPr>
          <w:p w14:paraId="60A18E10" w14:textId="77777777" w:rsidR="000F69E9" w:rsidRPr="00522FED"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522FED">
              <w:rPr>
                <w:rFonts w:eastAsia="Arial" w:cs="Arial"/>
                <w:b/>
                <w:color w:val="033636"/>
                <w:sz w:val="14"/>
                <w:szCs w:val="14"/>
              </w:rPr>
              <w:t>Year to</w:t>
            </w:r>
            <w:r w:rsidRPr="00522FED">
              <w:rPr>
                <w:rFonts w:eastAsia="Arial" w:cs="Arial"/>
                <w:b/>
                <w:color w:val="033636"/>
                <w:sz w:val="14"/>
                <w:szCs w:val="14"/>
              </w:rPr>
              <w:br/>
              <w:t>date</w:t>
            </w:r>
            <w:r w:rsidRPr="00522FED">
              <w:rPr>
                <w:rFonts w:eastAsia="Arial" w:cs="Arial"/>
                <w:b/>
                <w:color w:val="033636"/>
                <w:sz w:val="14"/>
                <w:szCs w:val="14"/>
              </w:rPr>
              <w:br/>
              <w:t>(rate)</w:t>
            </w:r>
          </w:p>
        </w:tc>
      </w:tr>
      <w:tr w:rsidR="000F69E9" w14:paraId="1C541E0D" w14:textId="77777777" w:rsidTr="00942648">
        <w:trPr>
          <w:tblHeader/>
          <w:jc w:val="center"/>
        </w:trPr>
        <w:tc>
          <w:tcPr>
            <w:tcW w:w="5000" w:type="pct"/>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D8E84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0F69E9" w14:paraId="7E2451E7"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1190E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1758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7933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77B8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A95A7"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BF691"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EFCC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26FF0C92"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67158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B2041B"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469C1"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6A0B2C"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B6CB4"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60771"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18298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4851C4C9"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20AA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AFFC7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6345B"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36517"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A21FB"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6997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FB1B43"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1745FA95"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73F2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3E260A"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461EE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D6D5F"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9B85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1D1EC"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F2F4A"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02A8F359"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AF1A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5977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09D8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9049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31CA94"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3572AD"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D015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F69E9" w14:paraId="10FAB92C"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8C4C2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2AEE4"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C442F"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1.2</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09385"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4823F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999679"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E7993"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0F69E9" w14:paraId="19B7CAC5"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9E8C5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C0BFA"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44C37"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3.3</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C9E05"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6D698"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0.6</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36893"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FA3B2"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0F69E9" w14:paraId="7B91ACC4"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A98A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ECAC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1,210</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72B02"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37.5</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9D454"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0363DF"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4.4</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B352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41760"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2.6</w:t>
            </w:r>
          </w:p>
        </w:tc>
      </w:tr>
      <w:tr w:rsidR="000F69E9" w14:paraId="1D4993DC" w14:textId="77777777" w:rsidTr="00942648">
        <w:trPr>
          <w:jc w:val="center"/>
        </w:trPr>
        <w:tc>
          <w:tcPr>
            <w:tcW w:w="114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DD4D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A01E9"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1,365</w:t>
            </w:r>
          </w:p>
        </w:tc>
        <w:tc>
          <w:tcPr>
            <w:tcW w:w="781"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8130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5.1</w:t>
            </w:r>
          </w:p>
        </w:tc>
        <w:tc>
          <w:tcPr>
            <w:tcW w:w="53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E9CAE"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183</w:t>
            </w:r>
          </w:p>
        </w:tc>
        <w:tc>
          <w:tcPr>
            <w:tcW w:w="65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D8E56"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0.7</w:t>
            </w:r>
          </w:p>
        </w:tc>
        <w:tc>
          <w:tcPr>
            <w:tcW w:w="54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CA4BE3"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103</w:t>
            </w:r>
          </w:p>
        </w:tc>
        <w:tc>
          <w:tcPr>
            <w:tcW w:w="67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E2AB7" w14:textId="77777777" w:rsidR="000F69E9" w:rsidRDefault="00DA3F8E" w:rsidP="009426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0.4</w:t>
            </w:r>
          </w:p>
        </w:tc>
      </w:tr>
    </w:tbl>
    <w:p w14:paraId="43BED26B" w14:textId="41247C3D" w:rsidR="000F69E9" w:rsidRDefault="00DA3F8E" w:rsidP="000F4A6A">
      <w:pPr>
        <w:pStyle w:val="Smalltext"/>
      </w:pPr>
      <w:r>
        <w:t>Note: To reduce the risk of re-identification, primary cell suppression has been applied to cells with a value of &lt; 5.</w:t>
      </w:r>
      <w:r>
        <w:b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r>
        <w:br w:type="page"/>
      </w:r>
    </w:p>
    <w:p w14:paraId="0A9B346E" w14:textId="77777777" w:rsidR="000F69E9" w:rsidRDefault="00DA3F8E">
      <w:pPr>
        <w:pStyle w:val="Heading2"/>
      </w:pPr>
      <w:bookmarkStart w:id="18" w:name="at-risk-populations"/>
      <w:bookmarkEnd w:id="12"/>
      <w:bookmarkEnd w:id="16"/>
      <w:bookmarkEnd w:id="17"/>
      <w:r>
        <w:lastRenderedPageBreak/>
        <w:t>3. At-risk populations*</w:t>
      </w:r>
    </w:p>
    <w:p w14:paraId="7F372677" w14:textId="77777777" w:rsidR="000F69E9" w:rsidRDefault="00DA3F8E">
      <w:pPr>
        <w:pStyle w:val="Boxheading"/>
      </w:pPr>
      <w:r>
        <w:t>At-risk populations are people who may be more susceptible to infection with circulating respiratory viruses and/or who may be more likely to experience severe disease associated with their infection.</w:t>
      </w:r>
    </w:p>
    <w:p w14:paraId="01CBA084" w14:textId="77777777" w:rsidR="000F69E9" w:rsidRDefault="00DA3F8E">
      <w:pPr>
        <w:pStyle w:val="Heading3"/>
      </w:pPr>
      <w:bookmarkStart w:id="19" w:name="hospital-based-surveillance-1"/>
      <w:r>
        <w:t>3.1 Hospital-based surveillance</w:t>
      </w:r>
    </w:p>
    <w:p w14:paraId="7BD99009" w14:textId="77777777" w:rsidR="000F69E9" w:rsidRDefault="00DA3F8E">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6477B04A" w14:textId="77777777" w:rsidR="000F69E9" w:rsidRDefault="00DA3F8E">
      <w:pPr>
        <w:pStyle w:val="Heading4"/>
      </w:pPr>
      <w:bookmarkStart w:id="20" w:name="flucan"/>
      <w:r>
        <w:t>FluCAN</w:t>
      </w:r>
    </w:p>
    <w:p w14:paraId="5EB303F0" w14:textId="77777777" w:rsidR="000F69E9" w:rsidRDefault="00DA3F8E">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14AAEE19" w14:textId="77777777" w:rsidR="000F69E9" w:rsidRDefault="00DA3F8E">
      <w:pPr>
        <w:pStyle w:val="BodyText"/>
      </w:pPr>
      <w:r>
        <w:t>In FluCAN sentinel hospitals RSV surveillance commenced on 1 April 2024; however, due to unforeseen issues RSV data are not yet available. These data will be included in future iterations of the Australian Respiratory Surveillance Report.</w:t>
      </w:r>
    </w:p>
    <w:p w14:paraId="7C7CFBBC" w14:textId="29CAE3C3" w:rsidR="000F69E9" w:rsidRDefault="00DA3F8E" w:rsidP="009A15CD">
      <w:pPr>
        <w:numPr>
          <w:ilvl w:val="0"/>
          <w:numId w:val="34"/>
        </w:numPr>
      </w:pPr>
      <w:r>
        <w:t>In the year to date for FluCAN severity reporting (1 January to 14 July 2024), there have been 1,00</w:t>
      </w:r>
      <w:r w:rsidR="004E51D0">
        <w:t>4</w:t>
      </w:r>
      <w:r>
        <w:t xml:space="preserve"> paediatric patients admitted with COVID-19 to FluCAN sentinel hospitals (Figure 12). The median age at admission was 1 year (IQR: 0–4 years) and 7.4% (74/1,00</w:t>
      </w:r>
      <w:r w:rsidR="004E51D0">
        <w:t>4</w:t>
      </w:r>
      <w:r>
        <w:t>) of admissions were among Aboriginal and Torres Strait Islander people.</w:t>
      </w:r>
    </w:p>
    <w:p w14:paraId="61D26683" w14:textId="77777777" w:rsidR="000F69E9" w:rsidRDefault="00DA3F8E" w:rsidP="009A15CD">
      <w:pPr>
        <w:numPr>
          <w:ilvl w:val="1"/>
          <w:numId w:val="35"/>
        </w:numPr>
      </w:pPr>
      <w:r>
        <w:t>The highest proportion of paediatric patients admitted with COVID-19 to FluCAN sentinel hospitals with a direct admission to intensive care has been in those aged 6 months–4 years.</w:t>
      </w:r>
    </w:p>
    <w:p w14:paraId="5FB39C4F" w14:textId="77777777" w:rsidR="000F69E9" w:rsidRDefault="00DA3F8E" w:rsidP="009A15CD">
      <w:pPr>
        <w:numPr>
          <w:ilvl w:val="0"/>
          <w:numId w:val="34"/>
        </w:numPr>
      </w:pPr>
      <w:r>
        <w:t>In the year to date for FluCAN severity reporting, there have been 2,171 adult patients admitted with COVID-19 to FluCAN sentinel hospitals (Figure 12). The median age at admission was 75 years (IQR: 62–84 years) and 3.5% (76/2,171) of admissions were among Aboriginal and Torres Strait Islander people.</w:t>
      </w:r>
    </w:p>
    <w:p w14:paraId="0880720C" w14:textId="77777777" w:rsidR="000F69E9" w:rsidRDefault="00DA3F8E" w:rsidP="009A15CD">
      <w:pPr>
        <w:numPr>
          <w:ilvl w:val="1"/>
          <w:numId w:val="36"/>
        </w:numPr>
      </w:pPr>
      <w:r>
        <w:t>The highest proportion of adult patients admitted with COVID-19 to FluCAN sentinel hospitals with a direct admission to intensive care has been in those aged 65+ years.</w:t>
      </w:r>
    </w:p>
    <w:p w14:paraId="42A3E6B0" w14:textId="77777777" w:rsidR="000F69E9" w:rsidRDefault="00DA3F8E" w:rsidP="009A15CD">
      <w:pPr>
        <w:numPr>
          <w:ilvl w:val="0"/>
          <w:numId w:val="34"/>
        </w:numPr>
      </w:pPr>
      <w:r>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12).</w:t>
      </w:r>
    </w:p>
    <w:p w14:paraId="24D5CDD9" w14:textId="77777777" w:rsidR="000F69E9" w:rsidRDefault="000F69E9"/>
    <w:p w14:paraId="3946C47D" w14:textId="77777777" w:rsidR="000F69E9" w:rsidRDefault="00DA3F8E">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AECD443" w14:textId="77777777" w:rsidR="000F69E9" w:rsidRDefault="00DA3F8E">
      <w:pPr>
        <w:pStyle w:val="BodyText"/>
      </w:pPr>
      <w:r>
        <w:rPr>
          <w:b/>
          <w:bCs/>
        </w:rPr>
        <w:lastRenderedPageBreak/>
        <w:t>Figure 12: Number of patients admitted with confirmed COVID-19 to FluCAN sentinel hospitals by age group, year and week of admission*, Australia, 2020 to 14 July 2024</w:t>
      </w:r>
    </w:p>
    <w:p w14:paraId="1A97FAEA" w14:textId="77777777" w:rsidR="000F69E9" w:rsidRDefault="00DA3F8E">
      <w:pPr>
        <w:pStyle w:val="BodyText"/>
      </w:pPr>
      <w:r>
        <w:rPr>
          <w:noProof/>
        </w:rPr>
        <w:drawing>
          <wp:inline distT="0" distB="0" distL="0" distR="0" wp14:anchorId="1FE05B1D" wp14:editId="3D453B0B">
            <wp:extent cx="6184900" cy="4183344"/>
            <wp:effectExtent l="0" t="0" r="0" b="0"/>
            <wp:docPr id="76"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 decreasing tren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 decreasing trend. In 2024, approximately half of the admissions with confirmed COVID-19 to FluCAN sentinel hospitals have been in those aged 65 years or over."/>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53819E20" w14:textId="77777777" w:rsidR="000F69E9" w:rsidRDefault="00DA3F8E">
      <w:pPr>
        <w:pStyle w:val="Smalltext"/>
      </w:pPr>
      <w:r>
        <w:t>* Axis varies between years.</w:t>
      </w:r>
    </w:p>
    <w:p w14:paraId="2E9C1787" w14:textId="77777777" w:rsidR="000F69E9" w:rsidRDefault="000F69E9">
      <w:pPr>
        <w:pStyle w:val="Smalltext"/>
      </w:pPr>
    </w:p>
    <w:p w14:paraId="353F7115" w14:textId="757F2B3D" w:rsidR="000F69E9" w:rsidRDefault="00DA3F8E" w:rsidP="009A15CD">
      <w:pPr>
        <w:numPr>
          <w:ilvl w:val="0"/>
          <w:numId w:val="37"/>
        </w:numPr>
      </w:pPr>
      <w:r>
        <w:t>Since influenza surveillance commenced on 1 April 2024 to date for FluCAN severity reporting (14 July 2024), there have been 1,09</w:t>
      </w:r>
      <w:r w:rsidR="009B2B50">
        <w:t>8</w:t>
      </w:r>
      <w:r>
        <w:t xml:space="preserve"> paediatric patients admitted with influenza to FluCAN sentinel hospitals (Figure 13). The median age at admission was 4 years (IQR: 1–7 years) and 7.4% (81/1,09</w:t>
      </w:r>
      <w:r w:rsidR="009B2B50">
        <w:t>8</w:t>
      </w:r>
      <w:r>
        <w:t>) of admissions were among Aboriginal and Torres Strait Islander people.</w:t>
      </w:r>
    </w:p>
    <w:p w14:paraId="5DE200B4" w14:textId="77777777" w:rsidR="000F69E9" w:rsidRDefault="00DA3F8E" w:rsidP="009A15CD">
      <w:pPr>
        <w:numPr>
          <w:ilvl w:val="1"/>
          <w:numId w:val="38"/>
        </w:numPr>
      </w:pPr>
      <w:r>
        <w:t>The highest proportion of paediatric patients with influenza admitted to FluCAN sentinel hospitals with a direct admission to intensive care has been in those aged 5–16 years.</w:t>
      </w:r>
    </w:p>
    <w:p w14:paraId="4241DD92" w14:textId="77777777" w:rsidR="000F69E9" w:rsidRDefault="00DA3F8E" w:rsidP="009A15CD">
      <w:pPr>
        <w:numPr>
          <w:ilvl w:val="0"/>
          <w:numId w:val="37"/>
        </w:numPr>
      </w:pPr>
      <w:r>
        <w:t>Since influenza surveillance commenced on 1 April 2024 to date for FluCAN severity reporting, there have been 900 adult patients admitted with influenza to FluCAN sentinel hospitals (Figure 13). The median age at admission was 63 years (IQR: 47–76 years) and 12.6% (113/900) of admissions were among Aboriginal and Torres Strait Islander people.</w:t>
      </w:r>
    </w:p>
    <w:p w14:paraId="73DDFE41" w14:textId="77777777" w:rsidR="000F69E9" w:rsidRDefault="00DA3F8E" w:rsidP="009A15CD">
      <w:pPr>
        <w:numPr>
          <w:ilvl w:val="1"/>
          <w:numId w:val="39"/>
        </w:numPr>
      </w:pPr>
      <w:r>
        <w:t>The highest proportion of adult patients with influenza admitted to FluCAN sentinel hospitals with a direct admission to intensive care has been in those aged 17–64 years.</w:t>
      </w:r>
    </w:p>
    <w:p w14:paraId="26700A1D" w14:textId="77777777" w:rsidR="000F69E9" w:rsidRDefault="00DA3F8E">
      <w:r>
        <w:br w:type="page"/>
      </w:r>
    </w:p>
    <w:p w14:paraId="3340AFCF" w14:textId="77777777" w:rsidR="000F69E9" w:rsidRDefault="00DA3F8E">
      <w:r>
        <w:rPr>
          <w:b/>
          <w:bCs/>
        </w:rPr>
        <w:lastRenderedPageBreak/>
        <w:t>Figure 13: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14 July 2024</w:t>
      </w:r>
    </w:p>
    <w:p w14:paraId="53A577A8" w14:textId="77777777" w:rsidR="000F69E9" w:rsidRDefault="00DA3F8E">
      <w:pPr>
        <w:pStyle w:val="BodyText"/>
      </w:pPr>
      <w:r>
        <w:rPr>
          <w:noProof/>
        </w:rPr>
        <w:drawing>
          <wp:inline distT="0" distB="0" distL="0" distR="0" wp14:anchorId="08D5A2D3" wp14:editId="61447A45">
            <wp:extent cx="6184900" cy="4448954"/>
            <wp:effectExtent l="0" t="0" r="0" b="0"/>
            <wp:docPr id="79"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0DEC519C" w14:textId="77777777" w:rsidR="000F69E9" w:rsidRDefault="00DA3F8E">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3E037E87" w14:textId="4FFFE530" w:rsidR="000F69E9" w:rsidRDefault="00DA3F8E">
      <w:pPr>
        <w:pStyle w:val="Heading4"/>
      </w:pPr>
      <w:bookmarkStart w:id="21" w:name="Xb9d1969a5f1c96b247e675cdfbbd26559615878"/>
      <w:bookmarkEnd w:id="20"/>
      <w:r>
        <w:t xml:space="preserve">Paediatric Active Enhanced Disease Surveillance (PAEDS) </w:t>
      </w:r>
    </w:p>
    <w:p w14:paraId="2719C501" w14:textId="77777777" w:rsidR="000F69E9" w:rsidRDefault="00DA3F8E">
      <w:r>
        <w:t>This section will be updated every four weeks; therefore, reporting periods presented here may not align with other sections of the report.</w:t>
      </w:r>
    </w:p>
    <w:p w14:paraId="22A7878A" w14:textId="77777777" w:rsidR="000F69E9" w:rsidRDefault="00DA3F8E" w:rsidP="009A15CD">
      <w:pPr>
        <w:numPr>
          <w:ilvl w:val="0"/>
          <w:numId w:val="40"/>
        </w:numPr>
      </w:pPr>
      <w:r>
        <w:t>Since the start of the COVID-19 pandemic to date for PAEDS severity reporting (1 January 2020 to 14 July 2024), there have been 200 cases of possible, probable, or confirmed paediatric inflammatory multisystem syndrome – temporally associated with SARS-CoV-2 (PIMS-TS) admitted to PAEDS sentinel hospitals. To date for severity reporting, there have been no PIMS-TS associated deaths.</w:t>
      </w:r>
    </w:p>
    <w:p w14:paraId="10077A40" w14:textId="689C07B5" w:rsidR="000F69E9" w:rsidRDefault="00DA3F8E" w:rsidP="009A15CD">
      <w:pPr>
        <w:numPr>
          <w:ilvl w:val="0"/>
          <w:numId w:val="40"/>
        </w:numPr>
      </w:pPr>
      <w:r>
        <w:t xml:space="preserve">Since the start of the COVID-19 pandemic to date for PAEDS severity reporting, the highest proportion of PIMS-TS cases occurred in 2022 (66.0%; 132/200), followed by 2021 (15.0%; 30/200). </w:t>
      </w:r>
      <w:r w:rsidR="001162F0" w:rsidRPr="001162F0">
        <w:t>In the year to date for PAEDS severity reporting there have been 10 PIMS-TS cases reported, with the last PIMS-TS case reported in June 2024</w:t>
      </w:r>
      <w:r>
        <w:t>.</w:t>
      </w:r>
    </w:p>
    <w:p w14:paraId="09E996CF" w14:textId="5A594140" w:rsidR="000F69E9" w:rsidRDefault="00DA3F8E" w:rsidP="009A15CD">
      <w:pPr>
        <w:numPr>
          <w:ilvl w:val="0"/>
          <w:numId w:val="40"/>
        </w:numPr>
      </w:pPr>
      <w:proofErr w:type="gramStart"/>
      <w:r>
        <w:t>The majority of</w:t>
      </w:r>
      <w:proofErr w:type="gramEnd"/>
      <w:r>
        <w:t xml:space="preserve"> PIMS-TS cases have occurred in those aged 5 to &lt; 12 years (52.5%; 105/200), followed by those aged 6 months to &lt; 5 years (28.0%; 56/200)</w:t>
      </w:r>
      <w:r w:rsidR="00D57F02">
        <w:t xml:space="preserve">, </w:t>
      </w:r>
      <w:r>
        <w:t>5.5% (11/200) of PIMS-TS cases occurred among Aboriginal and Torres Strait Islander people.</w:t>
      </w:r>
    </w:p>
    <w:p w14:paraId="20013F8E" w14:textId="04EE5F96" w:rsidR="000F69E9" w:rsidRDefault="00DA3F8E">
      <w:pPr>
        <w:pStyle w:val="Heading4"/>
      </w:pPr>
      <w:bookmarkStart w:id="22" w:name="Xdd2f13b98f785567099daceec1c6ab9edc35acb"/>
      <w:bookmarkEnd w:id="21"/>
      <w:r>
        <w:lastRenderedPageBreak/>
        <w:t>SPRINT-SARI Australia</w:t>
      </w:r>
    </w:p>
    <w:p w14:paraId="6AEFDB36" w14:textId="77777777" w:rsidR="000F69E9" w:rsidRDefault="00DA3F8E">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0EB9A267" w14:textId="77777777" w:rsidR="000F69E9" w:rsidRDefault="00DA3F8E" w:rsidP="009A15CD">
      <w:pPr>
        <w:numPr>
          <w:ilvl w:val="0"/>
          <w:numId w:val="41"/>
        </w:numPr>
      </w:pPr>
      <w:r>
        <w:t>In this 28-day period for SPRINT-SARI severity reporting (17 June to 14 July 2024), there have been 226 patients admitted with a SARI to a SPRINT-SARI sentinel intensive care. The median age at admission was 62 years (IQR: 46–73 years) and 4.9% (11/226) of patients admitted with a SARI were among Aboriginal and Torres Strait Islander people.</w:t>
      </w:r>
    </w:p>
    <w:p w14:paraId="0297FF98" w14:textId="77777777" w:rsidR="000F69E9" w:rsidRDefault="00DA3F8E" w:rsidP="009A15CD">
      <w:pPr>
        <w:numPr>
          <w:ilvl w:val="0"/>
          <w:numId w:val="41"/>
        </w:numPr>
      </w:pPr>
      <w:r>
        <w:t>In the year to date for SPRINT-SARI severity reporting (1 January to 14 July 2024), there have been 1,421 patients admitted with a SARI to a SPRINT-SARI sentinel intensive care. The median age at admission was 60 years (IQR: 38–72 years) and 54.8% (779/1,421) of patients admitted with a SARI have been male. Of the patients admitted with a SARI to a SPRINT-SARI sentinel intensive care, 7.6% (108/1,421) have been among Aboriginal and Torres Strait Islander people.</w:t>
      </w:r>
    </w:p>
    <w:p w14:paraId="1C352A36" w14:textId="77777777" w:rsidR="000F69E9" w:rsidRDefault="00DA3F8E" w:rsidP="009A15CD">
      <w:pPr>
        <w:numPr>
          <w:ilvl w:val="0"/>
          <w:numId w:val="41"/>
        </w:numPr>
      </w:pPr>
      <w:r>
        <w:t xml:space="preserve">In the year to date for SPRINT-SARI severity reporting, there have been 145 patients admitted with a SARI to a SPRINT-SARI sentinel intensive care who died in hospital. </w:t>
      </w:r>
      <w:proofErr w:type="gramStart"/>
      <w:r>
        <w:t>The majority of</w:t>
      </w:r>
      <w:proofErr w:type="gramEnd"/>
      <w:r>
        <w:t xml:space="preserve"> deaths were in patients aged 60 years or over: 32.4% (47/145) were aged 60–69 years, 32.4% (47/145) were aged 70–79 years, 13.1% (19/145) were aged 80–89 years, and 4.8% (7/145) were aged 90 years or over (Figure 14).</w:t>
      </w:r>
    </w:p>
    <w:p w14:paraId="3EA111BE" w14:textId="77777777" w:rsidR="000F69E9" w:rsidRDefault="000F69E9"/>
    <w:p w14:paraId="44327260" w14:textId="77777777" w:rsidR="000F69E9" w:rsidRDefault="00DA3F8E">
      <w:pPr>
        <w:pStyle w:val="BodyText"/>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14 July 2024</w:t>
      </w:r>
    </w:p>
    <w:p w14:paraId="5E5AAA3C" w14:textId="459AEA1F" w:rsidR="000F69E9" w:rsidRDefault="00AB4657">
      <w:pPr>
        <w:pStyle w:val="Smalltext"/>
      </w:pPr>
      <w:r w:rsidRPr="0034202E">
        <w:rPr>
          <w:rFonts w:ascii="Helvetica" w:hAnsi="Helvetica"/>
          <w:noProof/>
        </w:rPr>
        <w:drawing>
          <wp:inline distT="0" distB="0" distL="0" distR="0" wp14:anchorId="39D732DE" wp14:editId="04DA6579">
            <wp:extent cx="5334000" cy="3333750"/>
            <wp:effectExtent l="0" t="0" r="0" b="0"/>
            <wp:doc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4 July 2024). Of the 1,421 patients with a severe acute respiratory illness admitted to SPRINT-SARI sentinel intensive care, 45% (n=642) have been females and 55% (n=779) have been males. Admissions to participating SPRINT-SARI intensive care have been reported across the lifespan with people aged 60–69 years accounting for the highest overall proportion of admissions. There were 145 patients with severe acute respiratory illness admitted to a SPRINT-SARI sentinel intensive care who died in hospital, most (82.6%; 120/145)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4 July 2024). Of the 1,421 patients with a severe acute respiratory illness admitted to SPRINT-SARI sentinel intensive care, 45% (n=642) have been females and 55% (n=779) have been males. Admissions to participating SPRINT-SARI intensive care have been reported across the lifespan with people aged 60–69 years accounting for the highest overall proportion of admissions. There were 145 patients with severe acute respiratory illness admitted to a SPRINT-SARI sentinel intensive care who died in hospital, most (82.6%; 120/145) were among patients aged 60 years or over."/>
                    <pic:cNvPicPr>
                      <a:picLocks noChangeAspect="1" noChangeArrowheads="1"/>
                    </pic:cNvPicPr>
                  </pic:nvPicPr>
                  <pic:blipFill>
                    <a:blip r:embed="rId43"/>
                    <a:stretch>
                      <a:fillRect/>
                    </a:stretch>
                  </pic:blipFill>
                  <pic:spPr bwMode="auto">
                    <a:xfrm>
                      <a:off x="0" y="0"/>
                      <a:ext cx="5334000" cy="3333750"/>
                    </a:xfrm>
                    <a:prstGeom prst="rect">
                      <a:avLst/>
                    </a:prstGeom>
                    <a:noFill/>
                    <a:ln w="9525">
                      <a:noFill/>
                      <a:headEnd/>
                      <a:tailEnd/>
                    </a:ln>
                  </pic:spPr>
                </pic:pic>
              </a:graphicData>
            </a:graphic>
          </wp:inline>
        </w:drawing>
      </w:r>
      <w:r>
        <w:br/>
      </w:r>
      <w:r w:rsidR="00DA3F8E">
        <w:t>* The age and sex distribution of severe acute respiratory infection (SARI) intensive care admissions in the SPRINT-SARI Australia sentinel surveillance system may not reflect the age or sex distribution of all patients admitted with a SARI nationally.</w:t>
      </w:r>
      <w:r w:rsidR="00DA3F8E">
        <w:br/>
        <w:t>† Ongoing care reflects the need for ongoing care in intensive care. Where a patient has been discharged from intensive care, the patient may still be receiving ongoing care in a hospital ward.</w:t>
      </w:r>
      <w:r w:rsidR="00DA3F8E">
        <w:br/>
        <w:t xml:space="preserve">‡ Death may not necessarily represent a death due to the disease. </w:t>
      </w:r>
    </w:p>
    <w:p w14:paraId="5741A613" w14:textId="77777777" w:rsidR="000F69E9" w:rsidRDefault="00DA3F8E">
      <w:pPr>
        <w:pStyle w:val="Heading3"/>
      </w:pPr>
      <w:bookmarkStart w:id="23" w:name="case-based-surveillance-2"/>
      <w:bookmarkEnd w:id="19"/>
      <w:bookmarkEnd w:id="22"/>
      <w:r>
        <w:lastRenderedPageBreak/>
        <w:t>3.2 Case-based surveillance</w:t>
      </w:r>
    </w:p>
    <w:p w14:paraId="0C8CFE6C" w14:textId="77777777" w:rsidR="000F69E9" w:rsidRDefault="00DA3F8E">
      <w:pPr>
        <w:pStyle w:val="Heading4"/>
      </w:pPr>
      <w:bookmarkStart w:id="24" w:name="nndss-2"/>
      <w:r>
        <w:t>NNDSS</w:t>
      </w:r>
    </w:p>
    <w:p w14:paraId="18092EB5" w14:textId="77777777" w:rsidR="000F69E9" w:rsidRDefault="00DA3F8E">
      <w:r>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33519572" w14:textId="7BB7BA27" w:rsidR="000F69E9" w:rsidRDefault="00DA3F8E" w:rsidP="009A15CD">
      <w:pPr>
        <w:numPr>
          <w:ilvl w:val="0"/>
          <w:numId w:val="42"/>
        </w:numPr>
      </w:pPr>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w:t>
      </w:r>
      <w:r w:rsidR="00411F64">
        <w:t>-</w:t>
      </w:r>
      <w:r>
        <w:t xml:space="preserve">emergency climate, and have not been comprehensively extended to influenza or RSV cases. For this reason, data </w:t>
      </w:r>
      <w:r w:rsidR="00DF153E">
        <w:t xml:space="preserve">on </w:t>
      </w:r>
      <w:r w:rsidR="00DF153E" w:rsidRPr="00DF153E">
        <w:t>Aboriginal and Torres Strait Islander people</w:t>
      </w:r>
      <w:r>
        <w:t xml:space="preserve"> are only presented for COVID-19 up to the end of 2023.</w:t>
      </w:r>
    </w:p>
    <w:p w14:paraId="5BDEF906" w14:textId="77777777" w:rsidR="000F69E9" w:rsidRDefault="00DA3F8E" w:rsidP="009A15CD">
      <w:pPr>
        <w:numPr>
          <w:ilvl w:val="0"/>
          <w:numId w:val="42"/>
        </w:numPr>
      </w:pPr>
      <w:r>
        <w:t>Since the start of the COVID-19 pandemic to 31 December 2023, there were 437,377 COVID-19 cases and 522 COVID-19-associated deaths among Aboriginal and Torres Strait Islander people notified to the NNDSS.</w:t>
      </w:r>
    </w:p>
    <w:p w14:paraId="14044761" w14:textId="77777777" w:rsidR="000F69E9" w:rsidRDefault="00DA3F8E" w:rsidP="009A15CD">
      <w:pPr>
        <w:numPr>
          <w:ilvl w:val="1"/>
          <w:numId w:val="43"/>
        </w:numPr>
      </w:pPr>
      <w:r>
        <w:t>This includes both laboratory-confirmed and probable cases among Aboriginal and Torres Strait Islander people notified to the NNDSS.</w:t>
      </w:r>
    </w:p>
    <w:p w14:paraId="033312CF" w14:textId="77777777" w:rsidR="000F69E9" w:rsidRDefault="00DA3F8E" w:rsidP="009A15CD">
      <w:pPr>
        <w:numPr>
          <w:ilvl w:val="1"/>
          <w:numId w:val="43"/>
        </w:numPr>
      </w:pPr>
      <w:r>
        <w:t xml:space="preserve">Readers are encouraged to consult the </w:t>
      </w:r>
      <w:hyperlink r:id="rId44">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59653603" w14:textId="314E6D48" w:rsidR="000F69E9" w:rsidRDefault="00DA3F8E" w:rsidP="009A15CD">
      <w:pPr>
        <w:numPr>
          <w:ilvl w:val="0"/>
          <w:numId w:val="42"/>
        </w:numPr>
      </w:pPr>
      <w:r>
        <w:t xml:space="preserve">In the year to date for severity reporting (1 January to 14 July 2024), the rate of COVID-19-associated deaths in cases notified to the NNDSS has been highest in those aged 70 years or over (Table 3). The median age of COVID-19-associated deaths notified </w:t>
      </w:r>
      <w:r w:rsidR="00106EA7">
        <w:t>was</w:t>
      </w:r>
      <w:r>
        <w:t xml:space="preserve"> 84 years.</w:t>
      </w:r>
    </w:p>
    <w:p w14:paraId="1AD5EE61" w14:textId="6EF70501" w:rsidR="000F69E9" w:rsidRDefault="00DA3F8E" w:rsidP="009A15CD">
      <w:pPr>
        <w:numPr>
          <w:ilvl w:val="0"/>
          <w:numId w:val="42"/>
        </w:numPr>
      </w:pPr>
      <w:r>
        <w:t xml:space="preserve">In the year to date for severity reporting, the rate of influenza-associated deaths in cases notified to the NNDSS has been highest in those aged 70 years or over (Table 3). The median age of influenza-associated deaths notified </w:t>
      </w:r>
      <w:r w:rsidR="00106EA7">
        <w:t>was</w:t>
      </w:r>
      <w:r>
        <w:t xml:space="preserve"> 83 years.</w:t>
      </w:r>
    </w:p>
    <w:p w14:paraId="1C26CF30" w14:textId="083C9619" w:rsidR="000F69E9" w:rsidRDefault="00DA3F8E" w:rsidP="009A15CD">
      <w:pPr>
        <w:numPr>
          <w:ilvl w:val="0"/>
          <w:numId w:val="42"/>
        </w:numPr>
      </w:pPr>
      <w:r>
        <w:t xml:space="preserve">In the year to date for severity reporting, the rate of RSV-associated deaths in cases notified to the NNDSS has been highest in those aged 70 years or over (Table 3). The median age of RSV-associated deaths notified </w:t>
      </w:r>
      <w:r w:rsidR="00106EA7">
        <w:t>was</w:t>
      </w:r>
      <w:r>
        <w:t xml:space="preserve"> 86 years.</w:t>
      </w:r>
    </w:p>
    <w:p w14:paraId="17E73703" w14:textId="77777777" w:rsidR="000F69E9" w:rsidRDefault="00DA3F8E">
      <w:r>
        <w:br w:type="page"/>
      </w:r>
    </w:p>
    <w:p w14:paraId="1C362803" w14:textId="77777777" w:rsidR="000F69E9" w:rsidRDefault="00DA3F8E">
      <w:pPr>
        <w:pStyle w:val="Heading2"/>
      </w:pPr>
      <w:bookmarkStart w:id="25" w:name="impact"/>
      <w:bookmarkEnd w:id="18"/>
      <w:bookmarkEnd w:id="23"/>
      <w:bookmarkEnd w:id="24"/>
      <w:r>
        <w:lastRenderedPageBreak/>
        <w:t>4. Impact</w:t>
      </w:r>
    </w:p>
    <w:p w14:paraId="64A9BE39" w14:textId="77777777" w:rsidR="000F69E9" w:rsidRDefault="00DA3F8E">
      <w:pPr>
        <w:pStyle w:val="Boxheading"/>
      </w:pPr>
      <w:r w:rsidRPr="47A3418A">
        <w:rPr>
          <w:lang w:val="en-US"/>
        </w:rPr>
        <w:t>Impact measures how circulating respiratory viruses adversely affect the community and the healthcare system.</w:t>
      </w:r>
    </w:p>
    <w:p w14:paraId="5EF38751" w14:textId="77777777" w:rsidR="000F69E9" w:rsidRDefault="00DA3F8E">
      <w:pPr>
        <w:pStyle w:val="Heading3"/>
      </w:pPr>
      <w:bookmarkStart w:id="26" w:name="community-based-surveillance-1"/>
      <w:r>
        <w:t>4.1 Community-based surveillance</w:t>
      </w:r>
    </w:p>
    <w:p w14:paraId="3F9B1CDF" w14:textId="77777777" w:rsidR="000F69E9" w:rsidRDefault="00DA3F8E">
      <w:pPr>
        <w:pStyle w:val="Heading4"/>
      </w:pPr>
      <w:bookmarkStart w:id="27" w:name="flutracking-1"/>
      <w:r>
        <w:t>FluTracking</w:t>
      </w:r>
    </w:p>
    <w:p w14:paraId="3CAF66D0" w14:textId="596FCF6D" w:rsidR="000F69E9" w:rsidRDefault="00DA3F8E" w:rsidP="009A15CD">
      <w:pPr>
        <w:numPr>
          <w:ilvl w:val="0"/>
          <w:numId w:val="44"/>
        </w:numPr>
      </w:pPr>
      <w:r>
        <w:t>This fortnight (15 July to 28 July 2024), 47.8% (597/1,248) of FluTracking participants reported taking three or more days off work or normal duties due to fever and cough symptoms, a decrease compared with 55.8% (965/1,730) in the previous fortnight.</w:t>
      </w:r>
    </w:p>
    <w:p w14:paraId="3007FE33" w14:textId="77777777" w:rsidR="000F69E9" w:rsidRDefault="00DA3F8E">
      <w:pPr>
        <w:pStyle w:val="Heading3"/>
      </w:pPr>
      <w:bookmarkStart w:id="28" w:name="hospital-based-surveillance-2"/>
      <w:bookmarkEnd w:id="26"/>
      <w:bookmarkEnd w:id="27"/>
      <w:r>
        <w:t>4.2 Hospital-based surveillance</w:t>
      </w:r>
    </w:p>
    <w:p w14:paraId="3DAFACB1" w14:textId="77777777" w:rsidR="000F69E9" w:rsidRDefault="00DA3F8E">
      <w:pPr>
        <w:pStyle w:val="Heading4"/>
      </w:pPr>
      <w:bookmarkStart w:id="29" w:name="X59f5ef43e7073908b80df4b48b9dbd6100a2e54"/>
      <w:r>
        <w:t>Critical Health Resource Information System (CHRIS)</w:t>
      </w:r>
    </w:p>
    <w:p w14:paraId="1780C4B1" w14:textId="77777777" w:rsidR="000F69E9" w:rsidRDefault="00DA3F8E">
      <w:r>
        <w:t>Note, intensive care includes intensive care units and high dependency units that are managed by the intensive care team.</w:t>
      </w:r>
    </w:p>
    <w:p w14:paraId="42066B3B" w14:textId="77777777" w:rsidR="000F69E9" w:rsidRDefault="00DA3F8E" w:rsidP="009A15CD">
      <w:pPr>
        <w:numPr>
          <w:ilvl w:val="0"/>
          <w:numId w:val="45"/>
        </w:numPr>
      </w:pPr>
      <w:r>
        <w:t>As of 29 July 2024, 2.6% (46/1,776) of total staffed intensive care beds were occupied by COVID-19 patients.</w:t>
      </w:r>
    </w:p>
    <w:p w14:paraId="0B4C815E" w14:textId="1D541089" w:rsidR="000F69E9" w:rsidRDefault="00DA3F8E" w:rsidP="009A15CD">
      <w:pPr>
        <w:numPr>
          <w:ilvl w:val="0"/>
          <w:numId w:val="45"/>
        </w:numPr>
      </w:pPr>
      <w:r>
        <w:t>This fortnight (15 July to 28 July 2024), the mean number of COVID-19 cases in intensive care across Australia has decreased compared with the previous fortnight (Figure 15). This fortnight, the mean number of intensive care staff unavailable to work due to COVID-19 exposure or illness across Australia has decreased compared with the previous fortnight (Figure 15).</w:t>
      </w:r>
    </w:p>
    <w:p w14:paraId="110B98D7" w14:textId="77777777" w:rsidR="000F69E9" w:rsidRDefault="00DA3F8E">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28 July 2024</w:t>
      </w:r>
    </w:p>
    <w:p w14:paraId="04F33199" w14:textId="77777777" w:rsidR="000F69E9" w:rsidRDefault="00DA3F8E">
      <w:pPr>
        <w:pStyle w:val="BodyText"/>
      </w:pPr>
      <w:r>
        <w:rPr>
          <w:noProof/>
        </w:rPr>
        <w:drawing>
          <wp:inline distT="0" distB="0" distL="0" distR="0" wp14:anchorId="14350518" wp14:editId="2691A7EA">
            <wp:extent cx="6184900" cy="2731980"/>
            <wp:effectExtent l="0" t="0" r="0" b="0"/>
            <wp:docPr id="92" name="Picture" descr="A stacked bar chart showing the mean number of ventilated and non-ventilated COVID-19 cases in intensive care reported to CHRIS by week of report from 1 January to 28 July 2024. A line graph plotted on the same axis (left) shows the mean number of intensive care staff unavailable to work due to COVID-19 exposure or illness by week of report to CHRIS, from 1 January to 28 July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7 July 2024. In the current reporting period (15 July to 28 July 2024), the mean number of non-ventilated COVID-19 cases in intensive care decreased to an average of 40 COVID-19 cases in intensive care each week. Non-ventilated COVID-19 cases account for the majority of cases in intensive care and reported to CHRIS. The mean number of ventilated COVID-19 cases in intensive care have decreased in the current reporting period from a mean of 15 ventilated COVID-19 cases in intensive care per week to 11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in the current reporting period."/>
            <wp:cNvGraphicFramePr/>
            <a:graphic xmlns:a="http://schemas.openxmlformats.org/drawingml/2006/main">
              <a:graphicData uri="http://schemas.openxmlformats.org/drawingml/2006/picture">
                <pic:pic xmlns:pic="http://schemas.openxmlformats.org/drawingml/2006/picture">
                  <pic:nvPicPr>
                    <pic:cNvPr id="92" name="Picture" descr="A stacked bar chart showing the mean number of ventilated and non-ventilated COVID-19 cases in intensive care reported to CHRIS by week of report from 1 January to 28 July 2024. A line graph plotted on the same axis (left) shows the mean number of intensive care staff unavailable to work due to COVID-19 exposure or illness by week of report to CHRIS, from 1 January to 28 July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7 July 2024. In the current reporting period (15 July to 28 July 2024), the mean number of non-ventilated COVID-19 cases in intensive care decreased to an average of 40 COVID-19 cases in intensive care each week. Non-ventilated COVID-19 cases account for the majority of cases in intensive care and reported to CHRIS. The mean number of ventilated COVID-19 cases in intensive care have decreased in the current reporting period from a mean of 15 ventilated COVID-19 cases in intensive care per week to 11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in the current reporting period."/>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0C2649F" w14:textId="77777777" w:rsidR="000F69E9" w:rsidRDefault="00DA3F8E">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3C9AD76B" w14:textId="67C5E4E8" w:rsidR="000F69E9" w:rsidRDefault="0096740E" w:rsidP="009A15CD">
      <w:pPr>
        <w:numPr>
          <w:ilvl w:val="0"/>
          <w:numId w:val="46"/>
        </w:numPr>
      </w:pPr>
      <w:r w:rsidRPr="0096740E">
        <w:lastRenderedPageBreak/>
        <w:t xml:space="preserve">This fortnight, the mean number of COVID-19 cases in intensive care has decreased or remained stable in most jurisdictions compared with the previous fortnight, except in </w:t>
      </w:r>
      <w:r>
        <w:t>New South Wales</w:t>
      </w:r>
      <w:r w:rsidRPr="0096740E">
        <w:t xml:space="preserve"> where a small increase was observed compared with the previous fortnight</w:t>
      </w:r>
      <w:r w:rsidR="00DA3F8E">
        <w:t xml:space="preserve"> (Figure 16).</w:t>
      </w:r>
    </w:p>
    <w:p w14:paraId="1B46EB6E" w14:textId="11B433AA" w:rsidR="000F69E9" w:rsidRDefault="0096740E" w:rsidP="009A15CD">
      <w:pPr>
        <w:numPr>
          <w:ilvl w:val="0"/>
          <w:numId w:val="46"/>
        </w:numPr>
      </w:pPr>
      <w:r>
        <w:rPr>
          <w:rStyle w:val="normaltextrun"/>
          <w:rFonts w:cs="Arial"/>
          <w:color w:val="033636"/>
          <w:szCs w:val="22"/>
          <w:shd w:val="clear" w:color="auto" w:fill="FFFFFF"/>
        </w:rPr>
        <w:t>This fortnight, the mean number of intensive care staff unavailable to work due to COVID-19 exposure or illness decreased or remained stable in most jurisdictions compared with the previous fortnight</w:t>
      </w:r>
      <w:r w:rsidR="00BC7EA2">
        <w:rPr>
          <w:rStyle w:val="normaltextrun"/>
          <w:rFonts w:cs="Arial"/>
          <w:color w:val="033636"/>
          <w:szCs w:val="22"/>
          <w:shd w:val="clear" w:color="auto" w:fill="FFFFFF"/>
        </w:rPr>
        <w:t>, except in South Australia where a small increase was observed compared with the previous fortnight</w:t>
      </w:r>
      <w:r w:rsidR="00DA3F8E">
        <w:t xml:space="preserve"> (Figure 16).</w:t>
      </w:r>
    </w:p>
    <w:p w14:paraId="6945FDA9" w14:textId="77777777" w:rsidR="000F69E9" w:rsidRDefault="00DA3F8E">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28 July 2024</w:t>
      </w:r>
    </w:p>
    <w:p w14:paraId="3D2137F4" w14:textId="77777777" w:rsidR="000F69E9" w:rsidRDefault="00DA3F8E">
      <w:pPr>
        <w:pStyle w:val="BodyText"/>
      </w:pPr>
      <w:r>
        <w:rPr>
          <w:noProof/>
        </w:rPr>
        <w:drawing>
          <wp:inline distT="0" distB="0" distL="0" distR="0" wp14:anchorId="1B79B7BB" wp14:editId="4B700AA3">
            <wp:extent cx="6184900" cy="6336000"/>
            <wp:effectExtent l="0" t="0" r="6350" b="8255"/>
            <wp:docPr id="95" name="Picture" descr="A set of eight stacked bar charts, one for each Australian state or territory, showing the mean number of ventilated and non-ventilated COVID-19 cases in intensive care reported to CHRIS by week of report from 1 January to 28 July 2024. A line graph plotted on the same axis (left) shows the mean number of intensive care staff unavailable to work due to COVID-19 exposure or illness by week of report to CHRIS, from 1 January to 28 July 2024. The y-axis (left) is different for each state or territory relative to the number of intensive care admissions. Since the beginning of 2024, the highest number of mean COVID-19 cases in intensive care have been observed in New South Wales (approximately 23 COVID-19 cases in intensive care per week) and Victoria (approximately 12 COVID-19 cases in intensive care per week). In the current reporting period (15 July to 28 July 2024), the mean number of COVID-19 cases decreased or remained stable in all jurisdictions except in New South Wales where a small increase was observe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5 July to 28 July 2024), the number of intensive care staff unavailable per week has decreased or remained stable in most jurisdictions compared with the previous fortnight, except in South Australia where a small increase was observed. "/>
            <wp:cNvGraphicFramePr/>
            <a:graphic xmlns:a="http://schemas.openxmlformats.org/drawingml/2006/main">
              <a:graphicData uri="http://schemas.openxmlformats.org/drawingml/2006/picture">
                <pic:pic xmlns:pic="http://schemas.openxmlformats.org/drawingml/2006/picture">
                  <pic:nvPicPr>
                    <pic:cNvPr id="95" name="Picture" descr="A set of eight stacked bar charts, one for each Australian state or territory, showing the mean number of ventilated and non-ventilated COVID-19 cases in intensive care reported to CHRIS by week of report from 1 January to 28 July 2024. A line graph plotted on the same axis (left) shows the mean number of intensive care staff unavailable to work due to COVID-19 exposure or illness by week of report to CHRIS, from 1 January to 28 July 2024. The y-axis (left) is different for each state or territory relative to the number of intensive care admissions. Since the beginning of 2024, the highest number of mean COVID-19 cases in intensive care have been observed in New South Wales (approximately 23 COVID-19 cases in intensive care per week) and Victoria (approximately 12 COVID-19 cases in intensive care per week). In the current reporting period (15 July to 28 July 2024), the mean number of COVID-19 cases decreased or remained stable in all jurisdictions except in New South Wales where a small increase was observe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5 July to 28 July 2024), the number of intensive care staff unavailable per week has decreased or remained stable in most jurisdictions compared with the previous fortnight, except in South Australia where a small increase was observed.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6336000"/>
                    </a:xfrm>
                    <a:prstGeom prst="rect">
                      <a:avLst/>
                    </a:prstGeom>
                    <a:noFill/>
                    <a:ln w="9525">
                      <a:noFill/>
                      <a:headEnd/>
                      <a:tailEnd/>
                    </a:ln>
                  </pic:spPr>
                </pic:pic>
              </a:graphicData>
            </a:graphic>
          </wp:inline>
        </w:drawing>
      </w:r>
    </w:p>
    <w:p w14:paraId="3E6C5346" w14:textId="027542BD" w:rsidR="000F69E9" w:rsidRDefault="00DA3F8E">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5CC370C8" w14:textId="77777777" w:rsidR="000F69E9" w:rsidRDefault="00DA3F8E">
      <w:pPr>
        <w:pStyle w:val="Heading2"/>
      </w:pPr>
      <w:bookmarkStart w:id="30" w:name="genomic-surveillance-and-virology"/>
      <w:bookmarkEnd w:id="25"/>
      <w:bookmarkEnd w:id="28"/>
      <w:bookmarkEnd w:id="29"/>
      <w:r>
        <w:lastRenderedPageBreak/>
        <w:t>5. Genomic surveillance and virology</w:t>
      </w:r>
    </w:p>
    <w:p w14:paraId="50CA8604" w14:textId="242A604D" w:rsidR="000F69E9" w:rsidRDefault="00DA3F8E">
      <w:pPr>
        <w:pStyle w:val="Heading4"/>
      </w:pPr>
      <w:bookmarkStart w:id="31" w:name="austrakka-last-updated-2-august-2024"/>
      <w:r>
        <w:t>AusTrakka</w:t>
      </w:r>
    </w:p>
    <w:p w14:paraId="04842DBC" w14:textId="77777777" w:rsidR="000F69E9" w:rsidRDefault="00DA3F8E">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5DDB3673" w14:textId="46BE8E46" w:rsidR="000F69E9" w:rsidRDefault="00DA3F8E" w:rsidP="009A15CD">
      <w:pPr>
        <w:numPr>
          <w:ilvl w:val="0"/>
          <w:numId w:val="47"/>
        </w:numPr>
      </w:pPr>
      <w:r>
        <w:t>As of 2</w:t>
      </w:r>
      <w:r w:rsidR="334CB511">
        <w:t>8</w:t>
      </w:r>
      <w:r>
        <w:t xml:space="preserve"> July 2024, jurisdictions that have samples with dates of collection during the past 28 days include Queensland, South Australia, Tasmania, Victoria, and Western Australia, with the most recent collection date 21 July 2024.</w:t>
      </w:r>
    </w:p>
    <w:p w14:paraId="3DC4B99C" w14:textId="60670A0C" w:rsidR="000F69E9" w:rsidRDefault="00DA3F8E" w:rsidP="009A15CD">
      <w:pPr>
        <w:numPr>
          <w:ilvl w:val="0"/>
          <w:numId w:val="47"/>
        </w:numPr>
      </w:pPr>
      <w:r>
        <w:t>As of 2</w:t>
      </w:r>
      <w:r w:rsidR="09225405">
        <w:t>8</w:t>
      </w:r>
      <w:r>
        <w:t xml:space="preserve"> July 2024, 316 sequences have been uploaded to AusTrakka with dates of collection within the past 28-day period (1 July to 28 July 2024). All sequences were assigned to the BA.2.86 sub-lineage within B.1.1.529 (Omicron) or recombinants consisting of one or more Omicron sub-lineages. There were no BA.1, BA.3, BA.4, BA.5 or other BA.2 sub-sub-lineage sequences identified in the past 28 days (Figure 17).</w:t>
      </w:r>
    </w:p>
    <w:p w14:paraId="3F117BB9" w14:textId="77777777" w:rsidR="000F69E9" w:rsidRDefault="00DA3F8E" w:rsidP="009A15CD">
      <w:pPr>
        <w:numPr>
          <w:ilvl w:val="0"/>
          <w:numId w:val="47"/>
        </w:numPr>
      </w:pPr>
      <w:r>
        <w:t>Of the 316 sequences collected in the past 28 days, 99.1% (313/316) were BA.2 sub-lineages, specifically from the sub-sub-lineages JN.1 (BA.2.86.1.1), including from KP.2 (7.0%; 22/316) and KP.3 (63.9%; 202/316). The remaining 0.9% (3/316) were recombinant or recombinant sub-lineages, two of which were XDV and one XBB.1.9.1.</w:t>
      </w:r>
    </w:p>
    <w:p w14:paraId="1CC4512F" w14:textId="77777777" w:rsidR="000F69E9" w:rsidRDefault="00DA3F8E" w:rsidP="009A15CD">
      <w:pPr>
        <w:numPr>
          <w:ilvl w:val="0"/>
          <w:numId w:val="47"/>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326B3DE9" w14:textId="77777777" w:rsidR="000F69E9" w:rsidRDefault="00DA3F8E" w:rsidP="009A15CD">
      <w:pPr>
        <w:numPr>
          <w:ilvl w:val="1"/>
          <w:numId w:val="48"/>
        </w:numPr>
      </w:pPr>
      <w:r>
        <w:t>Since the last reporting period, two new VUMs have been designated by the WHO: LB.1 and KP.3.1.1. There is limited evidence to suggest LB.1 and KP.3.1.1 may exhibit higher infectivity and greater immune evasion than KP.2 and KP.3.</w:t>
      </w:r>
    </w:p>
    <w:p w14:paraId="5732D235" w14:textId="77777777" w:rsidR="000F69E9" w:rsidRDefault="00DA3F8E" w:rsidP="009A15CD">
      <w:pPr>
        <w:numPr>
          <w:ilvl w:val="1"/>
          <w:numId w:val="48"/>
        </w:numPr>
      </w:pPr>
      <w:r>
        <w:t>A total of 74 sequences of LB.1 are identified in AusTrakka, with eight sequences identified in the past 28 days.</w:t>
      </w:r>
    </w:p>
    <w:p w14:paraId="53B72ECB" w14:textId="77777777" w:rsidR="000F69E9" w:rsidRDefault="00DA3F8E" w:rsidP="009A15CD">
      <w:pPr>
        <w:numPr>
          <w:ilvl w:val="1"/>
          <w:numId w:val="48"/>
        </w:numPr>
      </w:pPr>
      <w:r>
        <w:t>A total of 12 sequences of KP.3.1.1 are identified in AusTrakka, with three sequences identified in the past 28 days.</w:t>
      </w:r>
    </w:p>
    <w:p w14:paraId="358AFF08" w14:textId="77777777" w:rsidR="000F69E9" w:rsidRDefault="00DA3F8E" w:rsidP="009A15CD">
      <w:pPr>
        <w:numPr>
          <w:ilvl w:val="1"/>
          <w:numId w:val="48"/>
        </w:numPr>
      </w:pPr>
      <w:r>
        <w:t>The proportion of JN.1 sequences has been consistent (99.1%; 313/316) in the past 28 days, compared with the previous 28-day period.</w:t>
      </w:r>
    </w:p>
    <w:p w14:paraId="3066B537" w14:textId="77777777" w:rsidR="000F69E9" w:rsidRDefault="00DA3F8E" w:rsidP="009A15CD">
      <w:pPr>
        <w:numPr>
          <w:ilvl w:val="1"/>
          <w:numId w:val="48"/>
        </w:numPr>
      </w:pPr>
      <w:r>
        <w:t>There have been three recombinant sequences identified in the past 28-day period, two of which were XDV and one XBB.1.9.1.</w:t>
      </w:r>
    </w:p>
    <w:p w14:paraId="6F42DA9D" w14:textId="77777777" w:rsidR="000F69E9" w:rsidRDefault="00DA3F8E">
      <w:r>
        <w:br w:type="page"/>
      </w:r>
    </w:p>
    <w:p w14:paraId="72C9BEDB" w14:textId="7DD435FF" w:rsidR="000F69E9" w:rsidRDefault="00DA3F8E">
      <w:r>
        <w:rPr>
          <w:b/>
          <w:bCs/>
        </w:rPr>
        <w:lastRenderedPageBreak/>
        <w:t>Figure 17: Omicron sub-lineage sequences in AusTrakka by sample collection date, showing (A) proportions and (B) count per week*</w:t>
      </w:r>
      <w:r>
        <w:rPr>
          <w:b/>
          <w:bCs/>
          <w:vertAlign w:val="superscript"/>
        </w:rPr>
        <w:t>†</w:t>
      </w:r>
      <w:r>
        <w:rPr>
          <w:b/>
          <w:bCs/>
        </w:rPr>
        <w:t>, Australia, 1 January</w:t>
      </w:r>
      <w:r w:rsidR="00CE19D8">
        <w:rPr>
          <w:b/>
          <w:bCs/>
        </w:rPr>
        <w:t xml:space="preserve"> 2023</w:t>
      </w:r>
      <w:r>
        <w:rPr>
          <w:b/>
          <w:bCs/>
        </w:rPr>
        <w:t xml:space="preserve"> to 28 July 2024</w:t>
      </w:r>
    </w:p>
    <w:p w14:paraId="20CE2510" w14:textId="1C9D4055" w:rsidR="00BD2606" w:rsidRDefault="00BD2606">
      <w:pPr>
        <w:pStyle w:val="Smalltext"/>
      </w:pPr>
      <w:r w:rsidRPr="00BD2606">
        <w:rPr>
          <w:noProof/>
        </w:rPr>
        <w:drawing>
          <wp:inline distT="0" distB="0" distL="0" distR="0" wp14:anchorId="57B9BC58" wp14:editId="0434DB3E">
            <wp:extent cx="6192520" cy="2477135"/>
            <wp:effectExtent l="0" t="0" r="0" b="0"/>
            <wp:docPr id="2" name="Graphic 2" descr="Figure 17A, a 100% stacked bar chart, plots the proportions of SARS-CoV-2 sequences recorded in AusTrakka by lineage for each collection week from 1 January 2023 to 28 July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1 July to 28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7A, a 100% stacked bar chart, plots the proportions of SARS-CoV-2 sequences recorded in AusTrakka by lineage for each collection week from 1 January 2023 to 28 July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1 July to 28 July 2024."/>
                    <pic:cNvPicPr/>
                  </pic:nvPicPr>
                  <pic:blipFill>
                    <a:blip r:embed="rId49">
                      <a:extLst>
                        <a:ext uri="{96DAC541-7B7A-43D3-8B79-37D633B846F1}">
                          <asvg:svgBlip xmlns:asvg="http://schemas.microsoft.com/office/drawing/2016/SVG/main" r:embed="rId50"/>
                        </a:ext>
                      </a:extLst>
                    </a:blip>
                    <a:stretch>
                      <a:fillRect/>
                    </a:stretch>
                  </pic:blipFill>
                  <pic:spPr>
                    <a:xfrm>
                      <a:off x="0" y="0"/>
                      <a:ext cx="6192520" cy="2477135"/>
                    </a:xfrm>
                    <a:prstGeom prst="rect">
                      <a:avLst/>
                    </a:prstGeom>
                  </pic:spPr>
                </pic:pic>
              </a:graphicData>
            </a:graphic>
          </wp:inline>
        </w:drawing>
      </w:r>
    </w:p>
    <w:p w14:paraId="2C7E49D9" w14:textId="3C2C5F92" w:rsidR="00BD2606" w:rsidRDefault="00BD2606">
      <w:pPr>
        <w:pStyle w:val="Smalltext"/>
      </w:pPr>
      <w:r w:rsidRPr="00BD2606">
        <w:rPr>
          <w:noProof/>
        </w:rPr>
        <w:drawing>
          <wp:inline distT="0" distB="0" distL="0" distR="0" wp14:anchorId="0D5B4A9F" wp14:editId="29489CF9">
            <wp:extent cx="6192520" cy="2477135"/>
            <wp:effectExtent l="0" t="0" r="0" b="0"/>
            <wp:docPr id="4" name="Graphic 4" descr="Figure 17B shows the weekly numbers of SARS-CoV-2 sequences recorded in AusTrakka by lineage for each collection week from 1 January 2023 to 28 July 2024 by sample collection date. Following an increase in the number of sequences across late 2023, sequence numbers dropped slightly, with minor fluctuations, across January to June 2024. The number of sequences recorded in AusTrakka have steadily declined from June 2024. In the current 28-day reporting period (1 July to 28 July 2024), most sequences reported are from the first fortnight (1 July to 14 July 2024) and are dominated by JN.1 with a minority proportion of recombinant sequences. There were no sequences with a collection date in from 21 July to 28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17B shows the weekly numbers of SARS-CoV-2 sequences recorded in AusTrakka by lineage for each collection week from 1 January 2023 to 28 July 2024 by sample collection date. Following an increase in the number of sequences across late 2023, sequence numbers dropped slightly, with minor fluctuations, across January to June 2024. The number of sequences recorded in AusTrakka have steadily declined from June 2024. In the current 28-day reporting period (1 July to 28 July 2024), most sequences reported are from the first fortnight (1 July to 14 July 2024) and are dominated by JN.1 with a minority proportion of recombinant sequences. There were no sequences with a collection date in from 21 July to 28 July 2024."/>
                    <pic:cNvPicPr/>
                  </pic:nvPicPr>
                  <pic:blipFill>
                    <a:blip r:embed="rId51">
                      <a:extLst>
                        <a:ext uri="{96DAC541-7B7A-43D3-8B79-37D633B846F1}">
                          <asvg:svgBlip xmlns:asvg="http://schemas.microsoft.com/office/drawing/2016/SVG/main" r:embed="rId52"/>
                        </a:ext>
                      </a:extLst>
                    </a:blip>
                    <a:stretch>
                      <a:fillRect/>
                    </a:stretch>
                  </pic:blipFill>
                  <pic:spPr>
                    <a:xfrm>
                      <a:off x="0" y="0"/>
                      <a:ext cx="6192520" cy="2477135"/>
                    </a:xfrm>
                    <a:prstGeom prst="rect">
                      <a:avLst/>
                    </a:prstGeom>
                  </pic:spPr>
                </pic:pic>
              </a:graphicData>
            </a:graphic>
          </wp:inline>
        </w:drawing>
      </w:r>
    </w:p>
    <w:p w14:paraId="40ABC148" w14:textId="45C48FD1" w:rsidR="000F69E9" w:rsidRDefault="00DA3F8E">
      <w:pPr>
        <w:pStyle w:val="Smalltext"/>
      </w:pPr>
      <w:r>
        <w:t>* Sequences in AusTrakka aggregated by epidemiological week. Sequences are reported based on date of sample collection, not date of sequencing.</w:t>
      </w:r>
      <w:r>
        <w:br/>
        <w:t>† Proportions in Figure 17A may not be representative when sequence numbers are small; refer to Figure 17B.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822CC63" w14:textId="77777777" w:rsidR="000F69E9" w:rsidRDefault="000F69E9">
      <w:pPr>
        <w:pStyle w:val="Smalltext"/>
      </w:pPr>
    </w:p>
    <w:p w14:paraId="0A07B4A8" w14:textId="77777777" w:rsidR="000F69E9" w:rsidRDefault="00DA3F8E">
      <w:pPr>
        <w:pStyle w:val="Heading4"/>
      </w:pPr>
      <w:bookmarkStart w:id="32" w:name="X02456953aaf8aed0d877be920ae9a070e33b654"/>
      <w:bookmarkEnd w:id="31"/>
      <w:r>
        <w:t>Sentinel laboratories, including National Influenza Centres</w:t>
      </w:r>
    </w:p>
    <w:p w14:paraId="64AA3778" w14:textId="77777777" w:rsidR="000F69E9" w:rsidRDefault="00DA3F8E" w:rsidP="009A15CD">
      <w:pPr>
        <w:numPr>
          <w:ilvl w:val="0"/>
          <w:numId w:val="49"/>
        </w:numPr>
      </w:pPr>
      <w:r>
        <w:t>In the year to date, there have been 17,697 influenza positive samples received by sentinel laboratories. Of those, influenza A accounted for 96.5% (17,075/17,697) of positive samples and influenza B accounted for 3.5% (623/17,697) of positive samples (Figure 18).</w:t>
      </w:r>
    </w:p>
    <w:p w14:paraId="711ED766" w14:textId="77777777" w:rsidR="000F69E9" w:rsidRDefault="00DA3F8E" w:rsidP="009A15CD">
      <w:pPr>
        <w:numPr>
          <w:ilvl w:val="1"/>
          <w:numId w:val="50"/>
        </w:numPr>
      </w:pPr>
      <w:r>
        <w:t>Note, the sum of the number of samples by type may not equal the total number of positive samples, due to multiple influenza detections in some individual samples.</w:t>
      </w:r>
    </w:p>
    <w:p w14:paraId="473A57F8" w14:textId="77777777" w:rsidR="000F69E9" w:rsidRDefault="00DA3F8E">
      <w:r>
        <w:br w:type="page"/>
      </w:r>
    </w:p>
    <w:p w14:paraId="244D9EEF" w14:textId="77777777" w:rsidR="000F69E9" w:rsidRDefault="00DA3F8E">
      <w:r>
        <w:rPr>
          <w:b/>
          <w:bCs/>
        </w:rPr>
        <w:lastRenderedPageBreak/>
        <w:t>Figure 18: Proportion of sentinel laboratory tests positive for influenza and total number of specimens tested by subtype and week of report*, Australia, 1 January to 28 July 2024</w:t>
      </w:r>
    </w:p>
    <w:p w14:paraId="50D7087F" w14:textId="77777777" w:rsidR="000F69E9" w:rsidRDefault="00DA3F8E">
      <w:pPr>
        <w:pStyle w:val="BodyText"/>
      </w:pPr>
      <w:r>
        <w:rPr>
          <w:noProof/>
        </w:rPr>
        <w:drawing>
          <wp:inline distT="0" distB="0" distL="0" distR="0" wp14:anchorId="7ED8117B" wp14:editId="119166B0">
            <wp:extent cx="6184900" cy="2731980"/>
            <wp:effectExtent l="0" t="0" r="0" b="0"/>
            <wp:docPr id="102" name="Picture" descr="A stacked bar chart showing the weekly proportion of sentinel laboratory tests positive for influenza by influenza subtype and week of report, from 1 January to 28 July 2024. A line graph plotted on the secondary axis (right) shows the total number of specimens tested, by week of report, from 1 January to 28 July 2024. Since the beginning of 2024, the weekly proportion of sentinel laboratory tests positive for influenza have remained between 1.5% and 12.0%, with influenza A(unsubtyped) accounting for the largest proportion of positive tests in the year to date. Since mid-February 2024, overall influenza test positivity has followed an increasing trend, reaching an apparent peak at approximately 12.0% in the week ending 7 July 2024. The total number of specimens tested has steadily increased from 7,000 per week in the week ending 28 April 2024 to 12,000 per week in the week ending 7 July 2024."/>
            <wp:cNvGraphicFramePr/>
            <a:graphic xmlns:a="http://schemas.openxmlformats.org/drawingml/2006/main">
              <a:graphicData uri="http://schemas.openxmlformats.org/drawingml/2006/picture">
                <pic:pic xmlns:pic="http://schemas.openxmlformats.org/drawingml/2006/picture">
                  <pic:nvPicPr>
                    <pic:cNvPr id="102" name="Picture" descr="A stacked bar chart showing the weekly proportion of sentinel laboratory tests positive for influenza by influenza subtype and week of report, from 1 January to 28 July 2024. A line graph plotted on the secondary axis (right) shows the total number of specimens tested, by week of report, from 1 January to 28 July 2024. Since the beginning of 2024, the weekly proportion of sentinel laboratory tests positive for influenza have remained between 1.5% and 12.0%, with influenza A(unsubtyped) accounting for the largest proportion of positive tests in the year to date. Since mid-February 2024, overall influenza test positivity has followed an increasing trend, reaching an apparent peak at approximately 12.0% in the week ending 7 July 2024. The total number of specimens tested has steadily increased from 7,000 per week in the week ending 28 April 2024 to 12,000 per week in the week ending 7 July 2024."/>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46DC986" w14:textId="77777777" w:rsidR="000F69E9" w:rsidRDefault="00DA3F8E">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62D90E44" w14:textId="77777777" w:rsidR="000F69E9" w:rsidRDefault="000F69E9">
      <w:pPr>
        <w:pStyle w:val="Smalltext"/>
      </w:pPr>
    </w:p>
    <w:p w14:paraId="3C0538D2" w14:textId="77777777" w:rsidR="000F69E9" w:rsidRDefault="00DA3F8E">
      <w:pPr>
        <w:pStyle w:val="Heading4"/>
      </w:pPr>
      <w:bookmarkStart w:id="33" w:name="Xc4f93f5d9131c8100679f7c4820c9910b032f91"/>
      <w:bookmarkEnd w:id="32"/>
      <w:r>
        <w:t>World Health Organization Collaborating Centre (WHOCC) for Reference and Research on Influenza</w:t>
      </w:r>
    </w:p>
    <w:p w14:paraId="2F619C45" w14:textId="77777777" w:rsidR="000F69E9" w:rsidRDefault="00DA3F8E" w:rsidP="009A15CD">
      <w:pPr>
        <w:numPr>
          <w:ilvl w:val="0"/>
          <w:numId w:val="51"/>
        </w:numPr>
      </w:pPr>
      <w:r>
        <w:t>In the year to date, the WHOCC has characterised 2,076 influenza viruses, of which 44.8% (931/2,076) have been influenza A(H1N1), 52.0% (1,079/2,076) have been influenza A(H3N2), and 3.2% (66/2,076) have been influenza B/Victoria. In the year to date, there have been no influenza B/Yamagata viruses characterised by the WHOCC (Table 4).</w:t>
      </w:r>
    </w:p>
    <w:p w14:paraId="4EB4BD96" w14:textId="72E2BD9B" w:rsidR="000F69E9" w:rsidRDefault="00DA3F8E" w:rsidP="009A15CD">
      <w:pPr>
        <w:numPr>
          <w:ilvl w:val="0"/>
          <w:numId w:val="51"/>
        </w:numPr>
      </w:pPr>
      <w:r>
        <w:t>Of the influenza A(H1N1) samples tested for neuraminidase inhibitor resistance 0.70% (5/714) demonstrated reduced inhibition to Oseltamivir. Of the influenza A(H3N2) samples tested for neuraminidase inhibitor resistance, 0.19% (1/513) demonstrated reduced inhibition to Oseltamivir. None of the influenza B/Victoria samples tested for neuraminidase inhibitor resistance demonstrated reduced inhibition to Oseltamivir or Zanamivir.</w:t>
      </w:r>
    </w:p>
    <w:p w14:paraId="06D9F804" w14:textId="77777777" w:rsidR="000F69E9" w:rsidRDefault="00DA3F8E">
      <w:r>
        <w:rPr>
          <w:b/>
          <w:bCs/>
        </w:rPr>
        <w:t>Table 4: Australian influenza viruses typed by the WHOCC for Reference and Research on Influenza by haemagglutination inhibition assay and jurisdiction*</w:t>
      </w:r>
      <w:r>
        <w:rPr>
          <w:b/>
          <w:bCs/>
          <w:vertAlign w:val="superscript"/>
        </w:rPr>
        <w:t>†</w:t>
      </w:r>
      <w:r>
        <w:rPr>
          <w:b/>
          <w:bCs/>
        </w:rPr>
        <w:t>, 1 January to 28 July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8 July 2024. Since the beginning of 2024, the largest proportion of samples typed was from the Northern Territory (32.8%; 683/2,076), followed by Victoria (29.2%; 607/2,076). Influenza A(H3N2) accounted for the majority (52.0%; 1,079/2,076) of influenza viruses typed, followed by influenza A(H1N1)pdm09 (44.8%; 931/2,076) Of the 66 influenza B/Victoria samples, the largest proportions were from Victoria (51.5%; 34/66).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0F69E9" w14:paraId="7D54EDB4" w14:textId="77777777" w:rsidTr="000F4A6A">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0C60B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E7D76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3E580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C358A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2C2E1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F22A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67E99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78990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9449B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DD8C1B"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0F69E9" w14:paraId="7C64AE73"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0030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F03DD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8234D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31984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ABF83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5F468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27BD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F6DC0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3ACF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F06BC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931</w:t>
            </w:r>
          </w:p>
        </w:tc>
      </w:tr>
      <w:tr w:rsidR="000F69E9" w14:paraId="2182902A"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5723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7B1B9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F575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751E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D802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945D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E8E008"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7833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2064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7090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1,079</w:t>
            </w:r>
          </w:p>
        </w:tc>
      </w:tr>
      <w:tr w:rsidR="000F69E9" w14:paraId="4B089DA1"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E1525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04DC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4053C"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59AF0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B9BE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B874A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F5FE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EE7D2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50EE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96871"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66</w:t>
            </w:r>
          </w:p>
        </w:tc>
      </w:tr>
      <w:tr w:rsidR="000F69E9" w14:paraId="215B6599"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3F68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64F54D"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3728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D5992"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1F62E"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E08C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3410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2DD73"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63CE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2B1F44"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0F69E9" w14:paraId="255B307D" w14:textId="77777777" w:rsidTr="000F4A6A">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5555A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3D4EA"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BE86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F97A0"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683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88B7A9"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A7C6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55</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431F"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B2F605"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607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4FE07"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146</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20EB6" w14:textId="77777777" w:rsidR="000F69E9" w:rsidRDefault="00DA3F8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2,076</w:t>
            </w:r>
          </w:p>
        </w:tc>
      </w:tr>
    </w:tbl>
    <w:p w14:paraId="365FF31E" w14:textId="77777777" w:rsidR="000F69E9" w:rsidRDefault="00DA3F8E">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9FE9939" w14:textId="77777777" w:rsidR="000F69E9" w:rsidRDefault="000F69E9">
      <w:pPr>
        <w:pStyle w:val="Smalltext"/>
      </w:pPr>
    </w:p>
    <w:p w14:paraId="5748D295" w14:textId="77777777" w:rsidR="000F69E9" w:rsidRDefault="00DA3F8E">
      <w:pPr>
        <w:pStyle w:val="Heading4"/>
      </w:pPr>
      <w:bookmarkStart w:id="34" w:name="nndss-3"/>
      <w:bookmarkEnd w:id="33"/>
      <w:r>
        <w:lastRenderedPageBreak/>
        <w:t>NNDSS</w:t>
      </w:r>
    </w:p>
    <w:p w14:paraId="1FC384C8" w14:textId="779F70E3" w:rsidR="000F69E9" w:rsidRDefault="00DA3F8E" w:rsidP="009A15CD">
      <w:pPr>
        <w:numPr>
          <w:ilvl w:val="0"/>
          <w:numId w:val="52"/>
        </w:numPr>
      </w:pPr>
      <w:r>
        <w:t>In this fortnight (15 July to 28 July 2024), of the 41,212 influenza notifications reported to the NNDSS, 95.7% (39,436/41,212) were influenza A(unsubtyped), 1.8% (748/41,212) were influenza untyped; 1.2% (512/41,212) were influenza A(H3N2); 1.0% (398/41,212) were influenza B</w:t>
      </w:r>
      <w:r w:rsidR="00B363A9">
        <w:t>;</w:t>
      </w:r>
      <w:r w:rsidR="0071755B">
        <w:t xml:space="preserve"> and</w:t>
      </w:r>
      <w:r>
        <w:t xml:space="preserve"> 0.3% (113/41,212) were influenza A(H1N1) </w:t>
      </w:r>
      <w:r w:rsidR="0071755B">
        <w:t>(Figure 19</w:t>
      </w:r>
      <w:r>
        <w:t xml:space="preserve">). </w:t>
      </w:r>
      <w:r w:rsidR="0071755B">
        <w:t>Five notifications</w:t>
      </w:r>
      <w:r>
        <w:t xml:space="preserve"> were influenza A&amp;B co-detection (Figure 19).</w:t>
      </w:r>
    </w:p>
    <w:p w14:paraId="2AC9C0A7" w14:textId="77777777" w:rsidR="000F69E9" w:rsidRDefault="00DA3F8E" w:rsidP="009A15CD">
      <w:pPr>
        <w:numPr>
          <w:ilvl w:val="0"/>
          <w:numId w:val="52"/>
        </w:numPr>
      </w:pPr>
      <w:r>
        <w:t xml:space="preserve">In the year to date, influenza A has accounted for </w:t>
      </w:r>
      <w:proofErr w:type="gramStart"/>
      <w:r>
        <w:t>the majority of</w:t>
      </w:r>
      <w:proofErr w:type="gramEnd"/>
      <w:r>
        <w:t xml:space="preserve"> influenza notifications in most jurisdictions (Figure 20).</w:t>
      </w:r>
    </w:p>
    <w:p w14:paraId="18F091E6" w14:textId="77777777" w:rsidR="000F69E9" w:rsidRDefault="000F69E9"/>
    <w:p w14:paraId="6019E61E" w14:textId="77777777" w:rsidR="000F69E9" w:rsidRDefault="00DA3F8E">
      <w:pPr>
        <w:pStyle w:val="BodyText"/>
      </w:pPr>
      <w:r>
        <w:rPr>
          <w:b/>
          <w:bCs/>
        </w:rPr>
        <w:t>Figure 19: Proportion of influenza notifications to the NNDSS by subtype and week of diagnosis, Australia, 1 January to 28 July 2024</w:t>
      </w:r>
    </w:p>
    <w:p w14:paraId="5C9DE443" w14:textId="77777777" w:rsidR="000F69E9" w:rsidRDefault="00DA3F8E">
      <w:pPr>
        <w:pStyle w:val="BodyText"/>
      </w:pPr>
      <w:r>
        <w:rPr>
          <w:noProof/>
        </w:rPr>
        <w:drawing>
          <wp:inline distT="0" distB="0" distL="0" distR="0" wp14:anchorId="6BE39C6A" wp14:editId="31AE0F8D">
            <wp:extent cx="6184900" cy="2731980"/>
            <wp:effectExtent l="0" t="0" r="0" b="0"/>
            <wp:docPr id="107" name="Picture" descr="A 100% stacked bar chart shows the relative proportion of influenza notifications to the NNDSS by subtype, with diagnosis dates from 1 January to 28 July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wp:cNvGraphicFramePr/>
            <a:graphic xmlns:a="http://schemas.openxmlformats.org/drawingml/2006/main">
              <a:graphicData uri="http://schemas.openxmlformats.org/drawingml/2006/picture">
                <pic:pic xmlns:pic="http://schemas.openxmlformats.org/drawingml/2006/picture">
                  <pic:nvPicPr>
                    <pic:cNvPr id="107" name="Picture" descr="A 100% stacked bar chart shows the relative proportion of influenza notifications to the NNDSS by subtype, with diagnosis dates from 1 January to 28 July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04AD69A" w14:textId="77777777" w:rsidR="000F69E9" w:rsidRDefault="00DA3F8E">
      <w:pPr>
        <w:pStyle w:val="BodyText"/>
      </w:pPr>
      <w:r>
        <w:rPr>
          <w:b/>
          <w:bCs/>
        </w:rPr>
        <w:t>Figure 20: Proportion of influenza notifications to the NNDSS by subtype and jurisdiction*, Australia, 1 January to 28 July 2024</w:t>
      </w:r>
    </w:p>
    <w:p w14:paraId="421799E0" w14:textId="77777777" w:rsidR="000F69E9" w:rsidRDefault="00DA3F8E">
      <w:pPr>
        <w:pStyle w:val="BodyText"/>
      </w:pPr>
      <w:r>
        <w:rPr>
          <w:noProof/>
        </w:rPr>
        <w:drawing>
          <wp:inline distT="0" distB="0" distL="0" distR="0" wp14:anchorId="614D56DC" wp14:editId="1D4AE813">
            <wp:extent cx="6184900" cy="2731980"/>
            <wp:effectExtent l="0" t="0" r="0" b="0"/>
            <wp:docPr id="110" name="Picture" descr="A 100% stacked bar chart shows the relative proportion of influenza notifications to the NNDSS by subtype and state or territory of residence, from 1 January to 28 July 2024. In 2024 to date, the majority of influenza notifications reported to the NNDSS from all jurisdictions have been influenza A(Unsubtyped), followed by influenza B. Almost 25% of influenza notifications from the ACT have been influenza Untyped. "/>
            <wp:cNvGraphicFramePr/>
            <a:graphic xmlns:a="http://schemas.openxmlformats.org/drawingml/2006/main">
              <a:graphicData uri="http://schemas.openxmlformats.org/drawingml/2006/picture">
                <pic:pic xmlns:pic="http://schemas.openxmlformats.org/drawingml/2006/picture">
                  <pic:nvPicPr>
                    <pic:cNvPr id="110" name="Picture" descr="A 100% stacked bar chart shows the relative proportion of influenza notifications to the NNDSS by subtype and state or territory of residence, from 1 January to 28 July 2024. In 2024 to date, the majority of influenza notifications reported to the NNDSS from all jurisdictions have been influenza A(Unsubtyped), followed by influenza B. Almost 25% of influenza notifications from the ACT have been influenza Untyped.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852C5F8" w14:textId="77777777" w:rsidR="00072DC0" w:rsidRDefault="00072DC0">
      <w:pPr>
        <w:spacing w:before="0" w:after="0" w:line="240" w:lineRule="auto"/>
        <w:rPr>
          <w:b/>
          <w:bCs/>
          <w:sz w:val="28"/>
          <w:szCs w:val="28"/>
        </w:rPr>
      </w:pPr>
      <w:bookmarkStart w:id="35" w:name="flucan-1"/>
      <w:bookmarkEnd w:id="34"/>
      <w:r>
        <w:br w:type="page"/>
      </w:r>
    </w:p>
    <w:p w14:paraId="1E770E9A" w14:textId="70D57768" w:rsidR="000F69E9" w:rsidRDefault="00DA3F8E">
      <w:pPr>
        <w:pStyle w:val="Heading4"/>
      </w:pPr>
      <w:r>
        <w:lastRenderedPageBreak/>
        <w:t>FluCAN</w:t>
      </w:r>
    </w:p>
    <w:p w14:paraId="5877F6D2" w14:textId="643A0A64" w:rsidR="000F69E9" w:rsidRDefault="00DA3F8E" w:rsidP="009A15CD">
      <w:pPr>
        <w:numPr>
          <w:ilvl w:val="0"/>
          <w:numId w:val="53"/>
        </w:numPr>
      </w:pPr>
      <w:r>
        <w:t>Since influenza surveillance commenced on 1 April 2024 to date for FluCAN severity reporting (14 July 2024), 97.8% (1,954/1,998) of patients admitted with influenza to FluCAN sentinel hospitals have been due to influenza A and 2.2% (44/1,998) of patients admitted to FluCAN sentinel hospitals have been due to influenza B. Of the hospital admissions due to influenza A: 90.5% (1,768/1,954) were A(Unsubtyped)</w:t>
      </w:r>
      <w:r w:rsidR="00606156">
        <w:t>;</w:t>
      </w:r>
      <w:r>
        <w:t xml:space="preserve"> 6.2% (121/1,954) were A(H1N1)</w:t>
      </w:r>
      <w:r w:rsidR="00606156">
        <w:t>;</w:t>
      </w:r>
      <w:r>
        <w:t xml:space="preserve"> and 3.3% (65/1,954) were A(H3N2).</w:t>
      </w:r>
    </w:p>
    <w:p w14:paraId="0D44BE11" w14:textId="21AD94DF" w:rsidR="000F69E9" w:rsidRDefault="00DA3F8E" w:rsidP="009A15CD">
      <w:pPr>
        <w:numPr>
          <w:ilvl w:val="0"/>
          <w:numId w:val="53"/>
        </w:numPr>
      </w:pPr>
      <w:r>
        <w:t>Since influenza surveillance commenced on 1 April 2024 to date for FluCAN severity reporting, of the 126 patients who have been admitted directly to intensive care in a FluCAN sentinel hospital with influenza, 100% (126/126) have been due to influenza A</w:t>
      </w:r>
      <w:r w:rsidR="0063510F">
        <w:t xml:space="preserve">: </w:t>
      </w:r>
      <w:r>
        <w:t>85.7% (108/126) were A(</w:t>
      </w:r>
      <w:r w:rsidR="0063510F">
        <w:t>U</w:t>
      </w:r>
      <w:r>
        <w:t>nsubtyped)</w:t>
      </w:r>
      <w:r w:rsidR="00AA2AC6">
        <w:t>;</w:t>
      </w:r>
      <w:r>
        <w:t xml:space="preserve"> 7.9% (10/126) were A(H1N1)</w:t>
      </w:r>
      <w:r w:rsidR="00AA2AC6">
        <w:t>;</w:t>
      </w:r>
      <w:r>
        <w:t xml:space="preserve"> and 6.3% (8/126) were A(H3N2).</w:t>
      </w:r>
    </w:p>
    <w:p w14:paraId="213C5B9C" w14:textId="77777777" w:rsidR="000F69E9" w:rsidRDefault="00DA3F8E">
      <w:r>
        <w:br w:type="page"/>
      </w:r>
    </w:p>
    <w:p w14:paraId="23932373" w14:textId="77777777" w:rsidR="000F69E9" w:rsidRDefault="00DA3F8E">
      <w:pPr>
        <w:pStyle w:val="Heading2"/>
      </w:pPr>
      <w:bookmarkStart w:id="36" w:name="vaccine-coverage-effectiveness-and-match"/>
      <w:bookmarkEnd w:id="30"/>
      <w:bookmarkEnd w:id="35"/>
      <w:r>
        <w:lastRenderedPageBreak/>
        <w:t>6. Vaccine coverage, effectiveness and match</w:t>
      </w:r>
    </w:p>
    <w:p w14:paraId="5EC3B9F5" w14:textId="77777777" w:rsidR="000F69E9" w:rsidRDefault="00DA3F8E">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9">
        <w:r>
          <w:rPr>
            <w:rStyle w:val="Hyperlink"/>
          </w:rPr>
          <w:t>Technical Supplement – Australian Respiratory Surveillance Report</w:t>
        </w:r>
      </w:hyperlink>
      <w:r>
        <w:t xml:space="preserve"> for further detail on relevant vaccine terminology.</w:t>
      </w:r>
    </w:p>
    <w:p w14:paraId="15C1DB46" w14:textId="77777777" w:rsidR="000F69E9" w:rsidRDefault="00DA3F8E">
      <w:pPr>
        <w:pStyle w:val="Heading3"/>
      </w:pPr>
      <w:bookmarkStart w:id="37" w:name="vaccine-coverage"/>
      <w:r>
        <w:t>6.1 Vaccine coverage</w:t>
      </w:r>
    </w:p>
    <w:p w14:paraId="4905DC27" w14:textId="77777777" w:rsidR="000F69E9" w:rsidRDefault="00DA3F8E" w:rsidP="009A15CD">
      <w:pPr>
        <w:numPr>
          <w:ilvl w:val="0"/>
          <w:numId w:val="54"/>
        </w:numPr>
      </w:pPr>
      <w:r>
        <w:t>It is too early to assess vaccine coverage for the 2024 influenza season.</w:t>
      </w:r>
    </w:p>
    <w:p w14:paraId="00DBA834" w14:textId="77777777" w:rsidR="000F69E9" w:rsidRDefault="00DA3F8E">
      <w:pPr>
        <w:pStyle w:val="Heading3"/>
      </w:pPr>
      <w:bookmarkStart w:id="38" w:name="vaccine-effectiveness"/>
      <w:bookmarkEnd w:id="37"/>
      <w:r>
        <w:t>6.2 Vaccine effectiveness</w:t>
      </w:r>
    </w:p>
    <w:p w14:paraId="05D072D0" w14:textId="77777777" w:rsidR="000F69E9" w:rsidRDefault="00DA3F8E" w:rsidP="009A15CD">
      <w:pPr>
        <w:numPr>
          <w:ilvl w:val="0"/>
          <w:numId w:val="55"/>
        </w:numPr>
      </w:pPr>
      <w:r>
        <w:t>It is too early to assess vaccine effectiveness for the 2024 influenza season.</w:t>
      </w:r>
    </w:p>
    <w:p w14:paraId="28D15794" w14:textId="77777777" w:rsidR="000F69E9" w:rsidRDefault="00DA3F8E">
      <w:pPr>
        <w:pStyle w:val="Heading3"/>
      </w:pPr>
      <w:bookmarkStart w:id="39" w:name="vaccine-match"/>
      <w:bookmarkEnd w:id="38"/>
      <w:r>
        <w:t>6.3 Vaccine match</w:t>
      </w:r>
    </w:p>
    <w:p w14:paraId="021988B7" w14:textId="77777777" w:rsidR="000F69E9" w:rsidRDefault="00DA3F8E">
      <w:pPr>
        <w:pStyle w:val="Heading4"/>
      </w:pPr>
      <w:bookmarkStart w:id="40" w:name="Xda89bbb2a4c0caad83732639f007e8847ab4043"/>
      <w:r>
        <w:t>WHOCC for Reference and Research on Influenza</w:t>
      </w:r>
    </w:p>
    <w:p w14:paraId="289E94A9" w14:textId="73AA3D2B" w:rsidR="000F69E9" w:rsidRDefault="00DA3F8E" w:rsidP="009A15CD">
      <w:pPr>
        <w:numPr>
          <w:ilvl w:val="0"/>
          <w:numId w:val="56"/>
        </w:numPr>
      </w:pPr>
      <w:r>
        <w:t xml:space="preserve">In the year to date, of the 2,076 samples referred to the WHOCC, 98.7% (919/931) of influenza A(H1N1) isolates, 92.5% (998/1,079) of influenza A(H3N2) isolates and 100% (66/66) of influenza B/Victoria isolates have been antigenically </w:t>
      </w:r>
      <w:proofErr w:type="gramStart"/>
      <w:r>
        <w:t>similar to</w:t>
      </w:r>
      <w:proofErr w:type="gramEnd"/>
      <w:r>
        <w:t xml:space="preserve"> the corresponding vaccine components.</w:t>
      </w:r>
    </w:p>
    <w:p w14:paraId="66B9CDC1" w14:textId="77777777" w:rsidR="000F69E9" w:rsidRDefault="00DA3F8E">
      <w:pPr>
        <w:pStyle w:val="Heading4"/>
      </w:pPr>
      <w:bookmarkStart w:id="41" w:name="Xe9565954bca540ca29e947f2d57b7373df8b325"/>
      <w:bookmarkEnd w:id="40"/>
      <w:r>
        <w:t>Australian Influenza Vaccines Composition 2024</w:t>
      </w:r>
    </w:p>
    <w:p w14:paraId="011760B6" w14:textId="77777777" w:rsidR="000F69E9" w:rsidRDefault="00DA3F8E" w:rsidP="009A15CD">
      <w:pPr>
        <w:numPr>
          <w:ilvl w:val="0"/>
          <w:numId w:val="57"/>
        </w:numPr>
      </w:pPr>
      <w:r>
        <w:t xml:space="preserve">All 2024 southern hemisphere </w:t>
      </w:r>
      <w:hyperlink r:id="rId60">
        <w:r>
          <w:rPr>
            <w:rStyle w:val="Hyperlink"/>
          </w:rPr>
          <w:t>seasonal influenza vaccinations</w:t>
        </w:r>
      </w:hyperlink>
      <w:r>
        <w:t xml:space="preserve"> registered for use in Australia are quadrivalent influenza vaccines.</w:t>
      </w:r>
    </w:p>
    <w:p w14:paraId="78E5DE03" w14:textId="77777777" w:rsidR="000F69E9" w:rsidRDefault="00DA3F8E" w:rsidP="009A15CD">
      <w:pPr>
        <w:numPr>
          <w:ilvl w:val="0"/>
          <w:numId w:val="57"/>
        </w:numPr>
      </w:pPr>
      <w:r>
        <w:t>The influenza virus strains included in egg-based quadrivalent influenza vaccines in Australia in 2024 are:</w:t>
      </w:r>
    </w:p>
    <w:p w14:paraId="25830643" w14:textId="77777777" w:rsidR="000F69E9" w:rsidRDefault="00DA3F8E" w:rsidP="009A15CD">
      <w:pPr>
        <w:numPr>
          <w:ilvl w:val="1"/>
          <w:numId w:val="58"/>
        </w:numPr>
      </w:pPr>
      <w:r>
        <w:t>A/Victoria/4897/2022 (H1N</w:t>
      </w:r>
      <w:proofErr w:type="gramStart"/>
      <w:r>
        <w:t>1)pdm</w:t>
      </w:r>
      <w:proofErr w:type="gramEnd"/>
      <w:r>
        <w:t>09-like virus</w:t>
      </w:r>
    </w:p>
    <w:p w14:paraId="2E941062" w14:textId="77777777" w:rsidR="000F69E9" w:rsidRDefault="00DA3F8E" w:rsidP="009A15CD">
      <w:pPr>
        <w:numPr>
          <w:ilvl w:val="1"/>
          <w:numId w:val="58"/>
        </w:numPr>
      </w:pPr>
      <w:r>
        <w:t>A/Thailand/8/2022 (H3N2)-like virus</w:t>
      </w:r>
    </w:p>
    <w:p w14:paraId="0145437E" w14:textId="77777777" w:rsidR="000F69E9" w:rsidRDefault="00DA3F8E" w:rsidP="009A15CD">
      <w:pPr>
        <w:numPr>
          <w:ilvl w:val="1"/>
          <w:numId w:val="58"/>
        </w:numPr>
      </w:pPr>
      <w:r>
        <w:t>B/Austria/1359417/2021 (B/Victoria lineage)-like virus</w:t>
      </w:r>
    </w:p>
    <w:p w14:paraId="593ADB9D" w14:textId="77777777" w:rsidR="000F69E9" w:rsidRDefault="00DA3F8E" w:rsidP="009A15CD">
      <w:pPr>
        <w:numPr>
          <w:ilvl w:val="1"/>
          <w:numId w:val="58"/>
        </w:numPr>
      </w:pPr>
      <w:r>
        <w:t>B/Phuket/3073/2013 (B/Yamagata lineage)-like virus.</w:t>
      </w:r>
    </w:p>
    <w:p w14:paraId="420801A2" w14:textId="77777777" w:rsidR="000F69E9" w:rsidRDefault="00DA3F8E" w:rsidP="009A15CD">
      <w:pPr>
        <w:numPr>
          <w:ilvl w:val="0"/>
          <w:numId w:val="57"/>
        </w:numPr>
      </w:pPr>
      <w:r>
        <w:t>The influenza virus strains included in cell-based quadrivalent influenza vaccines in Australia in 2024 are:</w:t>
      </w:r>
    </w:p>
    <w:p w14:paraId="483382DC" w14:textId="77777777" w:rsidR="000F69E9" w:rsidRDefault="00DA3F8E" w:rsidP="009A15CD">
      <w:pPr>
        <w:numPr>
          <w:ilvl w:val="1"/>
          <w:numId w:val="59"/>
        </w:numPr>
      </w:pPr>
      <w:r>
        <w:t>A/Wisconsin/67/2022 (H1N</w:t>
      </w:r>
      <w:proofErr w:type="gramStart"/>
      <w:r>
        <w:t>1)pdm</w:t>
      </w:r>
      <w:proofErr w:type="gramEnd"/>
      <w:r>
        <w:t>09-like virus</w:t>
      </w:r>
    </w:p>
    <w:p w14:paraId="7B30180C" w14:textId="77777777" w:rsidR="000F69E9" w:rsidRDefault="00DA3F8E" w:rsidP="009A15CD">
      <w:pPr>
        <w:numPr>
          <w:ilvl w:val="1"/>
          <w:numId w:val="59"/>
        </w:numPr>
      </w:pPr>
      <w:r>
        <w:t>A/Massachusetts/18/2022 (H3N2)-like virus</w:t>
      </w:r>
    </w:p>
    <w:p w14:paraId="7F17744C" w14:textId="77777777" w:rsidR="000F69E9" w:rsidRDefault="00DA3F8E" w:rsidP="009A15CD">
      <w:pPr>
        <w:numPr>
          <w:ilvl w:val="1"/>
          <w:numId w:val="59"/>
        </w:numPr>
      </w:pPr>
      <w:r>
        <w:t>B/Austria/1359417/2021 (B/Victoria lineage)-like virus</w:t>
      </w:r>
    </w:p>
    <w:p w14:paraId="41D59633" w14:textId="77777777" w:rsidR="000F69E9" w:rsidRDefault="00DA3F8E" w:rsidP="009A15CD">
      <w:pPr>
        <w:numPr>
          <w:ilvl w:val="1"/>
          <w:numId w:val="59"/>
        </w:numPr>
      </w:pPr>
      <w:r>
        <w:t>B/Phuket/3073/2013 (B/Yamagata lineage)-like virus.</w:t>
      </w:r>
    </w:p>
    <w:bookmarkEnd w:id="36"/>
    <w:bookmarkEnd w:id="39"/>
    <w:bookmarkEnd w:id="41"/>
    <w:p w14:paraId="39EFEF7B" w14:textId="53FDC1B2" w:rsidR="000F69E9" w:rsidRDefault="000F69E9"/>
    <w:sectPr w:rsidR="000F69E9" w:rsidSect="009A15CD">
      <w:footerReference w:type="default" r:id="rId61"/>
      <w:head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4A555" w14:textId="77777777" w:rsidR="00FC0528" w:rsidRDefault="00FC0528">
      <w:pPr>
        <w:spacing w:before="0" w:after="0" w:line="240" w:lineRule="auto"/>
      </w:pPr>
      <w:r>
        <w:separator/>
      </w:r>
    </w:p>
  </w:endnote>
  <w:endnote w:type="continuationSeparator" w:id="0">
    <w:p w14:paraId="147306BE" w14:textId="77777777" w:rsidR="00FC0528" w:rsidRDefault="00FC0528">
      <w:pPr>
        <w:spacing w:before="0" w:after="0" w:line="240" w:lineRule="auto"/>
      </w:pPr>
      <w:r>
        <w:continuationSeparator/>
      </w:r>
    </w:p>
  </w:endnote>
  <w:endnote w:type="continuationNotice" w:id="1">
    <w:p w14:paraId="0888DB9E" w14:textId="77777777" w:rsidR="00FC0528" w:rsidRDefault="00FC05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7E8C3" w14:textId="77777777" w:rsidR="009A15CD" w:rsidRDefault="00000000" w:rsidP="009A15CD">
    <w:pPr>
      <w:pStyle w:val="Footer"/>
      <w:jc w:val="both"/>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9A15CD" w:rsidRPr="009721CA">
              <w:rPr>
                <w:color w:val="033636" w:themeColor="text1"/>
                <w:sz w:val="16"/>
                <w:szCs w:val="16"/>
              </w:rPr>
              <w:t>Interim Australian Centre for Disease Control</w:t>
            </w:r>
            <w:r w:rsidR="009A15CD">
              <w:rPr>
                <w:color w:val="033636" w:themeColor="text1"/>
                <w:sz w:val="16"/>
                <w:szCs w:val="16"/>
              </w:rPr>
              <w:t xml:space="preserve">   </w:t>
            </w:r>
            <w:r w:rsidR="009A15CD">
              <w:rPr>
                <w:color w:val="033636" w:themeColor="text1"/>
                <w:sz w:val="16"/>
                <w:szCs w:val="16"/>
              </w:rPr>
              <w:tab/>
            </w:r>
          </w:sdtContent>
        </w:sdt>
        <w:r w:rsidR="009A15CD">
          <w:rPr>
            <w:noProof/>
          </w:rPr>
          <w:t xml:space="preserve"> </w:t>
        </w:r>
        <w:r w:rsidR="009A15CD" w:rsidRPr="009721CA">
          <w:rPr>
            <w:color w:val="033636" w:themeColor="text1"/>
            <w:sz w:val="16"/>
          </w:rPr>
          <w:fldChar w:fldCharType="begin"/>
        </w:r>
        <w:r w:rsidR="009A15CD" w:rsidRPr="009721CA">
          <w:rPr>
            <w:color w:val="033636" w:themeColor="text1"/>
            <w:sz w:val="16"/>
          </w:rPr>
          <w:instrText xml:space="preserve"> PAGE   \* MERGEFORMAT </w:instrText>
        </w:r>
        <w:r w:rsidR="009A15CD" w:rsidRPr="009721CA">
          <w:rPr>
            <w:color w:val="033636" w:themeColor="text1"/>
            <w:sz w:val="16"/>
          </w:rPr>
          <w:fldChar w:fldCharType="separate"/>
        </w:r>
        <w:r w:rsidR="009A15CD">
          <w:rPr>
            <w:color w:val="033636" w:themeColor="text1"/>
            <w:sz w:val="16"/>
          </w:rPr>
          <w:t>1</w:t>
        </w:r>
        <w:r w:rsidR="009A15CD" w:rsidRPr="009721CA">
          <w:rPr>
            <w:noProof/>
            <w:color w:val="033636" w:themeColor="text1"/>
            <w:sz w:val="16"/>
          </w:rPr>
          <w:fldChar w:fldCharType="end"/>
        </w:r>
      </w:sdtContent>
    </w:sdt>
  </w:p>
  <w:p w14:paraId="3A62614A" w14:textId="77777777" w:rsidR="009A15CD" w:rsidRDefault="009A1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45622" w14:textId="77777777" w:rsidR="00FC0528" w:rsidRDefault="00FC0528">
      <w:r>
        <w:separator/>
      </w:r>
    </w:p>
  </w:footnote>
  <w:footnote w:type="continuationSeparator" w:id="0">
    <w:p w14:paraId="482545A2" w14:textId="77777777" w:rsidR="00FC0528" w:rsidRDefault="00FC0528">
      <w:r>
        <w:continuationSeparator/>
      </w:r>
    </w:p>
  </w:footnote>
  <w:footnote w:type="continuationNotice" w:id="1">
    <w:p w14:paraId="1C731DAD" w14:textId="77777777" w:rsidR="00FC0528" w:rsidRDefault="00FC05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CCC3" w14:textId="77777777" w:rsidR="005052E2" w:rsidRDefault="00DA3F8E">
    <w:pPr>
      <w:pStyle w:val="Header"/>
    </w:pPr>
    <w:r>
      <w:rPr>
        <w:noProof/>
        <w:lang w:eastAsia="en-AU"/>
      </w:rPr>
      <w:drawing>
        <wp:anchor distT="0" distB="0" distL="114300" distR="114300" simplePos="0" relativeHeight="251658240" behindDoc="1" locked="1" layoutInCell="1" allowOverlap="1" wp14:anchorId="6BFBA061" wp14:editId="2F44AA91">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598636194">
    <w:abstractNumId w:val="0"/>
  </w:num>
  <w:num w:numId="8" w16cid:durableId="117844895">
    <w:abstractNumId w:val="0"/>
  </w:num>
  <w:num w:numId="9" w16cid:durableId="1964798923">
    <w:abstractNumId w:val="0"/>
  </w:num>
  <w:num w:numId="10" w16cid:durableId="86854137">
    <w:abstractNumId w:val="0"/>
  </w:num>
  <w:num w:numId="11" w16cid:durableId="1570388572">
    <w:abstractNumId w:val="0"/>
  </w:num>
  <w:num w:numId="12" w16cid:durableId="847793634">
    <w:abstractNumId w:val="0"/>
  </w:num>
  <w:num w:numId="13" w16cid:durableId="2023625595">
    <w:abstractNumId w:val="0"/>
  </w:num>
  <w:num w:numId="14" w16cid:durableId="112139069">
    <w:abstractNumId w:val="0"/>
  </w:num>
  <w:num w:numId="15" w16cid:durableId="1231161180">
    <w:abstractNumId w:val="0"/>
  </w:num>
  <w:num w:numId="16" w16cid:durableId="1489442116">
    <w:abstractNumId w:val="0"/>
  </w:num>
  <w:num w:numId="17" w16cid:durableId="1113286464">
    <w:abstractNumId w:val="0"/>
  </w:num>
  <w:num w:numId="18" w16cid:durableId="2031878713">
    <w:abstractNumId w:val="0"/>
  </w:num>
  <w:num w:numId="19" w16cid:durableId="559288554">
    <w:abstractNumId w:val="0"/>
  </w:num>
  <w:num w:numId="20" w16cid:durableId="1137068471">
    <w:abstractNumId w:val="0"/>
  </w:num>
  <w:num w:numId="21" w16cid:durableId="79837211">
    <w:abstractNumId w:val="0"/>
  </w:num>
  <w:num w:numId="22" w16cid:durableId="226691070">
    <w:abstractNumId w:val="0"/>
  </w:num>
  <w:num w:numId="23" w16cid:durableId="465317384">
    <w:abstractNumId w:val="0"/>
  </w:num>
  <w:num w:numId="24" w16cid:durableId="937560792">
    <w:abstractNumId w:val="0"/>
  </w:num>
  <w:num w:numId="25" w16cid:durableId="1572502123">
    <w:abstractNumId w:val="0"/>
  </w:num>
  <w:num w:numId="26" w16cid:durableId="655383618">
    <w:abstractNumId w:val="0"/>
  </w:num>
  <w:num w:numId="27" w16cid:durableId="1741901859">
    <w:abstractNumId w:val="0"/>
  </w:num>
  <w:num w:numId="28" w16cid:durableId="1292905074">
    <w:abstractNumId w:val="0"/>
  </w:num>
  <w:num w:numId="29" w16cid:durableId="1726559097">
    <w:abstractNumId w:val="0"/>
  </w:num>
  <w:num w:numId="30" w16cid:durableId="697779236">
    <w:abstractNumId w:val="0"/>
  </w:num>
  <w:num w:numId="31" w16cid:durableId="347830151">
    <w:abstractNumId w:val="0"/>
  </w:num>
  <w:num w:numId="32" w16cid:durableId="1380789163">
    <w:abstractNumId w:val="0"/>
  </w:num>
  <w:num w:numId="33" w16cid:durableId="1693145718">
    <w:abstractNumId w:val="0"/>
  </w:num>
  <w:num w:numId="34" w16cid:durableId="531648589">
    <w:abstractNumId w:val="0"/>
  </w:num>
  <w:num w:numId="35" w16cid:durableId="1720015646">
    <w:abstractNumId w:val="0"/>
  </w:num>
  <w:num w:numId="36" w16cid:durableId="340671416">
    <w:abstractNumId w:val="0"/>
  </w:num>
  <w:num w:numId="37" w16cid:durableId="724908285">
    <w:abstractNumId w:val="0"/>
  </w:num>
  <w:num w:numId="38" w16cid:durableId="861935863">
    <w:abstractNumId w:val="0"/>
  </w:num>
  <w:num w:numId="39" w16cid:durableId="1975670348">
    <w:abstractNumId w:val="0"/>
  </w:num>
  <w:num w:numId="40" w16cid:durableId="1137839684">
    <w:abstractNumId w:val="0"/>
  </w:num>
  <w:num w:numId="41" w16cid:durableId="377630530">
    <w:abstractNumId w:val="0"/>
  </w:num>
  <w:num w:numId="42" w16cid:durableId="1026558904">
    <w:abstractNumId w:val="0"/>
  </w:num>
  <w:num w:numId="43" w16cid:durableId="720205783">
    <w:abstractNumId w:val="0"/>
  </w:num>
  <w:num w:numId="44" w16cid:durableId="52120816">
    <w:abstractNumId w:val="0"/>
  </w:num>
  <w:num w:numId="45" w16cid:durableId="923103008">
    <w:abstractNumId w:val="0"/>
  </w:num>
  <w:num w:numId="46" w16cid:durableId="844437620">
    <w:abstractNumId w:val="0"/>
  </w:num>
  <w:num w:numId="47" w16cid:durableId="106507257">
    <w:abstractNumId w:val="0"/>
  </w:num>
  <w:num w:numId="48" w16cid:durableId="1298607863">
    <w:abstractNumId w:val="0"/>
  </w:num>
  <w:num w:numId="49" w16cid:durableId="1285580638">
    <w:abstractNumId w:val="0"/>
  </w:num>
  <w:num w:numId="50" w16cid:durableId="415903069">
    <w:abstractNumId w:val="0"/>
  </w:num>
  <w:num w:numId="51" w16cid:durableId="37976983">
    <w:abstractNumId w:val="0"/>
  </w:num>
  <w:num w:numId="52" w16cid:durableId="1092163745">
    <w:abstractNumId w:val="0"/>
  </w:num>
  <w:num w:numId="53" w16cid:durableId="1305964534">
    <w:abstractNumId w:val="0"/>
  </w:num>
  <w:num w:numId="54" w16cid:durableId="600794405">
    <w:abstractNumId w:val="0"/>
  </w:num>
  <w:num w:numId="55" w16cid:durableId="1141121494">
    <w:abstractNumId w:val="0"/>
  </w:num>
  <w:num w:numId="56" w16cid:durableId="742141999">
    <w:abstractNumId w:val="0"/>
  </w:num>
  <w:num w:numId="57" w16cid:durableId="1854494332">
    <w:abstractNumId w:val="0"/>
  </w:num>
  <w:num w:numId="58" w16cid:durableId="2057390894">
    <w:abstractNumId w:val="0"/>
  </w:num>
  <w:num w:numId="59" w16cid:durableId="1940022571">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E9"/>
    <w:rsid w:val="00000808"/>
    <w:rsid w:val="00003AC3"/>
    <w:rsid w:val="00005920"/>
    <w:rsid w:val="000103E7"/>
    <w:rsid w:val="00042E28"/>
    <w:rsid w:val="0004470C"/>
    <w:rsid w:val="00047B5E"/>
    <w:rsid w:val="00066134"/>
    <w:rsid w:val="00072DC0"/>
    <w:rsid w:val="00074C9B"/>
    <w:rsid w:val="00076655"/>
    <w:rsid w:val="0007777E"/>
    <w:rsid w:val="000856B3"/>
    <w:rsid w:val="00090E14"/>
    <w:rsid w:val="000C0206"/>
    <w:rsid w:val="000E4C93"/>
    <w:rsid w:val="000F13E9"/>
    <w:rsid w:val="000F2C97"/>
    <w:rsid w:val="000F4A6A"/>
    <w:rsid w:val="000F69E9"/>
    <w:rsid w:val="00102429"/>
    <w:rsid w:val="00106EA7"/>
    <w:rsid w:val="001162DD"/>
    <w:rsid w:val="001162F0"/>
    <w:rsid w:val="001249FA"/>
    <w:rsid w:val="0014000C"/>
    <w:rsid w:val="00142EB8"/>
    <w:rsid w:val="001627C6"/>
    <w:rsid w:val="00166C49"/>
    <w:rsid w:val="00173F88"/>
    <w:rsid w:val="00182D73"/>
    <w:rsid w:val="001843D0"/>
    <w:rsid w:val="001872C4"/>
    <w:rsid w:val="001B1843"/>
    <w:rsid w:val="001B39BA"/>
    <w:rsid w:val="001B7282"/>
    <w:rsid w:val="001C22CB"/>
    <w:rsid w:val="001D63F0"/>
    <w:rsid w:val="001E243B"/>
    <w:rsid w:val="00207501"/>
    <w:rsid w:val="0020767A"/>
    <w:rsid w:val="0021294F"/>
    <w:rsid w:val="00221257"/>
    <w:rsid w:val="00226494"/>
    <w:rsid w:val="00235B92"/>
    <w:rsid w:val="0024262E"/>
    <w:rsid w:val="00244A68"/>
    <w:rsid w:val="00297061"/>
    <w:rsid w:val="0029745C"/>
    <w:rsid w:val="002A0674"/>
    <w:rsid w:val="002A134F"/>
    <w:rsid w:val="002A363B"/>
    <w:rsid w:val="002A5B12"/>
    <w:rsid w:val="002C24D7"/>
    <w:rsid w:val="002D0957"/>
    <w:rsid w:val="002D4365"/>
    <w:rsid w:val="002D504D"/>
    <w:rsid w:val="002F1133"/>
    <w:rsid w:val="00311A80"/>
    <w:rsid w:val="003337D6"/>
    <w:rsid w:val="00336119"/>
    <w:rsid w:val="0034267D"/>
    <w:rsid w:val="003442FC"/>
    <w:rsid w:val="0036317D"/>
    <w:rsid w:val="003778DF"/>
    <w:rsid w:val="003977ED"/>
    <w:rsid w:val="003F2484"/>
    <w:rsid w:val="00411F64"/>
    <w:rsid w:val="004312D2"/>
    <w:rsid w:val="00432E72"/>
    <w:rsid w:val="00447E5E"/>
    <w:rsid w:val="0045054B"/>
    <w:rsid w:val="0047133B"/>
    <w:rsid w:val="00494C86"/>
    <w:rsid w:val="004A52AE"/>
    <w:rsid w:val="004B3E77"/>
    <w:rsid w:val="004C5182"/>
    <w:rsid w:val="004C59DE"/>
    <w:rsid w:val="004D62D6"/>
    <w:rsid w:val="004D7999"/>
    <w:rsid w:val="004E18C7"/>
    <w:rsid w:val="004E2B34"/>
    <w:rsid w:val="004E51D0"/>
    <w:rsid w:val="004E56C9"/>
    <w:rsid w:val="004F0240"/>
    <w:rsid w:val="004F0F91"/>
    <w:rsid w:val="004F5F8A"/>
    <w:rsid w:val="00502D1A"/>
    <w:rsid w:val="005052E2"/>
    <w:rsid w:val="00507D93"/>
    <w:rsid w:val="005175D1"/>
    <w:rsid w:val="00522FED"/>
    <w:rsid w:val="0054117F"/>
    <w:rsid w:val="00560A2B"/>
    <w:rsid w:val="00563E56"/>
    <w:rsid w:val="00567CBF"/>
    <w:rsid w:val="00582040"/>
    <w:rsid w:val="005B38F0"/>
    <w:rsid w:val="005C3292"/>
    <w:rsid w:val="005D1137"/>
    <w:rsid w:val="005D647B"/>
    <w:rsid w:val="005D6DE0"/>
    <w:rsid w:val="005D75EF"/>
    <w:rsid w:val="005F2DD0"/>
    <w:rsid w:val="005F7EF9"/>
    <w:rsid w:val="00606156"/>
    <w:rsid w:val="00623C46"/>
    <w:rsid w:val="0063510F"/>
    <w:rsid w:val="006372A3"/>
    <w:rsid w:val="00640DCF"/>
    <w:rsid w:val="00690386"/>
    <w:rsid w:val="006A4C11"/>
    <w:rsid w:val="006A75D6"/>
    <w:rsid w:val="006B1F88"/>
    <w:rsid w:val="006B1FDF"/>
    <w:rsid w:val="006C12AA"/>
    <w:rsid w:val="006F5A26"/>
    <w:rsid w:val="007146FF"/>
    <w:rsid w:val="00715869"/>
    <w:rsid w:val="0071755B"/>
    <w:rsid w:val="00726EDC"/>
    <w:rsid w:val="00727149"/>
    <w:rsid w:val="00731586"/>
    <w:rsid w:val="00735617"/>
    <w:rsid w:val="00737E06"/>
    <w:rsid w:val="0074414F"/>
    <w:rsid w:val="00744B6A"/>
    <w:rsid w:val="00757887"/>
    <w:rsid w:val="00760858"/>
    <w:rsid w:val="00782262"/>
    <w:rsid w:val="0079353E"/>
    <w:rsid w:val="00793BCE"/>
    <w:rsid w:val="007B248C"/>
    <w:rsid w:val="007B58AD"/>
    <w:rsid w:val="007C5B2C"/>
    <w:rsid w:val="007D5DFE"/>
    <w:rsid w:val="007D706B"/>
    <w:rsid w:val="0081479D"/>
    <w:rsid w:val="00852621"/>
    <w:rsid w:val="00860A82"/>
    <w:rsid w:val="00860F48"/>
    <w:rsid w:val="00862AB7"/>
    <w:rsid w:val="008730F9"/>
    <w:rsid w:val="00877175"/>
    <w:rsid w:val="008922AB"/>
    <w:rsid w:val="00892628"/>
    <w:rsid w:val="00894D18"/>
    <w:rsid w:val="008971A4"/>
    <w:rsid w:val="0089755C"/>
    <w:rsid w:val="00897B1D"/>
    <w:rsid w:val="008A7984"/>
    <w:rsid w:val="008B394F"/>
    <w:rsid w:val="008B5579"/>
    <w:rsid w:val="008D5E1C"/>
    <w:rsid w:val="008D7206"/>
    <w:rsid w:val="00927E4E"/>
    <w:rsid w:val="00936A47"/>
    <w:rsid w:val="00942648"/>
    <w:rsid w:val="00950E05"/>
    <w:rsid w:val="0095618B"/>
    <w:rsid w:val="00960E73"/>
    <w:rsid w:val="009658E7"/>
    <w:rsid w:val="0096740E"/>
    <w:rsid w:val="00972192"/>
    <w:rsid w:val="009779FD"/>
    <w:rsid w:val="00985D7B"/>
    <w:rsid w:val="00995BBD"/>
    <w:rsid w:val="009A15CD"/>
    <w:rsid w:val="009A42AC"/>
    <w:rsid w:val="009B2B50"/>
    <w:rsid w:val="009E1898"/>
    <w:rsid w:val="009E49B0"/>
    <w:rsid w:val="009F1FEE"/>
    <w:rsid w:val="009F6928"/>
    <w:rsid w:val="009F7F98"/>
    <w:rsid w:val="00A05EE0"/>
    <w:rsid w:val="00A0650D"/>
    <w:rsid w:val="00A2369B"/>
    <w:rsid w:val="00A32B76"/>
    <w:rsid w:val="00A60D1E"/>
    <w:rsid w:val="00A61A25"/>
    <w:rsid w:val="00A74E8C"/>
    <w:rsid w:val="00A8147B"/>
    <w:rsid w:val="00AA2AC6"/>
    <w:rsid w:val="00AA36CD"/>
    <w:rsid w:val="00AA58B0"/>
    <w:rsid w:val="00AB0586"/>
    <w:rsid w:val="00AB3C09"/>
    <w:rsid w:val="00AB4657"/>
    <w:rsid w:val="00AB4FB3"/>
    <w:rsid w:val="00B02093"/>
    <w:rsid w:val="00B07959"/>
    <w:rsid w:val="00B22CD9"/>
    <w:rsid w:val="00B337EA"/>
    <w:rsid w:val="00B346C7"/>
    <w:rsid w:val="00B363A9"/>
    <w:rsid w:val="00B407A6"/>
    <w:rsid w:val="00B52905"/>
    <w:rsid w:val="00B54EBA"/>
    <w:rsid w:val="00B72018"/>
    <w:rsid w:val="00BB099E"/>
    <w:rsid w:val="00BB399D"/>
    <w:rsid w:val="00BC5CBC"/>
    <w:rsid w:val="00BC78F7"/>
    <w:rsid w:val="00BC7EA2"/>
    <w:rsid w:val="00BD2606"/>
    <w:rsid w:val="00C0054D"/>
    <w:rsid w:val="00C03F31"/>
    <w:rsid w:val="00C156F7"/>
    <w:rsid w:val="00C220FA"/>
    <w:rsid w:val="00C234A9"/>
    <w:rsid w:val="00C23C84"/>
    <w:rsid w:val="00C2738D"/>
    <w:rsid w:val="00C51DE8"/>
    <w:rsid w:val="00C66CFB"/>
    <w:rsid w:val="00C73760"/>
    <w:rsid w:val="00C802A1"/>
    <w:rsid w:val="00CA796E"/>
    <w:rsid w:val="00CC2B50"/>
    <w:rsid w:val="00CC393F"/>
    <w:rsid w:val="00CD3E89"/>
    <w:rsid w:val="00CD6A3B"/>
    <w:rsid w:val="00CE19D8"/>
    <w:rsid w:val="00D206B0"/>
    <w:rsid w:val="00D21D77"/>
    <w:rsid w:val="00D46CC0"/>
    <w:rsid w:val="00D57F02"/>
    <w:rsid w:val="00D77929"/>
    <w:rsid w:val="00D81D6A"/>
    <w:rsid w:val="00D95038"/>
    <w:rsid w:val="00DA1D73"/>
    <w:rsid w:val="00DA3F8E"/>
    <w:rsid w:val="00DC4865"/>
    <w:rsid w:val="00DD5FFA"/>
    <w:rsid w:val="00DD6682"/>
    <w:rsid w:val="00DE4B8B"/>
    <w:rsid w:val="00DF07A3"/>
    <w:rsid w:val="00DF10C5"/>
    <w:rsid w:val="00DF153E"/>
    <w:rsid w:val="00DF261E"/>
    <w:rsid w:val="00E01A45"/>
    <w:rsid w:val="00E1392A"/>
    <w:rsid w:val="00E22244"/>
    <w:rsid w:val="00E512A3"/>
    <w:rsid w:val="00E75C84"/>
    <w:rsid w:val="00E8175C"/>
    <w:rsid w:val="00E9450C"/>
    <w:rsid w:val="00EA3811"/>
    <w:rsid w:val="00EA4F91"/>
    <w:rsid w:val="00EB1454"/>
    <w:rsid w:val="00EB24AE"/>
    <w:rsid w:val="00EB689D"/>
    <w:rsid w:val="00EB690C"/>
    <w:rsid w:val="00EB7DC7"/>
    <w:rsid w:val="00EC09E4"/>
    <w:rsid w:val="00EC5786"/>
    <w:rsid w:val="00EC7448"/>
    <w:rsid w:val="00ED357F"/>
    <w:rsid w:val="00EF5CA0"/>
    <w:rsid w:val="00F01D4B"/>
    <w:rsid w:val="00F0674A"/>
    <w:rsid w:val="00F14973"/>
    <w:rsid w:val="00F14FBA"/>
    <w:rsid w:val="00F30B68"/>
    <w:rsid w:val="00F35671"/>
    <w:rsid w:val="00F411A5"/>
    <w:rsid w:val="00F41691"/>
    <w:rsid w:val="00F67E37"/>
    <w:rsid w:val="00F84600"/>
    <w:rsid w:val="00F85824"/>
    <w:rsid w:val="00F91C48"/>
    <w:rsid w:val="00F9474F"/>
    <w:rsid w:val="00F9678F"/>
    <w:rsid w:val="00FA10DE"/>
    <w:rsid w:val="00FB7168"/>
    <w:rsid w:val="00FC0528"/>
    <w:rsid w:val="00FC09FF"/>
    <w:rsid w:val="00FC0CEE"/>
    <w:rsid w:val="00FC22A1"/>
    <w:rsid w:val="00FC5C29"/>
    <w:rsid w:val="00FC7A1D"/>
    <w:rsid w:val="00FD21A3"/>
    <w:rsid w:val="00FD2DEC"/>
    <w:rsid w:val="00FD4697"/>
    <w:rsid w:val="00FD6477"/>
    <w:rsid w:val="00FD75B3"/>
    <w:rsid w:val="00FE4A42"/>
    <w:rsid w:val="00FF5145"/>
    <w:rsid w:val="00FF7B51"/>
    <w:rsid w:val="09225405"/>
    <w:rsid w:val="09D82F09"/>
    <w:rsid w:val="2D4248ED"/>
    <w:rsid w:val="334CB511"/>
    <w:rsid w:val="47A3418A"/>
    <w:rsid w:val="4840F3CB"/>
    <w:rsid w:val="70CB36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AF7B3"/>
  <w15:docId w15:val="{D171A090-5491-4D2A-9F75-B8251085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normaltextrun">
    <w:name w:val="normaltextrun"/>
    <w:basedOn w:val="DefaultParagraphFont"/>
    <w:rsid w:val="0096740E"/>
  </w:style>
  <w:style w:type="paragraph" w:styleId="Revision">
    <w:name w:val="Revision"/>
    <w:hidden/>
    <w:uiPriority w:val="99"/>
    <w:semiHidden/>
    <w:rsid w:val="004F0240"/>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BB399D"/>
    <w:rPr>
      <w:sz w:val="16"/>
      <w:szCs w:val="16"/>
    </w:rPr>
  </w:style>
  <w:style w:type="paragraph" w:styleId="CommentSubject">
    <w:name w:val="annotation subject"/>
    <w:basedOn w:val="CommentText"/>
    <w:next w:val="CommentText"/>
    <w:link w:val="CommentSubjectChar"/>
    <w:semiHidden/>
    <w:unhideWhenUsed/>
    <w:rsid w:val="00BB399D"/>
    <w:rPr>
      <w:b/>
      <w:bCs/>
      <w:sz w:val="20"/>
      <w:szCs w:val="20"/>
    </w:rPr>
  </w:style>
  <w:style w:type="character" w:customStyle="1" w:styleId="CommentSubjectChar">
    <w:name w:val="Comment Subject Char"/>
    <w:basedOn w:val="CommentTextChar"/>
    <w:link w:val="CommentSubject"/>
    <w:semiHidden/>
    <w:rsid w:val="00BB399D"/>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65178820">
      <w:bodyDiv w:val="1"/>
      <w:marLeft w:val="0"/>
      <w:marRight w:val="0"/>
      <w:marTop w:val="0"/>
      <w:marBottom w:val="0"/>
      <w:divBdr>
        <w:top w:val="none" w:sz="0" w:space="0" w:color="auto"/>
        <w:left w:val="none" w:sz="0" w:space="0" w:color="auto"/>
        <w:bottom w:val="none" w:sz="0" w:space="0" w:color="auto"/>
        <w:right w:val="none" w:sz="0" w:space="0" w:color="auto"/>
      </w:divBdr>
      <w:divsChild>
        <w:div w:id="52195434">
          <w:marLeft w:val="0"/>
          <w:marRight w:val="0"/>
          <w:marTop w:val="0"/>
          <w:marBottom w:val="0"/>
          <w:divBdr>
            <w:top w:val="none" w:sz="0" w:space="0" w:color="auto"/>
            <w:left w:val="none" w:sz="0" w:space="0" w:color="auto"/>
            <w:bottom w:val="none" w:sz="0" w:space="0" w:color="auto"/>
            <w:right w:val="none" w:sz="0" w:space="0" w:color="auto"/>
          </w:divBdr>
          <w:divsChild>
            <w:div w:id="2008821787">
              <w:marLeft w:val="0"/>
              <w:marRight w:val="0"/>
              <w:marTop w:val="0"/>
              <w:marBottom w:val="0"/>
              <w:divBdr>
                <w:top w:val="none" w:sz="0" w:space="0" w:color="auto"/>
                <w:left w:val="none" w:sz="0" w:space="0" w:color="auto"/>
                <w:bottom w:val="none" w:sz="0" w:space="0" w:color="auto"/>
                <w:right w:val="none" w:sz="0" w:space="0" w:color="auto"/>
              </w:divBdr>
            </w:div>
          </w:divsChild>
        </w:div>
        <w:div w:id="58017613">
          <w:marLeft w:val="0"/>
          <w:marRight w:val="0"/>
          <w:marTop w:val="0"/>
          <w:marBottom w:val="0"/>
          <w:divBdr>
            <w:top w:val="none" w:sz="0" w:space="0" w:color="auto"/>
            <w:left w:val="none" w:sz="0" w:space="0" w:color="auto"/>
            <w:bottom w:val="none" w:sz="0" w:space="0" w:color="auto"/>
            <w:right w:val="none" w:sz="0" w:space="0" w:color="auto"/>
          </w:divBdr>
          <w:divsChild>
            <w:div w:id="2087602294">
              <w:marLeft w:val="0"/>
              <w:marRight w:val="0"/>
              <w:marTop w:val="0"/>
              <w:marBottom w:val="0"/>
              <w:divBdr>
                <w:top w:val="none" w:sz="0" w:space="0" w:color="auto"/>
                <w:left w:val="none" w:sz="0" w:space="0" w:color="auto"/>
                <w:bottom w:val="none" w:sz="0" w:space="0" w:color="auto"/>
                <w:right w:val="none" w:sz="0" w:space="0" w:color="auto"/>
              </w:divBdr>
            </w:div>
          </w:divsChild>
        </w:div>
        <w:div w:id="64619359">
          <w:marLeft w:val="0"/>
          <w:marRight w:val="0"/>
          <w:marTop w:val="0"/>
          <w:marBottom w:val="0"/>
          <w:divBdr>
            <w:top w:val="none" w:sz="0" w:space="0" w:color="auto"/>
            <w:left w:val="none" w:sz="0" w:space="0" w:color="auto"/>
            <w:bottom w:val="none" w:sz="0" w:space="0" w:color="auto"/>
            <w:right w:val="none" w:sz="0" w:space="0" w:color="auto"/>
          </w:divBdr>
          <w:divsChild>
            <w:div w:id="2129398234">
              <w:marLeft w:val="0"/>
              <w:marRight w:val="0"/>
              <w:marTop w:val="0"/>
              <w:marBottom w:val="0"/>
              <w:divBdr>
                <w:top w:val="none" w:sz="0" w:space="0" w:color="auto"/>
                <w:left w:val="none" w:sz="0" w:space="0" w:color="auto"/>
                <w:bottom w:val="none" w:sz="0" w:space="0" w:color="auto"/>
                <w:right w:val="none" w:sz="0" w:space="0" w:color="auto"/>
              </w:divBdr>
            </w:div>
          </w:divsChild>
        </w:div>
        <w:div w:id="91125260">
          <w:marLeft w:val="0"/>
          <w:marRight w:val="0"/>
          <w:marTop w:val="0"/>
          <w:marBottom w:val="0"/>
          <w:divBdr>
            <w:top w:val="none" w:sz="0" w:space="0" w:color="auto"/>
            <w:left w:val="none" w:sz="0" w:space="0" w:color="auto"/>
            <w:bottom w:val="none" w:sz="0" w:space="0" w:color="auto"/>
            <w:right w:val="none" w:sz="0" w:space="0" w:color="auto"/>
          </w:divBdr>
          <w:divsChild>
            <w:div w:id="854154790">
              <w:marLeft w:val="0"/>
              <w:marRight w:val="0"/>
              <w:marTop w:val="0"/>
              <w:marBottom w:val="0"/>
              <w:divBdr>
                <w:top w:val="none" w:sz="0" w:space="0" w:color="auto"/>
                <w:left w:val="none" w:sz="0" w:space="0" w:color="auto"/>
                <w:bottom w:val="none" w:sz="0" w:space="0" w:color="auto"/>
                <w:right w:val="none" w:sz="0" w:space="0" w:color="auto"/>
              </w:divBdr>
            </w:div>
          </w:divsChild>
        </w:div>
        <w:div w:id="91821719">
          <w:marLeft w:val="0"/>
          <w:marRight w:val="0"/>
          <w:marTop w:val="0"/>
          <w:marBottom w:val="0"/>
          <w:divBdr>
            <w:top w:val="none" w:sz="0" w:space="0" w:color="auto"/>
            <w:left w:val="none" w:sz="0" w:space="0" w:color="auto"/>
            <w:bottom w:val="none" w:sz="0" w:space="0" w:color="auto"/>
            <w:right w:val="none" w:sz="0" w:space="0" w:color="auto"/>
          </w:divBdr>
          <w:divsChild>
            <w:div w:id="491876650">
              <w:marLeft w:val="0"/>
              <w:marRight w:val="0"/>
              <w:marTop w:val="0"/>
              <w:marBottom w:val="0"/>
              <w:divBdr>
                <w:top w:val="none" w:sz="0" w:space="0" w:color="auto"/>
                <w:left w:val="none" w:sz="0" w:space="0" w:color="auto"/>
                <w:bottom w:val="none" w:sz="0" w:space="0" w:color="auto"/>
                <w:right w:val="none" w:sz="0" w:space="0" w:color="auto"/>
              </w:divBdr>
            </w:div>
          </w:divsChild>
        </w:div>
        <w:div w:id="101728592">
          <w:marLeft w:val="0"/>
          <w:marRight w:val="0"/>
          <w:marTop w:val="0"/>
          <w:marBottom w:val="0"/>
          <w:divBdr>
            <w:top w:val="none" w:sz="0" w:space="0" w:color="auto"/>
            <w:left w:val="none" w:sz="0" w:space="0" w:color="auto"/>
            <w:bottom w:val="none" w:sz="0" w:space="0" w:color="auto"/>
            <w:right w:val="none" w:sz="0" w:space="0" w:color="auto"/>
          </w:divBdr>
          <w:divsChild>
            <w:div w:id="943732730">
              <w:marLeft w:val="0"/>
              <w:marRight w:val="0"/>
              <w:marTop w:val="0"/>
              <w:marBottom w:val="0"/>
              <w:divBdr>
                <w:top w:val="none" w:sz="0" w:space="0" w:color="auto"/>
                <w:left w:val="none" w:sz="0" w:space="0" w:color="auto"/>
                <w:bottom w:val="none" w:sz="0" w:space="0" w:color="auto"/>
                <w:right w:val="none" w:sz="0" w:space="0" w:color="auto"/>
              </w:divBdr>
            </w:div>
          </w:divsChild>
        </w:div>
        <w:div w:id="154078804">
          <w:marLeft w:val="0"/>
          <w:marRight w:val="0"/>
          <w:marTop w:val="0"/>
          <w:marBottom w:val="0"/>
          <w:divBdr>
            <w:top w:val="none" w:sz="0" w:space="0" w:color="auto"/>
            <w:left w:val="none" w:sz="0" w:space="0" w:color="auto"/>
            <w:bottom w:val="none" w:sz="0" w:space="0" w:color="auto"/>
            <w:right w:val="none" w:sz="0" w:space="0" w:color="auto"/>
          </w:divBdr>
          <w:divsChild>
            <w:div w:id="185952353">
              <w:marLeft w:val="0"/>
              <w:marRight w:val="0"/>
              <w:marTop w:val="0"/>
              <w:marBottom w:val="0"/>
              <w:divBdr>
                <w:top w:val="none" w:sz="0" w:space="0" w:color="auto"/>
                <w:left w:val="none" w:sz="0" w:space="0" w:color="auto"/>
                <w:bottom w:val="none" w:sz="0" w:space="0" w:color="auto"/>
                <w:right w:val="none" w:sz="0" w:space="0" w:color="auto"/>
              </w:divBdr>
            </w:div>
          </w:divsChild>
        </w:div>
        <w:div w:id="171577586">
          <w:marLeft w:val="0"/>
          <w:marRight w:val="0"/>
          <w:marTop w:val="0"/>
          <w:marBottom w:val="0"/>
          <w:divBdr>
            <w:top w:val="none" w:sz="0" w:space="0" w:color="auto"/>
            <w:left w:val="none" w:sz="0" w:space="0" w:color="auto"/>
            <w:bottom w:val="none" w:sz="0" w:space="0" w:color="auto"/>
            <w:right w:val="none" w:sz="0" w:space="0" w:color="auto"/>
          </w:divBdr>
          <w:divsChild>
            <w:div w:id="1892301578">
              <w:marLeft w:val="0"/>
              <w:marRight w:val="0"/>
              <w:marTop w:val="0"/>
              <w:marBottom w:val="0"/>
              <w:divBdr>
                <w:top w:val="none" w:sz="0" w:space="0" w:color="auto"/>
                <w:left w:val="none" w:sz="0" w:space="0" w:color="auto"/>
                <w:bottom w:val="none" w:sz="0" w:space="0" w:color="auto"/>
                <w:right w:val="none" w:sz="0" w:space="0" w:color="auto"/>
              </w:divBdr>
            </w:div>
          </w:divsChild>
        </w:div>
        <w:div w:id="192041529">
          <w:marLeft w:val="0"/>
          <w:marRight w:val="0"/>
          <w:marTop w:val="0"/>
          <w:marBottom w:val="0"/>
          <w:divBdr>
            <w:top w:val="none" w:sz="0" w:space="0" w:color="auto"/>
            <w:left w:val="none" w:sz="0" w:space="0" w:color="auto"/>
            <w:bottom w:val="none" w:sz="0" w:space="0" w:color="auto"/>
            <w:right w:val="none" w:sz="0" w:space="0" w:color="auto"/>
          </w:divBdr>
          <w:divsChild>
            <w:div w:id="2102137030">
              <w:marLeft w:val="0"/>
              <w:marRight w:val="0"/>
              <w:marTop w:val="0"/>
              <w:marBottom w:val="0"/>
              <w:divBdr>
                <w:top w:val="none" w:sz="0" w:space="0" w:color="auto"/>
                <w:left w:val="none" w:sz="0" w:space="0" w:color="auto"/>
                <w:bottom w:val="none" w:sz="0" w:space="0" w:color="auto"/>
                <w:right w:val="none" w:sz="0" w:space="0" w:color="auto"/>
              </w:divBdr>
            </w:div>
          </w:divsChild>
        </w:div>
        <w:div w:id="194126184">
          <w:marLeft w:val="0"/>
          <w:marRight w:val="0"/>
          <w:marTop w:val="0"/>
          <w:marBottom w:val="0"/>
          <w:divBdr>
            <w:top w:val="none" w:sz="0" w:space="0" w:color="auto"/>
            <w:left w:val="none" w:sz="0" w:space="0" w:color="auto"/>
            <w:bottom w:val="none" w:sz="0" w:space="0" w:color="auto"/>
            <w:right w:val="none" w:sz="0" w:space="0" w:color="auto"/>
          </w:divBdr>
          <w:divsChild>
            <w:div w:id="1088430763">
              <w:marLeft w:val="0"/>
              <w:marRight w:val="0"/>
              <w:marTop w:val="0"/>
              <w:marBottom w:val="0"/>
              <w:divBdr>
                <w:top w:val="none" w:sz="0" w:space="0" w:color="auto"/>
                <w:left w:val="none" w:sz="0" w:space="0" w:color="auto"/>
                <w:bottom w:val="none" w:sz="0" w:space="0" w:color="auto"/>
                <w:right w:val="none" w:sz="0" w:space="0" w:color="auto"/>
              </w:divBdr>
            </w:div>
          </w:divsChild>
        </w:div>
        <w:div w:id="210847768">
          <w:marLeft w:val="0"/>
          <w:marRight w:val="0"/>
          <w:marTop w:val="0"/>
          <w:marBottom w:val="0"/>
          <w:divBdr>
            <w:top w:val="none" w:sz="0" w:space="0" w:color="auto"/>
            <w:left w:val="none" w:sz="0" w:space="0" w:color="auto"/>
            <w:bottom w:val="none" w:sz="0" w:space="0" w:color="auto"/>
            <w:right w:val="none" w:sz="0" w:space="0" w:color="auto"/>
          </w:divBdr>
          <w:divsChild>
            <w:div w:id="1131636553">
              <w:marLeft w:val="0"/>
              <w:marRight w:val="0"/>
              <w:marTop w:val="0"/>
              <w:marBottom w:val="0"/>
              <w:divBdr>
                <w:top w:val="none" w:sz="0" w:space="0" w:color="auto"/>
                <w:left w:val="none" w:sz="0" w:space="0" w:color="auto"/>
                <w:bottom w:val="none" w:sz="0" w:space="0" w:color="auto"/>
                <w:right w:val="none" w:sz="0" w:space="0" w:color="auto"/>
              </w:divBdr>
            </w:div>
          </w:divsChild>
        </w:div>
        <w:div w:id="210924697">
          <w:marLeft w:val="0"/>
          <w:marRight w:val="0"/>
          <w:marTop w:val="0"/>
          <w:marBottom w:val="0"/>
          <w:divBdr>
            <w:top w:val="none" w:sz="0" w:space="0" w:color="auto"/>
            <w:left w:val="none" w:sz="0" w:space="0" w:color="auto"/>
            <w:bottom w:val="none" w:sz="0" w:space="0" w:color="auto"/>
            <w:right w:val="none" w:sz="0" w:space="0" w:color="auto"/>
          </w:divBdr>
          <w:divsChild>
            <w:div w:id="1474566623">
              <w:marLeft w:val="0"/>
              <w:marRight w:val="0"/>
              <w:marTop w:val="0"/>
              <w:marBottom w:val="0"/>
              <w:divBdr>
                <w:top w:val="none" w:sz="0" w:space="0" w:color="auto"/>
                <w:left w:val="none" w:sz="0" w:space="0" w:color="auto"/>
                <w:bottom w:val="none" w:sz="0" w:space="0" w:color="auto"/>
                <w:right w:val="none" w:sz="0" w:space="0" w:color="auto"/>
              </w:divBdr>
            </w:div>
          </w:divsChild>
        </w:div>
        <w:div w:id="229468398">
          <w:marLeft w:val="0"/>
          <w:marRight w:val="0"/>
          <w:marTop w:val="0"/>
          <w:marBottom w:val="0"/>
          <w:divBdr>
            <w:top w:val="none" w:sz="0" w:space="0" w:color="auto"/>
            <w:left w:val="none" w:sz="0" w:space="0" w:color="auto"/>
            <w:bottom w:val="none" w:sz="0" w:space="0" w:color="auto"/>
            <w:right w:val="none" w:sz="0" w:space="0" w:color="auto"/>
          </w:divBdr>
          <w:divsChild>
            <w:div w:id="1151140120">
              <w:marLeft w:val="0"/>
              <w:marRight w:val="0"/>
              <w:marTop w:val="0"/>
              <w:marBottom w:val="0"/>
              <w:divBdr>
                <w:top w:val="none" w:sz="0" w:space="0" w:color="auto"/>
                <w:left w:val="none" w:sz="0" w:space="0" w:color="auto"/>
                <w:bottom w:val="none" w:sz="0" w:space="0" w:color="auto"/>
                <w:right w:val="none" w:sz="0" w:space="0" w:color="auto"/>
              </w:divBdr>
            </w:div>
          </w:divsChild>
        </w:div>
        <w:div w:id="242449212">
          <w:marLeft w:val="0"/>
          <w:marRight w:val="0"/>
          <w:marTop w:val="0"/>
          <w:marBottom w:val="0"/>
          <w:divBdr>
            <w:top w:val="none" w:sz="0" w:space="0" w:color="auto"/>
            <w:left w:val="none" w:sz="0" w:space="0" w:color="auto"/>
            <w:bottom w:val="none" w:sz="0" w:space="0" w:color="auto"/>
            <w:right w:val="none" w:sz="0" w:space="0" w:color="auto"/>
          </w:divBdr>
          <w:divsChild>
            <w:div w:id="1256091926">
              <w:marLeft w:val="0"/>
              <w:marRight w:val="0"/>
              <w:marTop w:val="0"/>
              <w:marBottom w:val="0"/>
              <w:divBdr>
                <w:top w:val="none" w:sz="0" w:space="0" w:color="auto"/>
                <w:left w:val="none" w:sz="0" w:space="0" w:color="auto"/>
                <w:bottom w:val="none" w:sz="0" w:space="0" w:color="auto"/>
                <w:right w:val="none" w:sz="0" w:space="0" w:color="auto"/>
              </w:divBdr>
            </w:div>
          </w:divsChild>
        </w:div>
        <w:div w:id="251279108">
          <w:marLeft w:val="0"/>
          <w:marRight w:val="0"/>
          <w:marTop w:val="0"/>
          <w:marBottom w:val="0"/>
          <w:divBdr>
            <w:top w:val="none" w:sz="0" w:space="0" w:color="auto"/>
            <w:left w:val="none" w:sz="0" w:space="0" w:color="auto"/>
            <w:bottom w:val="none" w:sz="0" w:space="0" w:color="auto"/>
            <w:right w:val="none" w:sz="0" w:space="0" w:color="auto"/>
          </w:divBdr>
          <w:divsChild>
            <w:div w:id="1199009640">
              <w:marLeft w:val="0"/>
              <w:marRight w:val="0"/>
              <w:marTop w:val="0"/>
              <w:marBottom w:val="0"/>
              <w:divBdr>
                <w:top w:val="none" w:sz="0" w:space="0" w:color="auto"/>
                <w:left w:val="none" w:sz="0" w:space="0" w:color="auto"/>
                <w:bottom w:val="none" w:sz="0" w:space="0" w:color="auto"/>
                <w:right w:val="none" w:sz="0" w:space="0" w:color="auto"/>
              </w:divBdr>
            </w:div>
          </w:divsChild>
        </w:div>
        <w:div w:id="254246090">
          <w:marLeft w:val="0"/>
          <w:marRight w:val="0"/>
          <w:marTop w:val="0"/>
          <w:marBottom w:val="0"/>
          <w:divBdr>
            <w:top w:val="none" w:sz="0" w:space="0" w:color="auto"/>
            <w:left w:val="none" w:sz="0" w:space="0" w:color="auto"/>
            <w:bottom w:val="none" w:sz="0" w:space="0" w:color="auto"/>
            <w:right w:val="none" w:sz="0" w:space="0" w:color="auto"/>
          </w:divBdr>
          <w:divsChild>
            <w:div w:id="1312104307">
              <w:marLeft w:val="0"/>
              <w:marRight w:val="0"/>
              <w:marTop w:val="0"/>
              <w:marBottom w:val="0"/>
              <w:divBdr>
                <w:top w:val="none" w:sz="0" w:space="0" w:color="auto"/>
                <w:left w:val="none" w:sz="0" w:space="0" w:color="auto"/>
                <w:bottom w:val="none" w:sz="0" w:space="0" w:color="auto"/>
                <w:right w:val="none" w:sz="0" w:space="0" w:color="auto"/>
              </w:divBdr>
            </w:div>
          </w:divsChild>
        </w:div>
        <w:div w:id="254678390">
          <w:marLeft w:val="0"/>
          <w:marRight w:val="0"/>
          <w:marTop w:val="0"/>
          <w:marBottom w:val="0"/>
          <w:divBdr>
            <w:top w:val="none" w:sz="0" w:space="0" w:color="auto"/>
            <w:left w:val="none" w:sz="0" w:space="0" w:color="auto"/>
            <w:bottom w:val="none" w:sz="0" w:space="0" w:color="auto"/>
            <w:right w:val="none" w:sz="0" w:space="0" w:color="auto"/>
          </w:divBdr>
          <w:divsChild>
            <w:div w:id="1856654899">
              <w:marLeft w:val="0"/>
              <w:marRight w:val="0"/>
              <w:marTop w:val="0"/>
              <w:marBottom w:val="0"/>
              <w:divBdr>
                <w:top w:val="none" w:sz="0" w:space="0" w:color="auto"/>
                <w:left w:val="none" w:sz="0" w:space="0" w:color="auto"/>
                <w:bottom w:val="none" w:sz="0" w:space="0" w:color="auto"/>
                <w:right w:val="none" w:sz="0" w:space="0" w:color="auto"/>
              </w:divBdr>
            </w:div>
          </w:divsChild>
        </w:div>
        <w:div w:id="270599590">
          <w:marLeft w:val="0"/>
          <w:marRight w:val="0"/>
          <w:marTop w:val="0"/>
          <w:marBottom w:val="0"/>
          <w:divBdr>
            <w:top w:val="none" w:sz="0" w:space="0" w:color="auto"/>
            <w:left w:val="none" w:sz="0" w:space="0" w:color="auto"/>
            <w:bottom w:val="none" w:sz="0" w:space="0" w:color="auto"/>
            <w:right w:val="none" w:sz="0" w:space="0" w:color="auto"/>
          </w:divBdr>
          <w:divsChild>
            <w:div w:id="2108193260">
              <w:marLeft w:val="0"/>
              <w:marRight w:val="0"/>
              <w:marTop w:val="0"/>
              <w:marBottom w:val="0"/>
              <w:divBdr>
                <w:top w:val="none" w:sz="0" w:space="0" w:color="auto"/>
                <w:left w:val="none" w:sz="0" w:space="0" w:color="auto"/>
                <w:bottom w:val="none" w:sz="0" w:space="0" w:color="auto"/>
                <w:right w:val="none" w:sz="0" w:space="0" w:color="auto"/>
              </w:divBdr>
            </w:div>
          </w:divsChild>
        </w:div>
        <w:div w:id="271594945">
          <w:marLeft w:val="0"/>
          <w:marRight w:val="0"/>
          <w:marTop w:val="0"/>
          <w:marBottom w:val="0"/>
          <w:divBdr>
            <w:top w:val="none" w:sz="0" w:space="0" w:color="auto"/>
            <w:left w:val="none" w:sz="0" w:space="0" w:color="auto"/>
            <w:bottom w:val="none" w:sz="0" w:space="0" w:color="auto"/>
            <w:right w:val="none" w:sz="0" w:space="0" w:color="auto"/>
          </w:divBdr>
          <w:divsChild>
            <w:div w:id="230043605">
              <w:marLeft w:val="0"/>
              <w:marRight w:val="0"/>
              <w:marTop w:val="0"/>
              <w:marBottom w:val="0"/>
              <w:divBdr>
                <w:top w:val="none" w:sz="0" w:space="0" w:color="auto"/>
                <w:left w:val="none" w:sz="0" w:space="0" w:color="auto"/>
                <w:bottom w:val="none" w:sz="0" w:space="0" w:color="auto"/>
                <w:right w:val="none" w:sz="0" w:space="0" w:color="auto"/>
              </w:divBdr>
            </w:div>
          </w:divsChild>
        </w:div>
        <w:div w:id="318651572">
          <w:marLeft w:val="0"/>
          <w:marRight w:val="0"/>
          <w:marTop w:val="0"/>
          <w:marBottom w:val="0"/>
          <w:divBdr>
            <w:top w:val="none" w:sz="0" w:space="0" w:color="auto"/>
            <w:left w:val="none" w:sz="0" w:space="0" w:color="auto"/>
            <w:bottom w:val="none" w:sz="0" w:space="0" w:color="auto"/>
            <w:right w:val="none" w:sz="0" w:space="0" w:color="auto"/>
          </w:divBdr>
          <w:divsChild>
            <w:div w:id="1698851848">
              <w:marLeft w:val="0"/>
              <w:marRight w:val="0"/>
              <w:marTop w:val="0"/>
              <w:marBottom w:val="0"/>
              <w:divBdr>
                <w:top w:val="none" w:sz="0" w:space="0" w:color="auto"/>
                <w:left w:val="none" w:sz="0" w:space="0" w:color="auto"/>
                <w:bottom w:val="none" w:sz="0" w:space="0" w:color="auto"/>
                <w:right w:val="none" w:sz="0" w:space="0" w:color="auto"/>
              </w:divBdr>
            </w:div>
          </w:divsChild>
        </w:div>
        <w:div w:id="320820038">
          <w:marLeft w:val="0"/>
          <w:marRight w:val="0"/>
          <w:marTop w:val="0"/>
          <w:marBottom w:val="0"/>
          <w:divBdr>
            <w:top w:val="none" w:sz="0" w:space="0" w:color="auto"/>
            <w:left w:val="none" w:sz="0" w:space="0" w:color="auto"/>
            <w:bottom w:val="none" w:sz="0" w:space="0" w:color="auto"/>
            <w:right w:val="none" w:sz="0" w:space="0" w:color="auto"/>
          </w:divBdr>
          <w:divsChild>
            <w:div w:id="1892186821">
              <w:marLeft w:val="0"/>
              <w:marRight w:val="0"/>
              <w:marTop w:val="0"/>
              <w:marBottom w:val="0"/>
              <w:divBdr>
                <w:top w:val="none" w:sz="0" w:space="0" w:color="auto"/>
                <w:left w:val="none" w:sz="0" w:space="0" w:color="auto"/>
                <w:bottom w:val="none" w:sz="0" w:space="0" w:color="auto"/>
                <w:right w:val="none" w:sz="0" w:space="0" w:color="auto"/>
              </w:divBdr>
            </w:div>
          </w:divsChild>
        </w:div>
        <w:div w:id="331303582">
          <w:marLeft w:val="0"/>
          <w:marRight w:val="0"/>
          <w:marTop w:val="0"/>
          <w:marBottom w:val="0"/>
          <w:divBdr>
            <w:top w:val="none" w:sz="0" w:space="0" w:color="auto"/>
            <w:left w:val="none" w:sz="0" w:space="0" w:color="auto"/>
            <w:bottom w:val="none" w:sz="0" w:space="0" w:color="auto"/>
            <w:right w:val="none" w:sz="0" w:space="0" w:color="auto"/>
          </w:divBdr>
          <w:divsChild>
            <w:div w:id="1668827238">
              <w:marLeft w:val="0"/>
              <w:marRight w:val="0"/>
              <w:marTop w:val="0"/>
              <w:marBottom w:val="0"/>
              <w:divBdr>
                <w:top w:val="none" w:sz="0" w:space="0" w:color="auto"/>
                <w:left w:val="none" w:sz="0" w:space="0" w:color="auto"/>
                <w:bottom w:val="none" w:sz="0" w:space="0" w:color="auto"/>
                <w:right w:val="none" w:sz="0" w:space="0" w:color="auto"/>
              </w:divBdr>
            </w:div>
          </w:divsChild>
        </w:div>
        <w:div w:id="360784031">
          <w:marLeft w:val="0"/>
          <w:marRight w:val="0"/>
          <w:marTop w:val="0"/>
          <w:marBottom w:val="0"/>
          <w:divBdr>
            <w:top w:val="none" w:sz="0" w:space="0" w:color="auto"/>
            <w:left w:val="none" w:sz="0" w:space="0" w:color="auto"/>
            <w:bottom w:val="none" w:sz="0" w:space="0" w:color="auto"/>
            <w:right w:val="none" w:sz="0" w:space="0" w:color="auto"/>
          </w:divBdr>
          <w:divsChild>
            <w:div w:id="1870489364">
              <w:marLeft w:val="0"/>
              <w:marRight w:val="0"/>
              <w:marTop w:val="0"/>
              <w:marBottom w:val="0"/>
              <w:divBdr>
                <w:top w:val="none" w:sz="0" w:space="0" w:color="auto"/>
                <w:left w:val="none" w:sz="0" w:space="0" w:color="auto"/>
                <w:bottom w:val="none" w:sz="0" w:space="0" w:color="auto"/>
                <w:right w:val="none" w:sz="0" w:space="0" w:color="auto"/>
              </w:divBdr>
            </w:div>
          </w:divsChild>
        </w:div>
        <w:div w:id="368922870">
          <w:marLeft w:val="0"/>
          <w:marRight w:val="0"/>
          <w:marTop w:val="0"/>
          <w:marBottom w:val="0"/>
          <w:divBdr>
            <w:top w:val="none" w:sz="0" w:space="0" w:color="auto"/>
            <w:left w:val="none" w:sz="0" w:space="0" w:color="auto"/>
            <w:bottom w:val="none" w:sz="0" w:space="0" w:color="auto"/>
            <w:right w:val="none" w:sz="0" w:space="0" w:color="auto"/>
          </w:divBdr>
          <w:divsChild>
            <w:div w:id="530722796">
              <w:marLeft w:val="0"/>
              <w:marRight w:val="0"/>
              <w:marTop w:val="0"/>
              <w:marBottom w:val="0"/>
              <w:divBdr>
                <w:top w:val="none" w:sz="0" w:space="0" w:color="auto"/>
                <w:left w:val="none" w:sz="0" w:space="0" w:color="auto"/>
                <w:bottom w:val="none" w:sz="0" w:space="0" w:color="auto"/>
                <w:right w:val="none" w:sz="0" w:space="0" w:color="auto"/>
              </w:divBdr>
            </w:div>
          </w:divsChild>
        </w:div>
        <w:div w:id="396440780">
          <w:marLeft w:val="0"/>
          <w:marRight w:val="0"/>
          <w:marTop w:val="0"/>
          <w:marBottom w:val="0"/>
          <w:divBdr>
            <w:top w:val="none" w:sz="0" w:space="0" w:color="auto"/>
            <w:left w:val="none" w:sz="0" w:space="0" w:color="auto"/>
            <w:bottom w:val="none" w:sz="0" w:space="0" w:color="auto"/>
            <w:right w:val="none" w:sz="0" w:space="0" w:color="auto"/>
          </w:divBdr>
          <w:divsChild>
            <w:div w:id="396631786">
              <w:marLeft w:val="0"/>
              <w:marRight w:val="0"/>
              <w:marTop w:val="0"/>
              <w:marBottom w:val="0"/>
              <w:divBdr>
                <w:top w:val="none" w:sz="0" w:space="0" w:color="auto"/>
                <w:left w:val="none" w:sz="0" w:space="0" w:color="auto"/>
                <w:bottom w:val="none" w:sz="0" w:space="0" w:color="auto"/>
                <w:right w:val="none" w:sz="0" w:space="0" w:color="auto"/>
              </w:divBdr>
            </w:div>
          </w:divsChild>
        </w:div>
        <w:div w:id="447697441">
          <w:marLeft w:val="0"/>
          <w:marRight w:val="0"/>
          <w:marTop w:val="0"/>
          <w:marBottom w:val="0"/>
          <w:divBdr>
            <w:top w:val="none" w:sz="0" w:space="0" w:color="auto"/>
            <w:left w:val="none" w:sz="0" w:space="0" w:color="auto"/>
            <w:bottom w:val="none" w:sz="0" w:space="0" w:color="auto"/>
            <w:right w:val="none" w:sz="0" w:space="0" w:color="auto"/>
          </w:divBdr>
          <w:divsChild>
            <w:div w:id="1604024923">
              <w:marLeft w:val="0"/>
              <w:marRight w:val="0"/>
              <w:marTop w:val="0"/>
              <w:marBottom w:val="0"/>
              <w:divBdr>
                <w:top w:val="none" w:sz="0" w:space="0" w:color="auto"/>
                <w:left w:val="none" w:sz="0" w:space="0" w:color="auto"/>
                <w:bottom w:val="none" w:sz="0" w:space="0" w:color="auto"/>
                <w:right w:val="none" w:sz="0" w:space="0" w:color="auto"/>
              </w:divBdr>
            </w:div>
          </w:divsChild>
        </w:div>
        <w:div w:id="465591569">
          <w:marLeft w:val="0"/>
          <w:marRight w:val="0"/>
          <w:marTop w:val="0"/>
          <w:marBottom w:val="0"/>
          <w:divBdr>
            <w:top w:val="none" w:sz="0" w:space="0" w:color="auto"/>
            <w:left w:val="none" w:sz="0" w:space="0" w:color="auto"/>
            <w:bottom w:val="none" w:sz="0" w:space="0" w:color="auto"/>
            <w:right w:val="none" w:sz="0" w:space="0" w:color="auto"/>
          </w:divBdr>
          <w:divsChild>
            <w:div w:id="832067617">
              <w:marLeft w:val="0"/>
              <w:marRight w:val="0"/>
              <w:marTop w:val="0"/>
              <w:marBottom w:val="0"/>
              <w:divBdr>
                <w:top w:val="none" w:sz="0" w:space="0" w:color="auto"/>
                <w:left w:val="none" w:sz="0" w:space="0" w:color="auto"/>
                <w:bottom w:val="none" w:sz="0" w:space="0" w:color="auto"/>
                <w:right w:val="none" w:sz="0" w:space="0" w:color="auto"/>
              </w:divBdr>
            </w:div>
          </w:divsChild>
        </w:div>
        <w:div w:id="492111684">
          <w:marLeft w:val="0"/>
          <w:marRight w:val="0"/>
          <w:marTop w:val="0"/>
          <w:marBottom w:val="0"/>
          <w:divBdr>
            <w:top w:val="none" w:sz="0" w:space="0" w:color="auto"/>
            <w:left w:val="none" w:sz="0" w:space="0" w:color="auto"/>
            <w:bottom w:val="none" w:sz="0" w:space="0" w:color="auto"/>
            <w:right w:val="none" w:sz="0" w:space="0" w:color="auto"/>
          </w:divBdr>
          <w:divsChild>
            <w:div w:id="445196235">
              <w:marLeft w:val="0"/>
              <w:marRight w:val="0"/>
              <w:marTop w:val="0"/>
              <w:marBottom w:val="0"/>
              <w:divBdr>
                <w:top w:val="none" w:sz="0" w:space="0" w:color="auto"/>
                <w:left w:val="none" w:sz="0" w:space="0" w:color="auto"/>
                <w:bottom w:val="none" w:sz="0" w:space="0" w:color="auto"/>
                <w:right w:val="none" w:sz="0" w:space="0" w:color="auto"/>
              </w:divBdr>
            </w:div>
          </w:divsChild>
        </w:div>
        <w:div w:id="496501151">
          <w:marLeft w:val="0"/>
          <w:marRight w:val="0"/>
          <w:marTop w:val="0"/>
          <w:marBottom w:val="0"/>
          <w:divBdr>
            <w:top w:val="none" w:sz="0" w:space="0" w:color="auto"/>
            <w:left w:val="none" w:sz="0" w:space="0" w:color="auto"/>
            <w:bottom w:val="none" w:sz="0" w:space="0" w:color="auto"/>
            <w:right w:val="none" w:sz="0" w:space="0" w:color="auto"/>
          </w:divBdr>
          <w:divsChild>
            <w:div w:id="175972335">
              <w:marLeft w:val="0"/>
              <w:marRight w:val="0"/>
              <w:marTop w:val="0"/>
              <w:marBottom w:val="0"/>
              <w:divBdr>
                <w:top w:val="none" w:sz="0" w:space="0" w:color="auto"/>
                <w:left w:val="none" w:sz="0" w:space="0" w:color="auto"/>
                <w:bottom w:val="none" w:sz="0" w:space="0" w:color="auto"/>
                <w:right w:val="none" w:sz="0" w:space="0" w:color="auto"/>
              </w:divBdr>
            </w:div>
          </w:divsChild>
        </w:div>
        <w:div w:id="522204043">
          <w:marLeft w:val="0"/>
          <w:marRight w:val="0"/>
          <w:marTop w:val="0"/>
          <w:marBottom w:val="0"/>
          <w:divBdr>
            <w:top w:val="none" w:sz="0" w:space="0" w:color="auto"/>
            <w:left w:val="none" w:sz="0" w:space="0" w:color="auto"/>
            <w:bottom w:val="none" w:sz="0" w:space="0" w:color="auto"/>
            <w:right w:val="none" w:sz="0" w:space="0" w:color="auto"/>
          </w:divBdr>
          <w:divsChild>
            <w:div w:id="1519654781">
              <w:marLeft w:val="0"/>
              <w:marRight w:val="0"/>
              <w:marTop w:val="0"/>
              <w:marBottom w:val="0"/>
              <w:divBdr>
                <w:top w:val="none" w:sz="0" w:space="0" w:color="auto"/>
                <w:left w:val="none" w:sz="0" w:space="0" w:color="auto"/>
                <w:bottom w:val="none" w:sz="0" w:space="0" w:color="auto"/>
                <w:right w:val="none" w:sz="0" w:space="0" w:color="auto"/>
              </w:divBdr>
            </w:div>
          </w:divsChild>
        </w:div>
        <w:div w:id="529031155">
          <w:marLeft w:val="0"/>
          <w:marRight w:val="0"/>
          <w:marTop w:val="0"/>
          <w:marBottom w:val="0"/>
          <w:divBdr>
            <w:top w:val="none" w:sz="0" w:space="0" w:color="auto"/>
            <w:left w:val="none" w:sz="0" w:space="0" w:color="auto"/>
            <w:bottom w:val="none" w:sz="0" w:space="0" w:color="auto"/>
            <w:right w:val="none" w:sz="0" w:space="0" w:color="auto"/>
          </w:divBdr>
          <w:divsChild>
            <w:div w:id="1731269868">
              <w:marLeft w:val="0"/>
              <w:marRight w:val="0"/>
              <w:marTop w:val="0"/>
              <w:marBottom w:val="0"/>
              <w:divBdr>
                <w:top w:val="none" w:sz="0" w:space="0" w:color="auto"/>
                <w:left w:val="none" w:sz="0" w:space="0" w:color="auto"/>
                <w:bottom w:val="none" w:sz="0" w:space="0" w:color="auto"/>
                <w:right w:val="none" w:sz="0" w:space="0" w:color="auto"/>
              </w:divBdr>
            </w:div>
          </w:divsChild>
        </w:div>
        <w:div w:id="546113623">
          <w:marLeft w:val="0"/>
          <w:marRight w:val="0"/>
          <w:marTop w:val="0"/>
          <w:marBottom w:val="0"/>
          <w:divBdr>
            <w:top w:val="none" w:sz="0" w:space="0" w:color="auto"/>
            <w:left w:val="none" w:sz="0" w:space="0" w:color="auto"/>
            <w:bottom w:val="none" w:sz="0" w:space="0" w:color="auto"/>
            <w:right w:val="none" w:sz="0" w:space="0" w:color="auto"/>
          </w:divBdr>
          <w:divsChild>
            <w:div w:id="23603771">
              <w:marLeft w:val="0"/>
              <w:marRight w:val="0"/>
              <w:marTop w:val="0"/>
              <w:marBottom w:val="0"/>
              <w:divBdr>
                <w:top w:val="none" w:sz="0" w:space="0" w:color="auto"/>
                <w:left w:val="none" w:sz="0" w:space="0" w:color="auto"/>
                <w:bottom w:val="none" w:sz="0" w:space="0" w:color="auto"/>
                <w:right w:val="none" w:sz="0" w:space="0" w:color="auto"/>
              </w:divBdr>
            </w:div>
          </w:divsChild>
        </w:div>
        <w:div w:id="572083167">
          <w:marLeft w:val="0"/>
          <w:marRight w:val="0"/>
          <w:marTop w:val="0"/>
          <w:marBottom w:val="0"/>
          <w:divBdr>
            <w:top w:val="none" w:sz="0" w:space="0" w:color="auto"/>
            <w:left w:val="none" w:sz="0" w:space="0" w:color="auto"/>
            <w:bottom w:val="none" w:sz="0" w:space="0" w:color="auto"/>
            <w:right w:val="none" w:sz="0" w:space="0" w:color="auto"/>
          </w:divBdr>
          <w:divsChild>
            <w:div w:id="894044418">
              <w:marLeft w:val="0"/>
              <w:marRight w:val="0"/>
              <w:marTop w:val="0"/>
              <w:marBottom w:val="0"/>
              <w:divBdr>
                <w:top w:val="none" w:sz="0" w:space="0" w:color="auto"/>
                <w:left w:val="none" w:sz="0" w:space="0" w:color="auto"/>
                <w:bottom w:val="none" w:sz="0" w:space="0" w:color="auto"/>
                <w:right w:val="none" w:sz="0" w:space="0" w:color="auto"/>
              </w:divBdr>
            </w:div>
          </w:divsChild>
        </w:div>
        <w:div w:id="574514566">
          <w:marLeft w:val="0"/>
          <w:marRight w:val="0"/>
          <w:marTop w:val="0"/>
          <w:marBottom w:val="0"/>
          <w:divBdr>
            <w:top w:val="none" w:sz="0" w:space="0" w:color="auto"/>
            <w:left w:val="none" w:sz="0" w:space="0" w:color="auto"/>
            <w:bottom w:val="none" w:sz="0" w:space="0" w:color="auto"/>
            <w:right w:val="none" w:sz="0" w:space="0" w:color="auto"/>
          </w:divBdr>
          <w:divsChild>
            <w:div w:id="1503469724">
              <w:marLeft w:val="0"/>
              <w:marRight w:val="0"/>
              <w:marTop w:val="0"/>
              <w:marBottom w:val="0"/>
              <w:divBdr>
                <w:top w:val="none" w:sz="0" w:space="0" w:color="auto"/>
                <w:left w:val="none" w:sz="0" w:space="0" w:color="auto"/>
                <w:bottom w:val="none" w:sz="0" w:space="0" w:color="auto"/>
                <w:right w:val="none" w:sz="0" w:space="0" w:color="auto"/>
              </w:divBdr>
            </w:div>
          </w:divsChild>
        </w:div>
        <w:div w:id="647898526">
          <w:marLeft w:val="0"/>
          <w:marRight w:val="0"/>
          <w:marTop w:val="0"/>
          <w:marBottom w:val="0"/>
          <w:divBdr>
            <w:top w:val="none" w:sz="0" w:space="0" w:color="auto"/>
            <w:left w:val="none" w:sz="0" w:space="0" w:color="auto"/>
            <w:bottom w:val="none" w:sz="0" w:space="0" w:color="auto"/>
            <w:right w:val="none" w:sz="0" w:space="0" w:color="auto"/>
          </w:divBdr>
          <w:divsChild>
            <w:div w:id="1525170925">
              <w:marLeft w:val="0"/>
              <w:marRight w:val="0"/>
              <w:marTop w:val="0"/>
              <w:marBottom w:val="0"/>
              <w:divBdr>
                <w:top w:val="none" w:sz="0" w:space="0" w:color="auto"/>
                <w:left w:val="none" w:sz="0" w:space="0" w:color="auto"/>
                <w:bottom w:val="none" w:sz="0" w:space="0" w:color="auto"/>
                <w:right w:val="none" w:sz="0" w:space="0" w:color="auto"/>
              </w:divBdr>
            </w:div>
          </w:divsChild>
        </w:div>
        <w:div w:id="652418567">
          <w:marLeft w:val="0"/>
          <w:marRight w:val="0"/>
          <w:marTop w:val="0"/>
          <w:marBottom w:val="0"/>
          <w:divBdr>
            <w:top w:val="none" w:sz="0" w:space="0" w:color="auto"/>
            <w:left w:val="none" w:sz="0" w:space="0" w:color="auto"/>
            <w:bottom w:val="none" w:sz="0" w:space="0" w:color="auto"/>
            <w:right w:val="none" w:sz="0" w:space="0" w:color="auto"/>
          </w:divBdr>
          <w:divsChild>
            <w:div w:id="92943154">
              <w:marLeft w:val="0"/>
              <w:marRight w:val="0"/>
              <w:marTop w:val="0"/>
              <w:marBottom w:val="0"/>
              <w:divBdr>
                <w:top w:val="none" w:sz="0" w:space="0" w:color="auto"/>
                <w:left w:val="none" w:sz="0" w:space="0" w:color="auto"/>
                <w:bottom w:val="none" w:sz="0" w:space="0" w:color="auto"/>
                <w:right w:val="none" w:sz="0" w:space="0" w:color="auto"/>
              </w:divBdr>
            </w:div>
          </w:divsChild>
        </w:div>
        <w:div w:id="661467971">
          <w:marLeft w:val="0"/>
          <w:marRight w:val="0"/>
          <w:marTop w:val="0"/>
          <w:marBottom w:val="0"/>
          <w:divBdr>
            <w:top w:val="none" w:sz="0" w:space="0" w:color="auto"/>
            <w:left w:val="none" w:sz="0" w:space="0" w:color="auto"/>
            <w:bottom w:val="none" w:sz="0" w:space="0" w:color="auto"/>
            <w:right w:val="none" w:sz="0" w:space="0" w:color="auto"/>
          </w:divBdr>
          <w:divsChild>
            <w:div w:id="172306316">
              <w:marLeft w:val="0"/>
              <w:marRight w:val="0"/>
              <w:marTop w:val="0"/>
              <w:marBottom w:val="0"/>
              <w:divBdr>
                <w:top w:val="none" w:sz="0" w:space="0" w:color="auto"/>
                <w:left w:val="none" w:sz="0" w:space="0" w:color="auto"/>
                <w:bottom w:val="none" w:sz="0" w:space="0" w:color="auto"/>
                <w:right w:val="none" w:sz="0" w:space="0" w:color="auto"/>
              </w:divBdr>
            </w:div>
          </w:divsChild>
        </w:div>
        <w:div w:id="703022792">
          <w:marLeft w:val="0"/>
          <w:marRight w:val="0"/>
          <w:marTop w:val="0"/>
          <w:marBottom w:val="0"/>
          <w:divBdr>
            <w:top w:val="none" w:sz="0" w:space="0" w:color="auto"/>
            <w:left w:val="none" w:sz="0" w:space="0" w:color="auto"/>
            <w:bottom w:val="none" w:sz="0" w:space="0" w:color="auto"/>
            <w:right w:val="none" w:sz="0" w:space="0" w:color="auto"/>
          </w:divBdr>
          <w:divsChild>
            <w:div w:id="721366057">
              <w:marLeft w:val="0"/>
              <w:marRight w:val="0"/>
              <w:marTop w:val="0"/>
              <w:marBottom w:val="0"/>
              <w:divBdr>
                <w:top w:val="none" w:sz="0" w:space="0" w:color="auto"/>
                <w:left w:val="none" w:sz="0" w:space="0" w:color="auto"/>
                <w:bottom w:val="none" w:sz="0" w:space="0" w:color="auto"/>
                <w:right w:val="none" w:sz="0" w:space="0" w:color="auto"/>
              </w:divBdr>
            </w:div>
          </w:divsChild>
        </w:div>
        <w:div w:id="712459350">
          <w:marLeft w:val="0"/>
          <w:marRight w:val="0"/>
          <w:marTop w:val="0"/>
          <w:marBottom w:val="0"/>
          <w:divBdr>
            <w:top w:val="none" w:sz="0" w:space="0" w:color="auto"/>
            <w:left w:val="none" w:sz="0" w:space="0" w:color="auto"/>
            <w:bottom w:val="none" w:sz="0" w:space="0" w:color="auto"/>
            <w:right w:val="none" w:sz="0" w:space="0" w:color="auto"/>
          </w:divBdr>
          <w:divsChild>
            <w:div w:id="89351503">
              <w:marLeft w:val="0"/>
              <w:marRight w:val="0"/>
              <w:marTop w:val="0"/>
              <w:marBottom w:val="0"/>
              <w:divBdr>
                <w:top w:val="none" w:sz="0" w:space="0" w:color="auto"/>
                <w:left w:val="none" w:sz="0" w:space="0" w:color="auto"/>
                <w:bottom w:val="none" w:sz="0" w:space="0" w:color="auto"/>
                <w:right w:val="none" w:sz="0" w:space="0" w:color="auto"/>
              </w:divBdr>
            </w:div>
          </w:divsChild>
        </w:div>
        <w:div w:id="730883199">
          <w:marLeft w:val="0"/>
          <w:marRight w:val="0"/>
          <w:marTop w:val="0"/>
          <w:marBottom w:val="0"/>
          <w:divBdr>
            <w:top w:val="none" w:sz="0" w:space="0" w:color="auto"/>
            <w:left w:val="none" w:sz="0" w:space="0" w:color="auto"/>
            <w:bottom w:val="none" w:sz="0" w:space="0" w:color="auto"/>
            <w:right w:val="none" w:sz="0" w:space="0" w:color="auto"/>
          </w:divBdr>
          <w:divsChild>
            <w:div w:id="157889941">
              <w:marLeft w:val="0"/>
              <w:marRight w:val="0"/>
              <w:marTop w:val="0"/>
              <w:marBottom w:val="0"/>
              <w:divBdr>
                <w:top w:val="none" w:sz="0" w:space="0" w:color="auto"/>
                <w:left w:val="none" w:sz="0" w:space="0" w:color="auto"/>
                <w:bottom w:val="none" w:sz="0" w:space="0" w:color="auto"/>
                <w:right w:val="none" w:sz="0" w:space="0" w:color="auto"/>
              </w:divBdr>
            </w:div>
          </w:divsChild>
        </w:div>
        <w:div w:id="755052151">
          <w:marLeft w:val="0"/>
          <w:marRight w:val="0"/>
          <w:marTop w:val="0"/>
          <w:marBottom w:val="0"/>
          <w:divBdr>
            <w:top w:val="none" w:sz="0" w:space="0" w:color="auto"/>
            <w:left w:val="none" w:sz="0" w:space="0" w:color="auto"/>
            <w:bottom w:val="none" w:sz="0" w:space="0" w:color="auto"/>
            <w:right w:val="none" w:sz="0" w:space="0" w:color="auto"/>
          </w:divBdr>
          <w:divsChild>
            <w:div w:id="62221247">
              <w:marLeft w:val="0"/>
              <w:marRight w:val="0"/>
              <w:marTop w:val="0"/>
              <w:marBottom w:val="0"/>
              <w:divBdr>
                <w:top w:val="none" w:sz="0" w:space="0" w:color="auto"/>
                <w:left w:val="none" w:sz="0" w:space="0" w:color="auto"/>
                <w:bottom w:val="none" w:sz="0" w:space="0" w:color="auto"/>
                <w:right w:val="none" w:sz="0" w:space="0" w:color="auto"/>
              </w:divBdr>
            </w:div>
          </w:divsChild>
        </w:div>
        <w:div w:id="767232499">
          <w:marLeft w:val="0"/>
          <w:marRight w:val="0"/>
          <w:marTop w:val="0"/>
          <w:marBottom w:val="0"/>
          <w:divBdr>
            <w:top w:val="none" w:sz="0" w:space="0" w:color="auto"/>
            <w:left w:val="none" w:sz="0" w:space="0" w:color="auto"/>
            <w:bottom w:val="none" w:sz="0" w:space="0" w:color="auto"/>
            <w:right w:val="none" w:sz="0" w:space="0" w:color="auto"/>
          </w:divBdr>
          <w:divsChild>
            <w:div w:id="1323120101">
              <w:marLeft w:val="0"/>
              <w:marRight w:val="0"/>
              <w:marTop w:val="0"/>
              <w:marBottom w:val="0"/>
              <w:divBdr>
                <w:top w:val="none" w:sz="0" w:space="0" w:color="auto"/>
                <w:left w:val="none" w:sz="0" w:space="0" w:color="auto"/>
                <w:bottom w:val="none" w:sz="0" w:space="0" w:color="auto"/>
                <w:right w:val="none" w:sz="0" w:space="0" w:color="auto"/>
              </w:divBdr>
            </w:div>
          </w:divsChild>
        </w:div>
        <w:div w:id="768695604">
          <w:marLeft w:val="0"/>
          <w:marRight w:val="0"/>
          <w:marTop w:val="0"/>
          <w:marBottom w:val="0"/>
          <w:divBdr>
            <w:top w:val="none" w:sz="0" w:space="0" w:color="auto"/>
            <w:left w:val="none" w:sz="0" w:space="0" w:color="auto"/>
            <w:bottom w:val="none" w:sz="0" w:space="0" w:color="auto"/>
            <w:right w:val="none" w:sz="0" w:space="0" w:color="auto"/>
          </w:divBdr>
          <w:divsChild>
            <w:div w:id="985162587">
              <w:marLeft w:val="0"/>
              <w:marRight w:val="0"/>
              <w:marTop w:val="0"/>
              <w:marBottom w:val="0"/>
              <w:divBdr>
                <w:top w:val="none" w:sz="0" w:space="0" w:color="auto"/>
                <w:left w:val="none" w:sz="0" w:space="0" w:color="auto"/>
                <w:bottom w:val="none" w:sz="0" w:space="0" w:color="auto"/>
                <w:right w:val="none" w:sz="0" w:space="0" w:color="auto"/>
              </w:divBdr>
            </w:div>
          </w:divsChild>
        </w:div>
        <w:div w:id="774060948">
          <w:marLeft w:val="0"/>
          <w:marRight w:val="0"/>
          <w:marTop w:val="0"/>
          <w:marBottom w:val="0"/>
          <w:divBdr>
            <w:top w:val="none" w:sz="0" w:space="0" w:color="auto"/>
            <w:left w:val="none" w:sz="0" w:space="0" w:color="auto"/>
            <w:bottom w:val="none" w:sz="0" w:space="0" w:color="auto"/>
            <w:right w:val="none" w:sz="0" w:space="0" w:color="auto"/>
          </w:divBdr>
          <w:divsChild>
            <w:div w:id="1815677133">
              <w:marLeft w:val="0"/>
              <w:marRight w:val="0"/>
              <w:marTop w:val="0"/>
              <w:marBottom w:val="0"/>
              <w:divBdr>
                <w:top w:val="none" w:sz="0" w:space="0" w:color="auto"/>
                <w:left w:val="none" w:sz="0" w:space="0" w:color="auto"/>
                <w:bottom w:val="none" w:sz="0" w:space="0" w:color="auto"/>
                <w:right w:val="none" w:sz="0" w:space="0" w:color="auto"/>
              </w:divBdr>
            </w:div>
          </w:divsChild>
        </w:div>
        <w:div w:id="786045573">
          <w:marLeft w:val="0"/>
          <w:marRight w:val="0"/>
          <w:marTop w:val="0"/>
          <w:marBottom w:val="0"/>
          <w:divBdr>
            <w:top w:val="none" w:sz="0" w:space="0" w:color="auto"/>
            <w:left w:val="none" w:sz="0" w:space="0" w:color="auto"/>
            <w:bottom w:val="none" w:sz="0" w:space="0" w:color="auto"/>
            <w:right w:val="none" w:sz="0" w:space="0" w:color="auto"/>
          </w:divBdr>
          <w:divsChild>
            <w:div w:id="618150857">
              <w:marLeft w:val="0"/>
              <w:marRight w:val="0"/>
              <w:marTop w:val="0"/>
              <w:marBottom w:val="0"/>
              <w:divBdr>
                <w:top w:val="none" w:sz="0" w:space="0" w:color="auto"/>
                <w:left w:val="none" w:sz="0" w:space="0" w:color="auto"/>
                <w:bottom w:val="none" w:sz="0" w:space="0" w:color="auto"/>
                <w:right w:val="none" w:sz="0" w:space="0" w:color="auto"/>
              </w:divBdr>
            </w:div>
          </w:divsChild>
        </w:div>
        <w:div w:id="794182732">
          <w:marLeft w:val="0"/>
          <w:marRight w:val="0"/>
          <w:marTop w:val="0"/>
          <w:marBottom w:val="0"/>
          <w:divBdr>
            <w:top w:val="none" w:sz="0" w:space="0" w:color="auto"/>
            <w:left w:val="none" w:sz="0" w:space="0" w:color="auto"/>
            <w:bottom w:val="none" w:sz="0" w:space="0" w:color="auto"/>
            <w:right w:val="none" w:sz="0" w:space="0" w:color="auto"/>
          </w:divBdr>
          <w:divsChild>
            <w:div w:id="1236166634">
              <w:marLeft w:val="0"/>
              <w:marRight w:val="0"/>
              <w:marTop w:val="0"/>
              <w:marBottom w:val="0"/>
              <w:divBdr>
                <w:top w:val="none" w:sz="0" w:space="0" w:color="auto"/>
                <w:left w:val="none" w:sz="0" w:space="0" w:color="auto"/>
                <w:bottom w:val="none" w:sz="0" w:space="0" w:color="auto"/>
                <w:right w:val="none" w:sz="0" w:space="0" w:color="auto"/>
              </w:divBdr>
            </w:div>
          </w:divsChild>
        </w:div>
        <w:div w:id="807817840">
          <w:marLeft w:val="0"/>
          <w:marRight w:val="0"/>
          <w:marTop w:val="0"/>
          <w:marBottom w:val="0"/>
          <w:divBdr>
            <w:top w:val="none" w:sz="0" w:space="0" w:color="auto"/>
            <w:left w:val="none" w:sz="0" w:space="0" w:color="auto"/>
            <w:bottom w:val="none" w:sz="0" w:space="0" w:color="auto"/>
            <w:right w:val="none" w:sz="0" w:space="0" w:color="auto"/>
          </w:divBdr>
          <w:divsChild>
            <w:div w:id="905408815">
              <w:marLeft w:val="0"/>
              <w:marRight w:val="0"/>
              <w:marTop w:val="0"/>
              <w:marBottom w:val="0"/>
              <w:divBdr>
                <w:top w:val="none" w:sz="0" w:space="0" w:color="auto"/>
                <w:left w:val="none" w:sz="0" w:space="0" w:color="auto"/>
                <w:bottom w:val="none" w:sz="0" w:space="0" w:color="auto"/>
                <w:right w:val="none" w:sz="0" w:space="0" w:color="auto"/>
              </w:divBdr>
            </w:div>
          </w:divsChild>
        </w:div>
        <w:div w:id="812718943">
          <w:marLeft w:val="0"/>
          <w:marRight w:val="0"/>
          <w:marTop w:val="0"/>
          <w:marBottom w:val="0"/>
          <w:divBdr>
            <w:top w:val="none" w:sz="0" w:space="0" w:color="auto"/>
            <w:left w:val="none" w:sz="0" w:space="0" w:color="auto"/>
            <w:bottom w:val="none" w:sz="0" w:space="0" w:color="auto"/>
            <w:right w:val="none" w:sz="0" w:space="0" w:color="auto"/>
          </w:divBdr>
          <w:divsChild>
            <w:div w:id="377124787">
              <w:marLeft w:val="0"/>
              <w:marRight w:val="0"/>
              <w:marTop w:val="0"/>
              <w:marBottom w:val="0"/>
              <w:divBdr>
                <w:top w:val="none" w:sz="0" w:space="0" w:color="auto"/>
                <w:left w:val="none" w:sz="0" w:space="0" w:color="auto"/>
                <w:bottom w:val="none" w:sz="0" w:space="0" w:color="auto"/>
                <w:right w:val="none" w:sz="0" w:space="0" w:color="auto"/>
              </w:divBdr>
            </w:div>
          </w:divsChild>
        </w:div>
        <w:div w:id="842814862">
          <w:marLeft w:val="0"/>
          <w:marRight w:val="0"/>
          <w:marTop w:val="0"/>
          <w:marBottom w:val="0"/>
          <w:divBdr>
            <w:top w:val="none" w:sz="0" w:space="0" w:color="auto"/>
            <w:left w:val="none" w:sz="0" w:space="0" w:color="auto"/>
            <w:bottom w:val="none" w:sz="0" w:space="0" w:color="auto"/>
            <w:right w:val="none" w:sz="0" w:space="0" w:color="auto"/>
          </w:divBdr>
          <w:divsChild>
            <w:div w:id="278072682">
              <w:marLeft w:val="0"/>
              <w:marRight w:val="0"/>
              <w:marTop w:val="0"/>
              <w:marBottom w:val="0"/>
              <w:divBdr>
                <w:top w:val="none" w:sz="0" w:space="0" w:color="auto"/>
                <w:left w:val="none" w:sz="0" w:space="0" w:color="auto"/>
                <w:bottom w:val="none" w:sz="0" w:space="0" w:color="auto"/>
                <w:right w:val="none" w:sz="0" w:space="0" w:color="auto"/>
              </w:divBdr>
            </w:div>
          </w:divsChild>
        </w:div>
        <w:div w:id="849412755">
          <w:marLeft w:val="0"/>
          <w:marRight w:val="0"/>
          <w:marTop w:val="0"/>
          <w:marBottom w:val="0"/>
          <w:divBdr>
            <w:top w:val="none" w:sz="0" w:space="0" w:color="auto"/>
            <w:left w:val="none" w:sz="0" w:space="0" w:color="auto"/>
            <w:bottom w:val="none" w:sz="0" w:space="0" w:color="auto"/>
            <w:right w:val="none" w:sz="0" w:space="0" w:color="auto"/>
          </w:divBdr>
          <w:divsChild>
            <w:div w:id="2079284121">
              <w:marLeft w:val="0"/>
              <w:marRight w:val="0"/>
              <w:marTop w:val="0"/>
              <w:marBottom w:val="0"/>
              <w:divBdr>
                <w:top w:val="none" w:sz="0" w:space="0" w:color="auto"/>
                <w:left w:val="none" w:sz="0" w:space="0" w:color="auto"/>
                <w:bottom w:val="none" w:sz="0" w:space="0" w:color="auto"/>
                <w:right w:val="none" w:sz="0" w:space="0" w:color="auto"/>
              </w:divBdr>
            </w:div>
          </w:divsChild>
        </w:div>
        <w:div w:id="868225766">
          <w:marLeft w:val="0"/>
          <w:marRight w:val="0"/>
          <w:marTop w:val="0"/>
          <w:marBottom w:val="0"/>
          <w:divBdr>
            <w:top w:val="none" w:sz="0" w:space="0" w:color="auto"/>
            <w:left w:val="none" w:sz="0" w:space="0" w:color="auto"/>
            <w:bottom w:val="none" w:sz="0" w:space="0" w:color="auto"/>
            <w:right w:val="none" w:sz="0" w:space="0" w:color="auto"/>
          </w:divBdr>
          <w:divsChild>
            <w:div w:id="2030642413">
              <w:marLeft w:val="0"/>
              <w:marRight w:val="0"/>
              <w:marTop w:val="0"/>
              <w:marBottom w:val="0"/>
              <w:divBdr>
                <w:top w:val="none" w:sz="0" w:space="0" w:color="auto"/>
                <w:left w:val="none" w:sz="0" w:space="0" w:color="auto"/>
                <w:bottom w:val="none" w:sz="0" w:space="0" w:color="auto"/>
                <w:right w:val="none" w:sz="0" w:space="0" w:color="auto"/>
              </w:divBdr>
            </w:div>
          </w:divsChild>
        </w:div>
        <w:div w:id="908150205">
          <w:marLeft w:val="0"/>
          <w:marRight w:val="0"/>
          <w:marTop w:val="0"/>
          <w:marBottom w:val="0"/>
          <w:divBdr>
            <w:top w:val="none" w:sz="0" w:space="0" w:color="auto"/>
            <w:left w:val="none" w:sz="0" w:space="0" w:color="auto"/>
            <w:bottom w:val="none" w:sz="0" w:space="0" w:color="auto"/>
            <w:right w:val="none" w:sz="0" w:space="0" w:color="auto"/>
          </w:divBdr>
          <w:divsChild>
            <w:div w:id="1763836816">
              <w:marLeft w:val="0"/>
              <w:marRight w:val="0"/>
              <w:marTop w:val="0"/>
              <w:marBottom w:val="0"/>
              <w:divBdr>
                <w:top w:val="none" w:sz="0" w:space="0" w:color="auto"/>
                <w:left w:val="none" w:sz="0" w:space="0" w:color="auto"/>
                <w:bottom w:val="none" w:sz="0" w:space="0" w:color="auto"/>
                <w:right w:val="none" w:sz="0" w:space="0" w:color="auto"/>
              </w:divBdr>
            </w:div>
          </w:divsChild>
        </w:div>
        <w:div w:id="934091295">
          <w:marLeft w:val="0"/>
          <w:marRight w:val="0"/>
          <w:marTop w:val="0"/>
          <w:marBottom w:val="0"/>
          <w:divBdr>
            <w:top w:val="none" w:sz="0" w:space="0" w:color="auto"/>
            <w:left w:val="none" w:sz="0" w:space="0" w:color="auto"/>
            <w:bottom w:val="none" w:sz="0" w:space="0" w:color="auto"/>
            <w:right w:val="none" w:sz="0" w:space="0" w:color="auto"/>
          </w:divBdr>
          <w:divsChild>
            <w:div w:id="1147551746">
              <w:marLeft w:val="0"/>
              <w:marRight w:val="0"/>
              <w:marTop w:val="0"/>
              <w:marBottom w:val="0"/>
              <w:divBdr>
                <w:top w:val="none" w:sz="0" w:space="0" w:color="auto"/>
                <w:left w:val="none" w:sz="0" w:space="0" w:color="auto"/>
                <w:bottom w:val="none" w:sz="0" w:space="0" w:color="auto"/>
                <w:right w:val="none" w:sz="0" w:space="0" w:color="auto"/>
              </w:divBdr>
            </w:div>
          </w:divsChild>
        </w:div>
        <w:div w:id="947195671">
          <w:marLeft w:val="0"/>
          <w:marRight w:val="0"/>
          <w:marTop w:val="0"/>
          <w:marBottom w:val="0"/>
          <w:divBdr>
            <w:top w:val="none" w:sz="0" w:space="0" w:color="auto"/>
            <w:left w:val="none" w:sz="0" w:space="0" w:color="auto"/>
            <w:bottom w:val="none" w:sz="0" w:space="0" w:color="auto"/>
            <w:right w:val="none" w:sz="0" w:space="0" w:color="auto"/>
          </w:divBdr>
          <w:divsChild>
            <w:div w:id="1179461886">
              <w:marLeft w:val="0"/>
              <w:marRight w:val="0"/>
              <w:marTop w:val="0"/>
              <w:marBottom w:val="0"/>
              <w:divBdr>
                <w:top w:val="none" w:sz="0" w:space="0" w:color="auto"/>
                <w:left w:val="none" w:sz="0" w:space="0" w:color="auto"/>
                <w:bottom w:val="none" w:sz="0" w:space="0" w:color="auto"/>
                <w:right w:val="none" w:sz="0" w:space="0" w:color="auto"/>
              </w:divBdr>
            </w:div>
          </w:divsChild>
        </w:div>
        <w:div w:id="947396504">
          <w:marLeft w:val="0"/>
          <w:marRight w:val="0"/>
          <w:marTop w:val="0"/>
          <w:marBottom w:val="0"/>
          <w:divBdr>
            <w:top w:val="none" w:sz="0" w:space="0" w:color="auto"/>
            <w:left w:val="none" w:sz="0" w:space="0" w:color="auto"/>
            <w:bottom w:val="none" w:sz="0" w:space="0" w:color="auto"/>
            <w:right w:val="none" w:sz="0" w:space="0" w:color="auto"/>
          </w:divBdr>
          <w:divsChild>
            <w:div w:id="977690138">
              <w:marLeft w:val="0"/>
              <w:marRight w:val="0"/>
              <w:marTop w:val="0"/>
              <w:marBottom w:val="0"/>
              <w:divBdr>
                <w:top w:val="none" w:sz="0" w:space="0" w:color="auto"/>
                <w:left w:val="none" w:sz="0" w:space="0" w:color="auto"/>
                <w:bottom w:val="none" w:sz="0" w:space="0" w:color="auto"/>
                <w:right w:val="none" w:sz="0" w:space="0" w:color="auto"/>
              </w:divBdr>
            </w:div>
          </w:divsChild>
        </w:div>
        <w:div w:id="993147862">
          <w:marLeft w:val="0"/>
          <w:marRight w:val="0"/>
          <w:marTop w:val="0"/>
          <w:marBottom w:val="0"/>
          <w:divBdr>
            <w:top w:val="none" w:sz="0" w:space="0" w:color="auto"/>
            <w:left w:val="none" w:sz="0" w:space="0" w:color="auto"/>
            <w:bottom w:val="none" w:sz="0" w:space="0" w:color="auto"/>
            <w:right w:val="none" w:sz="0" w:space="0" w:color="auto"/>
          </w:divBdr>
          <w:divsChild>
            <w:div w:id="1092244457">
              <w:marLeft w:val="0"/>
              <w:marRight w:val="0"/>
              <w:marTop w:val="0"/>
              <w:marBottom w:val="0"/>
              <w:divBdr>
                <w:top w:val="none" w:sz="0" w:space="0" w:color="auto"/>
                <w:left w:val="none" w:sz="0" w:space="0" w:color="auto"/>
                <w:bottom w:val="none" w:sz="0" w:space="0" w:color="auto"/>
                <w:right w:val="none" w:sz="0" w:space="0" w:color="auto"/>
              </w:divBdr>
            </w:div>
          </w:divsChild>
        </w:div>
        <w:div w:id="1007249352">
          <w:marLeft w:val="0"/>
          <w:marRight w:val="0"/>
          <w:marTop w:val="0"/>
          <w:marBottom w:val="0"/>
          <w:divBdr>
            <w:top w:val="none" w:sz="0" w:space="0" w:color="auto"/>
            <w:left w:val="none" w:sz="0" w:space="0" w:color="auto"/>
            <w:bottom w:val="none" w:sz="0" w:space="0" w:color="auto"/>
            <w:right w:val="none" w:sz="0" w:space="0" w:color="auto"/>
          </w:divBdr>
          <w:divsChild>
            <w:div w:id="1717778190">
              <w:marLeft w:val="0"/>
              <w:marRight w:val="0"/>
              <w:marTop w:val="0"/>
              <w:marBottom w:val="0"/>
              <w:divBdr>
                <w:top w:val="none" w:sz="0" w:space="0" w:color="auto"/>
                <w:left w:val="none" w:sz="0" w:space="0" w:color="auto"/>
                <w:bottom w:val="none" w:sz="0" w:space="0" w:color="auto"/>
                <w:right w:val="none" w:sz="0" w:space="0" w:color="auto"/>
              </w:divBdr>
            </w:div>
          </w:divsChild>
        </w:div>
        <w:div w:id="1019116170">
          <w:marLeft w:val="0"/>
          <w:marRight w:val="0"/>
          <w:marTop w:val="0"/>
          <w:marBottom w:val="0"/>
          <w:divBdr>
            <w:top w:val="none" w:sz="0" w:space="0" w:color="auto"/>
            <w:left w:val="none" w:sz="0" w:space="0" w:color="auto"/>
            <w:bottom w:val="none" w:sz="0" w:space="0" w:color="auto"/>
            <w:right w:val="none" w:sz="0" w:space="0" w:color="auto"/>
          </w:divBdr>
          <w:divsChild>
            <w:div w:id="1330206557">
              <w:marLeft w:val="0"/>
              <w:marRight w:val="0"/>
              <w:marTop w:val="0"/>
              <w:marBottom w:val="0"/>
              <w:divBdr>
                <w:top w:val="none" w:sz="0" w:space="0" w:color="auto"/>
                <w:left w:val="none" w:sz="0" w:space="0" w:color="auto"/>
                <w:bottom w:val="none" w:sz="0" w:space="0" w:color="auto"/>
                <w:right w:val="none" w:sz="0" w:space="0" w:color="auto"/>
              </w:divBdr>
            </w:div>
          </w:divsChild>
        </w:div>
        <w:div w:id="1034622847">
          <w:marLeft w:val="0"/>
          <w:marRight w:val="0"/>
          <w:marTop w:val="0"/>
          <w:marBottom w:val="0"/>
          <w:divBdr>
            <w:top w:val="none" w:sz="0" w:space="0" w:color="auto"/>
            <w:left w:val="none" w:sz="0" w:space="0" w:color="auto"/>
            <w:bottom w:val="none" w:sz="0" w:space="0" w:color="auto"/>
            <w:right w:val="none" w:sz="0" w:space="0" w:color="auto"/>
          </w:divBdr>
          <w:divsChild>
            <w:div w:id="1095902129">
              <w:marLeft w:val="0"/>
              <w:marRight w:val="0"/>
              <w:marTop w:val="0"/>
              <w:marBottom w:val="0"/>
              <w:divBdr>
                <w:top w:val="none" w:sz="0" w:space="0" w:color="auto"/>
                <w:left w:val="none" w:sz="0" w:space="0" w:color="auto"/>
                <w:bottom w:val="none" w:sz="0" w:space="0" w:color="auto"/>
                <w:right w:val="none" w:sz="0" w:space="0" w:color="auto"/>
              </w:divBdr>
            </w:div>
          </w:divsChild>
        </w:div>
        <w:div w:id="1038822197">
          <w:marLeft w:val="0"/>
          <w:marRight w:val="0"/>
          <w:marTop w:val="0"/>
          <w:marBottom w:val="0"/>
          <w:divBdr>
            <w:top w:val="none" w:sz="0" w:space="0" w:color="auto"/>
            <w:left w:val="none" w:sz="0" w:space="0" w:color="auto"/>
            <w:bottom w:val="none" w:sz="0" w:space="0" w:color="auto"/>
            <w:right w:val="none" w:sz="0" w:space="0" w:color="auto"/>
          </w:divBdr>
          <w:divsChild>
            <w:div w:id="740442839">
              <w:marLeft w:val="0"/>
              <w:marRight w:val="0"/>
              <w:marTop w:val="0"/>
              <w:marBottom w:val="0"/>
              <w:divBdr>
                <w:top w:val="none" w:sz="0" w:space="0" w:color="auto"/>
                <w:left w:val="none" w:sz="0" w:space="0" w:color="auto"/>
                <w:bottom w:val="none" w:sz="0" w:space="0" w:color="auto"/>
                <w:right w:val="none" w:sz="0" w:space="0" w:color="auto"/>
              </w:divBdr>
            </w:div>
          </w:divsChild>
        </w:div>
        <w:div w:id="1049649135">
          <w:marLeft w:val="0"/>
          <w:marRight w:val="0"/>
          <w:marTop w:val="0"/>
          <w:marBottom w:val="0"/>
          <w:divBdr>
            <w:top w:val="none" w:sz="0" w:space="0" w:color="auto"/>
            <w:left w:val="none" w:sz="0" w:space="0" w:color="auto"/>
            <w:bottom w:val="none" w:sz="0" w:space="0" w:color="auto"/>
            <w:right w:val="none" w:sz="0" w:space="0" w:color="auto"/>
          </w:divBdr>
          <w:divsChild>
            <w:div w:id="178475532">
              <w:marLeft w:val="0"/>
              <w:marRight w:val="0"/>
              <w:marTop w:val="0"/>
              <w:marBottom w:val="0"/>
              <w:divBdr>
                <w:top w:val="none" w:sz="0" w:space="0" w:color="auto"/>
                <w:left w:val="none" w:sz="0" w:space="0" w:color="auto"/>
                <w:bottom w:val="none" w:sz="0" w:space="0" w:color="auto"/>
                <w:right w:val="none" w:sz="0" w:space="0" w:color="auto"/>
              </w:divBdr>
            </w:div>
          </w:divsChild>
        </w:div>
        <w:div w:id="1056708179">
          <w:marLeft w:val="0"/>
          <w:marRight w:val="0"/>
          <w:marTop w:val="0"/>
          <w:marBottom w:val="0"/>
          <w:divBdr>
            <w:top w:val="none" w:sz="0" w:space="0" w:color="auto"/>
            <w:left w:val="none" w:sz="0" w:space="0" w:color="auto"/>
            <w:bottom w:val="none" w:sz="0" w:space="0" w:color="auto"/>
            <w:right w:val="none" w:sz="0" w:space="0" w:color="auto"/>
          </w:divBdr>
          <w:divsChild>
            <w:div w:id="1365210332">
              <w:marLeft w:val="0"/>
              <w:marRight w:val="0"/>
              <w:marTop w:val="0"/>
              <w:marBottom w:val="0"/>
              <w:divBdr>
                <w:top w:val="none" w:sz="0" w:space="0" w:color="auto"/>
                <w:left w:val="none" w:sz="0" w:space="0" w:color="auto"/>
                <w:bottom w:val="none" w:sz="0" w:space="0" w:color="auto"/>
                <w:right w:val="none" w:sz="0" w:space="0" w:color="auto"/>
              </w:divBdr>
            </w:div>
          </w:divsChild>
        </w:div>
        <w:div w:id="1062944156">
          <w:marLeft w:val="0"/>
          <w:marRight w:val="0"/>
          <w:marTop w:val="0"/>
          <w:marBottom w:val="0"/>
          <w:divBdr>
            <w:top w:val="none" w:sz="0" w:space="0" w:color="auto"/>
            <w:left w:val="none" w:sz="0" w:space="0" w:color="auto"/>
            <w:bottom w:val="none" w:sz="0" w:space="0" w:color="auto"/>
            <w:right w:val="none" w:sz="0" w:space="0" w:color="auto"/>
          </w:divBdr>
          <w:divsChild>
            <w:div w:id="898325832">
              <w:marLeft w:val="0"/>
              <w:marRight w:val="0"/>
              <w:marTop w:val="0"/>
              <w:marBottom w:val="0"/>
              <w:divBdr>
                <w:top w:val="none" w:sz="0" w:space="0" w:color="auto"/>
                <w:left w:val="none" w:sz="0" w:space="0" w:color="auto"/>
                <w:bottom w:val="none" w:sz="0" w:space="0" w:color="auto"/>
                <w:right w:val="none" w:sz="0" w:space="0" w:color="auto"/>
              </w:divBdr>
            </w:div>
          </w:divsChild>
        </w:div>
        <w:div w:id="1075013151">
          <w:marLeft w:val="0"/>
          <w:marRight w:val="0"/>
          <w:marTop w:val="0"/>
          <w:marBottom w:val="0"/>
          <w:divBdr>
            <w:top w:val="none" w:sz="0" w:space="0" w:color="auto"/>
            <w:left w:val="none" w:sz="0" w:space="0" w:color="auto"/>
            <w:bottom w:val="none" w:sz="0" w:space="0" w:color="auto"/>
            <w:right w:val="none" w:sz="0" w:space="0" w:color="auto"/>
          </w:divBdr>
          <w:divsChild>
            <w:div w:id="97145426">
              <w:marLeft w:val="0"/>
              <w:marRight w:val="0"/>
              <w:marTop w:val="0"/>
              <w:marBottom w:val="0"/>
              <w:divBdr>
                <w:top w:val="none" w:sz="0" w:space="0" w:color="auto"/>
                <w:left w:val="none" w:sz="0" w:space="0" w:color="auto"/>
                <w:bottom w:val="none" w:sz="0" w:space="0" w:color="auto"/>
                <w:right w:val="none" w:sz="0" w:space="0" w:color="auto"/>
              </w:divBdr>
            </w:div>
          </w:divsChild>
        </w:div>
        <w:div w:id="1078789685">
          <w:marLeft w:val="0"/>
          <w:marRight w:val="0"/>
          <w:marTop w:val="0"/>
          <w:marBottom w:val="0"/>
          <w:divBdr>
            <w:top w:val="none" w:sz="0" w:space="0" w:color="auto"/>
            <w:left w:val="none" w:sz="0" w:space="0" w:color="auto"/>
            <w:bottom w:val="none" w:sz="0" w:space="0" w:color="auto"/>
            <w:right w:val="none" w:sz="0" w:space="0" w:color="auto"/>
          </w:divBdr>
          <w:divsChild>
            <w:div w:id="721059463">
              <w:marLeft w:val="0"/>
              <w:marRight w:val="0"/>
              <w:marTop w:val="0"/>
              <w:marBottom w:val="0"/>
              <w:divBdr>
                <w:top w:val="none" w:sz="0" w:space="0" w:color="auto"/>
                <w:left w:val="none" w:sz="0" w:space="0" w:color="auto"/>
                <w:bottom w:val="none" w:sz="0" w:space="0" w:color="auto"/>
                <w:right w:val="none" w:sz="0" w:space="0" w:color="auto"/>
              </w:divBdr>
            </w:div>
          </w:divsChild>
        </w:div>
        <w:div w:id="1087923504">
          <w:marLeft w:val="0"/>
          <w:marRight w:val="0"/>
          <w:marTop w:val="0"/>
          <w:marBottom w:val="0"/>
          <w:divBdr>
            <w:top w:val="none" w:sz="0" w:space="0" w:color="auto"/>
            <w:left w:val="none" w:sz="0" w:space="0" w:color="auto"/>
            <w:bottom w:val="none" w:sz="0" w:space="0" w:color="auto"/>
            <w:right w:val="none" w:sz="0" w:space="0" w:color="auto"/>
          </w:divBdr>
          <w:divsChild>
            <w:div w:id="2120834313">
              <w:marLeft w:val="0"/>
              <w:marRight w:val="0"/>
              <w:marTop w:val="0"/>
              <w:marBottom w:val="0"/>
              <w:divBdr>
                <w:top w:val="none" w:sz="0" w:space="0" w:color="auto"/>
                <w:left w:val="none" w:sz="0" w:space="0" w:color="auto"/>
                <w:bottom w:val="none" w:sz="0" w:space="0" w:color="auto"/>
                <w:right w:val="none" w:sz="0" w:space="0" w:color="auto"/>
              </w:divBdr>
            </w:div>
          </w:divsChild>
        </w:div>
        <w:div w:id="1119227957">
          <w:marLeft w:val="0"/>
          <w:marRight w:val="0"/>
          <w:marTop w:val="0"/>
          <w:marBottom w:val="0"/>
          <w:divBdr>
            <w:top w:val="none" w:sz="0" w:space="0" w:color="auto"/>
            <w:left w:val="none" w:sz="0" w:space="0" w:color="auto"/>
            <w:bottom w:val="none" w:sz="0" w:space="0" w:color="auto"/>
            <w:right w:val="none" w:sz="0" w:space="0" w:color="auto"/>
          </w:divBdr>
          <w:divsChild>
            <w:div w:id="1214343410">
              <w:marLeft w:val="0"/>
              <w:marRight w:val="0"/>
              <w:marTop w:val="0"/>
              <w:marBottom w:val="0"/>
              <w:divBdr>
                <w:top w:val="none" w:sz="0" w:space="0" w:color="auto"/>
                <w:left w:val="none" w:sz="0" w:space="0" w:color="auto"/>
                <w:bottom w:val="none" w:sz="0" w:space="0" w:color="auto"/>
                <w:right w:val="none" w:sz="0" w:space="0" w:color="auto"/>
              </w:divBdr>
            </w:div>
          </w:divsChild>
        </w:div>
        <w:div w:id="1136534012">
          <w:marLeft w:val="0"/>
          <w:marRight w:val="0"/>
          <w:marTop w:val="0"/>
          <w:marBottom w:val="0"/>
          <w:divBdr>
            <w:top w:val="none" w:sz="0" w:space="0" w:color="auto"/>
            <w:left w:val="none" w:sz="0" w:space="0" w:color="auto"/>
            <w:bottom w:val="none" w:sz="0" w:space="0" w:color="auto"/>
            <w:right w:val="none" w:sz="0" w:space="0" w:color="auto"/>
          </w:divBdr>
          <w:divsChild>
            <w:div w:id="1822117278">
              <w:marLeft w:val="0"/>
              <w:marRight w:val="0"/>
              <w:marTop w:val="0"/>
              <w:marBottom w:val="0"/>
              <w:divBdr>
                <w:top w:val="none" w:sz="0" w:space="0" w:color="auto"/>
                <w:left w:val="none" w:sz="0" w:space="0" w:color="auto"/>
                <w:bottom w:val="none" w:sz="0" w:space="0" w:color="auto"/>
                <w:right w:val="none" w:sz="0" w:space="0" w:color="auto"/>
              </w:divBdr>
            </w:div>
          </w:divsChild>
        </w:div>
        <w:div w:id="1145656707">
          <w:marLeft w:val="0"/>
          <w:marRight w:val="0"/>
          <w:marTop w:val="0"/>
          <w:marBottom w:val="0"/>
          <w:divBdr>
            <w:top w:val="none" w:sz="0" w:space="0" w:color="auto"/>
            <w:left w:val="none" w:sz="0" w:space="0" w:color="auto"/>
            <w:bottom w:val="none" w:sz="0" w:space="0" w:color="auto"/>
            <w:right w:val="none" w:sz="0" w:space="0" w:color="auto"/>
          </w:divBdr>
          <w:divsChild>
            <w:div w:id="61953789">
              <w:marLeft w:val="0"/>
              <w:marRight w:val="0"/>
              <w:marTop w:val="0"/>
              <w:marBottom w:val="0"/>
              <w:divBdr>
                <w:top w:val="none" w:sz="0" w:space="0" w:color="auto"/>
                <w:left w:val="none" w:sz="0" w:space="0" w:color="auto"/>
                <w:bottom w:val="none" w:sz="0" w:space="0" w:color="auto"/>
                <w:right w:val="none" w:sz="0" w:space="0" w:color="auto"/>
              </w:divBdr>
            </w:div>
          </w:divsChild>
        </w:div>
        <w:div w:id="1151871344">
          <w:marLeft w:val="0"/>
          <w:marRight w:val="0"/>
          <w:marTop w:val="0"/>
          <w:marBottom w:val="0"/>
          <w:divBdr>
            <w:top w:val="none" w:sz="0" w:space="0" w:color="auto"/>
            <w:left w:val="none" w:sz="0" w:space="0" w:color="auto"/>
            <w:bottom w:val="none" w:sz="0" w:space="0" w:color="auto"/>
            <w:right w:val="none" w:sz="0" w:space="0" w:color="auto"/>
          </w:divBdr>
          <w:divsChild>
            <w:div w:id="143473486">
              <w:marLeft w:val="0"/>
              <w:marRight w:val="0"/>
              <w:marTop w:val="0"/>
              <w:marBottom w:val="0"/>
              <w:divBdr>
                <w:top w:val="none" w:sz="0" w:space="0" w:color="auto"/>
                <w:left w:val="none" w:sz="0" w:space="0" w:color="auto"/>
                <w:bottom w:val="none" w:sz="0" w:space="0" w:color="auto"/>
                <w:right w:val="none" w:sz="0" w:space="0" w:color="auto"/>
              </w:divBdr>
            </w:div>
          </w:divsChild>
        </w:div>
        <w:div w:id="1154226406">
          <w:marLeft w:val="0"/>
          <w:marRight w:val="0"/>
          <w:marTop w:val="0"/>
          <w:marBottom w:val="0"/>
          <w:divBdr>
            <w:top w:val="none" w:sz="0" w:space="0" w:color="auto"/>
            <w:left w:val="none" w:sz="0" w:space="0" w:color="auto"/>
            <w:bottom w:val="none" w:sz="0" w:space="0" w:color="auto"/>
            <w:right w:val="none" w:sz="0" w:space="0" w:color="auto"/>
          </w:divBdr>
          <w:divsChild>
            <w:div w:id="679770055">
              <w:marLeft w:val="0"/>
              <w:marRight w:val="0"/>
              <w:marTop w:val="0"/>
              <w:marBottom w:val="0"/>
              <w:divBdr>
                <w:top w:val="none" w:sz="0" w:space="0" w:color="auto"/>
                <w:left w:val="none" w:sz="0" w:space="0" w:color="auto"/>
                <w:bottom w:val="none" w:sz="0" w:space="0" w:color="auto"/>
                <w:right w:val="none" w:sz="0" w:space="0" w:color="auto"/>
              </w:divBdr>
            </w:div>
          </w:divsChild>
        </w:div>
        <w:div w:id="1178346033">
          <w:marLeft w:val="0"/>
          <w:marRight w:val="0"/>
          <w:marTop w:val="0"/>
          <w:marBottom w:val="0"/>
          <w:divBdr>
            <w:top w:val="none" w:sz="0" w:space="0" w:color="auto"/>
            <w:left w:val="none" w:sz="0" w:space="0" w:color="auto"/>
            <w:bottom w:val="none" w:sz="0" w:space="0" w:color="auto"/>
            <w:right w:val="none" w:sz="0" w:space="0" w:color="auto"/>
          </w:divBdr>
          <w:divsChild>
            <w:div w:id="1522628108">
              <w:marLeft w:val="0"/>
              <w:marRight w:val="0"/>
              <w:marTop w:val="0"/>
              <w:marBottom w:val="0"/>
              <w:divBdr>
                <w:top w:val="none" w:sz="0" w:space="0" w:color="auto"/>
                <w:left w:val="none" w:sz="0" w:space="0" w:color="auto"/>
                <w:bottom w:val="none" w:sz="0" w:space="0" w:color="auto"/>
                <w:right w:val="none" w:sz="0" w:space="0" w:color="auto"/>
              </w:divBdr>
            </w:div>
          </w:divsChild>
        </w:div>
        <w:div w:id="1192063589">
          <w:marLeft w:val="0"/>
          <w:marRight w:val="0"/>
          <w:marTop w:val="0"/>
          <w:marBottom w:val="0"/>
          <w:divBdr>
            <w:top w:val="none" w:sz="0" w:space="0" w:color="auto"/>
            <w:left w:val="none" w:sz="0" w:space="0" w:color="auto"/>
            <w:bottom w:val="none" w:sz="0" w:space="0" w:color="auto"/>
            <w:right w:val="none" w:sz="0" w:space="0" w:color="auto"/>
          </w:divBdr>
          <w:divsChild>
            <w:div w:id="843975232">
              <w:marLeft w:val="0"/>
              <w:marRight w:val="0"/>
              <w:marTop w:val="0"/>
              <w:marBottom w:val="0"/>
              <w:divBdr>
                <w:top w:val="none" w:sz="0" w:space="0" w:color="auto"/>
                <w:left w:val="none" w:sz="0" w:space="0" w:color="auto"/>
                <w:bottom w:val="none" w:sz="0" w:space="0" w:color="auto"/>
                <w:right w:val="none" w:sz="0" w:space="0" w:color="auto"/>
              </w:divBdr>
            </w:div>
          </w:divsChild>
        </w:div>
        <w:div w:id="1194614472">
          <w:marLeft w:val="0"/>
          <w:marRight w:val="0"/>
          <w:marTop w:val="0"/>
          <w:marBottom w:val="0"/>
          <w:divBdr>
            <w:top w:val="none" w:sz="0" w:space="0" w:color="auto"/>
            <w:left w:val="none" w:sz="0" w:space="0" w:color="auto"/>
            <w:bottom w:val="none" w:sz="0" w:space="0" w:color="auto"/>
            <w:right w:val="none" w:sz="0" w:space="0" w:color="auto"/>
          </w:divBdr>
          <w:divsChild>
            <w:div w:id="2029795677">
              <w:marLeft w:val="0"/>
              <w:marRight w:val="0"/>
              <w:marTop w:val="0"/>
              <w:marBottom w:val="0"/>
              <w:divBdr>
                <w:top w:val="none" w:sz="0" w:space="0" w:color="auto"/>
                <w:left w:val="none" w:sz="0" w:space="0" w:color="auto"/>
                <w:bottom w:val="none" w:sz="0" w:space="0" w:color="auto"/>
                <w:right w:val="none" w:sz="0" w:space="0" w:color="auto"/>
              </w:divBdr>
            </w:div>
          </w:divsChild>
        </w:div>
        <w:div w:id="1195730644">
          <w:marLeft w:val="0"/>
          <w:marRight w:val="0"/>
          <w:marTop w:val="0"/>
          <w:marBottom w:val="0"/>
          <w:divBdr>
            <w:top w:val="none" w:sz="0" w:space="0" w:color="auto"/>
            <w:left w:val="none" w:sz="0" w:space="0" w:color="auto"/>
            <w:bottom w:val="none" w:sz="0" w:space="0" w:color="auto"/>
            <w:right w:val="none" w:sz="0" w:space="0" w:color="auto"/>
          </w:divBdr>
          <w:divsChild>
            <w:div w:id="1134716246">
              <w:marLeft w:val="0"/>
              <w:marRight w:val="0"/>
              <w:marTop w:val="0"/>
              <w:marBottom w:val="0"/>
              <w:divBdr>
                <w:top w:val="none" w:sz="0" w:space="0" w:color="auto"/>
                <w:left w:val="none" w:sz="0" w:space="0" w:color="auto"/>
                <w:bottom w:val="none" w:sz="0" w:space="0" w:color="auto"/>
                <w:right w:val="none" w:sz="0" w:space="0" w:color="auto"/>
              </w:divBdr>
            </w:div>
          </w:divsChild>
        </w:div>
        <w:div w:id="1286234779">
          <w:marLeft w:val="0"/>
          <w:marRight w:val="0"/>
          <w:marTop w:val="0"/>
          <w:marBottom w:val="0"/>
          <w:divBdr>
            <w:top w:val="none" w:sz="0" w:space="0" w:color="auto"/>
            <w:left w:val="none" w:sz="0" w:space="0" w:color="auto"/>
            <w:bottom w:val="none" w:sz="0" w:space="0" w:color="auto"/>
            <w:right w:val="none" w:sz="0" w:space="0" w:color="auto"/>
          </w:divBdr>
          <w:divsChild>
            <w:div w:id="151215956">
              <w:marLeft w:val="0"/>
              <w:marRight w:val="0"/>
              <w:marTop w:val="0"/>
              <w:marBottom w:val="0"/>
              <w:divBdr>
                <w:top w:val="none" w:sz="0" w:space="0" w:color="auto"/>
                <w:left w:val="none" w:sz="0" w:space="0" w:color="auto"/>
                <w:bottom w:val="none" w:sz="0" w:space="0" w:color="auto"/>
                <w:right w:val="none" w:sz="0" w:space="0" w:color="auto"/>
              </w:divBdr>
            </w:div>
          </w:divsChild>
        </w:div>
        <w:div w:id="1294093808">
          <w:marLeft w:val="0"/>
          <w:marRight w:val="0"/>
          <w:marTop w:val="0"/>
          <w:marBottom w:val="0"/>
          <w:divBdr>
            <w:top w:val="none" w:sz="0" w:space="0" w:color="auto"/>
            <w:left w:val="none" w:sz="0" w:space="0" w:color="auto"/>
            <w:bottom w:val="none" w:sz="0" w:space="0" w:color="auto"/>
            <w:right w:val="none" w:sz="0" w:space="0" w:color="auto"/>
          </w:divBdr>
          <w:divsChild>
            <w:div w:id="1582258207">
              <w:marLeft w:val="0"/>
              <w:marRight w:val="0"/>
              <w:marTop w:val="0"/>
              <w:marBottom w:val="0"/>
              <w:divBdr>
                <w:top w:val="none" w:sz="0" w:space="0" w:color="auto"/>
                <w:left w:val="none" w:sz="0" w:space="0" w:color="auto"/>
                <w:bottom w:val="none" w:sz="0" w:space="0" w:color="auto"/>
                <w:right w:val="none" w:sz="0" w:space="0" w:color="auto"/>
              </w:divBdr>
            </w:div>
          </w:divsChild>
        </w:div>
        <w:div w:id="1302223363">
          <w:marLeft w:val="0"/>
          <w:marRight w:val="0"/>
          <w:marTop w:val="0"/>
          <w:marBottom w:val="0"/>
          <w:divBdr>
            <w:top w:val="none" w:sz="0" w:space="0" w:color="auto"/>
            <w:left w:val="none" w:sz="0" w:space="0" w:color="auto"/>
            <w:bottom w:val="none" w:sz="0" w:space="0" w:color="auto"/>
            <w:right w:val="none" w:sz="0" w:space="0" w:color="auto"/>
          </w:divBdr>
          <w:divsChild>
            <w:div w:id="1411583526">
              <w:marLeft w:val="0"/>
              <w:marRight w:val="0"/>
              <w:marTop w:val="0"/>
              <w:marBottom w:val="0"/>
              <w:divBdr>
                <w:top w:val="none" w:sz="0" w:space="0" w:color="auto"/>
                <w:left w:val="none" w:sz="0" w:space="0" w:color="auto"/>
                <w:bottom w:val="none" w:sz="0" w:space="0" w:color="auto"/>
                <w:right w:val="none" w:sz="0" w:space="0" w:color="auto"/>
              </w:divBdr>
            </w:div>
          </w:divsChild>
        </w:div>
        <w:div w:id="1317539325">
          <w:marLeft w:val="0"/>
          <w:marRight w:val="0"/>
          <w:marTop w:val="0"/>
          <w:marBottom w:val="0"/>
          <w:divBdr>
            <w:top w:val="none" w:sz="0" w:space="0" w:color="auto"/>
            <w:left w:val="none" w:sz="0" w:space="0" w:color="auto"/>
            <w:bottom w:val="none" w:sz="0" w:space="0" w:color="auto"/>
            <w:right w:val="none" w:sz="0" w:space="0" w:color="auto"/>
          </w:divBdr>
          <w:divsChild>
            <w:div w:id="648946819">
              <w:marLeft w:val="0"/>
              <w:marRight w:val="0"/>
              <w:marTop w:val="0"/>
              <w:marBottom w:val="0"/>
              <w:divBdr>
                <w:top w:val="none" w:sz="0" w:space="0" w:color="auto"/>
                <w:left w:val="none" w:sz="0" w:space="0" w:color="auto"/>
                <w:bottom w:val="none" w:sz="0" w:space="0" w:color="auto"/>
                <w:right w:val="none" w:sz="0" w:space="0" w:color="auto"/>
              </w:divBdr>
            </w:div>
          </w:divsChild>
        </w:div>
        <w:div w:id="1320842504">
          <w:marLeft w:val="0"/>
          <w:marRight w:val="0"/>
          <w:marTop w:val="0"/>
          <w:marBottom w:val="0"/>
          <w:divBdr>
            <w:top w:val="none" w:sz="0" w:space="0" w:color="auto"/>
            <w:left w:val="none" w:sz="0" w:space="0" w:color="auto"/>
            <w:bottom w:val="none" w:sz="0" w:space="0" w:color="auto"/>
            <w:right w:val="none" w:sz="0" w:space="0" w:color="auto"/>
          </w:divBdr>
          <w:divsChild>
            <w:div w:id="1809081847">
              <w:marLeft w:val="0"/>
              <w:marRight w:val="0"/>
              <w:marTop w:val="0"/>
              <w:marBottom w:val="0"/>
              <w:divBdr>
                <w:top w:val="none" w:sz="0" w:space="0" w:color="auto"/>
                <w:left w:val="none" w:sz="0" w:space="0" w:color="auto"/>
                <w:bottom w:val="none" w:sz="0" w:space="0" w:color="auto"/>
                <w:right w:val="none" w:sz="0" w:space="0" w:color="auto"/>
              </w:divBdr>
            </w:div>
          </w:divsChild>
        </w:div>
        <w:div w:id="1322588709">
          <w:marLeft w:val="0"/>
          <w:marRight w:val="0"/>
          <w:marTop w:val="0"/>
          <w:marBottom w:val="0"/>
          <w:divBdr>
            <w:top w:val="none" w:sz="0" w:space="0" w:color="auto"/>
            <w:left w:val="none" w:sz="0" w:space="0" w:color="auto"/>
            <w:bottom w:val="none" w:sz="0" w:space="0" w:color="auto"/>
            <w:right w:val="none" w:sz="0" w:space="0" w:color="auto"/>
          </w:divBdr>
          <w:divsChild>
            <w:div w:id="307589847">
              <w:marLeft w:val="0"/>
              <w:marRight w:val="0"/>
              <w:marTop w:val="0"/>
              <w:marBottom w:val="0"/>
              <w:divBdr>
                <w:top w:val="none" w:sz="0" w:space="0" w:color="auto"/>
                <w:left w:val="none" w:sz="0" w:space="0" w:color="auto"/>
                <w:bottom w:val="none" w:sz="0" w:space="0" w:color="auto"/>
                <w:right w:val="none" w:sz="0" w:space="0" w:color="auto"/>
              </w:divBdr>
            </w:div>
          </w:divsChild>
        </w:div>
        <w:div w:id="1349286728">
          <w:marLeft w:val="0"/>
          <w:marRight w:val="0"/>
          <w:marTop w:val="0"/>
          <w:marBottom w:val="0"/>
          <w:divBdr>
            <w:top w:val="none" w:sz="0" w:space="0" w:color="auto"/>
            <w:left w:val="none" w:sz="0" w:space="0" w:color="auto"/>
            <w:bottom w:val="none" w:sz="0" w:space="0" w:color="auto"/>
            <w:right w:val="none" w:sz="0" w:space="0" w:color="auto"/>
          </w:divBdr>
          <w:divsChild>
            <w:div w:id="984965546">
              <w:marLeft w:val="0"/>
              <w:marRight w:val="0"/>
              <w:marTop w:val="0"/>
              <w:marBottom w:val="0"/>
              <w:divBdr>
                <w:top w:val="none" w:sz="0" w:space="0" w:color="auto"/>
                <w:left w:val="none" w:sz="0" w:space="0" w:color="auto"/>
                <w:bottom w:val="none" w:sz="0" w:space="0" w:color="auto"/>
                <w:right w:val="none" w:sz="0" w:space="0" w:color="auto"/>
              </w:divBdr>
            </w:div>
          </w:divsChild>
        </w:div>
        <w:div w:id="1351184133">
          <w:marLeft w:val="0"/>
          <w:marRight w:val="0"/>
          <w:marTop w:val="0"/>
          <w:marBottom w:val="0"/>
          <w:divBdr>
            <w:top w:val="none" w:sz="0" w:space="0" w:color="auto"/>
            <w:left w:val="none" w:sz="0" w:space="0" w:color="auto"/>
            <w:bottom w:val="none" w:sz="0" w:space="0" w:color="auto"/>
            <w:right w:val="none" w:sz="0" w:space="0" w:color="auto"/>
          </w:divBdr>
          <w:divsChild>
            <w:div w:id="1101946745">
              <w:marLeft w:val="0"/>
              <w:marRight w:val="0"/>
              <w:marTop w:val="0"/>
              <w:marBottom w:val="0"/>
              <w:divBdr>
                <w:top w:val="none" w:sz="0" w:space="0" w:color="auto"/>
                <w:left w:val="none" w:sz="0" w:space="0" w:color="auto"/>
                <w:bottom w:val="none" w:sz="0" w:space="0" w:color="auto"/>
                <w:right w:val="none" w:sz="0" w:space="0" w:color="auto"/>
              </w:divBdr>
            </w:div>
          </w:divsChild>
        </w:div>
        <w:div w:id="1361083790">
          <w:marLeft w:val="0"/>
          <w:marRight w:val="0"/>
          <w:marTop w:val="0"/>
          <w:marBottom w:val="0"/>
          <w:divBdr>
            <w:top w:val="none" w:sz="0" w:space="0" w:color="auto"/>
            <w:left w:val="none" w:sz="0" w:space="0" w:color="auto"/>
            <w:bottom w:val="none" w:sz="0" w:space="0" w:color="auto"/>
            <w:right w:val="none" w:sz="0" w:space="0" w:color="auto"/>
          </w:divBdr>
          <w:divsChild>
            <w:div w:id="853231863">
              <w:marLeft w:val="0"/>
              <w:marRight w:val="0"/>
              <w:marTop w:val="0"/>
              <w:marBottom w:val="0"/>
              <w:divBdr>
                <w:top w:val="none" w:sz="0" w:space="0" w:color="auto"/>
                <w:left w:val="none" w:sz="0" w:space="0" w:color="auto"/>
                <w:bottom w:val="none" w:sz="0" w:space="0" w:color="auto"/>
                <w:right w:val="none" w:sz="0" w:space="0" w:color="auto"/>
              </w:divBdr>
            </w:div>
          </w:divsChild>
        </w:div>
        <w:div w:id="1363827999">
          <w:marLeft w:val="0"/>
          <w:marRight w:val="0"/>
          <w:marTop w:val="0"/>
          <w:marBottom w:val="0"/>
          <w:divBdr>
            <w:top w:val="none" w:sz="0" w:space="0" w:color="auto"/>
            <w:left w:val="none" w:sz="0" w:space="0" w:color="auto"/>
            <w:bottom w:val="none" w:sz="0" w:space="0" w:color="auto"/>
            <w:right w:val="none" w:sz="0" w:space="0" w:color="auto"/>
          </w:divBdr>
          <w:divsChild>
            <w:div w:id="854458937">
              <w:marLeft w:val="0"/>
              <w:marRight w:val="0"/>
              <w:marTop w:val="0"/>
              <w:marBottom w:val="0"/>
              <w:divBdr>
                <w:top w:val="none" w:sz="0" w:space="0" w:color="auto"/>
                <w:left w:val="none" w:sz="0" w:space="0" w:color="auto"/>
                <w:bottom w:val="none" w:sz="0" w:space="0" w:color="auto"/>
                <w:right w:val="none" w:sz="0" w:space="0" w:color="auto"/>
              </w:divBdr>
            </w:div>
          </w:divsChild>
        </w:div>
        <w:div w:id="1365787843">
          <w:marLeft w:val="0"/>
          <w:marRight w:val="0"/>
          <w:marTop w:val="0"/>
          <w:marBottom w:val="0"/>
          <w:divBdr>
            <w:top w:val="none" w:sz="0" w:space="0" w:color="auto"/>
            <w:left w:val="none" w:sz="0" w:space="0" w:color="auto"/>
            <w:bottom w:val="none" w:sz="0" w:space="0" w:color="auto"/>
            <w:right w:val="none" w:sz="0" w:space="0" w:color="auto"/>
          </w:divBdr>
          <w:divsChild>
            <w:div w:id="1212617995">
              <w:marLeft w:val="0"/>
              <w:marRight w:val="0"/>
              <w:marTop w:val="0"/>
              <w:marBottom w:val="0"/>
              <w:divBdr>
                <w:top w:val="none" w:sz="0" w:space="0" w:color="auto"/>
                <w:left w:val="none" w:sz="0" w:space="0" w:color="auto"/>
                <w:bottom w:val="none" w:sz="0" w:space="0" w:color="auto"/>
                <w:right w:val="none" w:sz="0" w:space="0" w:color="auto"/>
              </w:divBdr>
            </w:div>
          </w:divsChild>
        </w:div>
        <w:div w:id="1412314753">
          <w:marLeft w:val="0"/>
          <w:marRight w:val="0"/>
          <w:marTop w:val="0"/>
          <w:marBottom w:val="0"/>
          <w:divBdr>
            <w:top w:val="none" w:sz="0" w:space="0" w:color="auto"/>
            <w:left w:val="none" w:sz="0" w:space="0" w:color="auto"/>
            <w:bottom w:val="none" w:sz="0" w:space="0" w:color="auto"/>
            <w:right w:val="none" w:sz="0" w:space="0" w:color="auto"/>
          </w:divBdr>
          <w:divsChild>
            <w:div w:id="725226019">
              <w:marLeft w:val="0"/>
              <w:marRight w:val="0"/>
              <w:marTop w:val="0"/>
              <w:marBottom w:val="0"/>
              <w:divBdr>
                <w:top w:val="none" w:sz="0" w:space="0" w:color="auto"/>
                <w:left w:val="none" w:sz="0" w:space="0" w:color="auto"/>
                <w:bottom w:val="none" w:sz="0" w:space="0" w:color="auto"/>
                <w:right w:val="none" w:sz="0" w:space="0" w:color="auto"/>
              </w:divBdr>
            </w:div>
          </w:divsChild>
        </w:div>
        <w:div w:id="1414006235">
          <w:marLeft w:val="0"/>
          <w:marRight w:val="0"/>
          <w:marTop w:val="0"/>
          <w:marBottom w:val="0"/>
          <w:divBdr>
            <w:top w:val="none" w:sz="0" w:space="0" w:color="auto"/>
            <w:left w:val="none" w:sz="0" w:space="0" w:color="auto"/>
            <w:bottom w:val="none" w:sz="0" w:space="0" w:color="auto"/>
            <w:right w:val="none" w:sz="0" w:space="0" w:color="auto"/>
          </w:divBdr>
          <w:divsChild>
            <w:div w:id="586236151">
              <w:marLeft w:val="0"/>
              <w:marRight w:val="0"/>
              <w:marTop w:val="0"/>
              <w:marBottom w:val="0"/>
              <w:divBdr>
                <w:top w:val="none" w:sz="0" w:space="0" w:color="auto"/>
                <w:left w:val="none" w:sz="0" w:space="0" w:color="auto"/>
                <w:bottom w:val="none" w:sz="0" w:space="0" w:color="auto"/>
                <w:right w:val="none" w:sz="0" w:space="0" w:color="auto"/>
              </w:divBdr>
            </w:div>
          </w:divsChild>
        </w:div>
        <w:div w:id="1426076441">
          <w:marLeft w:val="0"/>
          <w:marRight w:val="0"/>
          <w:marTop w:val="0"/>
          <w:marBottom w:val="0"/>
          <w:divBdr>
            <w:top w:val="none" w:sz="0" w:space="0" w:color="auto"/>
            <w:left w:val="none" w:sz="0" w:space="0" w:color="auto"/>
            <w:bottom w:val="none" w:sz="0" w:space="0" w:color="auto"/>
            <w:right w:val="none" w:sz="0" w:space="0" w:color="auto"/>
          </w:divBdr>
          <w:divsChild>
            <w:div w:id="1760056224">
              <w:marLeft w:val="0"/>
              <w:marRight w:val="0"/>
              <w:marTop w:val="0"/>
              <w:marBottom w:val="0"/>
              <w:divBdr>
                <w:top w:val="none" w:sz="0" w:space="0" w:color="auto"/>
                <w:left w:val="none" w:sz="0" w:space="0" w:color="auto"/>
                <w:bottom w:val="none" w:sz="0" w:space="0" w:color="auto"/>
                <w:right w:val="none" w:sz="0" w:space="0" w:color="auto"/>
              </w:divBdr>
            </w:div>
          </w:divsChild>
        </w:div>
        <w:div w:id="1465394030">
          <w:marLeft w:val="0"/>
          <w:marRight w:val="0"/>
          <w:marTop w:val="0"/>
          <w:marBottom w:val="0"/>
          <w:divBdr>
            <w:top w:val="none" w:sz="0" w:space="0" w:color="auto"/>
            <w:left w:val="none" w:sz="0" w:space="0" w:color="auto"/>
            <w:bottom w:val="none" w:sz="0" w:space="0" w:color="auto"/>
            <w:right w:val="none" w:sz="0" w:space="0" w:color="auto"/>
          </w:divBdr>
          <w:divsChild>
            <w:div w:id="2035417440">
              <w:marLeft w:val="0"/>
              <w:marRight w:val="0"/>
              <w:marTop w:val="0"/>
              <w:marBottom w:val="0"/>
              <w:divBdr>
                <w:top w:val="none" w:sz="0" w:space="0" w:color="auto"/>
                <w:left w:val="none" w:sz="0" w:space="0" w:color="auto"/>
                <w:bottom w:val="none" w:sz="0" w:space="0" w:color="auto"/>
                <w:right w:val="none" w:sz="0" w:space="0" w:color="auto"/>
              </w:divBdr>
            </w:div>
          </w:divsChild>
        </w:div>
        <w:div w:id="1505709104">
          <w:marLeft w:val="0"/>
          <w:marRight w:val="0"/>
          <w:marTop w:val="0"/>
          <w:marBottom w:val="0"/>
          <w:divBdr>
            <w:top w:val="none" w:sz="0" w:space="0" w:color="auto"/>
            <w:left w:val="none" w:sz="0" w:space="0" w:color="auto"/>
            <w:bottom w:val="none" w:sz="0" w:space="0" w:color="auto"/>
            <w:right w:val="none" w:sz="0" w:space="0" w:color="auto"/>
          </w:divBdr>
          <w:divsChild>
            <w:div w:id="1432119579">
              <w:marLeft w:val="0"/>
              <w:marRight w:val="0"/>
              <w:marTop w:val="0"/>
              <w:marBottom w:val="0"/>
              <w:divBdr>
                <w:top w:val="none" w:sz="0" w:space="0" w:color="auto"/>
                <w:left w:val="none" w:sz="0" w:space="0" w:color="auto"/>
                <w:bottom w:val="none" w:sz="0" w:space="0" w:color="auto"/>
                <w:right w:val="none" w:sz="0" w:space="0" w:color="auto"/>
              </w:divBdr>
            </w:div>
          </w:divsChild>
        </w:div>
        <w:div w:id="1512182132">
          <w:marLeft w:val="0"/>
          <w:marRight w:val="0"/>
          <w:marTop w:val="0"/>
          <w:marBottom w:val="0"/>
          <w:divBdr>
            <w:top w:val="none" w:sz="0" w:space="0" w:color="auto"/>
            <w:left w:val="none" w:sz="0" w:space="0" w:color="auto"/>
            <w:bottom w:val="none" w:sz="0" w:space="0" w:color="auto"/>
            <w:right w:val="none" w:sz="0" w:space="0" w:color="auto"/>
          </w:divBdr>
          <w:divsChild>
            <w:div w:id="471797867">
              <w:marLeft w:val="0"/>
              <w:marRight w:val="0"/>
              <w:marTop w:val="0"/>
              <w:marBottom w:val="0"/>
              <w:divBdr>
                <w:top w:val="none" w:sz="0" w:space="0" w:color="auto"/>
                <w:left w:val="none" w:sz="0" w:space="0" w:color="auto"/>
                <w:bottom w:val="none" w:sz="0" w:space="0" w:color="auto"/>
                <w:right w:val="none" w:sz="0" w:space="0" w:color="auto"/>
              </w:divBdr>
            </w:div>
          </w:divsChild>
        </w:div>
        <w:div w:id="1516453730">
          <w:marLeft w:val="0"/>
          <w:marRight w:val="0"/>
          <w:marTop w:val="0"/>
          <w:marBottom w:val="0"/>
          <w:divBdr>
            <w:top w:val="none" w:sz="0" w:space="0" w:color="auto"/>
            <w:left w:val="none" w:sz="0" w:space="0" w:color="auto"/>
            <w:bottom w:val="none" w:sz="0" w:space="0" w:color="auto"/>
            <w:right w:val="none" w:sz="0" w:space="0" w:color="auto"/>
          </w:divBdr>
          <w:divsChild>
            <w:div w:id="390731937">
              <w:marLeft w:val="0"/>
              <w:marRight w:val="0"/>
              <w:marTop w:val="0"/>
              <w:marBottom w:val="0"/>
              <w:divBdr>
                <w:top w:val="none" w:sz="0" w:space="0" w:color="auto"/>
                <w:left w:val="none" w:sz="0" w:space="0" w:color="auto"/>
                <w:bottom w:val="none" w:sz="0" w:space="0" w:color="auto"/>
                <w:right w:val="none" w:sz="0" w:space="0" w:color="auto"/>
              </w:divBdr>
            </w:div>
          </w:divsChild>
        </w:div>
        <w:div w:id="1539127225">
          <w:marLeft w:val="0"/>
          <w:marRight w:val="0"/>
          <w:marTop w:val="0"/>
          <w:marBottom w:val="0"/>
          <w:divBdr>
            <w:top w:val="none" w:sz="0" w:space="0" w:color="auto"/>
            <w:left w:val="none" w:sz="0" w:space="0" w:color="auto"/>
            <w:bottom w:val="none" w:sz="0" w:space="0" w:color="auto"/>
            <w:right w:val="none" w:sz="0" w:space="0" w:color="auto"/>
          </w:divBdr>
          <w:divsChild>
            <w:div w:id="510683085">
              <w:marLeft w:val="0"/>
              <w:marRight w:val="0"/>
              <w:marTop w:val="0"/>
              <w:marBottom w:val="0"/>
              <w:divBdr>
                <w:top w:val="none" w:sz="0" w:space="0" w:color="auto"/>
                <w:left w:val="none" w:sz="0" w:space="0" w:color="auto"/>
                <w:bottom w:val="none" w:sz="0" w:space="0" w:color="auto"/>
                <w:right w:val="none" w:sz="0" w:space="0" w:color="auto"/>
              </w:divBdr>
            </w:div>
          </w:divsChild>
        </w:div>
        <w:div w:id="1553813125">
          <w:marLeft w:val="0"/>
          <w:marRight w:val="0"/>
          <w:marTop w:val="0"/>
          <w:marBottom w:val="0"/>
          <w:divBdr>
            <w:top w:val="none" w:sz="0" w:space="0" w:color="auto"/>
            <w:left w:val="none" w:sz="0" w:space="0" w:color="auto"/>
            <w:bottom w:val="none" w:sz="0" w:space="0" w:color="auto"/>
            <w:right w:val="none" w:sz="0" w:space="0" w:color="auto"/>
          </w:divBdr>
          <w:divsChild>
            <w:div w:id="2121679495">
              <w:marLeft w:val="0"/>
              <w:marRight w:val="0"/>
              <w:marTop w:val="0"/>
              <w:marBottom w:val="0"/>
              <w:divBdr>
                <w:top w:val="none" w:sz="0" w:space="0" w:color="auto"/>
                <w:left w:val="none" w:sz="0" w:space="0" w:color="auto"/>
                <w:bottom w:val="none" w:sz="0" w:space="0" w:color="auto"/>
                <w:right w:val="none" w:sz="0" w:space="0" w:color="auto"/>
              </w:divBdr>
            </w:div>
          </w:divsChild>
        </w:div>
        <w:div w:id="1556769265">
          <w:marLeft w:val="0"/>
          <w:marRight w:val="0"/>
          <w:marTop w:val="0"/>
          <w:marBottom w:val="0"/>
          <w:divBdr>
            <w:top w:val="none" w:sz="0" w:space="0" w:color="auto"/>
            <w:left w:val="none" w:sz="0" w:space="0" w:color="auto"/>
            <w:bottom w:val="none" w:sz="0" w:space="0" w:color="auto"/>
            <w:right w:val="none" w:sz="0" w:space="0" w:color="auto"/>
          </w:divBdr>
          <w:divsChild>
            <w:div w:id="1844470350">
              <w:marLeft w:val="0"/>
              <w:marRight w:val="0"/>
              <w:marTop w:val="0"/>
              <w:marBottom w:val="0"/>
              <w:divBdr>
                <w:top w:val="none" w:sz="0" w:space="0" w:color="auto"/>
                <w:left w:val="none" w:sz="0" w:space="0" w:color="auto"/>
                <w:bottom w:val="none" w:sz="0" w:space="0" w:color="auto"/>
                <w:right w:val="none" w:sz="0" w:space="0" w:color="auto"/>
              </w:divBdr>
            </w:div>
          </w:divsChild>
        </w:div>
        <w:div w:id="1556815152">
          <w:marLeft w:val="0"/>
          <w:marRight w:val="0"/>
          <w:marTop w:val="0"/>
          <w:marBottom w:val="0"/>
          <w:divBdr>
            <w:top w:val="none" w:sz="0" w:space="0" w:color="auto"/>
            <w:left w:val="none" w:sz="0" w:space="0" w:color="auto"/>
            <w:bottom w:val="none" w:sz="0" w:space="0" w:color="auto"/>
            <w:right w:val="none" w:sz="0" w:space="0" w:color="auto"/>
          </w:divBdr>
          <w:divsChild>
            <w:div w:id="352993877">
              <w:marLeft w:val="0"/>
              <w:marRight w:val="0"/>
              <w:marTop w:val="0"/>
              <w:marBottom w:val="0"/>
              <w:divBdr>
                <w:top w:val="none" w:sz="0" w:space="0" w:color="auto"/>
                <w:left w:val="none" w:sz="0" w:space="0" w:color="auto"/>
                <w:bottom w:val="none" w:sz="0" w:space="0" w:color="auto"/>
                <w:right w:val="none" w:sz="0" w:space="0" w:color="auto"/>
              </w:divBdr>
            </w:div>
          </w:divsChild>
        </w:div>
        <w:div w:id="1557429478">
          <w:marLeft w:val="0"/>
          <w:marRight w:val="0"/>
          <w:marTop w:val="0"/>
          <w:marBottom w:val="0"/>
          <w:divBdr>
            <w:top w:val="none" w:sz="0" w:space="0" w:color="auto"/>
            <w:left w:val="none" w:sz="0" w:space="0" w:color="auto"/>
            <w:bottom w:val="none" w:sz="0" w:space="0" w:color="auto"/>
            <w:right w:val="none" w:sz="0" w:space="0" w:color="auto"/>
          </w:divBdr>
          <w:divsChild>
            <w:div w:id="1085880596">
              <w:marLeft w:val="0"/>
              <w:marRight w:val="0"/>
              <w:marTop w:val="0"/>
              <w:marBottom w:val="0"/>
              <w:divBdr>
                <w:top w:val="none" w:sz="0" w:space="0" w:color="auto"/>
                <w:left w:val="none" w:sz="0" w:space="0" w:color="auto"/>
                <w:bottom w:val="none" w:sz="0" w:space="0" w:color="auto"/>
                <w:right w:val="none" w:sz="0" w:space="0" w:color="auto"/>
              </w:divBdr>
            </w:div>
          </w:divsChild>
        </w:div>
        <w:div w:id="1612125538">
          <w:marLeft w:val="0"/>
          <w:marRight w:val="0"/>
          <w:marTop w:val="0"/>
          <w:marBottom w:val="0"/>
          <w:divBdr>
            <w:top w:val="none" w:sz="0" w:space="0" w:color="auto"/>
            <w:left w:val="none" w:sz="0" w:space="0" w:color="auto"/>
            <w:bottom w:val="none" w:sz="0" w:space="0" w:color="auto"/>
            <w:right w:val="none" w:sz="0" w:space="0" w:color="auto"/>
          </w:divBdr>
          <w:divsChild>
            <w:div w:id="1244099298">
              <w:marLeft w:val="0"/>
              <w:marRight w:val="0"/>
              <w:marTop w:val="0"/>
              <w:marBottom w:val="0"/>
              <w:divBdr>
                <w:top w:val="none" w:sz="0" w:space="0" w:color="auto"/>
                <w:left w:val="none" w:sz="0" w:space="0" w:color="auto"/>
                <w:bottom w:val="none" w:sz="0" w:space="0" w:color="auto"/>
                <w:right w:val="none" w:sz="0" w:space="0" w:color="auto"/>
              </w:divBdr>
            </w:div>
          </w:divsChild>
        </w:div>
        <w:div w:id="1622497670">
          <w:marLeft w:val="0"/>
          <w:marRight w:val="0"/>
          <w:marTop w:val="0"/>
          <w:marBottom w:val="0"/>
          <w:divBdr>
            <w:top w:val="none" w:sz="0" w:space="0" w:color="auto"/>
            <w:left w:val="none" w:sz="0" w:space="0" w:color="auto"/>
            <w:bottom w:val="none" w:sz="0" w:space="0" w:color="auto"/>
            <w:right w:val="none" w:sz="0" w:space="0" w:color="auto"/>
          </w:divBdr>
          <w:divsChild>
            <w:div w:id="1831604144">
              <w:marLeft w:val="0"/>
              <w:marRight w:val="0"/>
              <w:marTop w:val="0"/>
              <w:marBottom w:val="0"/>
              <w:divBdr>
                <w:top w:val="none" w:sz="0" w:space="0" w:color="auto"/>
                <w:left w:val="none" w:sz="0" w:space="0" w:color="auto"/>
                <w:bottom w:val="none" w:sz="0" w:space="0" w:color="auto"/>
                <w:right w:val="none" w:sz="0" w:space="0" w:color="auto"/>
              </w:divBdr>
            </w:div>
          </w:divsChild>
        </w:div>
        <w:div w:id="1663194544">
          <w:marLeft w:val="0"/>
          <w:marRight w:val="0"/>
          <w:marTop w:val="0"/>
          <w:marBottom w:val="0"/>
          <w:divBdr>
            <w:top w:val="none" w:sz="0" w:space="0" w:color="auto"/>
            <w:left w:val="none" w:sz="0" w:space="0" w:color="auto"/>
            <w:bottom w:val="none" w:sz="0" w:space="0" w:color="auto"/>
            <w:right w:val="none" w:sz="0" w:space="0" w:color="auto"/>
          </w:divBdr>
          <w:divsChild>
            <w:div w:id="1201164483">
              <w:marLeft w:val="0"/>
              <w:marRight w:val="0"/>
              <w:marTop w:val="0"/>
              <w:marBottom w:val="0"/>
              <w:divBdr>
                <w:top w:val="none" w:sz="0" w:space="0" w:color="auto"/>
                <w:left w:val="none" w:sz="0" w:space="0" w:color="auto"/>
                <w:bottom w:val="none" w:sz="0" w:space="0" w:color="auto"/>
                <w:right w:val="none" w:sz="0" w:space="0" w:color="auto"/>
              </w:divBdr>
            </w:div>
          </w:divsChild>
        </w:div>
        <w:div w:id="1682853456">
          <w:marLeft w:val="0"/>
          <w:marRight w:val="0"/>
          <w:marTop w:val="0"/>
          <w:marBottom w:val="0"/>
          <w:divBdr>
            <w:top w:val="none" w:sz="0" w:space="0" w:color="auto"/>
            <w:left w:val="none" w:sz="0" w:space="0" w:color="auto"/>
            <w:bottom w:val="none" w:sz="0" w:space="0" w:color="auto"/>
            <w:right w:val="none" w:sz="0" w:space="0" w:color="auto"/>
          </w:divBdr>
          <w:divsChild>
            <w:div w:id="696585436">
              <w:marLeft w:val="0"/>
              <w:marRight w:val="0"/>
              <w:marTop w:val="0"/>
              <w:marBottom w:val="0"/>
              <w:divBdr>
                <w:top w:val="none" w:sz="0" w:space="0" w:color="auto"/>
                <w:left w:val="none" w:sz="0" w:space="0" w:color="auto"/>
                <w:bottom w:val="none" w:sz="0" w:space="0" w:color="auto"/>
                <w:right w:val="none" w:sz="0" w:space="0" w:color="auto"/>
              </w:divBdr>
            </w:div>
          </w:divsChild>
        </w:div>
        <w:div w:id="1721854602">
          <w:marLeft w:val="0"/>
          <w:marRight w:val="0"/>
          <w:marTop w:val="0"/>
          <w:marBottom w:val="0"/>
          <w:divBdr>
            <w:top w:val="none" w:sz="0" w:space="0" w:color="auto"/>
            <w:left w:val="none" w:sz="0" w:space="0" w:color="auto"/>
            <w:bottom w:val="none" w:sz="0" w:space="0" w:color="auto"/>
            <w:right w:val="none" w:sz="0" w:space="0" w:color="auto"/>
          </w:divBdr>
          <w:divsChild>
            <w:div w:id="1299535844">
              <w:marLeft w:val="0"/>
              <w:marRight w:val="0"/>
              <w:marTop w:val="0"/>
              <w:marBottom w:val="0"/>
              <w:divBdr>
                <w:top w:val="none" w:sz="0" w:space="0" w:color="auto"/>
                <w:left w:val="none" w:sz="0" w:space="0" w:color="auto"/>
                <w:bottom w:val="none" w:sz="0" w:space="0" w:color="auto"/>
                <w:right w:val="none" w:sz="0" w:space="0" w:color="auto"/>
              </w:divBdr>
            </w:div>
          </w:divsChild>
        </w:div>
        <w:div w:id="1740786485">
          <w:marLeft w:val="0"/>
          <w:marRight w:val="0"/>
          <w:marTop w:val="0"/>
          <w:marBottom w:val="0"/>
          <w:divBdr>
            <w:top w:val="none" w:sz="0" w:space="0" w:color="auto"/>
            <w:left w:val="none" w:sz="0" w:space="0" w:color="auto"/>
            <w:bottom w:val="none" w:sz="0" w:space="0" w:color="auto"/>
            <w:right w:val="none" w:sz="0" w:space="0" w:color="auto"/>
          </w:divBdr>
          <w:divsChild>
            <w:div w:id="1883401019">
              <w:marLeft w:val="0"/>
              <w:marRight w:val="0"/>
              <w:marTop w:val="0"/>
              <w:marBottom w:val="0"/>
              <w:divBdr>
                <w:top w:val="none" w:sz="0" w:space="0" w:color="auto"/>
                <w:left w:val="none" w:sz="0" w:space="0" w:color="auto"/>
                <w:bottom w:val="none" w:sz="0" w:space="0" w:color="auto"/>
                <w:right w:val="none" w:sz="0" w:space="0" w:color="auto"/>
              </w:divBdr>
            </w:div>
          </w:divsChild>
        </w:div>
        <w:div w:id="1748573972">
          <w:marLeft w:val="0"/>
          <w:marRight w:val="0"/>
          <w:marTop w:val="0"/>
          <w:marBottom w:val="0"/>
          <w:divBdr>
            <w:top w:val="none" w:sz="0" w:space="0" w:color="auto"/>
            <w:left w:val="none" w:sz="0" w:space="0" w:color="auto"/>
            <w:bottom w:val="none" w:sz="0" w:space="0" w:color="auto"/>
            <w:right w:val="none" w:sz="0" w:space="0" w:color="auto"/>
          </w:divBdr>
          <w:divsChild>
            <w:div w:id="647325359">
              <w:marLeft w:val="0"/>
              <w:marRight w:val="0"/>
              <w:marTop w:val="0"/>
              <w:marBottom w:val="0"/>
              <w:divBdr>
                <w:top w:val="none" w:sz="0" w:space="0" w:color="auto"/>
                <w:left w:val="none" w:sz="0" w:space="0" w:color="auto"/>
                <w:bottom w:val="none" w:sz="0" w:space="0" w:color="auto"/>
                <w:right w:val="none" w:sz="0" w:space="0" w:color="auto"/>
              </w:divBdr>
            </w:div>
          </w:divsChild>
        </w:div>
        <w:div w:id="1751077815">
          <w:marLeft w:val="0"/>
          <w:marRight w:val="0"/>
          <w:marTop w:val="0"/>
          <w:marBottom w:val="0"/>
          <w:divBdr>
            <w:top w:val="none" w:sz="0" w:space="0" w:color="auto"/>
            <w:left w:val="none" w:sz="0" w:space="0" w:color="auto"/>
            <w:bottom w:val="none" w:sz="0" w:space="0" w:color="auto"/>
            <w:right w:val="none" w:sz="0" w:space="0" w:color="auto"/>
          </w:divBdr>
          <w:divsChild>
            <w:div w:id="529881167">
              <w:marLeft w:val="0"/>
              <w:marRight w:val="0"/>
              <w:marTop w:val="0"/>
              <w:marBottom w:val="0"/>
              <w:divBdr>
                <w:top w:val="none" w:sz="0" w:space="0" w:color="auto"/>
                <w:left w:val="none" w:sz="0" w:space="0" w:color="auto"/>
                <w:bottom w:val="none" w:sz="0" w:space="0" w:color="auto"/>
                <w:right w:val="none" w:sz="0" w:space="0" w:color="auto"/>
              </w:divBdr>
            </w:div>
            <w:div w:id="541865592">
              <w:marLeft w:val="0"/>
              <w:marRight w:val="0"/>
              <w:marTop w:val="0"/>
              <w:marBottom w:val="0"/>
              <w:divBdr>
                <w:top w:val="none" w:sz="0" w:space="0" w:color="auto"/>
                <w:left w:val="none" w:sz="0" w:space="0" w:color="auto"/>
                <w:bottom w:val="none" w:sz="0" w:space="0" w:color="auto"/>
                <w:right w:val="none" w:sz="0" w:space="0" w:color="auto"/>
              </w:divBdr>
            </w:div>
          </w:divsChild>
        </w:div>
        <w:div w:id="1805536330">
          <w:marLeft w:val="0"/>
          <w:marRight w:val="0"/>
          <w:marTop w:val="0"/>
          <w:marBottom w:val="0"/>
          <w:divBdr>
            <w:top w:val="none" w:sz="0" w:space="0" w:color="auto"/>
            <w:left w:val="none" w:sz="0" w:space="0" w:color="auto"/>
            <w:bottom w:val="none" w:sz="0" w:space="0" w:color="auto"/>
            <w:right w:val="none" w:sz="0" w:space="0" w:color="auto"/>
          </w:divBdr>
          <w:divsChild>
            <w:div w:id="1525898189">
              <w:marLeft w:val="0"/>
              <w:marRight w:val="0"/>
              <w:marTop w:val="0"/>
              <w:marBottom w:val="0"/>
              <w:divBdr>
                <w:top w:val="none" w:sz="0" w:space="0" w:color="auto"/>
                <w:left w:val="none" w:sz="0" w:space="0" w:color="auto"/>
                <w:bottom w:val="none" w:sz="0" w:space="0" w:color="auto"/>
                <w:right w:val="none" w:sz="0" w:space="0" w:color="auto"/>
              </w:divBdr>
            </w:div>
          </w:divsChild>
        </w:div>
        <w:div w:id="1807238762">
          <w:marLeft w:val="0"/>
          <w:marRight w:val="0"/>
          <w:marTop w:val="0"/>
          <w:marBottom w:val="0"/>
          <w:divBdr>
            <w:top w:val="none" w:sz="0" w:space="0" w:color="auto"/>
            <w:left w:val="none" w:sz="0" w:space="0" w:color="auto"/>
            <w:bottom w:val="none" w:sz="0" w:space="0" w:color="auto"/>
            <w:right w:val="none" w:sz="0" w:space="0" w:color="auto"/>
          </w:divBdr>
          <w:divsChild>
            <w:div w:id="773984360">
              <w:marLeft w:val="0"/>
              <w:marRight w:val="0"/>
              <w:marTop w:val="0"/>
              <w:marBottom w:val="0"/>
              <w:divBdr>
                <w:top w:val="none" w:sz="0" w:space="0" w:color="auto"/>
                <w:left w:val="none" w:sz="0" w:space="0" w:color="auto"/>
                <w:bottom w:val="none" w:sz="0" w:space="0" w:color="auto"/>
                <w:right w:val="none" w:sz="0" w:space="0" w:color="auto"/>
              </w:divBdr>
            </w:div>
          </w:divsChild>
        </w:div>
        <w:div w:id="1808818175">
          <w:marLeft w:val="0"/>
          <w:marRight w:val="0"/>
          <w:marTop w:val="0"/>
          <w:marBottom w:val="0"/>
          <w:divBdr>
            <w:top w:val="none" w:sz="0" w:space="0" w:color="auto"/>
            <w:left w:val="none" w:sz="0" w:space="0" w:color="auto"/>
            <w:bottom w:val="none" w:sz="0" w:space="0" w:color="auto"/>
            <w:right w:val="none" w:sz="0" w:space="0" w:color="auto"/>
          </w:divBdr>
          <w:divsChild>
            <w:div w:id="1699626615">
              <w:marLeft w:val="0"/>
              <w:marRight w:val="0"/>
              <w:marTop w:val="0"/>
              <w:marBottom w:val="0"/>
              <w:divBdr>
                <w:top w:val="none" w:sz="0" w:space="0" w:color="auto"/>
                <w:left w:val="none" w:sz="0" w:space="0" w:color="auto"/>
                <w:bottom w:val="none" w:sz="0" w:space="0" w:color="auto"/>
                <w:right w:val="none" w:sz="0" w:space="0" w:color="auto"/>
              </w:divBdr>
            </w:div>
          </w:divsChild>
        </w:div>
        <w:div w:id="1813399167">
          <w:marLeft w:val="0"/>
          <w:marRight w:val="0"/>
          <w:marTop w:val="0"/>
          <w:marBottom w:val="0"/>
          <w:divBdr>
            <w:top w:val="none" w:sz="0" w:space="0" w:color="auto"/>
            <w:left w:val="none" w:sz="0" w:space="0" w:color="auto"/>
            <w:bottom w:val="none" w:sz="0" w:space="0" w:color="auto"/>
            <w:right w:val="none" w:sz="0" w:space="0" w:color="auto"/>
          </w:divBdr>
          <w:divsChild>
            <w:div w:id="608123587">
              <w:marLeft w:val="0"/>
              <w:marRight w:val="0"/>
              <w:marTop w:val="0"/>
              <w:marBottom w:val="0"/>
              <w:divBdr>
                <w:top w:val="none" w:sz="0" w:space="0" w:color="auto"/>
                <w:left w:val="none" w:sz="0" w:space="0" w:color="auto"/>
                <w:bottom w:val="none" w:sz="0" w:space="0" w:color="auto"/>
                <w:right w:val="none" w:sz="0" w:space="0" w:color="auto"/>
              </w:divBdr>
            </w:div>
          </w:divsChild>
        </w:div>
        <w:div w:id="1814131285">
          <w:marLeft w:val="0"/>
          <w:marRight w:val="0"/>
          <w:marTop w:val="0"/>
          <w:marBottom w:val="0"/>
          <w:divBdr>
            <w:top w:val="none" w:sz="0" w:space="0" w:color="auto"/>
            <w:left w:val="none" w:sz="0" w:space="0" w:color="auto"/>
            <w:bottom w:val="none" w:sz="0" w:space="0" w:color="auto"/>
            <w:right w:val="none" w:sz="0" w:space="0" w:color="auto"/>
          </w:divBdr>
          <w:divsChild>
            <w:div w:id="1344431524">
              <w:marLeft w:val="0"/>
              <w:marRight w:val="0"/>
              <w:marTop w:val="0"/>
              <w:marBottom w:val="0"/>
              <w:divBdr>
                <w:top w:val="none" w:sz="0" w:space="0" w:color="auto"/>
                <w:left w:val="none" w:sz="0" w:space="0" w:color="auto"/>
                <w:bottom w:val="none" w:sz="0" w:space="0" w:color="auto"/>
                <w:right w:val="none" w:sz="0" w:space="0" w:color="auto"/>
              </w:divBdr>
            </w:div>
          </w:divsChild>
        </w:div>
        <w:div w:id="1833980557">
          <w:marLeft w:val="0"/>
          <w:marRight w:val="0"/>
          <w:marTop w:val="0"/>
          <w:marBottom w:val="0"/>
          <w:divBdr>
            <w:top w:val="none" w:sz="0" w:space="0" w:color="auto"/>
            <w:left w:val="none" w:sz="0" w:space="0" w:color="auto"/>
            <w:bottom w:val="none" w:sz="0" w:space="0" w:color="auto"/>
            <w:right w:val="none" w:sz="0" w:space="0" w:color="auto"/>
          </w:divBdr>
          <w:divsChild>
            <w:div w:id="608974124">
              <w:marLeft w:val="0"/>
              <w:marRight w:val="0"/>
              <w:marTop w:val="0"/>
              <w:marBottom w:val="0"/>
              <w:divBdr>
                <w:top w:val="none" w:sz="0" w:space="0" w:color="auto"/>
                <w:left w:val="none" w:sz="0" w:space="0" w:color="auto"/>
                <w:bottom w:val="none" w:sz="0" w:space="0" w:color="auto"/>
                <w:right w:val="none" w:sz="0" w:space="0" w:color="auto"/>
              </w:divBdr>
            </w:div>
          </w:divsChild>
        </w:div>
        <w:div w:id="1840845688">
          <w:marLeft w:val="0"/>
          <w:marRight w:val="0"/>
          <w:marTop w:val="0"/>
          <w:marBottom w:val="0"/>
          <w:divBdr>
            <w:top w:val="none" w:sz="0" w:space="0" w:color="auto"/>
            <w:left w:val="none" w:sz="0" w:space="0" w:color="auto"/>
            <w:bottom w:val="none" w:sz="0" w:space="0" w:color="auto"/>
            <w:right w:val="none" w:sz="0" w:space="0" w:color="auto"/>
          </w:divBdr>
          <w:divsChild>
            <w:div w:id="935554702">
              <w:marLeft w:val="0"/>
              <w:marRight w:val="0"/>
              <w:marTop w:val="0"/>
              <w:marBottom w:val="0"/>
              <w:divBdr>
                <w:top w:val="none" w:sz="0" w:space="0" w:color="auto"/>
                <w:left w:val="none" w:sz="0" w:space="0" w:color="auto"/>
                <w:bottom w:val="none" w:sz="0" w:space="0" w:color="auto"/>
                <w:right w:val="none" w:sz="0" w:space="0" w:color="auto"/>
              </w:divBdr>
            </w:div>
          </w:divsChild>
        </w:div>
        <w:div w:id="1897206415">
          <w:marLeft w:val="0"/>
          <w:marRight w:val="0"/>
          <w:marTop w:val="0"/>
          <w:marBottom w:val="0"/>
          <w:divBdr>
            <w:top w:val="none" w:sz="0" w:space="0" w:color="auto"/>
            <w:left w:val="none" w:sz="0" w:space="0" w:color="auto"/>
            <w:bottom w:val="none" w:sz="0" w:space="0" w:color="auto"/>
            <w:right w:val="none" w:sz="0" w:space="0" w:color="auto"/>
          </w:divBdr>
          <w:divsChild>
            <w:div w:id="1819108729">
              <w:marLeft w:val="0"/>
              <w:marRight w:val="0"/>
              <w:marTop w:val="0"/>
              <w:marBottom w:val="0"/>
              <w:divBdr>
                <w:top w:val="none" w:sz="0" w:space="0" w:color="auto"/>
                <w:left w:val="none" w:sz="0" w:space="0" w:color="auto"/>
                <w:bottom w:val="none" w:sz="0" w:space="0" w:color="auto"/>
                <w:right w:val="none" w:sz="0" w:space="0" w:color="auto"/>
              </w:divBdr>
            </w:div>
          </w:divsChild>
        </w:div>
        <w:div w:id="1899055047">
          <w:marLeft w:val="0"/>
          <w:marRight w:val="0"/>
          <w:marTop w:val="0"/>
          <w:marBottom w:val="0"/>
          <w:divBdr>
            <w:top w:val="none" w:sz="0" w:space="0" w:color="auto"/>
            <w:left w:val="none" w:sz="0" w:space="0" w:color="auto"/>
            <w:bottom w:val="none" w:sz="0" w:space="0" w:color="auto"/>
            <w:right w:val="none" w:sz="0" w:space="0" w:color="auto"/>
          </w:divBdr>
          <w:divsChild>
            <w:div w:id="1563834868">
              <w:marLeft w:val="0"/>
              <w:marRight w:val="0"/>
              <w:marTop w:val="0"/>
              <w:marBottom w:val="0"/>
              <w:divBdr>
                <w:top w:val="none" w:sz="0" w:space="0" w:color="auto"/>
                <w:left w:val="none" w:sz="0" w:space="0" w:color="auto"/>
                <w:bottom w:val="none" w:sz="0" w:space="0" w:color="auto"/>
                <w:right w:val="none" w:sz="0" w:space="0" w:color="auto"/>
              </w:divBdr>
            </w:div>
          </w:divsChild>
        </w:div>
        <w:div w:id="1907180392">
          <w:marLeft w:val="0"/>
          <w:marRight w:val="0"/>
          <w:marTop w:val="0"/>
          <w:marBottom w:val="0"/>
          <w:divBdr>
            <w:top w:val="none" w:sz="0" w:space="0" w:color="auto"/>
            <w:left w:val="none" w:sz="0" w:space="0" w:color="auto"/>
            <w:bottom w:val="none" w:sz="0" w:space="0" w:color="auto"/>
            <w:right w:val="none" w:sz="0" w:space="0" w:color="auto"/>
          </w:divBdr>
          <w:divsChild>
            <w:div w:id="534315695">
              <w:marLeft w:val="0"/>
              <w:marRight w:val="0"/>
              <w:marTop w:val="0"/>
              <w:marBottom w:val="0"/>
              <w:divBdr>
                <w:top w:val="none" w:sz="0" w:space="0" w:color="auto"/>
                <w:left w:val="none" w:sz="0" w:space="0" w:color="auto"/>
                <w:bottom w:val="none" w:sz="0" w:space="0" w:color="auto"/>
                <w:right w:val="none" w:sz="0" w:space="0" w:color="auto"/>
              </w:divBdr>
            </w:div>
          </w:divsChild>
        </w:div>
        <w:div w:id="1947349078">
          <w:marLeft w:val="0"/>
          <w:marRight w:val="0"/>
          <w:marTop w:val="0"/>
          <w:marBottom w:val="0"/>
          <w:divBdr>
            <w:top w:val="none" w:sz="0" w:space="0" w:color="auto"/>
            <w:left w:val="none" w:sz="0" w:space="0" w:color="auto"/>
            <w:bottom w:val="none" w:sz="0" w:space="0" w:color="auto"/>
            <w:right w:val="none" w:sz="0" w:space="0" w:color="auto"/>
          </w:divBdr>
          <w:divsChild>
            <w:div w:id="1481341226">
              <w:marLeft w:val="0"/>
              <w:marRight w:val="0"/>
              <w:marTop w:val="0"/>
              <w:marBottom w:val="0"/>
              <w:divBdr>
                <w:top w:val="none" w:sz="0" w:space="0" w:color="auto"/>
                <w:left w:val="none" w:sz="0" w:space="0" w:color="auto"/>
                <w:bottom w:val="none" w:sz="0" w:space="0" w:color="auto"/>
                <w:right w:val="none" w:sz="0" w:space="0" w:color="auto"/>
              </w:divBdr>
            </w:div>
          </w:divsChild>
        </w:div>
        <w:div w:id="1949114518">
          <w:marLeft w:val="0"/>
          <w:marRight w:val="0"/>
          <w:marTop w:val="0"/>
          <w:marBottom w:val="0"/>
          <w:divBdr>
            <w:top w:val="none" w:sz="0" w:space="0" w:color="auto"/>
            <w:left w:val="none" w:sz="0" w:space="0" w:color="auto"/>
            <w:bottom w:val="none" w:sz="0" w:space="0" w:color="auto"/>
            <w:right w:val="none" w:sz="0" w:space="0" w:color="auto"/>
          </w:divBdr>
          <w:divsChild>
            <w:div w:id="1237587459">
              <w:marLeft w:val="0"/>
              <w:marRight w:val="0"/>
              <w:marTop w:val="0"/>
              <w:marBottom w:val="0"/>
              <w:divBdr>
                <w:top w:val="none" w:sz="0" w:space="0" w:color="auto"/>
                <w:left w:val="none" w:sz="0" w:space="0" w:color="auto"/>
                <w:bottom w:val="none" w:sz="0" w:space="0" w:color="auto"/>
                <w:right w:val="none" w:sz="0" w:space="0" w:color="auto"/>
              </w:divBdr>
            </w:div>
          </w:divsChild>
        </w:div>
        <w:div w:id="1961959953">
          <w:marLeft w:val="0"/>
          <w:marRight w:val="0"/>
          <w:marTop w:val="0"/>
          <w:marBottom w:val="0"/>
          <w:divBdr>
            <w:top w:val="none" w:sz="0" w:space="0" w:color="auto"/>
            <w:left w:val="none" w:sz="0" w:space="0" w:color="auto"/>
            <w:bottom w:val="none" w:sz="0" w:space="0" w:color="auto"/>
            <w:right w:val="none" w:sz="0" w:space="0" w:color="auto"/>
          </w:divBdr>
          <w:divsChild>
            <w:div w:id="1429043538">
              <w:marLeft w:val="0"/>
              <w:marRight w:val="0"/>
              <w:marTop w:val="0"/>
              <w:marBottom w:val="0"/>
              <w:divBdr>
                <w:top w:val="none" w:sz="0" w:space="0" w:color="auto"/>
                <w:left w:val="none" w:sz="0" w:space="0" w:color="auto"/>
                <w:bottom w:val="none" w:sz="0" w:space="0" w:color="auto"/>
                <w:right w:val="none" w:sz="0" w:space="0" w:color="auto"/>
              </w:divBdr>
            </w:div>
          </w:divsChild>
        </w:div>
        <w:div w:id="2003578057">
          <w:marLeft w:val="0"/>
          <w:marRight w:val="0"/>
          <w:marTop w:val="0"/>
          <w:marBottom w:val="0"/>
          <w:divBdr>
            <w:top w:val="none" w:sz="0" w:space="0" w:color="auto"/>
            <w:left w:val="none" w:sz="0" w:space="0" w:color="auto"/>
            <w:bottom w:val="none" w:sz="0" w:space="0" w:color="auto"/>
            <w:right w:val="none" w:sz="0" w:space="0" w:color="auto"/>
          </w:divBdr>
          <w:divsChild>
            <w:div w:id="857744116">
              <w:marLeft w:val="0"/>
              <w:marRight w:val="0"/>
              <w:marTop w:val="0"/>
              <w:marBottom w:val="0"/>
              <w:divBdr>
                <w:top w:val="none" w:sz="0" w:space="0" w:color="auto"/>
                <w:left w:val="none" w:sz="0" w:space="0" w:color="auto"/>
                <w:bottom w:val="none" w:sz="0" w:space="0" w:color="auto"/>
                <w:right w:val="none" w:sz="0" w:space="0" w:color="auto"/>
              </w:divBdr>
            </w:div>
          </w:divsChild>
        </w:div>
        <w:div w:id="2024621713">
          <w:marLeft w:val="0"/>
          <w:marRight w:val="0"/>
          <w:marTop w:val="0"/>
          <w:marBottom w:val="0"/>
          <w:divBdr>
            <w:top w:val="none" w:sz="0" w:space="0" w:color="auto"/>
            <w:left w:val="none" w:sz="0" w:space="0" w:color="auto"/>
            <w:bottom w:val="none" w:sz="0" w:space="0" w:color="auto"/>
            <w:right w:val="none" w:sz="0" w:space="0" w:color="auto"/>
          </w:divBdr>
          <w:divsChild>
            <w:div w:id="853806871">
              <w:marLeft w:val="0"/>
              <w:marRight w:val="0"/>
              <w:marTop w:val="0"/>
              <w:marBottom w:val="0"/>
              <w:divBdr>
                <w:top w:val="none" w:sz="0" w:space="0" w:color="auto"/>
                <w:left w:val="none" w:sz="0" w:space="0" w:color="auto"/>
                <w:bottom w:val="none" w:sz="0" w:space="0" w:color="auto"/>
                <w:right w:val="none" w:sz="0" w:space="0" w:color="auto"/>
              </w:divBdr>
            </w:div>
          </w:divsChild>
        </w:div>
        <w:div w:id="2063092991">
          <w:marLeft w:val="0"/>
          <w:marRight w:val="0"/>
          <w:marTop w:val="0"/>
          <w:marBottom w:val="0"/>
          <w:divBdr>
            <w:top w:val="none" w:sz="0" w:space="0" w:color="auto"/>
            <w:left w:val="none" w:sz="0" w:space="0" w:color="auto"/>
            <w:bottom w:val="none" w:sz="0" w:space="0" w:color="auto"/>
            <w:right w:val="none" w:sz="0" w:space="0" w:color="auto"/>
          </w:divBdr>
          <w:divsChild>
            <w:div w:id="426197110">
              <w:marLeft w:val="0"/>
              <w:marRight w:val="0"/>
              <w:marTop w:val="0"/>
              <w:marBottom w:val="0"/>
              <w:divBdr>
                <w:top w:val="none" w:sz="0" w:space="0" w:color="auto"/>
                <w:left w:val="none" w:sz="0" w:space="0" w:color="auto"/>
                <w:bottom w:val="none" w:sz="0" w:space="0" w:color="auto"/>
                <w:right w:val="none" w:sz="0" w:space="0" w:color="auto"/>
              </w:divBdr>
            </w:div>
          </w:divsChild>
        </w:div>
        <w:div w:id="2073261967">
          <w:marLeft w:val="0"/>
          <w:marRight w:val="0"/>
          <w:marTop w:val="0"/>
          <w:marBottom w:val="0"/>
          <w:divBdr>
            <w:top w:val="none" w:sz="0" w:space="0" w:color="auto"/>
            <w:left w:val="none" w:sz="0" w:space="0" w:color="auto"/>
            <w:bottom w:val="none" w:sz="0" w:space="0" w:color="auto"/>
            <w:right w:val="none" w:sz="0" w:space="0" w:color="auto"/>
          </w:divBdr>
          <w:divsChild>
            <w:div w:id="1873878218">
              <w:marLeft w:val="0"/>
              <w:marRight w:val="0"/>
              <w:marTop w:val="0"/>
              <w:marBottom w:val="0"/>
              <w:divBdr>
                <w:top w:val="none" w:sz="0" w:space="0" w:color="auto"/>
                <w:left w:val="none" w:sz="0" w:space="0" w:color="auto"/>
                <w:bottom w:val="none" w:sz="0" w:space="0" w:color="auto"/>
                <w:right w:val="none" w:sz="0" w:space="0" w:color="auto"/>
              </w:divBdr>
            </w:div>
          </w:divsChild>
        </w:div>
        <w:div w:id="2074691632">
          <w:marLeft w:val="0"/>
          <w:marRight w:val="0"/>
          <w:marTop w:val="0"/>
          <w:marBottom w:val="0"/>
          <w:divBdr>
            <w:top w:val="none" w:sz="0" w:space="0" w:color="auto"/>
            <w:left w:val="none" w:sz="0" w:space="0" w:color="auto"/>
            <w:bottom w:val="none" w:sz="0" w:space="0" w:color="auto"/>
            <w:right w:val="none" w:sz="0" w:space="0" w:color="auto"/>
          </w:divBdr>
          <w:divsChild>
            <w:div w:id="288633025">
              <w:marLeft w:val="0"/>
              <w:marRight w:val="0"/>
              <w:marTop w:val="0"/>
              <w:marBottom w:val="0"/>
              <w:divBdr>
                <w:top w:val="none" w:sz="0" w:space="0" w:color="auto"/>
                <w:left w:val="none" w:sz="0" w:space="0" w:color="auto"/>
                <w:bottom w:val="none" w:sz="0" w:space="0" w:color="auto"/>
                <w:right w:val="none" w:sz="0" w:space="0" w:color="auto"/>
              </w:divBdr>
            </w:div>
          </w:divsChild>
        </w:div>
        <w:div w:id="2121992930">
          <w:marLeft w:val="0"/>
          <w:marRight w:val="0"/>
          <w:marTop w:val="0"/>
          <w:marBottom w:val="0"/>
          <w:divBdr>
            <w:top w:val="none" w:sz="0" w:space="0" w:color="auto"/>
            <w:left w:val="none" w:sz="0" w:space="0" w:color="auto"/>
            <w:bottom w:val="none" w:sz="0" w:space="0" w:color="auto"/>
            <w:right w:val="none" w:sz="0" w:space="0" w:color="auto"/>
          </w:divBdr>
          <w:divsChild>
            <w:div w:id="1741709632">
              <w:marLeft w:val="0"/>
              <w:marRight w:val="0"/>
              <w:marTop w:val="0"/>
              <w:marBottom w:val="0"/>
              <w:divBdr>
                <w:top w:val="none" w:sz="0" w:space="0" w:color="auto"/>
                <w:left w:val="none" w:sz="0" w:space="0" w:color="auto"/>
                <w:bottom w:val="none" w:sz="0" w:space="0" w:color="auto"/>
                <w:right w:val="none" w:sz="0" w:space="0" w:color="auto"/>
              </w:divBdr>
            </w:div>
          </w:divsChild>
        </w:div>
        <w:div w:id="2140411232">
          <w:marLeft w:val="0"/>
          <w:marRight w:val="0"/>
          <w:marTop w:val="0"/>
          <w:marBottom w:val="0"/>
          <w:divBdr>
            <w:top w:val="none" w:sz="0" w:space="0" w:color="auto"/>
            <w:left w:val="none" w:sz="0" w:space="0" w:color="auto"/>
            <w:bottom w:val="none" w:sz="0" w:space="0" w:color="auto"/>
            <w:right w:val="none" w:sz="0" w:space="0" w:color="auto"/>
          </w:divBdr>
          <w:divsChild>
            <w:div w:id="2089304522">
              <w:marLeft w:val="0"/>
              <w:marRight w:val="0"/>
              <w:marTop w:val="0"/>
              <w:marBottom w:val="0"/>
              <w:divBdr>
                <w:top w:val="none" w:sz="0" w:space="0" w:color="auto"/>
                <w:left w:val="none" w:sz="0" w:space="0" w:color="auto"/>
                <w:bottom w:val="none" w:sz="0" w:space="0" w:color="auto"/>
                <w:right w:val="none" w:sz="0" w:space="0" w:color="auto"/>
              </w:divBdr>
            </w:div>
          </w:divsChild>
        </w:div>
        <w:div w:id="2140804991">
          <w:marLeft w:val="0"/>
          <w:marRight w:val="0"/>
          <w:marTop w:val="0"/>
          <w:marBottom w:val="0"/>
          <w:divBdr>
            <w:top w:val="none" w:sz="0" w:space="0" w:color="auto"/>
            <w:left w:val="none" w:sz="0" w:space="0" w:color="auto"/>
            <w:bottom w:val="none" w:sz="0" w:space="0" w:color="auto"/>
            <w:right w:val="none" w:sz="0" w:space="0" w:color="auto"/>
          </w:divBdr>
          <w:divsChild>
            <w:div w:id="18993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svgz"/><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8.svgz"/><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3.jpg"/><Relationship Id="rId40" Type="http://schemas.openxmlformats.org/officeDocument/2006/relationships/image" Target="media/image25.svgz"/><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z"/><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image" Target="media/image22.svgz"/><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1.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1.health.gov.au/internet/main/publishing.nsf/Content/novel_coronavirus_2019_ncov_weekly_epidemiology_reports_australia_2020.htm" TargetMode="External"/><Relationship Id="rId52" Type="http://schemas.openxmlformats.org/officeDocument/2006/relationships/image" Target="media/image36.svg"/><Relationship Id="rId60" Type="http://schemas.openxmlformats.org/officeDocument/2006/relationships/hyperlink" Target="https://www.health.gov.au/resources/publications/atagi-statement-on-the-administration-of-seasonal-influenza-vaccines-in-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jpg"/><Relationship Id="rId48" Type="http://schemas.openxmlformats.org/officeDocument/2006/relationships/image" Target="media/image32.svgz"/><Relationship Id="rId56" Type="http://schemas.openxmlformats.org/officeDocument/2006/relationships/image" Target="media/image40.svgz"/><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image" Target="media/image30.svgz"/><Relationship Id="rId59" Type="http://schemas.openxmlformats.org/officeDocument/2006/relationships/hyperlink" Target="https://www.health.gov.au/resources/publications/technical-supplement-australian-respiratory-surveillance-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C8AF0-A71A-44D9-82F2-9DD52878E0DA}">
  <ds:schemaRefs>
    <ds:schemaRef ds:uri="http://schemas.microsoft.com/office/2006/metadata/properties"/>
    <ds:schemaRef ds:uri="http://schemas.microsoft.com/office/infopath/2007/PartnerControls"/>
    <ds:schemaRef ds:uri="084f2b4f-2535-46c8-ae12-341bccf6b9a4"/>
  </ds:schemaRefs>
</ds:datastoreItem>
</file>

<file path=customXml/itemProps2.xml><?xml version="1.0" encoding="utf-8"?>
<ds:datastoreItem xmlns:ds="http://schemas.openxmlformats.org/officeDocument/2006/customXml" ds:itemID="{44FA280B-B136-4CE3-8DE0-54E2BEDCC60A}">
  <ds:schemaRefs>
    <ds:schemaRef ds:uri="http://schemas.microsoft.com/sharepoint/v3/contenttype/forms"/>
  </ds:schemaRefs>
</ds:datastoreItem>
</file>

<file path=customXml/itemProps3.xml><?xml version="1.0" encoding="utf-8"?>
<ds:datastoreItem xmlns:ds="http://schemas.openxmlformats.org/officeDocument/2006/customXml" ds:itemID="{354F16BE-0BA8-49BE-A450-4411A4500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8942</Words>
  <Characters>50974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Australian Respiratory Surveillance Report 9 – 15 July to 28 July 2024</vt:lpstr>
    </vt:vector>
  </TitlesOfParts>
  <Company/>
  <LinksUpToDate>false</LinksUpToDate>
  <CharactersWithSpaces>59797</CharactersWithSpaces>
  <SharedDoc>false</SharedDoc>
  <HLinks>
    <vt:vector size="54" baseType="variant">
      <vt:variant>
        <vt:i4>5308487</vt:i4>
      </vt:variant>
      <vt:variant>
        <vt:i4>24</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9 – 15 July to 28 July 2024</dc:title>
  <dc:subject/>
  <cp:keywords>Respiratory syncytial virus (RSV) infection; Influenza (flu); COVID-19, Coronavirus; Influenza surveillance program</cp:keywords>
  <cp:revision>2</cp:revision>
  <dcterms:created xsi:type="dcterms:W3CDTF">2024-12-10T21:33:00Z</dcterms:created>
  <dcterms:modified xsi:type="dcterms:W3CDTF">2024-12-10T21:33:00Z</dcterms:modified>
</cp:coreProperties>
</file>