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19B6D95C" w14:textId="77777777" w:rsidTr="00800DEB">
        <w:tc>
          <w:tcPr>
            <w:tcW w:w="2547" w:type="dxa"/>
          </w:tcPr>
          <w:p w14:paraId="470EFF54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57D93A0E" wp14:editId="4395206C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25661980" w14:textId="72848F20" w:rsidR="00800DEB" w:rsidRDefault="00850B1F" w:rsidP="00800DEB">
            <w:pPr>
              <w:pStyle w:val="Title"/>
            </w:pPr>
            <w:r w:rsidRPr="00850B1F">
              <w:t>Botulism</w:t>
            </w:r>
          </w:p>
          <w:p w14:paraId="58ED1120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16BD6502" w14:textId="541411C2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850B1F">
        <w:t>b</w:t>
      </w:r>
      <w:r w:rsidR="00850B1F" w:rsidRPr="00850B1F">
        <w:t>otulism</w:t>
      </w:r>
      <w:r>
        <w:t>,</w:t>
      </w:r>
      <w:r w:rsidRPr="00872414">
        <w:t xml:space="preserve"> 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277"/>
        <w:gridCol w:w="2746"/>
        <w:gridCol w:w="2104"/>
        <w:gridCol w:w="2943"/>
      </w:tblGrid>
      <w:tr w:rsidR="00800DEB" w:rsidRPr="00872414" w14:paraId="20F65414" w14:textId="77777777" w:rsidTr="00650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D8B53F" w14:textId="77777777" w:rsidR="00800DEB" w:rsidRPr="00872414" w:rsidRDefault="00800DEB" w:rsidP="00650561">
            <w:pPr>
              <w:pStyle w:val="TableHeader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hideMark/>
          </w:tcPr>
          <w:p w14:paraId="66AE2294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hideMark/>
          </w:tcPr>
          <w:p w14:paraId="417168CC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hideMark/>
          </w:tcPr>
          <w:p w14:paraId="36CE3C91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800DEB" w:rsidRPr="00872414" w14:paraId="7BBCDCBC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044F18" w14:textId="7EB24BEC" w:rsidR="00800DEB" w:rsidRPr="00872414" w:rsidRDefault="00850B1F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</w:tcPr>
          <w:p w14:paraId="315B1EAA" w14:textId="3FF97F32" w:rsidR="00800DEB" w:rsidRPr="00872414" w:rsidRDefault="00850B1F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Initial case definition</w:t>
            </w:r>
          </w:p>
        </w:tc>
        <w:tc>
          <w:tcPr>
            <w:tcW w:w="0" w:type="auto"/>
          </w:tcPr>
          <w:p w14:paraId="0FB43C86" w14:textId="76C4871F" w:rsidR="00800DEB" w:rsidRPr="00872414" w:rsidRDefault="00850B1F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12 March 2004</w:t>
            </w:r>
          </w:p>
        </w:tc>
        <w:tc>
          <w:tcPr>
            <w:tcW w:w="0" w:type="auto"/>
          </w:tcPr>
          <w:p w14:paraId="10828F37" w14:textId="15381F46" w:rsidR="00800DEB" w:rsidRPr="00872414" w:rsidRDefault="00850B1F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12 March 2004</w:t>
            </w:r>
          </w:p>
        </w:tc>
      </w:tr>
    </w:tbl>
    <w:p w14:paraId="100A5B2D" w14:textId="77777777" w:rsidR="00850B1F" w:rsidRPr="00850B1F" w:rsidRDefault="00850B1F" w:rsidP="00850B1F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850B1F">
        <w:rPr>
          <w:rFonts w:ascii="Open Sans" w:hAnsi="Open Sans" w:cs="Open Sans"/>
          <w:color w:val="000000"/>
          <w:sz w:val="27"/>
          <w:szCs w:val="27"/>
          <w:lang w:eastAsia="en-AU"/>
        </w:rPr>
        <w:t>Reporting</w:t>
      </w:r>
    </w:p>
    <w:p w14:paraId="798BEB34" w14:textId="6CD97A46" w:rsidR="00850B1F" w:rsidRPr="00850B1F" w:rsidRDefault="00850B1F" w:rsidP="00850B1F">
      <w:pPr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850B1F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Only </w:t>
      </w:r>
      <w:r w:rsidRPr="00850B1F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confirmed cases</w:t>
      </w:r>
      <w:r w:rsidRPr="00850B1F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should be notified.</w:t>
      </w:r>
      <w:r w:rsidRPr="00850B1F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850B1F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850B1F">
        <w:rPr>
          <w:rFonts w:ascii="Open Sans" w:hAnsi="Open Sans" w:cs="Open Sans"/>
          <w:color w:val="000000"/>
          <w:sz w:val="27"/>
          <w:szCs w:val="27"/>
          <w:lang w:eastAsia="en-AU"/>
        </w:rPr>
        <w:t>Confirmed case</w:t>
      </w:r>
    </w:p>
    <w:p w14:paraId="07CB303E" w14:textId="77777777" w:rsidR="00850B1F" w:rsidRPr="00850B1F" w:rsidRDefault="00850B1F" w:rsidP="00850B1F">
      <w:pPr>
        <w:rPr>
          <w:rFonts w:ascii="Times New Roman" w:hAnsi="Times New Roman"/>
          <w:sz w:val="24"/>
          <w:lang w:eastAsia="en-AU"/>
        </w:rPr>
      </w:pPr>
      <w:r w:rsidRPr="00850B1F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A confirmed case requires </w:t>
      </w:r>
      <w:r w:rsidRPr="00850B1F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laboratory definitive evidence</w:t>
      </w:r>
      <w:r w:rsidRPr="00850B1F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AND </w:t>
      </w:r>
      <w:r w:rsidRPr="00850B1F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clinical evidence.</w:t>
      </w:r>
    </w:p>
    <w:p w14:paraId="190661DD" w14:textId="77777777" w:rsidR="00850B1F" w:rsidRPr="00850B1F" w:rsidRDefault="00850B1F" w:rsidP="00850B1F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850B1F">
        <w:rPr>
          <w:rFonts w:ascii="Open Sans" w:hAnsi="Open Sans" w:cs="Open Sans"/>
          <w:color w:val="000000"/>
          <w:sz w:val="27"/>
          <w:szCs w:val="27"/>
          <w:lang w:eastAsia="en-AU"/>
        </w:rPr>
        <w:t>Laboratory definitive evidence</w:t>
      </w:r>
    </w:p>
    <w:p w14:paraId="24E51CA0" w14:textId="77777777" w:rsidR="00850B1F" w:rsidRPr="00850B1F" w:rsidRDefault="00850B1F" w:rsidP="00850B1F">
      <w:pPr>
        <w:rPr>
          <w:rFonts w:ascii="Times New Roman" w:hAnsi="Times New Roman"/>
          <w:sz w:val="24"/>
          <w:lang w:eastAsia="en-AU"/>
        </w:rPr>
      </w:pPr>
      <w:r w:rsidRPr="00850B1F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1. Isolation of </w:t>
      </w:r>
      <w:r w:rsidRPr="00850B1F">
        <w:rPr>
          <w:rFonts w:ascii="Helvetica" w:hAnsi="Helvetica" w:cs="Helvetica"/>
          <w:i/>
          <w:iCs/>
          <w:color w:val="222222"/>
          <w:sz w:val="20"/>
          <w:szCs w:val="20"/>
          <w:shd w:val="clear" w:color="auto" w:fill="FFFFFF"/>
          <w:lang w:eastAsia="en-AU"/>
        </w:rPr>
        <w:t>Clostridium botulinum</w:t>
      </w:r>
    </w:p>
    <w:p w14:paraId="0487E897" w14:textId="77777777" w:rsidR="00850B1F" w:rsidRPr="00850B1F" w:rsidRDefault="00850B1F" w:rsidP="00850B1F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850B1F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6CF2A0C0" w14:textId="77777777" w:rsidR="00850B1F" w:rsidRPr="00850B1F" w:rsidRDefault="00850B1F" w:rsidP="00850B1F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850B1F">
        <w:rPr>
          <w:rFonts w:ascii="Helvetica" w:hAnsi="Helvetica" w:cs="Helvetica"/>
          <w:color w:val="222222"/>
          <w:sz w:val="20"/>
          <w:szCs w:val="20"/>
          <w:lang w:eastAsia="en-AU"/>
        </w:rPr>
        <w:t>2. Detection of </w:t>
      </w:r>
      <w:r w:rsidRPr="00850B1F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Clostridium botulinum</w:t>
      </w:r>
      <w:r w:rsidRPr="00850B1F">
        <w:rPr>
          <w:rFonts w:ascii="Helvetica" w:hAnsi="Helvetica" w:cs="Helvetica"/>
          <w:color w:val="222222"/>
          <w:sz w:val="20"/>
          <w:szCs w:val="20"/>
          <w:lang w:eastAsia="en-AU"/>
        </w:rPr>
        <w:t> toxin in blood or faeces.</w:t>
      </w:r>
    </w:p>
    <w:p w14:paraId="330DD2EC" w14:textId="77777777" w:rsidR="00850B1F" w:rsidRPr="00850B1F" w:rsidRDefault="00850B1F" w:rsidP="00850B1F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850B1F">
        <w:rPr>
          <w:rFonts w:ascii="Open Sans" w:hAnsi="Open Sans" w:cs="Open Sans"/>
          <w:color w:val="000000"/>
          <w:sz w:val="27"/>
          <w:szCs w:val="27"/>
          <w:lang w:eastAsia="en-AU"/>
        </w:rPr>
        <w:t>Clinical evidence</w:t>
      </w:r>
    </w:p>
    <w:p w14:paraId="65FA8BFC" w14:textId="7114728D" w:rsidR="009E0B84" w:rsidRPr="00850B1F" w:rsidRDefault="00850B1F" w:rsidP="00850B1F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850B1F">
        <w:rPr>
          <w:rFonts w:ascii="Helvetica" w:hAnsi="Helvetica" w:cs="Helvetica"/>
          <w:color w:val="222222"/>
          <w:sz w:val="20"/>
          <w:szCs w:val="20"/>
          <w:lang w:eastAsia="en-AU"/>
        </w:rPr>
        <w:t>A clinically compatible illness (</w:t>
      </w:r>
      <w:proofErr w:type="gramStart"/>
      <w:r w:rsidRPr="00850B1F">
        <w:rPr>
          <w:rFonts w:ascii="Helvetica" w:hAnsi="Helvetica" w:cs="Helvetica"/>
          <w:color w:val="222222"/>
          <w:sz w:val="20"/>
          <w:szCs w:val="20"/>
          <w:lang w:eastAsia="en-AU"/>
        </w:rPr>
        <w:t>e.g.</w:t>
      </w:r>
      <w:proofErr w:type="gramEnd"/>
      <w:r w:rsidRPr="00850B1F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diplopia, blurred vision, muscle weakness, paralysis, death).</w:t>
      </w:r>
    </w:p>
    <w:sectPr w:rsidR="009E0B84" w:rsidRPr="00850B1F" w:rsidSect="00022629">
      <w:footerReference w:type="default" r:id="rId12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19459D" w14:textId="77777777" w:rsidR="00850B1F" w:rsidRDefault="00850B1F" w:rsidP="006B56BB">
      <w:r>
        <w:separator/>
      </w:r>
    </w:p>
    <w:p w14:paraId="2390661D" w14:textId="77777777" w:rsidR="00850B1F" w:rsidRDefault="00850B1F"/>
  </w:endnote>
  <w:endnote w:type="continuationSeparator" w:id="0">
    <w:p w14:paraId="1B4164EB" w14:textId="77777777" w:rsidR="00850B1F" w:rsidRDefault="00850B1F" w:rsidP="006B56BB">
      <w:r>
        <w:continuationSeparator/>
      </w:r>
    </w:p>
    <w:p w14:paraId="36C94524" w14:textId="77777777" w:rsidR="00850B1F" w:rsidRDefault="00850B1F"/>
  </w:endnote>
  <w:endnote w:type="continuationNotice" w:id="1">
    <w:p w14:paraId="3D3ED912" w14:textId="77777777" w:rsidR="00850B1F" w:rsidRDefault="00850B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5097DB" w14:textId="2AF316C9" w:rsidR="00CD407A" w:rsidRDefault="00850B1F">
            <w:pPr>
              <w:pStyle w:val="Footer"/>
              <w:jc w:val="right"/>
            </w:pPr>
            <w:r w:rsidRPr="00850B1F">
              <w:t xml:space="preserve">Botulism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1DE740A" w14:textId="77777777" w:rsidR="00CD407A" w:rsidRDefault="00CD4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09BA4E" w14:textId="77777777" w:rsidR="00850B1F" w:rsidRDefault="00850B1F" w:rsidP="006B56BB">
      <w:r>
        <w:separator/>
      </w:r>
    </w:p>
    <w:p w14:paraId="4F3D31D4" w14:textId="77777777" w:rsidR="00850B1F" w:rsidRDefault="00850B1F"/>
  </w:footnote>
  <w:footnote w:type="continuationSeparator" w:id="0">
    <w:p w14:paraId="0EAD6F9C" w14:textId="77777777" w:rsidR="00850B1F" w:rsidRDefault="00850B1F" w:rsidP="006B56BB">
      <w:r>
        <w:continuationSeparator/>
      </w:r>
    </w:p>
    <w:p w14:paraId="2E9F7B3B" w14:textId="77777777" w:rsidR="00850B1F" w:rsidRDefault="00850B1F"/>
  </w:footnote>
  <w:footnote w:type="continuationNotice" w:id="1">
    <w:p w14:paraId="45347268" w14:textId="77777777" w:rsidR="00850B1F" w:rsidRDefault="00850B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3"/>
  </w:num>
  <w:num w:numId="8">
    <w:abstractNumId w:val="15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17"/>
  </w:num>
  <w:num w:numId="17">
    <w:abstractNumId w:val="10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B1F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0B1F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2E3E54"/>
  <w15:docId w15:val="{5F1E483A-1CF0-442C-A63F-64879F3E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uiPriority w:val="20"/>
    <w:qFormat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3Char">
    <w:name w:val="Heading 3 Char"/>
    <w:basedOn w:val="DefaultParagraphFont"/>
    <w:link w:val="Heading3"/>
    <w:uiPriority w:val="9"/>
    <w:rsid w:val="00850B1F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50B1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dfsuserenv\Users\User_01\ARNOMA\Documents\Surveillance%20Case%20Definitions\CDNA%20surveillance%20case%20defin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E707846F-E50D-4D21-9D4A-54CEA43E19A5}"/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infopath/2007/PartnerControls"/>
    <ds:schemaRef ds:uri="236487dd-ec90-4f99-8970-1318e5f29791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dcf7b372-aaaa-46d8-9da6-ade9aab953df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CDNA surveillance case definition template.dotx</Template>
  <TotalTime>3</TotalTime>
  <Pages>1</Pages>
  <Words>115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Surveillance case definition</vt:lpstr>
    </vt:vector>
  </TitlesOfParts>
  <Company>Australian Centre for Disease Control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Botulism – Surveillance case definition</dc:title>
  <dc:creator>Communicable Diseases Network Australia</dc:creator>
  <cp:keywords>Communicable diseases</cp:keywords>
  <dcterms:created xsi:type="dcterms:W3CDTF">2022-06-07T01:04:00Z</dcterms:created>
  <dcterms:modified xsi:type="dcterms:W3CDTF">2022-06-07T01:07:00Z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