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61FD9CEA" w:rsidRDefault="00E14E86" w14:paraId="55D83F22" w14:textId="7C55230D">
      <w:pPr>
        <w:pStyle w:val="Normal"/>
        <w:rPr>
          <w:b w:val="1"/>
          <w:bCs w:val="1"/>
          <w:color w:val="auto"/>
          <w:spacing w:val="0"/>
          <w:kern w:val="28"/>
          <w:sz w:val="48"/>
          <w:szCs w:val="48"/>
        </w:rPr>
      </w:pPr>
      <w:r w:rsidRPr="61FD9CEA" w:rsidR="00E14E86">
        <w:rPr>
          <w:b w:val="1"/>
          <w:bCs w:val="1"/>
          <w:i w:val="1"/>
          <w:iCs w:val="1"/>
          <w:color w:val="auto"/>
          <w:spacing w:val="0"/>
          <w:kern w:val="28"/>
          <w:sz w:val="48"/>
          <w:szCs w:val="48"/>
        </w:rPr>
        <w:t>Clostridium perfringens</w:t>
      </w:r>
      <w:r w:rsidRPr="61FD9CEA" w:rsidR="00E14E86">
        <w:rPr>
          <w:b w:val="1"/>
          <w:bCs w:val="1"/>
          <w:color w:val="auto"/>
          <w:spacing w:val="0"/>
          <w:kern w:val="28"/>
          <w:sz w:val="48"/>
          <w:szCs w:val="48"/>
        </w:rPr>
        <w:t xml:space="preserve"> enteritis (</w:t>
      </w:r>
      <w:r w:rsidRPr="61FD9CEA" w:rsidR="00E14E86">
        <w:rPr>
          <w:b w:val="1"/>
          <w:bCs w:val="1"/>
          <w:i w:val="1"/>
          <w:iCs w:val="1"/>
          <w:color w:val="auto"/>
          <w:sz w:val="48"/>
          <w:szCs w:val="48"/>
        </w:rPr>
        <w:t>Clostridium perfringens</w:t>
      </w:r>
      <w:r w:rsidRPr="61FD9CEA" w:rsidR="00E14E86">
        <w:rPr>
          <w:b w:val="1"/>
          <w:bCs w:val="1"/>
          <w:i w:val="0"/>
          <w:iCs w:val="0"/>
          <w:color w:val="auto"/>
          <w:sz w:val="48"/>
          <w:szCs w:val="48"/>
        </w:rPr>
        <w:t>)</w:t>
      </w:r>
    </w:p>
    <w:p w:rsidR="00177AD2" w:rsidP="009E0B84" w:rsidRDefault="009E0B84" w14:paraId="63FAE440" w14:textId="77777777">
      <w:pPr>
        <w:pStyle w:val="Subtitle"/>
      </w:pPr>
      <w:r>
        <w:t>Laboratory case definition</w:t>
      </w:r>
    </w:p>
    <w:p w:rsidR="009E0B84" w:rsidP="009E0B84" w:rsidRDefault="009E0B84" w14:paraId="2B13507B" w14:textId="59431816">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Pr="1E056E2D" w:rsidR="00E14E86">
        <w:rPr>
          <w:i w:val="1"/>
          <w:iCs w:val="1"/>
        </w:rPr>
        <w:t>c</w:t>
      </w:r>
      <w:r w:rsidRPr="1E056E2D" w:rsidR="00E14E86">
        <w:rPr>
          <w:i w:val="1"/>
          <w:iCs w:val="1"/>
        </w:rPr>
        <w:t>lostridium perfringens</w:t>
      </w:r>
      <w:r w:rsidR="00E14E86">
        <w:rPr/>
        <w:t>.</w:t>
      </w:r>
    </w:p>
    <w:p w:rsidR="00AA26D0" w:rsidP="009E0B84" w:rsidRDefault="00AA26D0" w14:paraId="1F03415F" w14:textId="1AD14F9B">
      <w:pPr>
        <w:spacing w:after="120"/>
        <w:rPr>
          <w:b/>
          <w:bCs/>
        </w:rPr>
      </w:pPr>
      <w:r>
        <w:rPr>
          <w:b/>
          <w:bCs/>
        </w:rPr>
        <w:t>Version:</w:t>
      </w:r>
      <w:r>
        <w:rPr>
          <w:b/>
          <w:bCs/>
        </w:rPr>
        <w:tab/>
      </w:r>
      <w:r>
        <w:rPr>
          <w:b/>
          <w:bCs/>
        </w:rPr>
        <w:tab/>
      </w:r>
      <w:r w:rsidR="00E14E86">
        <w:t>1</w:t>
      </w:r>
      <w:r w:rsidRPr="00AA26D0">
        <w:t>.0</w:t>
      </w:r>
    </w:p>
    <w:p w:rsidRPr="009E0B84" w:rsidR="009E0B84" w:rsidP="009E0B84" w:rsidRDefault="009E0B84" w14:paraId="5AEFA650" w14:textId="77777777">
      <w:pPr>
        <w:spacing w:after="120"/>
      </w:pPr>
      <w:r w:rsidRPr="009E0B84">
        <w:rPr>
          <w:b/>
          <w:bCs/>
        </w:rPr>
        <w:t>Authorisation:</w:t>
      </w:r>
      <w:r w:rsidRPr="009E0B84">
        <w:t> </w:t>
      </w:r>
      <w:r w:rsidRPr="009E0B84">
        <w:tab/>
      </w:r>
      <w:r w:rsidRPr="009E0B84">
        <w:t>PHLN</w:t>
      </w:r>
    </w:p>
    <w:p w:rsidR="00E14E86" w:rsidP="009E0B84" w:rsidRDefault="009E0B84" w14:paraId="0369BC6C" w14:textId="77777777">
      <w:pPr>
        <w:pBdr>
          <w:bottom w:val="single" w:color="auto" w:sz="6" w:space="1"/>
        </w:pBdr>
      </w:pPr>
      <w:r w:rsidRPr="009E0B84">
        <w:rPr>
          <w:b/>
          <w:bCs/>
        </w:rPr>
        <w:t>Consensus date:</w:t>
      </w:r>
      <w:r w:rsidRPr="009E0B84">
        <w:t> </w:t>
      </w:r>
      <w:r w:rsidRPr="009E0B84">
        <w:tab/>
      </w:r>
      <w:r w:rsidR="00E14E86">
        <w:t>April</w:t>
      </w:r>
      <w:r w:rsidRPr="009E0B84">
        <w:t xml:space="preserve"> </w:t>
      </w:r>
      <w:r w:rsidR="00E14E86">
        <w:t>2016</w:t>
      </w:r>
    </w:p>
    <w:p w:rsidR="00E14E86" w:rsidP="009E0B84" w:rsidRDefault="00E14E86" w14:paraId="4A2DD573" w14:textId="0A6E1CA8">
      <w:pPr>
        <w:pBdr>
          <w:bottom w:val="single" w:color="auto" w:sz="6" w:space="1"/>
        </w:pBdr>
      </w:pPr>
    </w:p>
    <w:p w:rsidRPr="00E14E86" w:rsidR="00E14E86" w:rsidP="00E14E86" w:rsidRDefault="00E14E86" w14:paraId="13C49951" w14:textId="0A6E1CA8">
      <w:pPr>
        <w:shd w:val="clear" w:color="auto" w:fill="FFFFFF"/>
        <w:spacing w:before="240" w:after="120" w:line="276" w:lineRule="auto"/>
        <w:outlineLvl w:val="1"/>
        <w:rPr>
          <w:rFonts w:ascii="Open Sans" w:hAnsi="Open Sans" w:cs="Open Sans"/>
          <w:color w:val="000000"/>
          <w:sz w:val="36"/>
          <w:szCs w:val="36"/>
          <w:lang w:eastAsia="en-AU"/>
        </w:rPr>
      </w:pPr>
      <w:r w:rsidRPr="00E14E86">
        <w:rPr>
          <w:rFonts w:ascii="Open Sans" w:hAnsi="Open Sans" w:cs="Open Sans"/>
          <w:color w:val="000000"/>
          <w:sz w:val="36"/>
          <w:szCs w:val="36"/>
          <w:lang w:eastAsia="en-AU"/>
        </w:rPr>
        <w:t>1 PHLN Summary Laboratory Definition</w:t>
      </w:r>
    </w:p>
    <w:p w:rsidRPr="00E14E86" w:rsidR="00E14E86" w:rsidP="00E14E86" w:rsidRDefault="00E14E86" w14:paraId="5B62775D" w14:textId="77777777">
      <w:pPr>
        <w:shd w:val="clear" w:color="auto" w:fill="FFFFFF"/>
        <w:spacing w:before="240" w:after="120" w:line="276" w:lineRule="auto"/>
        <w:outlineLvl w:val="2"/>
        <w:rPr>
          <w:rFonts w:ascii="Open Sans" w:hAnsi="Open Sans" w:cs="Open Sans"/>
          <w:color w:val="000000"/>
          <w:sz w:val="27"/>
          <w:szCs w:val="27"/>
          <w:lang w:eastAsia="en-AU"/>
        </w:rPr>
      </w:pPr>
      <w:r w:rsidRPr="00E14E86">
        <w:rPr>
          <w:rFonts w:ascii="Open Sans" w:hAnsi="Open Sans" w:cs="Open Sans"/>
          <w:color w:val="000000"/>
          <w:sz w:val="27"/>
          <w:szCs w:val="27"/>
          <w:lang w:eastAsia="en-AU"/>
        </w:rPr>
        <w:t>1.1 Condition:</w:t>
      </w:r>
    </w:p>
    <w:p w:rsidRPr="00E14E86" w:rsidR="00E14E86" w:rsidP="00E14E86" w:rsidRDefault="00E14E86" w14:paraId="6B8A1BC6"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i/>
          <w:iCs/>
          <w:color w:val="222222"/>
          <w:sz w:val="20"/>
          <w:szCs w:val="20"/>
          <w:lang w:eastAsia="en-AU"/>
        </w:rPr>
        <w:t>Clostridium perfringens enteritis</w:t>
      </w:r>
    </w:p>
    <w:p w:rsidRPr="00E14E86" w:rsidR="00E14E86" w:rsidP="00E14E86" w:rsidRDefault="00E14E86" w14:paraId="2C5877D6"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1.1.1 Definitive Criteria</w:t>
      </w:r>
    </w:p>
    <w:p w:rsidRPr="00E14E86" w:rsidR="00E14E86" w:rsidP="00E14E86" w:rsidRDefault="00E14E86" w14:paraId="58FA1ECA"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Detection of &gt;106 </w:t>
      </w:r>
      <w:r w:rsidRPr="00E14E86">
        <w:rPr>
          <w:rFonts w:ascii="Helvetica" w:hAnsi="Helvetica" w:cs="Helvetica"/>
          <w:i/>
          <w:iCs/>
          <w:color w:val="222222"/>
          <w:sz w:val="20"/>
          <w:szCs w:val="20"/>
          <w:lang w:eastAsia="en-AU"/>
        </w:rPr>
        <w:t>Clostridium perfringens</w:t>
      </w:r>
      <w:r w:rsidRPr="00E14E86">
        <w:rPr>
          <w:rFonts w:ascii="Helvetica" w:hAnsi="Helvetica" w:cs="Helvetica"/>
          <w:color w:val="222222"/>
          <w:sz w:val="20"/>
          <w:szCs w:val="20"/>
          <w:lang w:eastAsia="en-AU"/>
        </w:rPr>
        <w:t>/gram of faeces in a faecal spore count from patients with an epidemiologically consistent picture of gastroenteritis.</w:t>
      </w:r>
    </w:p>
    <w:p w:rsidRPr="00E14E86" w:rsidR="00E14E86" w:rsidP="00E14E86" w:rsidRDefault="00E14E86" w14:paraId="0E7C0141"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Detection of </w:t>
      </w:r>
      <w:r w:rsidRPr="00E14E86">
        <w:rPr>
          <w:rFonts w:ascii="Helvetica" w:hAnsi="Helvetica" w:cs="Helvetica"/>
          <w:i/>
          <w:iCs/>
          <w:color w:val="222222"/>
          <w:sz w:val="20"/>
          <w:szCs w:val="20"/>
          <w:lang w:eastAsia="en-AU"/>
        </w:rPr>
        <w:t>Clostridium perfringens </w:t>
      </w:r>
      <w:r w:rsidRPr="00E14E86">
        <w:rPr>
          <w:rFonts w:ascii="Helvetica" w:hAnsi="Helvetica" w:cs="Helvetica"/>
          <w:color w:val="222222"/>
          <w:sz w:val="20"/>
          <w:szCs w:val="20"/>
          <w:lang w:eastAsia="en-AU"/>
        </w:rPr>
        <w:t>enterotoxin and/or detection of the </w:t>
      </w:r>
      <w:proofErr w:type="spellStart"/>
      <w:r w:rsidRPr="00E14E86">
        <w:rPr>
          <w:rFonts w:ascii="Helvetica" w:hAnsi="Helvetica" w:cs="Helvetica"/>
          <w:i/>
          <w:iCs/>
          <w:color w:val="222222"/>
          <w:sz w:val="20"/>
          <w:szCs w:val="20"/>
          <w:lang w:eastAsia="en-AU"/>
        </w:rPr>
        <w:t>cpe</w:t>
      </w:r>
      <w:proofErr w:type="spellEnd"/>
      <w:r w:rsidRPr="00E14E86">
        <w:rPr>
          <w:rFonts w:ascii="Helvetica" w:hAnsi="Helvetica" w:cs="Helvetica"/>
          <w:color w:val="222222"/>
          <w:sz w:val="20"/>
          <w:szCs w:val="20"/>
          <w:lang w:eastAsia="en-AU"/>
        </w:rPr>
        <w:t> gene from the stools of patients with an epidemiologically consistent picture of gastroenteritis.</w:t>
      </w:r>
    </w:p>
    <w:p w:rsidRPr="00E14E86" w:rsidR="00E14E86" w:rsidP="00E14E86" w:rsidRDefault="00E14E86" w14:paraId="4648D43C"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Detection of &gt;106 </w:t>
      </w:r>
      <w:r w:rsidRPr="00E14E86">
        <w:rPr>
          <w:rFonts w:ascii="Helvetica" w:hAnsi="Helvetica" w:cs="Helvetica"/>
          <w:i/>
          <w:iCs/>
          <w:color w:val="222222"/>
          <w:sz w:val="20"/>
          <w:szCs w:val="20"/>
          <w:lang w:eastAsia="en-AU"/>
        </w:rPr>
        <w:t>Clostridium perfringens</w:t>
      </w:r>
      <w:r w:rsidRPr="00E14E86">
        <w:rPr>
          <w:rFonts w:ascii="Helvetica" w:hAnsi="Helvetica" w:cs="Helvetica"/>
          <w:color w:val="222222"/>
          <w:sz w:val="20"/>
          <w:szCs w:val="20"/>
          <w:lang w:eastAsia="en-AU"/>
        </w:rPr>
        <w:t> per gram of food in epidemiologically implicated food samples.</w:t>
      </w:r>
    </w:p>
    <w:p w:rsidRPr="00E14E86" w:rsidR="00E14E86" w:rsidP="00E14E86" w:rsidRDefault="00E14E86" w14:paraId="7302CF6B"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1.1.2 Suggestive Criteria</w:t>
      </w:r>
    </w:p>
    <w:p w:rsidRPr="00E14E86" w:rsidR="00E14E86" w:rsidP="00E14E86" w:rsidRDefault="00E14E86" w14:paraId="4DDC42F7" w14:textId="77777777">
      <w:pPr>
        <w:numPr>
          <w:ilvl w:val="0"/>
          <w:numId w:val="21"/>
        </w:numPr>
        <w:shd w:val="clear" w:color="auto" w:fill="FFFFFF"/>
        <w:spacing w:after="9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A cluster of cases with diarrhoea and cramps associated with an epidemiologically consistent picture of gastroenteritis.</w:t>
      </w:r>
    </w:p>
    <w:p w:rsidRPr="00E14E86" w:rsidR="00E14E86" w:rsidP="00E14E86" w:rsidRDefault="00E14E86" w14:paraId="1601EAC1"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1.1.3 Special Considerations / Guide for Use</w:t>
      </w:r>
    </w:p>
    <w:p w:rsidRPr="00E14E86" w:rsidR="00E14E86" w:rsidP="00E14E86" w:rsidRDefault="00E14E86" w14:paraId="6297AC9A" w14:textId="77777777">
      <w:pPr>
        <w:numPr>
          <w:ilvl w:val="0"/>
          <w:numId w:val="22"/>
        </w:numPr>
        <w:shd w:val="clear" w:color="auto" w:fill="FFFFFF"/>
        <w:spacing w:after="9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 xml:space="preserve">Faecal spores </w:t>
      </w:r>
      <w:proofErr w:type="gramStart"/>
      <w:r w:rsidRPr="00E14E86">
        <w:rPr>
          <w:rFonts w:ascii="Helvetica" w:hAnsi="Helvetica" w:cs="Helvetica"/>
          <w:color w:val="222222"/>
          <w:sz w:val="20"/>
          <w:szCs w:val="20"/>
          <w:lang w:eastAsia="en-AU"/>
        </w:rPr>
        <w:t>counts</w:t>
      </w:r>
      <w:proofErr w:type="gramEnd"/>
      <w:r w:rsidRPr="00E14E86">
        <w:rPr>
          <w:rFonts w:ascii="Helvetica" w:hAnsi="Helvetica" w:cs="Helvetica"/>
          <w:color w:val="222222"/>
          <w:sz w:val="20"/>
          <w:szCs w:val="20"/>
          <w:lang w:eastAsia="en-AU"/>
        </w:rPr>
        <w:t xml:space="preserve"> from geriatric patients must be interpreted with care as elevated levels of </w:t>
      </w:r>
      <w:r w:rsidRPr="00E14E86">
        <w:rPr>
          <w:rFonts w:ascii="Helvetica" w:hAnsi="Helvetica" w:cs="Helvetica"/>
          <w:i/>
          <w:iCs/>
          <w:color w:val="222222"/>
          <w:sz w:val="20"/>
          <w:szCs w:val="20"/>
          <w:lang w:eastAsia="en-AU"/>
        </w:rPr>
        <w:t>Clostridium perfringens</w:t>
      </w:r>
      <w:r w:rsidRPr="00E14E86">
        <w:rPr>
          <w:rFonts w:ascii="Helvetica" w:hAnsi="Helvetica" w:cs="Helvetica"/>
          <w:color w:val="222222"/>
          <w:sz w:val="20"/>
          <w:szCs w:val="20"/>
          <w:lang w:eastAsia="en-AU"/>
        </w:rPr>
        <w:t> are not uncommon in stools from this age group.</w:t>
      </w:r>
    </w:p>
    <w:p w:rsidRPr="00E14E86" w:rsidR="00E14E86" w:rsidP="00E14E86" w:rsidRDefault="00E14E86" w14:paraId="6FC57C84" w14:textId="6BD50389">
      <w:pPr>
        <w:keepNext/>
        <w:shd w:val="clear" w:color="auto" w:fill="FFFFFF"/>
        <w:spacing w:after="120" w:line="276" w:lineRule="auto"/>
        <w:outlineLvl w:val="1"/>
        <w:rPr>
          <w:rFonts w:ascii="Open Sans" w:hAnsi="Open Sans" w:cs="Open Sans"/>
          <w:color w:val="000000"/>
          <w:sz w:val="36"/>
          <w:szCs w:val="36"/>
          <w:lang w:eastAsia="en-AU"/>
        </w:rPr>
      </w:pPr>
      <w:r w:rsidRPr="00E14E86">
        <w:rPr>
          <w:rFonts w:ascii="Open Sans" w:hAnsi="Open Sans" w:cs="Open Sans"/>
          <w:color w:val="000000"/>
          <w:sz w:val="36"/>
          <w:szCs w:val="36"/>
          <w:lang w:eastAsia="en-AU"/>
        </w:rPr>
        <w:lastRenderedPageBreak/>
        <w:t>2 Introduction</w:t>
      </w:r>
    </w:p>
    <w:p w:rsidRPr="00E14E86" w:rsidR="00E14E86" w:rsidP="00E14E86" w:rsidRDefault="00E14E86" w14:paraId="0646B55D" w14:textId="5125F840">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i/>
          <w:iCs/>
          <w:color w:val="222222"/>
          <w:sz w:val="20"/>
          <w:szCs w:val="20"/>
          <w:lang w:eastAsia="en-AU"/>
        </w:rPr>
        <w:t>Clostridium perfringens</w:t>
      </w:r>
      <w:r w:rsidRPr="00E14E86">
        <w:rPr>
          <w:rFonts w:ascii="Helvetica" w:hAnsi="Helvetica" w:cs="Helvetica"/>
          <w:color w:val="222222"/>
          <w:sz w:val="20"/>
          <w:szCs w:val="20"/>
          <w:lang w:eastAsia="en-AU"/>
        </w:rPr>
        <w:t> (formerly </w:t>
      </w:r>
      <w:r w:rsidRPr="00E14E86">
        <w:rPr>
          <w:rFonts w:ascii="Helvetica" w:hAnsi="Helvetica" w:cs="Helvetica"/>
          <w:i/>
          <w:iCs/>
          <w:color w:val="222222"/>
          <w:sz w:val="20"/>
          <w:szCs w:val="20"/>
          <w:lang w:eastAsia="en-AU"/>
        </w:rPr>
        <w:t xml:space="preserve">Cl. </w:t>
      </w:r>
      <w:proofErr w:type="spellStart"/>
      <w:r w:rsidRPr="00E14E86">
        <w:rPr>
          <w:rFonts w:ascii="Helvetica" w:hAnsi="Helvetica" w:cs="Helvetica"/>
          <w:i/>
          <w:iCs/>
          <w:color w:val="222222"/>
          <w:sz w:val="20"/>
          <w:szCs w:val="20"/>
          <w:lang w:eastAsia="en-AU"/>
        </w:rPr>
        <w:t>welchii</w:t>
      </w:r>
      <w:proofErr w:type="spellEnd"/>
      <w:r w:rsidRPr="00E14E86">
        <w:rPr>
          <w:rFonts w:ascii="Helvetica" w:hAnsi="Helvetica" w:cs="Helvetica"/>
          <w:color w:val="222222"/>
          <w:sz w:val="20"/>
          <w:szCs w:val="20"/>
          <w:lang w:eastAsia="en-AU"/>
        </w:rPr>
        <w:t xml:space="preserve">) is a gram positive, spore forming anaerobic bacillus, which is widely distributed in nature and can be found in soil and the gastrointestinal tract of vertebrates. It causes two main clinical syndromes: gas gangrene, acquired when wounds become contaminated with soil and faecal material, and enteritis, usually </w:t>
      </w:r>
      <w:proofErr w:type="gramStart"/>
      <w:r w:rsidRPr="00E14E86">
        <w:rPr>
          <w:rFonts w:ascii="Helvetica" w:hAnsi="Helvetica" w:cs="Helvetica"/>
          <w:color w:val="222222"/>
          <w:sz w:val="20"/>
          <w:szCs w:val="20"/>
          <w:lang w:eastAsia="en-AU"/>
        </w:rPr>
        <w:t>as a result of</w:t>
      </w:r>
      <w:proofErr w:type="gramEnd"/>
      <w:r w:rsidRPr="00E14E86">
        <w:rPr>
          <w:rFonts w:ascii="Helvetica" w:hAnsi="Helvetica" w:cs="Helvetica"/>
          <w:color w:val="222222"/>
          <w:sz w:val="20"/>
          <w:szCs w:val="20"/>
          <w:lang w:eastAsia="en-AU"/>
        </w:rPr>
        <w:t xml:space="preserve"> food poisoning, first reported by McClung in 1945. This case definition will be confined to enteric disease caused by </w:t>
      </w:r>
      <w:r w:rsidRPr="00E14E86">
        <w:rPr>
          <w:rFonts w:ascii="Helvetica" w:hAnsi="Helvetica" w:cs="Helvetica"/>
          <w:i/>
          <w:iCs/>
          <w:color w:val="222222"/>
          <w:sz w:val="20"/>
          <w:szCs w:val="20"/>
          <w:lang w:eastAsia="en-AU"/>
        </w:rPr>
        <w:t>Cl. perfringens.</w:t>
      </w:r>
    </w:p>
    <w:p w:rsidRPr="00E14E86" w:rsidR="00E14E86" w:rsidP="00E14E86" w:rsidRDefault="00E14E86" w14:paraId="61A8695B"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Five types of </w:t>
      </w:r>
      <w:r w:rsidRPr="00E14E86">
        <w:rPr>
          <w:rFonts w:ascii="Helvetica" w:hAnsi="Helvetica" w:cs="Helvetica"/>
          <w:i/>
          <w:iCs/>
          <w:color w:val="222222"/>
          <w:sz w:val="20"/>
          <w:szCs w:val="20"/>
          <w:lang w:eastAsia="en-AU"/>
        </w:rPr>
        <w:t>Cl. perfringens</w:t>
      </w:r>
      <w:r w:rsidRPr="00E14E86">
        <w:rPr>
          <w:rFonts w:ascii="Helvetica" w:hAnsi="Helvetica" w:cs="Helvetica"/>
          <w:color w:val="222222"/>
          <w:sz w:val="20"/>
          <w:szCs w:val="20"/>
          <w:lang w:eastAsia="en-AU"/>
        </w:rPr>
        <w:t xml:space="preserve"> (Types A, B, C, D and E) are recognised based on the secretion of alpha, beta, gamma, </w:t>
      </w:r>
      <w:proofErr w:type="gramStart"/>
      <w:r w:rsidRPr="00E14E86">
        <w:rPr>
          <w:rFonts w:ascii="Helvetica" w:hAnsi="Helvetica" w:cs="Helvetica"/>
          <w:color w:val="222222"/>
          <w:sz w:val="20"/>
          <w:szCs w:val="20"/>
          <w:lang w:eastAsia="en-AU"/>
        </w:rPr>
        <w:t>epsilon</w:t>
      </w:r>
      <w:proofErr w:type="gramEnd"/>
      <w:r w:rsidRPr="00E14E86">
        <w:rPr>
          <w:rFonts w:ascii="Helvetica" w:hAnsi="Helvetica" w:cs="Helvetica"/>
          <w:color w:val="222222"/>
          <w:sz w:val="20"/>
          <w:szCs w:val="20"/>
          <w:lang w:eastAsia="en-AU"/>
        </w:rPr>
        <w:t xml:space="preserve"> and iota toxins. All Types have been associated with enteric disease in animals but only Types A and C have been shown to cause enteritis in humans. Type C strains have been associated with necrotic enteritis including Pig-Bel in New Guinea, a more severe syndrome than the disease typically caused by Type A strains.</w:t>
      </w:r>
    </w:p>
    <w:p w:rsidRPr="00E14E86" w:rsidR="00E14E86" w:rsidP="00E14E86" w:rsidRDefault="00E14E86" w14:paraId="14DEA738"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In Australia, Type A food poisoning syndrome predominates and is characterised by diarrhoea and strong stomach cramps of short duration (usually 24 hours)</w:t>
      </w:r>
    </w:p>
    <w:p w:rsidRPr="00E14E86" w:rsidR="00E14E86" w:rsidP="00E14E86" w:rsidRDefault="00E14E86" w14:paraId="3CC1DD0B"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Spores of </w:t>
      </w:r>
      <w:r w:rsidRPr="00E14E86">
        <w:rPr>
          <w:rFonts w:ascii="Helvetica" w:hAnsi="Helvetica" w:cs="Helvetica"/>
          <w:i/>
          <w:iCs/>
          <w:color w:val="222222"/>
          <w:sz w:val="20"/>
          <w:szCs w:val="20"/>
          <w:lang w:eastAsia="en-AU"/>
        </w:rPr>
        <w:t>Cl. perfringens</w:t>
      </w:r>
      <w:r w:rsidRPr="00E14E86">
        <w:rPr>
          <w:rFonts w:ascii="Helvetica" w:hAnsi="Helvetica" w:cs="Helvetica"/>
          <w:color w:val="222222"/>
          <w:sz w:val="20"/>
          <w:szCs w:val="20"/>
          <w:lang w:eastAsia="en-AU"/>
        </w:rPr>
        <w:t xml:space="preserve"> survive cooking and germinate during slow cooling and unrefrigerated storage to form vegetative cells which quickly multiply (generation time of 7 minutes at 42oC) but do not produce toxin in food. Meat and poultry dishes that have been cooked hours in advance and slowly cooled provide favourable anaerobic conditions and are commonly implicated, but vegetarian curry dishes have also been responsible for outbreaks. Symptoms occur 8-22 hours (mean 15 hours) after ingestion of food containing </w:t>
      </w:r>
      <w:proofErr w:type="gramStart"/>
      <w:r w:rsidRPr="00E14E86">
        <w:rPr>
          <w:rFonts w:ascii="Helvetica" w:hAnsi="Helvetica" w:cs="Helvetica"/>
          <w:color w:val="222222"/>
          <w:sz w:val="20"/>
          <w:szCs w:val="20"/>
          <w:lang w:eastAsia="en-AU"/>
        </w:rPr>
        <w:t>a large number of</w:t>
      </w:r>
      <w:proofErr w:type="gramEnd"/>
      <w:r w:rsidRPr="00E14E86">
        <w:rPr>
          <w:rFonts w:ascii="Helvetica" w:hAnsi="Helvetica" w:cs="Helvetica"/>
          <w:color w:val="222222"/>
          <w:sz w:val="20"/>
          <w:szCs w:val="20"/>
          <w:lang w:eastAsia="en-AU"/>
        </w:rPr>
        <w:t xml:space="preserve"> vegetative </w:t>
      </w:r>
      <w:r w:rsidRPr="00E14E86">
        <w:rPr>
          <w:rFonts w:ascii="Helvetica" w:hAnsi="Helvetica" w:cs="Helvetica"/>
          <w:i/>
          <w:iCs/>
          <w:color w:val="222222"/>
          <w:sz w:val="20"/>
          <w:szCs w:val="20"/>
          <w:lang w:eastAsia="en-AU"/>
        </w:rPr>
        <w:t>Cl. perfringens</w:t>
      </w:r>
      <w:r w:rsidRPr="00E14E86">
        <w:rPr>
          <w:rFonts w:ascii="Helvetica" w:hAnsi="Helvetica" w:cs="Helvetica"/>
          <w:color w:val="222222"/>
          <w:sz w:val="20"/>
          <w:szCs w:val="20"/>
          <w:lang w:eastAsia="en-AU"/>
        </w:rPr>
        <w:t xml:space="preserve"> cells. The bacteria multiply in the gut for a brief period then sporulate (produce spores) releasing enterotoxin (CPE) into the lumen of the gut at the same time. (Bates &amp; </w:t>
      </w:r>
      <w:proofErr w:type="spellStart"/>
      <w:r w:rsidRPr="00E14E86">
        <w:rPr>
          <w:rFonts w:ascii="Helvetica" w:hAnsi="Helvetica" w:cs="Helvetica"/>
          <w:color w:val="222222"/>
          <w:sz w:val="20"/>
          <w:szCs w:val="20"/>
          <w:lang w:eastAsia="en-AU"/>
        </w:rPr>
        <w:t>Bodnaruk</w:t>
      </w:r>
      <w:proofErr w:type="spellEnd"/>
      <w:r w:rsidRPr="00E14E86">
        <w:rPr>
          <w:rFonts w:ascii="Helvetica" w:hAnsi="Helvetica" w:cs="Helvetica"/>
          <w:color w:val="222222"/>
          <w:sz w:val="20"/>
          <w:szCs w:val="20"/>
          <w:lang w:eastAsia="en-AU"/>
        </w:rPr>
        <w:t>, 2003). This contrasts with food poisoning caused by </w:t>
      </w:r>
      <w:r w:rsidRPr="00E14E86">
        <w:rPr>
          <w:rFonts w:ascii="Helvetica" w:hAnsi="Helvetica" w:cs="Helvetica"/>
          <w:i/>
          <w:iCs/>
          <w:color w:val="222222"/>
          <w:sz w:val="20"/>
          <w:szCs w:val="20"/>
          <w:lang w:eastAsia="en-AU"/>
        </w:rPr>
        <w:t>Staphylococcus aureus</w:t>
      </w:r>
      <w:r w:rsidRPr="00E14E86">
        <w:rPr>
          <w:rFonts w:ascii="Helvetica" w:hAnsi="Helvetica" w:cs="Helvetica"/>
          <w:color w:val="222222"/>
          <w:sz w:val="20"/>
          <w:szCs w:val="20"/>
          <w:lang w:eastAsia="en-AU"/>
        </w:rPr>
        <w:t> enterotoxin and </w:t>
      </w:r>
      <w:r w:rsidRPr="00E14E86">
        <w:rPr>
          <w:rFonts w:ascii="Helvetica" w:hAnsi="Helvetica" w:cs="Helvetica"/>
          <w:i/>
          <w:iCs/>
          <w:color w:val="222222"/>
          <w:sz w:val="20"/>
          <w:szCs w:val="20"/>
          <w:lang w:eastAsia="en-AU"/>
        </w:rPr>
        <w:t>Bacillus cereus </w:t>
      </w:r>
      <w:r w:rsidRPr="00E14E86">
        <w:rPr>
          <w:rFonts w:ascii="Helvetica" w:hAnsi="Helvetica" w:cs="Helvetica"/>
          <w:color w:val="222222"/>
          <w:sz w:val="20"/>
          <w:szCs w:val="20"/>
          <w:lang w:eastAsia="en-AU"/>
        </w:rPr>
        <w:t xml:space="preserve">emetic toxin where the toxins are </w:t>
      </w:r>
      <w:proofErr w:type="spellStart"/>
      <w:r w:rsidRPr="00E14E86">
        <w:rPr>
          <w:rFonts w:ascii="Helvetica" w:hAnsi="Helvetica" w:cs="Helvetica"/>
          <w:color w:val="222222"/>
          <w:sz w:val="20"/>
          <w:szCs w:val="20"/>
          <w:lang w:eastAsia="en-AU"/>
        </w:rPr>
        <w:t>preformed</w:t>
      </w:r>
      <w:proofErr w:type="spellEnd"/>
      <w:r w:rsidRPr="00E14E86">
        <w:rPr>
          <w:rFonts w:ascii="Helvetica" w:hAnsi="Helvetica" w:cs="Helvetica"/>
          <w:color w:val="222222"/>
          <w:sz w:val="20"/>
          <w:szCs w:val="20"/>
          <w:lang w:eastAsia="en-AU"/>
        </w:rPr>
        <w:t xml:space="preserve"> in food and ingested, resulting in a rapid onset of enteric symptoms (2-6 hours). The food poisoning syndrome caused by </w:t>
      </w:r>
      <w:r w:rsidRPr="00E14E86">
        <w:rPr>
          <w:rFonts w:ascii="Helvetica" w:hAnsi="Helvetica" w:cs="Helvetica"/>
          <w:i/>
          <w:iCs/>
          <w:color w:val="222222"/>
          <w:sz w:val="20"/>
          <w:szCs w:val="20"/>
          <w:lang w:eastAsia="en-AU"/>
        </w:rPr>
        <w:t>Cl. perfringens </w:t>
      </w:r>
      <w:r w:rsidRPr="00E14E86">
        <w:rPr>
          <w:rFonts w:ascii="Helvetica" w:hAnsi="Helvetica" w:cs="Helvetica"/>
          <w:color w:val="222222"/>
          <w:sz w:val="20"/>
          <w:szCs w:val="20"/>
          <w:lang w:eastAsia="en-AU"/>
        </w:rPr>
        <w:t>is similar to that caused by the diarrhoeal syndrome of </w:t>
      </w:r>
      <w:r w:rsidRPr="00E14E86">
        <w:rPr>
          <w:rFonts w:ascii="Helvetica" w:hAnsi="Helvetica" w:cs="Helvetica"/>
          <w:i/>
          <w:iCs/>
          <w:color w:val="222222"/>
          <w:sz w:val="20"/>
          <w:szCs w:val="20"/>
          <w:lang w:eastAsia="en-AU"/>
        </w:rPr>
        <w:t>Bacillus cereus</w:t>
      </w:r>
      <w:r w:rsidRPr="00E14E86">
        <w:rPr>
          <w:rFonts w:ascii="Helvetica" w:hAnsi="Helvetica" w:cs="Helvetica"/>
          <w:color w:val="222222"/>
          <w:sz w:val="20"/>
          <w:szCs w:val="20"/>
          <w:lang w:eastAsia="en-AU"/>
        </w:rPr>
        <w:t xml:space="preserve">, where the toxin is not </w:t>
      </w:r>
      <w:proofErr w:type="gramStart"/>
      <w:r w:rsidRPr="00E14E86">
        <w:rPr>
          <w:rFonts w:ascii="Helvetica" w:hAnsi="Helvetica" w:cs="Helvetica"/>
          <w:color w:val="222222"/>
          <w:sz w:val="20"/>
          <w:szCs w:val="20"/>
          <w:lang w:eastAsia="en-AU"/>
        </w:rPr>
        <w:t>preformed</w:t>
      </w:r>
      <w:proofErr w:type="gramEnd"/>
      <w:r w:rsidRPr="00E14E86">
        <w:rPr>
          <w:rFonts w:ascii="Helvetica" w:hAnsi="Helvetica" w:cs="Helvetica"/>
          <w:color w:val="222222"/>
          <w:sz w:val="20"/>
          <w:szCs w:val="20"/>
          <w:lang w:eastAsia="en-AU"/>
        </w:rPr>
        <w:t xml:space="preserve"> and intoxication occurs following ingestion of contaminated food.</w:t>
      </w:r>
    </w:p>
    <w:p w:rsidRPr="00E14E86" w:rsidR="00E14E86" w:rsidP="00E14E86" w:rsidRDefault="00E14E86" w14:paraId="7449D6B2"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Outbreaks typically have a single point source with no secondary cases. They may be investigated by demonstrating the presence of large numbers of </w:t>
      </w:r>
      <w:r w:rsidRPr="00E14E86">
        <w:rPr>
          <w:rFonts w:ascii="Helvetica" w:hAnsi="Helvetica" w:cs="Helvetica"/>
          <w:i/>
          <w:iCs/>
          <w:color w:val="222222"/>
          <w:sz w:val="20"/>
          <w:szCs w:val="20"/>
          <w:lang w:eastAsia="en-AU"/>
        </w:rPr>
        <w:t>Cl. perfringens</w:t>
      </w:r>
      <w:r w:rsidRPr="00E14E86">
        <w:rPr>
          <w:rFonts w:ascii="Helvetica" w:hAnsi="Helvetica" w:cs="Helvetica"/>
          <w:color w:val="222222"/>
          <w:sz w:val="20"/>
          <w:szCs w:val="20"/>
          <w:lang w:eastAsia="en-AU"/>
        </w:rPr>
        <w:t> in the faeces of victims and the implicated food and confirmed by molecular typing of isolates. </w:t>
      </w:r>
      <w:r w:rsidRPr="00E14E86">
        <w:rPr>
          <w:rFonts w:ascii="Helvetica" w:hAnsi="Helvetica" w:cs="Helvetica"/>
          <w:i/>
          <w:iCs/>
          <w:color w:val="222222"/>
          <w:sz w:val="20"/>
          <w:szCs w:val="20"/>
          <w:lang w:eastAsia="en-AU"/>
        </w:rPr>
        <w:t>Cl. perfringens</w:t>
      </w:r>
      <w:r w:rsidRPr="00E14E86">
        <w:rPr>
          <w:rFonts w:ascii="Helvetica" w:hAnsi="Helvetica" w:cs="Helvetica"/>
          <w:color w:val="222222"/>
          <w:sz w:val="20"/>
          <w:szCs w:val="20"/>
          <w:lang w:eastAsia="en-AU"/>
        </w:rPr>
        <w:t> Type A enterotoxin (CPE) is not formed in food but may be detected in faeces using commercial antigen detection kits. The </w:t>
      </w:r>
      <w:proofErr w:type="spellStart"/>
      <w:r w:rsidRPr="00E14E86">
        <w:rPr>
          <w:rFonts w:ascii="Helvetica" w:hAnsi="Helvetica" w:cs="Helvetica"/>
          <w:i/>
          <w:iCs/>
          <w:color w:val="222222"/>
          <w:sz w:val="20"/>
          <w:szCs w:val="20"/>
          <w:lang w:eastAsia="en-AU"/>
        </w:rPr>
        <w:t>cpe</w:t>
      </w:r>
      <w:proofErr w:type="spellEnd"/>
      <w:r w:rsidRPr="00E14E86">
        <w:rPr>
          <w:rFonts w:ascii="Helvetica" w:hAnsi="Helvetica" w:cs="Helvetica"/>
          <w:i/>
          <w:iCs/>
          <w:color w:val="222222"/>
          <w:sz w:val="20"/>
          <w:szCs w:val="20"/>
          <w:lang w:eastAsia="en-AU"/>
        </w:rPr>
        <w:t> </w:t>
      </w:r>
      <w:r w:rsidRPr="00E14E86">
        <w:rPr>
          <w:rFonts w:ascii="Helvetica" w:hAnsi="Helvetica" w:cs="Helvetica"/>
          <w:color w:val="222222"/>
          <w:sz w:val="20"/>
          <w:szCs w:val="20"/>
          <w:lang w:eastAsia="en-AU"/>
        </w:rPr>
        <w:t>gene is carried chromosomally on food poisoning strains of </w:t>
      </w:r>
      <w:r w:rsidRPr="00E14E86">
        <w:rPr>
          <w:rFonts w:ascii="Helvetica" w:hAnsi="Helvetica" w:cs="Helvetica"/>
          <w:i/>
          <w:iCs/>
          <w:color w:val="222222"/>
          <w:sz w:val="20"/>
          <w:szCs w:val="20"/>
          <w:lang w:eastAsia="en-AU"/>
        </w:rPr>
        <w:t>Cl. perfringens</w:t>
      </w:r>
      <w:r w:rsidRPr="00E14E86">
        <w:rPr>
          <w:rFonts w:ascii="Helvetica" w:hAnsi="Helvetica" w:cs="Helvetica"/>
          <w:color w:val="222222"/>
          <w:sz w:val="20"/>
          <w:szCs w:val="20"/>
          <w:lang w:eastAsia="en-AU"/>
        </w:rPr>
        <w:t xml:space="preserve"> and confers heat resistance on the organism, making it an ideal agent for multiplication in foods that are kept warm for long periods of time. This is particularly a problem in foods that are stored for periods in Bain </w:t>
      </w:r>
      <w:proofErr w:type="spellStart"/>
      <w:r w:rsidRPr="00E14E86">
        <w:rPr>
          <w:rFonts w:ascii="Helvetica" w:hAnsi="Helvetica" w:cs="Helvetica"/>
          <w:color w:val="222222"/>
          <w:sz w:val="20"/>
          <w:szCs w:val="20"/>
          <w:lang w:eastAsia="en-AU"/>
        </w:rPr>
        <w:t>maries</w:t>
      </w:r>
      <w:proofErr w:type="spellEnd"/>
      <w:r w:rsidRPr="00E14E86">
        <w:rPr>
          <w:rFonts w:ascii="Helvetica" w:hAnsi="Helvetica" w:cs="Helvetica"/>
          <w:color w:val="222222"/>
          <w:sz w:val="20"/>
          <w:szCs w:val="20"/>
          <w:lang w:eastAsia="en-AU"/>
        </w:rPr>
        <w:t xml:space="preserve"> at warm temperatures.</w:t>
      </w:r>
    </w:p>
    <w:p w:rsidRPr="00E14E86" w:rsidR="00E14E86" w:rsidP="00E14E86" w:rsidRDefault="00E14E86" w14:paraId="4FBE537D"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In addition to the classical food poisoning syndrome, two other manifestations of </w:t>
      </w:r>
      <w:r w:rsidRPr="00E14E86">
        <w:rPr>
          <w:rFonts w:ascii="Helvetica" w:hAnsi="Helvetica" w:cs="Helvetica"/>
          <w:i/>
          <w:iCs/>
          <w:color w:val="222222"/>
          <w:sz w:val="20"/>
          <w:szCs w:val="20"/>
          <w:lang w:eastAsia="en-AU"/>
        </w:rPr>
        <w:t>Cl. perfringens </w:t>
      </w:r>
      <w:r w:rsidRPr="00E14E86">
        <w:rPr>
          <w:rFonts w:ascii="Helvetica" w:hAnsi="Helvetica" w:cs="Helvetica"/>
          <w:color w:val="222222"/>
          <w:sz w:val="20"/>
          <w:szCs w:val="20"/>
          <w:lang w:eastAsia="en-AU"/>
        </w:rPr>
        <w:t xml:space="preserve">enteritis are worthy of mention. The first of these is Antibiotic Associated Diarrhoea (AAD), typically seen in nursing home outbreaks. The typical pattern of these outbreaks is person to person transmission over </w:t>
      </w:r>
      <w:proofErr w:type="gramStart"/>
      <w:r w:rsidRPr="00E14E86">
        <w:rPr>
          <w:rFonts w:ascii="Helvetica" w:hAnsi="Helvetica" w:cs="Helvetica"/>
          <w:color w:val="222222"/>
          <w:sz w:val="20"/>
          <w:szCs w:val="20"/>
          <w:lang w:eastAsia="en-AU"/>
        </w:rPr>
        <w:t>a number of</w:t>
      </w:r>
      <w:proofErr w:type="gramEnd"/>
      <w:r w:rsidRPr="00E14E86">
        <w:rPr>
          <w:rFonts w:ascii="Helvetica" w:hAnsi="Helvetica" w:cs="Helvetica"/>
          <w:color w:val="222222"/>
          <w:sz w:val="20"/>
          <w:szCs w:val="20"/>
          <w:lang w:eastAsia="en-AU"/>
        </w:rPr>
        <w:t xml:space="preserve"> days, rather than as a point source outbreak. Whilst AAD is still mediated by the </w:t>
      </w:r>
      <w:proofErr w:type="spellStart"/>
      <w:r w:rsidRPr="00E14E86">
        <w:rPr>
          <w:rFonts w:ascii="Helvetica" w:hAnsi="Helvetica" w:cs="Helvetica"/>
          <w:i/>
          <w:iCs/>
          <w:color w:val="222222"/>
          <w:sz w:val="20"/>
          <w:szCs w:val="20"/>
          <w:lang w:eastAsia="en-AU"/>
        </w:rPr>
        <w:t>cpe</w:t>
      </w:r>
      <w:proofErr w:type="spellEnd"/>
      <w:r w:rsidRPr="00E14E86">
        <w:rPr>
          <w:rFonts w:ascii="Helvetica" w:hAnsi="Helvetica" w:cs="Helvetica"/>
          <w:i/>
          <w:iCs/>
          <w:color w:val="222222"/>
          <w:sz w:val="20"/>
          <w:szCs w:val="20"/>
          <w:lang w:eastAsia="en-AU"/>
        </w:rPr>
        <w:t> </w:t>
      </w:r>
      <w:r w:rsidRPr="00E14E86">
        <w:rPr>
          <w:rFonts w:ascii="Helvetica" w:hAnsi="Helvetica" w:cs="Helvetica"/>
          <w:color w:val="222222"/>
          <w:sz w:val="20"/>
          <w:szCs w:val="20"/>
          <w:lang w:eastAsia="en-AU"/>
        </w:rPr>
        <w:t>gene, this is carried on a plasmid rather than chromosomally, which assists in diagnosis. More recently, a more severe necrotising colitis has been described in psychiatric patients with Type A food poisoning who are on anti-cholinergic drugs. (Bos et al.2005, MMWR report, 2010) This results in faecal impaction and retention of toxin, leading to necrosis of the colon and death.</w:t>
      </w:r>
    </w:p>
    <w:p w:rsidRPr="00E14E86" w:rsidR="00E14E86" w:rsidP="00E14E86" w:rsidRDefault="00E14E86" w14:paraId="33102D2A" w14:textId="280DC12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i/>
          <w:iCs/>
          <w:color w:val="222222"/>
          <w:sz w:val="20"/>
          <w:szCs w:val="20"/>
          <w:lang w:eastAsia="en-AU"/>
        </w:rPr>
        <w:lastRenderedPageBreak/>
        <w:t>Cl. perfringens</w:t>
      </w:r>
      <w:r w:rsidRPr="00E14E86">
        <w:rPr>
          <w:rFonts w:ascii="Helvetica" w:hAnsi="Helvetica" w:cs="Helvetica"/>
          <w:color w:val="222222"/>
          <w:sz w:val="20"/>
          <w:szCs w:val="20"/>
          <w:lang w:eastAsia="en-AU"/>
        </w:rPr>
        <w:t xml:space="preserve"> is not targeted by the routine enteric microbiology workup in diagnostic laboratories due to a lack of simple and affordable detection methods. </w:t>
      </w:r>
      <w:proofErr w:type="gramStart"/>
      <w:r w:rsidRPr="00E14E86">
        <w:rPr>
          <w:rFonts w:ascii="Helvetica" w:hAnsi="Helvetica" w:cs="Helvetica"/>
          <w:color w:val="222222"/>
          <w:sz w:val="20"/>
          <w:szCs w:val="20"/>
          <w:lang w:eastAsia="en-AU"/>
        </w:rPr>
        <w:t>Usually</w:t>
      </w:r>
      <w:proofErr w:type="gramEnd"/>
      <w:r w:rsidRPr="00E14E86">
        <w:rPr>
          <w:rFonts w:ascii="Helvetica" w:hAnsi="Helvetica" w:cs="Helvetica"/>
          <w:color w:val="222222"/>
          <w:sz w:val="20"/>
          <w:szCs w:val="20"/>
          <w:lang w:eastAsia="en-AU"/>
        </w:rPr>
        <w:t xml:space="preserve"> only reference laboratories with access to specific food microbiological media have the necessary skills to investigate </w:t>
      </w:r>
      <w:r w:rsidRPr="00E14E86">
        <w:rPr>
          <w:rFonts w:ascii="Helvetica" w:hAnsi="Helvetica" w:cs="Helvetica"/>
          <w:i/>
          <w:iCs/>
          <w:color w:val="222222"/>
          <w:sz w:val="20"/>
          <w:szCs w:val="20"/>
          <w:lang w:eastAsia="en-AU"/>
        </w:rPr>
        <w:t>Cl. perfringens</w:t>
      </w:r>
      <w:r w:rsidRPr="00E14E86">
        <w:rPr>
          <w:rFonts w:ascii="Helvetica" w:hAnsi="Helvetica" w:cs="Helvetica"/>
          <w:color w:val="222222"/>
          <w:sz w:val="20"/>
          <w:szCs w:val="20"/>
          <w:lang w:eastAsia="en-AU"/>
        </w:rPr>
        <w:t> food poisoning outbreaks. A lack of routine laboratory-based surveillance means notifications of food poisonings attributed to </w:t>
      </w:r>
      <w:r w:rsidRPr="00E14E86">
        <w:rPr>
          <w:rFonts w:ascii="Helvetica" w:hAnsi="Helvetica" w:cs="Helvetica"/>
          <w:i/>
          <w:iCs/>
          <w:color w:val="222222"/>
          <w:sz w:val="20"/>
          <w:szCs w:val="20"/>
          <w:lang w:eastAsia="en-AU"/>
        </w:rPr>
        <w:t>Cl. perfringens</w:t>
      </w:r>
      <w:r w:rsidRPr="00E14E86">
        <w:rPr>
          <w:rFonts w:ascii="Helvetica" w:hAnsi="Helvetica" w:cs="Helvetica"/>
          <w:color w:val="222222"/>
          <w:sz w:val="20"/>
          <w:szCs w:val="20"/>
          <w:lang w:eastAsia="en-AU"/>
        </w:rPr>
        <w:t> are rare, although outbreaks caused by it are thought to be common and should be considered when investigating outbreaks with typical epidemiology. A study in 1992 found that enterotoxin could be detected in 6.8% of faecal specimens from sporadic and apparently non-food related diarrhoea (Brett, 1992).</w:t>
      </w:r>
    </w:p>
    <w:p w:rsidRPr="00E14E86" w:rsidR="00E14E86" w:rsidP="00E14E86" w:rsidRDefault="00E14E86" w14:paraId="0EA16C91" w14:textId="798CA7E7">
      <w:pPr>
        <w:shd w:val="clear" w:color="auto" w:fill="FFFFFF"/>
        <w:spacing w:before="240" w:after="120" w:line="276" w:lineRule="auto"/>
        <w:outlineLvl w:val="1"/>
        <w:rPr>
          <w:rFonts w:ascii="Open Sans" w:hAnsi="Open Sans" w:cs="Open Sans"/>
          <w:color w:val="000000"/>
          <w:sz w:val="36"/>
          <w:szCs w:val="36"/>
          <w:lang w:eastAsia="en-AU"/>
        </w:rPr>
      </w:pPr>
      <w:r w:rsidRPr="00E14E86">
        <w:rPr>
          <w:rFonts w:ascii="Open Sans" w:hAnsi="Open Sans" w:cs="Open Sans"/>
          <w:color w:val="000000"/>
          <w:sz w:val="36"/>
          <w:szCs w:val="36"/>
          <w:lang w:eastAsia="en-AU"/>
        </w:rPr>
        <w:t>3 Tests</w:t>
      </w:r>
    </w:p>
    <w:p w:rsidRPr="00E14E86" w:rsidR="00E14E86" w:rsidP="00E14E86" w:rsidRDefault="00E14E86" w14:paraId="61CEB504" w14:textId="77777777">
      <w:pPr>
        <w:shd w:val="clear" w:color="auto" w:fill="FFFFFF"/>
        <w:spacing w:before="240" w:after="120" w:line="276" w:lineRule="auto"/>
        <w:outlineLvl w:val="2"/>
        <w:rPr>
          <w:rFonts w:ascii="Open Sans" w:hAnsi="Open Sans" w:cs="Open Sans"/>
          <w:color w:val="000000"/>
          <w:sz w:val="27"/>
          <w:szCs w:val="27"/>
          <w:lang w:eastAsia="en-AU"/>
        </w:rPr>
      </w:pPr>
      <w:r w:rsidRPr="00E14E86">
        <w:rPr>
          <w:rFonts w:ascii="Open Sans" w:hAnsi="Open Sans" w:cs="Open Sans"/>
          <w:color w:val="000000"/>
          <w:sz w:val="27"/>
          <w:szCs w:val="27"/>
          <w:lang w:eastAsia="en-AU"/>
        </w:rPr>
        <w:t>3.1 Culture of Human Faeces</w:t>
      </w:r>
    </w:p>
    <w:p w:rsidRPr="00E14E86" w:rsidR="00E14E86" w:rsidP="00E14E86" w:rsidRDefault="00E14E86" w14:paraId="52033916"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Examination of faeces by culture includes enumeration of both vegetative cells and spores. Diagnosis is complicated by the natural occurrence of </w:t>
      </w:r>
      <w:r w:rsidRPr="00E14E86">
        <w:rPr>
          <w:rFonts w:ascii="Helvetica" w:hAnsi="Helvetica" w:cs="Helvetica"/>
          <w:i/>
          <w:iCs/>
          <w:color w:val="222222"/>
          <w:sz w:val="20"/>
          <w:szCs w:val="20"/>
          <w:lang w:eastAsia="en-AU"/>
        </w:rPr>
        <w:t>Cl. perfringens</w:t>
      </w:r>
      <w:r w:rsidRPr="00E14E86">
        <w:rPr>
          <w:rFonts w:ascii="Helvetica" w:hAnsi="Helvetica" w:cs="Helvetica"/>
          <w:color w:val="222222"/>
          <w:sz w:val="20"/>
          <w:szCs w:val="20"/>
          <w:lang w:eastAsia="en-AU"/>
        </w:rPr>
        <w:t xml:space="preserve"> in normal faecal flora in variable numbers, both as vegetative cells and spores. This normal flora component may multiply during the food poisoning episode, approaching the numbers of the causative strain. Spores do not generally occur in numbers above 106 / g in healthy adult </w:t>
      </w:r>
      <w:proofErr w:type="gramStart"/>
      <w:r w:rsidRPr="00E14E86">
        <w:rPr>
          <w:rFonts w:ascii="Helvetica" w:hAnsi="Helvetica" w:cs="Helvetica"/>
          <w:color w:val="222222"/>
          <w:sz w:val="20"/>
          <w:szCs w:val="20"/>
          <w:lang w:eastAsia="en-AU"/>
        </w:rPr>
        <w:t>faeces</w:t>
      </w:r>
      <w:proofErr w:type="gramEnd"/>
      <w:r w:rsidRPr="00E14E86">
        <w:rPr>
          <w:rFonts w:ascii="Helvetica" w:hAnsi="Helvetica" w:cs="Helvetica"/>
          <w:color w:val="222222"/>
          <w:sz w:val="20"/>
          <w:szCs w:val="20"/>
          <w:lang w:eastAsia="en-AU"/>
        </w:rPr>
        <w:t xml:space="preserve"> but elevated levels may be seen in asymptomatic elderly individuals.</w:t>
      </w:r>
    </w:p>
    <w:p w:rsidRPr="00E14E86" w:rsidR="00E14E86" w:rsidP="00E14E86" w:rsidRDefault="00E14E86" w14:paraId="60B1EAA4"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3.1.1 Suitable and Unsuitable Specimens</w:t>
      </w:r>
    </w:p>
    <w:p w:rsidRPr="00E14E86" w:rsidR="00E14E86" w:rsidP="00E14E86" w:rsidRDefault="00E14E86" w14:paraId="248373C4"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 xml:space="preserve">Faeces, with details of time collected post onset of symptoms is required to determine the significance of results (the toxin is rapidly eliminated from the gut </w:t>
      </w:r>
      <w:proofErr w:type="gramStart"/>
      <w:r w:rsidRPr="00E14E86">
        <w:rPr>
          <w:rFonts w:ascii="Helvetica" w:hAnsi="Helvetica" w:cs="Helvetica"/>
          <w:color w:val="222222"/>
          <w:sz w:val="20"/>
          <w:szCs w:val="20"/>
          <w:lang w:eastAsia="en-AU"/>
        </w:rPr>
        <w:t>as a result of</w:t>
      </w:r>
      <w:proofErr w:type="gramEnd"/>
      <w:r w:rsidRPr="00E14E86">
        <w:rPr>
          <w:rFonts w:ascii="Helvetica" w:hAnsi="Helvetica" w:cs="Helvetica"/>
          <w:color w:val="222222"/>
          <w:sz w:val="20"/>
          <w:szCs w:val="20"/>
          <w:lang w:eastAsia="en-AU"/>
        </w:rPr>
        <w:t xml:space="preserve"> the profuse diarrhoea and can therefore be very difficult to detect in older specimens (&gt; 48 hours). Samples should be maintained at 4oC as freezing will produce a log 3 reduction in viable cells.</w:t>
      </w:r>
    </w:p>
    <w:p w:rsidRPr="00E14E86" w:rsidR="00E14E86" w:rsidP="00E14E86" w:rsidRDefault="00E14E86" w14:paraId="61FCE60A"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3.1.2 Test Details</w:t>
      </w:r>
    </w:p>
    <w:p w:rsidRPr="00E14E86" w:rsidR="00E14E86" w:rsidP="00E14E86" w:rsidRDefault="00E14E86" w14:paraId="3E12048B"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Vegetative cell and spore counts:</w:t>
      </w:r>
      <w:r w:rsidRPr="00E14E86">
        <w:rPr>
          <w:rFonts w:ascii="Helvetica" w:hAnsi="Helvetica" w:cs="Helvetica"/>
          <w:color w:val="222222"/>
          <w:sz w:val="20"/>
          <w:szCs w:val="20"/>
          <w:lang w:eastAsia="en-AU"/>
        </w:rPr>
        <w:br/>
      </w:r>
      <w:r w:rsidRPr="00E14E86">
        <w:rPr>
          <w:rFonts w:ascii="Helvetica" w:hAnsi="Helvetica" w:cs="Helvetica"/>
          <w:color w:val="222222"/>
          <w:sz w:val="20"/>
          <w:szCs w:val="20"/>
          <w:lang w:eastAsia="en-AU"/>
        </w:rPr>
        <w:t xml:space="preserve">Faeces are commonly cultured on </w:t>
      </w:r>
      <w:proofErr w:type="spellStart"/>
      <w:r w:rsidRPr="00E14E86">
        <w:rPr>
          <w:rFonts w:ascii="Helvetica" w:hAnsi="Helvetica" w:cs="Helvetica"/>
          <w:color w:val="222222"/>
          <w:sz w:val="20"/>
          <w:szCs w:val="20"/>
          <w:lang w:eastAsia="en-AU"/>
        </w:rPr>
        <w:t>tryptose</w:t>
      </w:r>
      <w:proofErr w:type="spellEnd"/>
      <w:r w:rsidRPr="00E14E86">
        <w:rPr>
          <w:rFonts w:ascii="Helvetica" w:hAnsi="Helvetica" w:cs="Helvetica"/>
          <w:color w:val="222222"/>
          <w:sz w:val="20"/>
          <w:szCs w:val="20"/>
          <w:lang w:eastAsia="en-AU"/>
        </w:rPr>
        <w:t xml:space="preserve"> sulphite </w:t>
      </w:r>
      <w:proofErr w:type="spellStart"/>
      <w:r w:rsidRPr="00E14E86">
        <w:rPr>
          <w:rFonts w:ascii="Helvetica" w:hAnsi="Helvetica" w:cs="Helvetica"/>
          <w:color w:val="222222"/>
          <w:sz w:val="20"/>
          <w:szCs w:val="20"/>
          <w:lang w:eastAsia="en-AU"/>
        </w:rPr>
        <w:t>cycloserine</w:t>
      </w:r>
      <w:proofErr w:type="spellEnd"/>
      <w:r w:rsidRPr="00E14E86">
        <w:rPr>
          <w:rFonts w:ascii="Helvetica" w:hAnsi="Helvetica" w:cs="Helvetica"/>
          <w:color w:val="222222"/>
          <w:sz w:val="20"/>
          <w:szCs w:val="20"/>
          <w:lang w:eastAsia="en-AU"/>
        </w:rPr>
        <w:t xml:space="preserve"> agar (TSC) at tenfold dilutions from 10-3 to 10-5 before (for vegetative cells) and after heat treatment at 80oC for 10 min (for spores). Plates are incubated anaerobically at 37oC. The 10-3 dilutions of heated and unheated aliquots are also plated on blood agar and incubated at 37oC aerobically and anaerobically to demonstrate the typical colony morphology of any </w:t>
      </w:r>
      <w:r w:rsidRPr="00E14E86">
        <w:rPr>
          <w:rFonts w:ascii="Helvetica" w:hAnsi="Helvetica" w:cs="Helvetica"/>
          <w:i/>
          <w:iCs/>
          <w:color w:val="222222"/>
          <w:sz w:val="20"/>
          <w:szCs w:val="20"/>
          <w:lang w:eastAsia="en-AU"/>
        </w:rPr>
        <w:t>Cl. perfringens</w:t>
      </w:r>
      <w:r w:rsidRPr="00E14E86">
        <w:rPr>
          <w:rFonts w:ascii="Helvetica" w:hAnsi="Helvetica" w:cs="Helvetica"/>
          <w:color w:val="222222"/>
          <w:sz w:val="20"/>
          <w:szCs w:val="20"/>
          <w:lang w:eastAsia="en-AU"/>
        </w:rPr>
        <w:t> present.</w:t>
      </w:r>
    </w:p>
    <w:p w:rsidRPr="00E14E86" w:rsidR="00E14E86" w:rsidP="00E14E86" w:rsidRDefault="00E14E86" w14:paraId="54452C73"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 xml:space="preserve">In addition, faeces 3 days old or less are also examined for the presence of heat resistant strains. An aliquot of faeces (1 mL) is placed into freshly boiled cooked meat medium (CMM) and boiled for 1 hour then incubated overnight at 37oC. The CMM is then </w:t>
      </w:r>
      <w:proofErr w:type="spellStart"/>
      <w:r w:rsidRPr="00E14E86">
        <w:rPr>
          <w:rFonts w:ascii="Helvetica" w:hAnsi="Helvetica" w:cs="Helvetica"/>
          <w:color w:val="222222"/>
          <w:sz w:val="20"/>
          <w:szCs w:val="20"/>
          <w:lang w:eastAsia="en-AU"/>
        </w:rPr>
        <w:t>subcultured</w:t>
      </w:r>
      <w:proofErr w:type="spellEnd"/>
      <w:r w:rsidRPr="00E14E86">
        <w:rPr>
          <w:rFonts w:ascii="Helvetica" w:hAnsi="Helvetica" w:cs="Helvetica"/>
          <w:color w:val="222222"/>
          <w:sz w:val="20"/>
          <w:szCs w:val="20"/>
          <w:lang w:eastAsia="en-AU"/>
        </w:rPr>
        <w:t xml:space="preserve"> to blood agar and incubated anaerobically at 37oC overnight.</w:t>
      </w:r>
    </w:p>
    <w:p w:rsidRPr="00E14E86" w:rsidR="00E14E86" w:rsidP="00E14E86" w:rsidRDefault="00E14E86" w14:paraId="7CC71D74"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3.1.3 Test Sensitivity</w:t>
      </w:r>
    </w:p>
    <w:p w:rsidRPr="00E14E86" w:rsidR="00E14E86" w:rsidP="00E14E86" w:rsidRDefault="00E14E86" w14:paraId="7DC1D7A2"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 xml:space="preserve">The major factor impacting on results is the timeliness of </w:t>
      </w:r>
      <w:proofErr w:type="gramStart"/>
      <w:r w:rsidRPr="00E14E86">
        <w:rPr>
          <w:rFonts w:ascii="Helvetica" w:hAnsi="Helvetica" w:cs="Helvetica"/>
          <w:color w:val="222222"/>
          <w:sz w:val="20"/>
          <w:szCs w:val="20"/>
          <w:lang w:eastAsia="en-AU"/>
        </w:rPr>
        <w:t>specimens</w:t>
      </w:r>
      <w:proofErr w:type="gramEnd"/>
      <w:r w:rsidRPr="00E14E86">
        <w:rPr>
          <w:rFonts w:ascii="Helvetica" w:hAnsi="Helvetica" w:cs="Helvetica"/>
          <w:color w:val="222222"/>
          <w:sz w:val="20"/>
          <w:szCs w:val="20"/>
          <w:lang w:eastAsia="en-AU"/>
        </w:rPr>
        <w:t xml:space="preserve"> receipt following onset. Significant counts and toxin/</w:t>
      </w:r>
      <w:proofErr w:type="spellStart"/>
      <w:r w:rsidRPr="00E14E86">
        <w:rPr>
          <w:rFonts w:ascii="Helvetica" w:hAnsi="Helvetica" w:cs="Helvetica"/>
          <w:i/>
          <w:iCs/>
          <w:color w:val="222222"/>
          <w:sz w:val="20"/>
          <w:szCs w:val="20"/>
          <w:lang w:eastAsia="en-AU"/>
        </w:rPr>
        <w:t>cpe</w:t>
      </w:r>
      <w:proofErr w:type="spellEnd"/>
      <w:r w:rsidRPr="00E14E86">
        <w:rPr>
          <w:rFonts w:ascii="Helvetica" w:hAnsi="Helvetica" w:cs="Helvetica"/>
          <w:color w:val="222222"/>
          <w:sz w:val="20"/>
          <w:szCs w:val="20"/>
          <w:lang w:eastAsia="en-AU"/>
        </w:rPr>
        <w:t> gene detection are more likely to be recovered if specimens are collected soon after onset of symptoms.</w:t>
      </w:r>
    </w:p>
    <w:p w:rsidRPr="00E14E86" w:rsidR="00E14E86" w:rsidP="00E14E86" w:rsidRDefault="00E14E86" w14:paraId="107A62A8"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3.1.4 Test Specificity</w:t>
      </w:r>
    </w:p>
    <w:p w:rsidRPr="00E14E86" w:rsidR="00E14E86" w:rsidP="00E14E86" w:rsidRDefault="00E14E86" w14:paraId="422783CC"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High counts of </w:t>
      </w:r>
      <w:r w:rsidRPr="00E14E86">
        <w:rPr>
          <w:rFonts w:ascii="Helvetica" w:hAnsi="Helvetica" w:cs="Helvetica"/>
          <w:i/>
          <w:iCs/>
          <w:color w:val="222222"/>
          <w:sz w:val="20"/>
          <w:szCs w:val="20"/>
          <w:lang w:eastAsia="en-AU"/>
        </w:rPr>
        <w:t>Cl. perfringens</w:t>
      </w:r>
      <w:r w:rsidRPr="00E14E86">
        <w:rPr>
          <w:rFonts w:ascii="Helvetica" w:hAnsi="Helvetica" w:cs="Helvetica"/>
          <w:color w:val="222222"/>
          <w:sz w:val="20"/>
          <w:szCs w:val="20"/>
          <w:lang w:eastAsia="en-AU"/>
        </w:rPr>
        <w:t xml:space="preserve">, derived from the normal flora, may be seen in faeces of people with diarrhoea caused by other enteric pathogens. Testing specimens from multiple cases involved in the </w:t>
      </w:r>
      <w:r w:rsidRPr="00E14E86">
        <w:rPr>
          <w:rFonts w:ascii="Helvetica" w:hAnsi="Helvetica" w:cs="Helvetica"/>
          <w:color w:val="222222"/>
          <w:sz w:val="20"/>
          <w:szCs w:val="20"/>
          <w:lang w:eastAsia="en-AU"/>
        </w:rPr>
        <w:lastRenderedPageBreak/>
        <w:t>outbreak will improve the positive predictive value. Multiple colonies of </w:t>
      </w:r>
      <w:r w:rsidRPr="00E14E86">
        <w:rPr>
          <w:rFonts w:ascii="Helvetica" w:hAnsi="Helvetica" w:cs="Helvetica"/>
          <w:i/>
          <w:iCs/>
          <w:color w:val="222222"/>
          <w:sz w:val="20"/>
          <w:szCs w:val="20"/>
          <w:lang w:eastAsia="en-AU"/>
        </w:rPr>
        <w:t>Cl. perfringens</w:t>
      </w:r>
      <w:r w:rsidRPr="00E14E86">
        <w:rPr>
          <w:rFonts w:ascii="Helvetica" w:hAnsi="Helvetica" w:cs="Helvetica"/>
          <w:color w:val="222222"/>
          <w:sz w:val="20"/>
          <w:szCs w:val="20"/>
          <w:lang w:eastAsia="en-AU"/>
        </w:rPr>
        <w:t> should be examined for </w:t>
      </w:r>
      <w:proofErr w:type="spellStart"/>
      <w:r w:rsidRPr="00E14E86">
        <w:rPr>
          <w:rFonts w:ascii="Helvetica" w:hAnsi="Helvetica" w:cs="Helvetica"/>
          <w:i/>
          <w:iCs/>
          <w:color w:val="222222"/>
          <w:sz w:val="20"/>
          <w:szCs w:val="20"/>
          <w:lang w:eastAsia="en-AU"/>
        </w:rPr>
        <w:t>cpe</w:t>
      </w:r>
      <w:proofErr w:type="spellEnd"/>
      <w:r w:rsidRPr="00E14E86">
        <w:rPr>
          <w:rFonts w:ascii="Helvetica" w:hAnsi="Helvetica" w:cs="Helvetica"/>
          <w:color w:val="222222"/>
          <w:sz w:val="20"/>
          <w:szCs w:val="20"/>
          <w:lang w:eastAsia="en-AU"/>
        </w:rPr>
        <w:t> (enterotoxin gene) to distinguish enterotoxin producing isolates from normal flora components.</w:t>
      </w:r>
    </w:p>
    <w:p w:rsidRPr="00E14E86" w:rsidR="00E14E86" w:rsidP="00E14E86" w:rsidRDefault="00E14E86" w14:paraId="00F80EDE"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3.1.5 Predictive Values and relevant populations</w:t>
      </w:r>
    </w:p>
    <w:p w:rsidRPr="00E14E86" w:rsidR="00E14E86" w:rsidP="00E14E86" w:rsidRDefault="00E14E86" w14:paraId="475F0163"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Interpretation of results needs to be made carefully depending on the circumstances of the outbreak (see 3.1.6 below). Nursing home outbreaks may be attributed to either </w:t>
      </w:r>
      <w:r w:rsidRPr="00E14E86">
        <w:rPr>
          <w:rFonts w:ascii="Helvetica" w:hAnsi="Helvetica" w:cs="Helvetica"/>
          <w:i/>
          <w:iCs/>
          <w:color w:val="222222"/>
          <w:sz w:val="20"/>
          <w:szCs w:val="20"/>
          <w:lang w:eastAsia="en-AU"/>
        </w:rPr>
        <w:t>Cl. perfringens</w:t>
      </w:r>
      <w:r w:rsidRPr="00E14E86">
        <w:rPr>
          <w:rFonts w:ascii="Helvetica" w:hAnsi="Helvetica" w:cs="Helvetica"/>
          <w:color w:val="222222"/>
          <w:sz w:val="20"/>
          <w:szCs w:val="20"/>
          <w:lang w:eastAsia="en-AU"/>
        </w:rPr>
        <w:t> food poisoning or AAD. Culture for </w:t>
      </w:r>
      <w:r w:rsidRPr="00E14E86">
        <w:rPr>
          <w:rFonts w:ascii="Helvetica" w:hAnsi="Helvetica" w:cs="Helvetica"/>
          <w:i/>
          <w:iCs/>
          <w:color w:val="222222"/>
          <w:sz w:val="20"/>
          <w:szCs w:val="20"/>
          <w:lang w:eastAsia="en-AU"/>
        </w:rPr>
        <w:t>Cl. perfringens </w:t>
      </w:r>
      <w:r w:rsidRPr="00E14E86">
        <w:rPr>
          <w:rFonts w:ascii="Helvetica" w:hAnsi="Helvetica" w:cs="Helvetica"/>
          <w:color w:val="222222"/>
          <w:sz w:val="20"/>
          <w:szCs w:val="20"/>
          <w:lang w:eastAsia="en-AU"/>
        </w:rPr>
        <w:t>should only be requested when an appropriate epidemiological picture is present.</w:t>
      </w:r>
    </w:p>
    <w:p w:rsidRPr="00E14E86" w:rsidR="00E14E86" w:rsidP="00E14E86" w:rsidRDefault="00E14E86" w14:paraId="22C50949"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3.1.6 Suitable Test Acceptance Criteria</w:t>
      </w:r>
    </w:p>
    <w:p w:rsidRPr="00E14E86" w:rsidR="00E14E86" w:rsidP="00E14E86" w:rsidRDefault="00E14E86" w14:paraId="7C01FE0C"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Growth of typical black colonies (H2S production) surrounded by a zone of precipitation (</w:t>
      </w:r>
      <w:proofErr w:type="spellStart"/>
      <w:r w:rsidRPr="00E14E86">
        <w:rPr>
          <w:rFonts w:ascii="Helvetica" w:hAnsi="Helvetica" w:cs="Helvetica"/>
          <w:color w:val="222222"/>
          <w:sz w:val="20"/>
          <w:szCs w:val="20"/>
          <w:lang w:eastAsia="en-AU"/>
        </w:rPr>
        <w:t>lecithinase</w:t>
      </w:r>
      <w:proofErr w:type="spellEnd"/>
      <w:r w:rsidRPr="00E14E86">
        <w:rPr>
          <w:rFonts w:ascii="Helvetica" w:hAnsi="Helvetica" w:cs="Helvetica"/>
          <w:color w:val="222222"/>
          <w:sz w:val="20"/>
          <w:szCs w:val="20"/>
          <w:lang w:eastAsia="en-AU"/>
        </w:rPr>
        <w:t xml:space="preserve"> reaction). The most important confirmatory tests for isolates are Gram stain, </w:t>
      </w:r>
      <w:proofErr w:type="spellStart"/>
      <w:r w:rsidRPr="00E14E86">
        <w:rPr>
          <w:rFonts w:ascii="Helvetica" w:hAnsi="Helvetica" w:cs="Helvetica"/>
          <w:color w:val="222222"/>
          <w:sz w:val="20"/>
          <w:szCs w:val="20"/>
          <w:lang w:eastAsia="en-AU"/>
        </w:rPr>
        <w:t>lecithinase</w:t>
      </w:r>
      <w:proofErr w:type="spellEnd"/>
      <w:r w:rsidRPr="00E14E86">
        <w:rPr>
          <w:rFonts w:ascii="Helvetica" w:hAnsi="Helvetica" w:cs="Helvetica"/>
          <w:color w:val="222222"/>
          <w:sz w:val="20"/>
          <w:szCs w:val="20"/>
          <w:lang w:eastAsia="en-AU"/>
        </w:rPr>
        <w:t xml:space="preserve"> production, lactose fermentation, gelatine liquefaction, motility test and nitrate reduction.</w:t>
      </w:r>
    </w:p>
    <w:p w:rsidRPr="00E14E86" w:rsidR="00E14E86" w:rsidP="00E14E86" w:rsidRDefault="00E14E86" w14:paraId="737C0BF7"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Diagnostic levels of </w:t>
      </w:r>
      <w:r w:rsidRPr="00E14E86">
        <w:rPr>
          <w:rFonts w:ascii="Helvetica" w:hAnsi="Helvetica" w:cs="Helvetica"/>
          <w:i/>
          <w:iCs/>
          <w:color w:val="222222"/>
          <w:sz w:val="20"/>
          <w:szCs w:val="20"/>
          <w:lang w:eastAsia="en-AU"/>
        </w:rPr>
        <w:t>Cl. perfringens </w:t>
      </w:r>
      <w:r w:rsidRPr="00E14E86">
        <w:rPr>
          <w:rFonts w:ascii="Helvetica" w:hAnsi="Helvetica" w:cs="Helvetica"/>
          <w:color w:val="222222"/>
          <w:sz w:val="20"/>
          <w:szCs w:val="20"/>
          <w:lang w:eastAsia="en-AU"/>
        </w:rPr>
        <w:t>from faecal spore counts and in incriminated foods, supported by either detection of toxin in stools or detection of chromosomal carriage of the </w:t>
      </w:r>
      <w:proofErr w:type="spellStart"/>
      <w:r w:rsidRPr="00E14E86">
        <w:rPr>
          <w:rFonts w:ascii="Helvetica" w:hAnsi="Helvetica" w:cs="Helvetica"/>
          <w:i/>
          <w:iCs/>
          <w:color w:val="222222"/>
          <w:sz w:val="20"/>
          <w:szCs w:val="20"/>
          <w:lang w:eastAsia="en-AU"/>
        </w:rPr>
        <w:t>cpe</w:t>
      </w:r>
      <w:proofErr w:type="spellEnd"/>
      <w:r w:rsidRPr="00E14E86">
        <w:rPr>
          <w:rFonts w:ascii="Helvetica" w:hAnsi="Helvetica" w:cs="Helvetica"/>
          <w:color w:val="222222"/>
          <w:sz w:val="20"/>
          <w:szCs w:val="20"/>
          <w:lang w:eastAsia="en-AU"/>
        </w:rPr>
        <w:t> gene in isolates from foods and stools, supported by an epidemiological history which is consistent with an outbreak caused by </w:t>
      </w:r>
      <w:r w:rsidRPr="00E14E86">
        <w:rPr>
          <w:rFonts w:ascii="Helvetica" w:hAnsi="Helvetica" w:cs="Helvetica"/>
          <w:i/>
          <w:iCs/>
          <w:color w:val="222222"/>
          <w:sz w:val="20"/>
          <w:szCs w:val="20"/>
          <w:lang w:eastAsia="en-AU"/>
        </w:rPr>
        <w:t>Cl. perfringens. </w:t>
      </w:r>
      <w:r w:rsidRPr="00E14E86">
        <w:rPr>
          <w:rFonts w:ascii="Helvetica" w:hAnsi="Helvetica" w:cs="Helvetica"/>
          <w:color w:val="222222"/>
          <w:sz w:val="20"/>
          <w:szCs w:val="20"/>
          <w:lang w:eastAsia="en-AU"/>
        </w:rPr>
        <w:t>For nursing home outbreaks with an AAD epidemiology, detection of the </w:t>
      </w:r>
      <w:proofErr w:type="spellStart"/>
      <w:r w:rsidRPr="00E14E86">
        <w:rPr>
          <w:rFonts w:ascii="Helvetica" w:hAnsi="Helvetica" w:cs="Helvetica"/>
          <w:i/>
          <w:iCs/>
          <w:color w:val="222222"/>
          <w:sz w:val="20"/>
          <w:szCs w:val="20"/>
          <w:lang w:eastAsia="en-AU"/>
        </w:rPr>
        <w:t>cpe</w:t>
      </w:r>
      <w:proofErr w:type="spellEnd"/>
      <w:r w:rsidRPr="00E14E86">
        <w:rPr>
          <w:rFonts w:ascii="Helvetica" w:hAnsi="Helvetica" w:cs="Helvetica"/>
          <w:color w:val="222222"/>
          <w:sz w:val="20"/>
          <w:szCs w:val="20"/>
          <w:lang w:eastAsia="en-AU"/>
        </w:rPr>
        <w:t> gene on a plasmid should support this diagnosis.</w:t>
      </w:r>
    </w:p>
    <w:p w:rsidRPr="00E14E86" w:rsidR="00E14E86" w:rsidP="00E14E86" w:rsidRDefault="00E14E86" w14:paraId="78E3FB70"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3.1.7 Suitable Internal Controls</w:t>
      </w:r>
    </w:p>
    <w:p w:rsidRPr="00E14E86" w:rsidR="00E14E86" w:rsidP="00E14E86" w:rsidRDefault="00E14E86" w14:paraId="5D31E981"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Control cultures of </w:t>
      </w:r>
      <w:r w:rsidRPr="00E14E86">
        <w:rPr>
          <w:rFonts w:ascii="Helvetica" w:hAnsi="Helvetica" w:cs="Helvetica"/>
          <w:i/>
          <w:iCs/>
          <w:color w:val="222222"/>
          <w:sz w:val="20"/>
          <w:szCs w:val="20"/>
          <w:lang w:eastAsia="en-AU"/>
        </w:rPr>
        <w:t>Cl. perfringens </w:t>
      </w:r>
      <w:r w:rsidRPr="00E14E86">
        <w:rPr>
          <w:rFonts w:ascii="Helvetica" w:hAnsi="Helvetica" w:cs="Helvetica"/>
          <w:color w:val="222222"/>
          <w:sz w:val="20"/>
          <w:szCs w:val="20"/>
          <w:lang w:eastAsia="en-AU"/>
        </w:rPr>
        <w:t>on all media used should be included when anaerobic jars are put up to demonstrate recovery of the target organism under suitable anaerobic conditions.</w:t>
      </w:r>
    </w:p>
    <w:p w:rsidRPr="00E14E86" w:rsidR="00E14E86" w:rsidP="00E14E86" w:rsidRDefault="00E14E86" w14:paraId="5ED7D067"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3.1.8 Suitable Original Test Validation Criteria</w:t>
      </w:r>
    </w:p>
    <w:p w:rsidRPr="00E14E86" w:rsidR="00E14E86" w:rsidP="00E14E86" w:rsidRDefault="00E14E86" w14:paraId="1862F7C1"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Nil</w:t>
      </w:r>
    </w:p>
    <w:p w:rsidRPr="00E14E86" w:rsidR="00E14E86" w:rsidP="00E14E86" w:rsidRDefault="00E14E86" w14:paraId="27C77604"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3.1.9 Suitable External (QAP) Programme(s)</w:t>
      </w:r>
    </w:p>
    <w:p w:rsidRPr="00E14E86" w:rsidR="00E14E86" w:rsidP="00E14E86" w:rsidRDefault="00E14E86" w14:paraId="2A073532"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There is currently no external QAP programme offering testing of this nature. Given the poor survival of </w:t>
      </w:r>
      <w:r w:rsidRPr="00E14E86">
        <w:rPr>
          <w:rFonts w:ascii="Helvetica" w:hAnsi="Helvetica" w:cs="Helvetica"/>
          <w:i/>
          <w:iCs/>
          <w:color w:val="222222"/>
          <w:sz w:val="20"/>
          <w:szCs w:val="20"/>
          <w:lang w:eastAsia="en-AU"/>
        </w:rPr>
        <w:t>Cl. perfringens </w:t>
      </w:r>
      <w:r w:rsidRPr="00E14E86">
        <w:rPr>
          <w:rFonts w:ascii="Helvetica" w:hAnsi="Helvetica" w:cs="Helvetica"/>
          <w:color w:val="222222"/>
          <w:sz w:val="20"/>
          <w:szCs w:val="20"/>
          <w:lang w:eastAsia="en-AU"/>
        </w:rPr>
        <w:t>in clinical samples, particularly in refrigerated or frozen specimens, development of such a QAP programme would be extremely difficult to produce.</w:t>
      </w:r>
    </w:p>
    <w:p w:rsidRPr="00E14E86" w:rsidR="00E14E86" w:rsidP="00E14E86" w:rsidRDefault="00E14E86" w14:paraId="71908C6A"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3.1.10 Special Considerations</w:t>
      </w:r>
    </w:p>
    <w:p w:rsidRPr="00E14E86" w:rsidR="00E14E86" w:rsidP="00E14E86" w:rsidRDefault="00E14E86" w14:paraId="5167A2C3"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Nil</w:t>
      </w:r>
    </w:p>
    <w:p w:rsidRPr="00E14E86" w:rsidR="00E14E86" w:rsidP="00E14E86" w:rsidRDefault="00E14E86" w14:paraId="0FDBEE2E" w14:textId="77777777">
      <w:pPr>
        <w:shd w:val="clear" w:color="auto" w:fill="FFFFFF"/>
        <w:spacing w:after="120" w:line="276" w:lineRule="auto"/>
        <w:outlineLvl w:val="2"/>
        <w:rPr>
          <w:rFonts w:ascii="Open Sans" w:hAnsi="Open Sans" w:cs="Open Sans"/>
          <w:color w:val="000000"/>
          <w:sz w:val="27"/>
          <w:szCs w:val="27"/>
          <w:lang w:eastAsia="en-AU"/>
        </w:rPr>
      </w:pPr>
      <w:r w:rsidRPr="00E14E86">
        <w:rPr>
          <w:rFonts w:ascii="Open Sans" w:hAnsi="Open Sans" w:cs="Open Sans"/>
          <w:color w:val="000000"/>
          <w:sz w:val="27"/>
          <w:szCs w:val="27"/>
          <w:lang w:eastAsia="en-AU"/>
        </w:rPr>
        <w:t>3.2 Culture of Food Samples</w:t>
      </w:r>
    </w:p>
    <w:p w:rsidRPr="00E14E86" w:rsidR="00E14E86" w:rsidP="00E14E86" w:rsidRDefault="00E14E86" w14:paraId="034D1E4D"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The Australian Standard Method for the isolation and enumeration of </w:t>
      </w:r>
      <w:r w:rsidRPr="00E14E86">
        <w:rPr>
          <w:rFonts w:ascii="Helvetica" w:hAnsi="Helvetica" w:cs="Helvetica"/>
          <w:i/>
          <w:iCs/>
          <w:color w:val="222222"/>
          <w:sz w:val="20"/>
          <w:szCs w:val="20"/>
          <w:lang w:eastAsia="en-AU"/>
        </w:rPr>
        <w:t>Cl. perfringens</w:t>
      </w:r>
      <w:r w:rsidRPr="00E14E86">
        <w:rPr>
          <w:rFonts w:ascii="Helvetica" w:hAnsi="Helvetica" w:cs="Helvetica"/>
          <w:color w:val="222222"/>
          <w:sz w:val="20"/>
          <w:szCs w:val="20"/>
          <w:lang w:eastAsia="en-AU"/>
        </w:rPr>
        <w:t xml:space="preserve"> from food (AS 5013.16-2006) should be followed. The primary method involves a pour plate analysis using </w:t>
      </w:r>
      <w:proofErr w:type="spellStart"/>
      <w:r w:rsidRPr="00E14E86">
        <w:rPr>
          <w:rFonts w:ascii="Helvetica" w:hAnsi="Helvetica" w:cs="Helvetica"/>
          <w:color w:val="222222"/>
          <w:sz w:val="20"/>
          <w:szCs w:val="20"/>
          <w:lang w:eastAsia="en-AU"/>
        </w:rPr>
        <w:t>tryptose</w:t>
      </w:r>
      <w:proofErr w:type="spellEnd"/>
      <w:r w:rsidRPr="00E14E86">
        <w:rPr>
          <w:rFonts w:ascii="Helvetica" w:hAnsi="Helvetica" w:cs="Helvetica"/>
          <w:color w:val="222222"/>
          <w:sz w:val="20"/>
          <w:szCs w:val="20"/>
          <w:lang w:eastAsia="en-AU"/>
        </w:rPr>
        <w:t xml:space="preserve"> sulphite </w:t>
      </w:r>
      <w:proofErr w:type="spellStart"/>
      <w:r w:rsidRPr="00E14E86">
        <w:rPr>
          <w:rFonts w:ascii="Helvetica" w:hAnsi="Helvetica" w:cs="Helvetica"/>
          <w:color w:val="222222"/>
          <w:sz w:val="20"/>
          <w:szCs w:val="20"/>
          <w:lang w:eastAsia="en-AU"/>
        </w:rPr>
        <w:t>cycloserine</w:t>
      </w:r>
      <w:proofErr w:type="spellEnd"/>
      <w:r w:rsidRPr="00E14E86">
        <w:rPr>
          <w:rFonts w:ascii="Helvetica" w:hAnsi="Helvetica" w:cs="Helvetica"/>
          <w:color w:val="222222"/>
          <w:sz w:val="20"/>
          <w:szCs w:val="20"/>
          <w:lang w:eastAsia="en-AU"/>
        </w:rPr>
        <w:t xml:space="preserve"> agar (TCS) to enumerate viable cells. The test is run in duplicate and the results from both sets of plates averaged to obtain a final count. Multiple dilutions of a suspect food should be plated when investigating an outbreak.</w:t>
      </w:r>
    </w:p>
    <w:p w:rsidRPr="00E14E86" w:rsidR="00E14E86" w:rsidP="00E14E86" w:rsidRDefault="00E14E86" w14:paraId="73C10F0E" w14:textId="32B7B921">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A Most Probable Number (MPN) procedure in cooked meat medium with added neomycin may also be used (green book).</w:t>
      </w:r>
    </w:p>
    <w:p w:rsidRPr="00E14E86" w:rsidR="00E14E86" w:rsidP="00E14E86" w:rsidRDefault="00E14E86" w14:paraId="506B7522" w14:textId="77777777">
      <w:pPr>
        <w:shd w:val="clear" w:color="auto" w:fill="FFFFFF"/>
        <w:spacing w:before="240"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lastRenderedPageBreak/>
        <w:t>3.2.1 Suitable samples</w:t>
      </w:r>
    </w:p>
    <w:p w:rsidRPr="00E14E86" w:rsidR="00E14E86" w:rsidP="00E14E86" w:rsidRDefault="00E14E86" w14:paraId="45798CAB"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 xml:space="preserve">The entire portion of food should be </w:t>
      </w:r>
      <w:proofErr w:type="gramStart"/>
      <w:r w:rsidRPr="00E14E86">
        <w:rPr>
          <w:rFonts w:ascii="Helvetica" w:hAnsi="Helvetica" w:cs="Helvetica"/>
          <w:color w:val="222222"/>
          <w:sz w:val="20"/>
          <w:szCs w:val="20"/>
          <w:lang w:eastAsia="en-AU"/>
        </w:rPr>
        <w:t>sampled</w:t>
      </w:r>
      <w:proofErr w:type="gramEnd"/>
      <w:r w:rsidRPr="00E14E86">
        <w:rPr>
          <w:rFonts w:ascii="Helvetica" w:hAnsi="Helvetica" w:cs="Helvetica"/>
          <w:color w:val="222222"/>
          <w:sz w:val="20"/>
          <w:szCs w:val="20"/>
          <w:lang w:eastAsia="en-AU"/>
        </w:rPr>
        <w:t xml:space="preserve"> or representative samples should be taken from different parts of large volumes of food because contamination may not be evenly distributed. </w:t>
      </w:r>
      <w:r w:rsidRPr="00E14E86">
        <w:rPr>
          <w:rFonts w:ascii="Helvetica" w:hAnsi="Helvetica" w:cs="Helvetica"/>
          <w:i/>
          <w:iCs/>
          <w:color w:val="222222"/>
          <w:sz w:val="20"/>
          <w:szCs w:val="20"/>
          <w:lang w:eastAsia="en-AU"/>
        </w:rPr>
        <w:t>Cl. perfringens</w:t>
      </w:r>
      <w:r w:rsidRPr="00E14E86">
        <w:rPr>
          <w:rFonts w:ascii="Helvetica" w:hAnsi="Helvetica" w:cs="Helvetica"/>
          <w:color w:val="222222"/>
          <w:sz w:val="20"/>
          <w:szCs w:val="20"/>
          <w:lang w:eastAsia="en-AU"/>
        </w:rPr>
        <w:t> cells rapidly lose viability when frozen or stored for long periods under refrigeration. Samples which cannot be examined immediately should be treated with buffered glycerine-salt solution prior to freezing (USFDA BAM).</w:t>
      </w:r>
    </w:p>
    <w:p w:rsidRPr="00E14E86" w:rsidR="00E14E86" w:rsidP="00E14E86" w:rsidRDefault="00E14E86" w14:paraId="63164480"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3.2.2 Test Sensitivity</w:t>
      </w:r>
    </w:p>
    <w:p w:rsidRPr="00E14E86" w:rsidR="00E14E86" w:rsidP="00E14E86" w:rsidRDefault="00E14E86" w14:paraId="684ECE2B"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As detailed earlier, test sensitivity is determined by the age of the sample and its subsequent storage conditions.</w:t>
      </w:r>
    </w:p>
    <w:p w:rsidRPr="00E14E86" w:rsidR="00E14E86" w:rsidP="00E14E86" w:rsidRDefault="00E14E86" w14:paraId="32484880"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3.2.3 Test specificity</w:t>
      </w:r>
    </w:p>
    <w:p w:rsidRPr="00E14E86" w:rsidR="00E14E86" w:rsidP="00E14E86" w:rsidRDefault="00E14E86" w14:paraId="1A121A2A"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Highly specific if large numbers (&gt; 105) of </w:t>
      </w:r>
      <w:r w:rsidRPr="00E14E86">
        <w:rPr>
          <w:rFonts w:ascii="Helvetica" w:hAnsi="Helvetica" w:cs="Helvetica"/>
          <w:i/>
          <w:iCs/>
          <w:color w:val="222222"/>
          <w:sz w:val="20"/>
          <w:szCs w:val="20"/>
          <w:lang w:eastAsia="en-AU"/>
        </w:rPr>
        <w:t>Cl. perfringens </w:t>
      </w:r>
      <w:r w:rsidRPr="00E14E86">
        <w:rPr>
          <w:rFonts w:ascii="Helvetica" w:hAnsi="Helvetica" w:cs="Helvetica"/>
          <w:color w:val="222222"/>
          <w:sz w:val="20"/>
          <w:szCs w:val="20"/>
          <w:lang w:eastAsia="en-AU"/>
        </w:rPr>
        <w:t>enterotoxin positive isolates are recovered which share an epidemiological link to isolates from the faeces of complainants.</w:t>
      </w:r>
    </w:p>
    <w:p w:rsidRPr="00E14E86" w:rsidR="00E14E86" w:rsidP="00E14E86" w:rsidRDefault="00E14E86" w14:paraId="4382718F"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3.2.3 Predictive values</w:t>
      </w:r>
    </w:p>
    <w:p w:rsidRPr="00E14E86" w:rsidR="00E14E86" w:rsidP="00E14E86" w:rsidRDefault="00E14E86" w14:paraId="7E4B4C8B"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 xml:space="preserve">Positive predictive values are high if suitable quality-controlled media is </w:t>
      </w:r>
      <w:proofErr w:type="gramStart"/>
      <w:r w:rsidRPr="00E14E86">
        <w:rPr>
          <w:rFonts w:ascii="Helvetica" w:hAnsi="Helvetica" w:cs="Helvetica"/>
          <w:color w:val="222222"/>
          <w:sz w:val="20"/>
          <w:szCs w:val="20"/>
          <w:lang w:eastAsia="en-AU"/>
        </w:rPr>
        <w:t>used</w:t>
      </w:r>
      <w:proofErr w:type="gramEnd"/>
      <w:r w:rsidRPr="00E14E86">
        <w:rPr>
          <w:rFonts w:ascii="Helvetica" w:hAnsi="Helvetica" w:cs="Helvetica"/>
          <w:color w:val="222222"/>
          <w:sz w:val="20"/>
          <w:szCs w:val="20"/>
          <w:lang w:eastAsia="en-AU"/>
        </w:rPr>
        <w:t xml:space="preserve"> and cultures are incubated anaerobically.</w:t>
      </w:r>
    </w:p>
    <w:p w:rsidRPr="00E14E86" w:rsidR="00E14E86" w:rsidP="00E14E86" w:rsidRDefault="00E14E86" w14:paraId="29C46948"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3.2.4 Predictive values</w:t>
      </w:r>
    </w:p>
    <w:p w:rsidRPr="00E14E86" w:rsidR="00E14E86" w:rsidP="00E14E86" w:rsidRDefault="00E14E86" w14:paraId="6F07C180"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 xml:space="preserve">Positive predictive values are high if suitable quality-controlled media is </w:t>
      </w:r>
      <w:proofErr w:type="gramStart"/>
      <w:r w:rsidRPr="00E14E86">
        <w:rPr>
          <w:rFonts w:ascii="Helvetica" w:hAnsi="Helvetica" w:cs="Helvetica"/>
          <w:color w:val="222222"/>
          <w:sz w:val="20"/>
          <w:szCs w:val="20"/>
          <w:lang w:eastAsia="en-AU"/>
        </w:rPr>
        <w:t>used</w:t>
      </w:r>
      <w:proofErr w:type="gramEnd"/>
      <w:r w:rsidRPr="00E14E86">
        <w:rPr>
          <w:rFonts w:ascii="Helvetica" w:hAnsi="Helvetica" w:cs="Helvetica"/>
          <w:color w:val="222222"/>
          <w:sz w:val="20"/>
          <w:szCs w:val="20"/>
          <w:lang w:eastAsia="en-AU"/>
        </w:rPr>
        <w:t xml:space="preserve"> and cultures are incubated anaerobically.</w:t>
      </w:r>
    </w:p>
    <w:p w:rsidRPr="00E14E86" w:rsidR="00E14E86" w:rsidP="00E14E86" w:rsidRDefault="00E14E86" w14:paraId="17973D3E"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3.2.5 Suitable Test Acceptance Criteria</w:t>
      </w:r>
    </w:p>
    <w:p w:rsidRPr="00E14E86" w:rsidR="00E14E86" w:rsidP="00E14E86" w:rsidRDefault="00E14E86" w14:paraId="2015432D"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Growth of typical black colonies (H2S production) surrounded by a zone of precipitation (</w:t>
      </w:r>
      <w:proofErr w:type="spellStart"/>
      <w:r w:rsidRPr="00E14E86">
        <w:rPr>
          <w:rFonts w:ascii="Helvetica" w:hAnsi="Helvetica" w:cs="Helvetica"/>
          <w:color w:val="222222"/>
          <w:sz w:val="20"/>
          <w:szCs w:val="20"/>
          <w:lang w:eastAsia="en-AU"/>
        </w:rPr>
        <w:t>lecithinase</w:t>
      </w:r>
      <w:proofErr w:type="spellEnd"/>
      <w:r w:rsidRPr="00E14E86">
        <w:rPr>
          <w:rFonts w:ascii="Helvetica" w:hAnsi="Helvetica" w:cs="Helvetica"/>
          <w:color w:val="222222"/>
          <w:sz w:val="20"/>
          <w:szCs w:val="20"/>
          <w:lang w:eastAsia="en-AU"/>
        </w:rPr>
        <w:t xml:space="preserve"> reaction). The most important confirmatory tests for isolates are Gram stain, </w:t>
      </w:r>
      <w:proofErr w:type="spellStart"/>
      <w:r w:rsidRPr="00E14E86">
        <w:rPr>
          <w:rFonts w:ascii="Helvetica" w:hAnsi="Helvetica" w:cs="Helvetica"/>
          <w:color w:val="222222"/>
          <w:sz w:val="20"/>
          <w:szCs w:val="20"/>
          <w:lang w:eastAsia="en-AU"/>
        </w:rPr>
        <w:t>lecithinase</w:t>
      </w:r>
      <w:proofErr w:type="spellEnd"/>
      <w:r w:rsidRPr="00E14E86">
        <w:rPr>
          <w:rFonts w:ascii="Helvetica" w:hAnsi="Helvetica" w:cs="Helvetica"/>
          <w:color w:val="222222"/>
          <w:sz w:val="20"/>
          <w:szCs w:val="20"/>
          <w:lang w:eastAsia="en-AU"/>
        </w:rPr>
        <w:t xml:space="preserve"> production, lactose fermentation, gelatine liquefaction, motility test and nitrate reduction.</w:t>
      </w:r>
    </w:p>
    <w:p w:rsidRPr="00E14E86" w:rsidR="00E14E86" w:rsidP="00E14E86" w:rsidRDefault="00E14E86" w14:paraId="6ABECC0B"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3.2.6 Suitable Internal Controls</w:t>
      </w:r>
    </w:p>
    <w:p w:rsidRPr="00E14E86" w:rsidR="00E14E86" w:rsidP="00E14E86" w:rsidRDefault="00E14E86" w14:paraId="34A6B2C4"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A positive control culture should be incubated anaerobically with each anaerobic jar of plates to demonstrate that the media is capable of supporting growth of the target organism on the day of culture under the appropriate conditions.</w:t>
      </w:r>
    </w:p>
    <w:p w:rsidRPr="00E14E86" w:rsidR="00E14E86" w:rsidP="00E14E86" w:rsidRDefault="00E14E86" w14:paraId="7A24CAD6"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3.2.7 Suitable Original Test Validation Criteria</w:t>
      </w:r>
    </w:p>
    <w:p w:rsidRPr="00E14E86" w:rsidR="00E14E86" w:rsidP="00E14E86" w:rsidRDefault="00E14E86" w14:paraId="70867870"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There is an Australian Standard Method for the recovery and enumeration of </w:t>
      </w:r>
      <w:r w:rsidRPr="00E14E86">
        <w:rPr>
          <w:rFonts w:ascii="Helvetica" w:hAnsi="Helvetica" w:cs="Helvetica"/>
          <w:i/>
          <w:iCs/>
          <w:color w:val="222222"/>
          <w:sz w:val="20"/>
          <w:szCs w:val="20"/>
          <w:lang w:eastAsia="en-AU"/>
        </w:rPr>
        <w:t>Cl. perfringens</w:t>
      </w:r>
      <w:r w:rsidRPr="00E14E86">
        <w:rPr>
          <w:rFonts w:ascii="Helvetica" w:hAnsi="Helvetica" w:cs="Helvetica"/>
          <w:color w:val="222222"/>
          <w:sz w:val="20"/>
          <w:szCs w:val="20"/>
          <w:lang w:eastAsia="en-AU"/>
        </w:rPr>
        <w:t xml:space="preserve"> in food samples (AS5013.16-2006). As the matrix of the food can have considerable bearing on the recovery of the target organism, it is important that suitable validation data are available to support the recovery of the organism in the </w:t>
      </w:r>
      <w:proofErr w:type="gramStart"/>
      <w:r w:rsidRPr="00E14E86">
        <w:rPr>
          <w:rFonts w:ascii="Helvetica" w:hAnsi="Helvetica" w:cs="Helvetica"/>
          <w:color w:val="222222"/>
          <w:sz w:val="20"/>
          <w:szCs w:val="20"/>
          <w:lang w:eastAsia="en-AU"/>
        </w:rPr>
        <w:t>particular food</w:t>
      </w:r>
      <w:proofErr w:type="gramEnd"/>
      <w:r w:rsidRPr="00E14E86">
        <w:rPr>
          <w:rFonts w:ascii="Helvetica" w:hAnsi="Helvetica" w:cs="Helvetica"/>
          <w:color w:val="222222"/>
          <w:sz w:val="20"/>
          <w:szCs w:val="20"/>
          <w:lang w:eastAsia="en-AU"/>
        </w:rPr>
        <w:t xml:space="preserve"> matrix.</w:t>
      </w:r>
    </w:p>
    <w:p w:rsidRPr="00E14E86" w:rsidR="00E14E86" w:rsidP="00E14E86" w:rsidRDefault="00E14E86" w14:paraId="71C754E6"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3.2.8 Suitable External (QAP) Programme(s)</w:t>
      </w:r>
    </w:p>
    <w:p w:rsidRPr="00E14E86" w:rsidR="00E14E86" w:rsidP="00E14E86" w:rsidRDefault="00E14E86" w14:paraId="0710F145"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 xml:space="preserve">There are </w:t>
      </w:r>
      <w:proofErr w:type="gramStart"/>
      <w:r w:rsidRPr="00E14E86">
        <w:rPr>
          <w:rFonts w:ascii="Helvetica" w:hAnsi="Helvetica" w:cs="Helvetica"/>
          <w:color w:val="222222"/>
          <w:sz w:val="20"/>
          <w:szCs w:val="20"/>
          <w:lang w:eastAsia="en-AU"/>
        </w:rPr>
        <w:t>a number of</w:t>
      </w:r>
      <w:proofErr w:type="gramEnd"/>
      <w:r w:rsidRPr="00E14E86">
        <w:rPr>
          <w:rFonts w:ascii="Helvetica" w:hAnsi="Helvetica" w:cs="Helvetica"/>
          <w:color w:val="222222"/>
          <w:sz w:val="20"/>
          <w:szCs w:val="20"/>
          <w:lang w:eastAsia="en-AU"/>
        </w:rPr>
        <w:t xml:space="preserve"> Food Microbiology QAPs that offer samples contaminated with appropriate target organisms, but the programme run by IFM is particularly flexible in its design of appropriate matrices and target organisms, including </w:t>
      </w:r>
      <w:r w:rsidRPr="00E14E86">
        <w:rPr>
          <w:rFonts w:ascii="Helvetica" w:hAnsi="Helvetica" w:cs="Helvetica"/>
          <w:i/>
          <w:iCs/>
          <w:color w:val="222222"/>
          <w:sz w:val="20"/>
          <w:szCs w:val="20"/>
          <w:lang w:eastAsia="en-AU"/>
        </w:rPr>
        <w:t>Cl. perfringens.</w:t>
      </w:r>
    </w:p>
    <w:p w:rsidRPr="00E14E86" w:rsidR="00E14E86" w:rsidP="00E14E86" w:rsidRDefault="00E14E86" w14:paraId="3004A555"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lastRenderedPageBreak/>
        <w:t>3.2.9 Special Considerations</w:t>
      </w:r>
    </w:p>
    <w:p w:rsidRPr="00E14E86" w:rsidR="00E14E86" w:rsidP="00E14E86" w:rsidRDefault="00E14E86" w14:paraId="3D47695F"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 xml:space="preserve">Typical </w:t>
      </w:r>
      <w:proofErr w:type="gramStart"/>
      <w:r w:rsidRPr="00E14E86">
        <w:rPr>
          <w:rFonts w:ascii="Helvetica" w:hAnsi="Helvetica" w:cs="Helvetica"/>
          <w:color w:val="222222"/>
          <w:sz w:val="20"/>
          <w:szCs w:val="20"/>
          <w:lang w:eastAsia="en-AU"/>
        </w:rPr>
        <w:t>Gram positive</w:t>
      </w:r>
      <w:proofErr w:type="gramEnd"/>
      <w:r w:rsidRPr="00E14E86">
        <w:rPr>
          <w:rFonts w:ascii="Helvetica" w:hAnsi="Helvetica" w:cs="Helvetica"/>
          <w:color w:val="222222"/>
          <w:sz w:val="20"/>
          <w:szCs w:val="20"/>
          <w:lang w:eastAsia="en-AU"/>
        </w:rPr>
        <w:t xml:space="preserve"> bacilli may be visualised in Gram stain smears of implicated food samples. </w:t>
      </w:r>
      <w:proofErr w:type="spellStart"/>
      <w:r w:rsidRPr="00E14E86">
        <w:rPr>
          <w:rFonts w:ascii="Helvetica" w:hAnsi="Helvetica" w:cs="Helvetica"/>
          <w:color w:val="222222"/>
          <w:sz w:val="20"/>
          <w:szCs w:val="20"/>
          <w:lang w:eastAsia="en-AU"/>
        </w:rPr>
        <w:t>Lecithinase</w:t>
      </w:r>
      <w:proofErr w:type="spellEnd"/>
      <w:r w:rsidRPr="00E14E86">
        <w:rPr>
          <w:rFonts w:ascii="Helvetica" w:hAnsi="Helvetica" w:cs="Helvetica"/>
          <w:color w:val="222222"/>
          <w:sz w:val="20"/>
          <w:szCs w:val="20"/>
          <w:lang w:eastAsia="en-AU"/>
        </w:rPr>
        <w:t xml:space="preserve"> negative </w:t>
      </w:r>
      <w:r w:rsidRPr="00E14E86">
        <w:rPr>
          <w:rFonts w:ascii="Helvetica" w:hAnsi="Helvetica" w:cs="Helvetica"/>
          <w:i/>
          <w:iCs/>
          <w:color w:val="222222"/>
          <w:sz w:val="20"/>
          <w:szCs w:val="20"/>
          <w:lang w:eastAsia="en-AU"/>
        </w:rPr>
        <w:t>Cl. perfringens</w:t>
      </w:r>
      <w:r w:rsidRPr="00E14E86">
        <w:rPr>
          <w:rFonts w:ascii="Helvetica" w:hAnsi="Helvetica" w:cs="Helvetica"/>
          <w:color w:val="222222"/>
          <w:sz w:val="20"/>
          <w:szCs w:val="20"/>
          <w:lang w:eastAsia="en-AU"/>
        </w:rPr>
        <w:t> have been associated with outbreaks (</w:t>
      </w:r>
      <w:proofErr w:type="spellStart"/>
      <w:r w:rsidRPr="00E14E86">
        <w:rPr>
          <w:rFonts w:ascii="Helvetica" w:hAnsi="Helvetica" w:cs="Helvetica"/>
          <w:color w:val="222222"/>
          <w:sz w:val="20"/>
          <w:szCs w:val="20"/>
          <w:lang w:eastAsia="en-AU"/>
        </w:rPr>
        <w:t>Pinegar</w:t>
      </w:r>
      <w:proofErr w:type="spellEnd"/>
      <w:r w:rsidRPr="00E14E86">
        <w:rPr>
          <w:rFonts w:ascii="Helvetica" w:hAnsi="Helvetica" w:cs="Helvetica"/>
          <w:color w:val="222222"/>
          <w:sz w:val="20"/>
          <w:szCs w:val="20"/>
          <w:lang w:eastAsia="en-AU"/>
        </w:rPr>
        <w:t xml:space="preserve"> et al 77).</w:t>
      </w:r>
    </w:p>
    <w:p w:rsidRPr="00E14E86" w:rsidR="00E14E86" w:rsidP="00E14E86" w:rsidRDefault="00E14E86" w14:paraId="77A243E4" w14:textId="77777777">
      <w:pPr>
        <w:shd w:val="clear" w:color="auto" w:fill="FFFFFF"/>
        <w:spacing w:after="120" w:line="276" w:lineRule="auto"/>
        <w:outlineLvl w:val="2"/>
        <w:rPr>
          <w:rFonts w:ascii="Open Sans" w:hAnsi="Open Sans" w:cs="Open Sans"/>
          <w:color w:val="000000"/>
          <w:sz w:val="27"/>
          <w:szCs w:val="27"/>
          <w:lang w:eastAsia="en-AU"/>
        </w:rPr>
      </w:pPr>
      <w:r w:rsidRPr="00E14E86">
        <w:rPr>
          <w:rFonts w:ascii="Open Sans" w:hAnsi="Open Sans" w:cs="Open Sans"/>
          <w:color w:val="000000"/>
          <w:sz w:val="27"/>
          <w:szCs w:val="27"/>
          <w:lang w:eastAsia="en-AU"/>
        </w:rPr>
        <w:t>3.3 Enterotoxin (Antigen) Detection</w:t>
      </w:r>
    </w:p>
    <w:p w:rsidRPr="00E14E86" w:rsidR="00E14E86" w:rsidP="00E14E86" w:rsidRDefault="00E14E86" w14:paraId="27136EA0"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 xml:space="preserve">Assays are performed on faeces, not food samples, as the diarrhoea is caused by the enterotoxin when it is released into the gut by sporulating organisms, rather than being produced in food and then ingested. Enterotoxin may be detected in faeces by Vero cell assays, </w:t>
      </w:r>
      <w:proofErr w:type="gramStart"/>
      <w:r w:rsidRPr="00E14E86">
        <w:rPr>
          <w:rFonts w:ascii="Helvetica" w:hAnsi="Helvetica" w:cs="Helvetica"/>
          <w:color w:val="222222"/>
          <w:sz w:val="20"/>
          <w:szCs w:val="20"/>
          <w:lang w:eastAsia="en-AU"/>
        </w:rPr>
        <w:t>ELISA</w:t>
      </w:r>
      <w:proofErr w:type="gramEnd"/>
      <w:r w:rsidRPr="00E14E86">
        <w:rPr>
          <w:rFonts w:ascii="Helvetica" w:hAnsi="Helvetica" w:cs="Helvetica"/>
          <w:color w:val="222222"/>
          <w:sz w:val="20"/>
          <w:szCs w:val="20"/>
          <w:lang w:eastAsia="en-AU"/>
        </w:rPr>
        <w:t xml:space="preserve"> and reverse passive agglutination (RPLA) tests.</w:t>
      </w:r>
    </w:p>
    <w:p w:rsidRPr="00E14E86" w:rsidR="00E14E86" w:rsidP="00E14E86" w:rsidRDefault="00E14E86" w14:paraId="2F87C013"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 xml:space="preserve">In Australia the </w:t>
      </w:r>
      <w:proofErr w:type="spellStart"/>
      <w:r w:rsidRPr="00E14E86">
        <w:rPr>
          <w:rFonts w:ascii="Helvetica" w:hAnsi="Helvetica" w:cs="Helvetica"/>
          <w:color w:val="222222"/>
          <w:sz w:val="20"/>
          <w:szCs w:val="20"/>
          <w:lang w:eastAsia="en-AU"/>
        </w:rPr>
        <w:t>Oxoid</w:t>
      </w:r>
      <w:proofErr w:type="spellEnd"/>
      <w:r w:rsidRPr="00E14E86">
        <w:rPr>
          <w:rFonts w:ascii="Helvetica" w:hAnsi="Helvetica" w:cs="Helvetica"/>
          <w:color w:val="222222"/>
          <w:sz w:val="20"/>
          <w:szCs w:val="20"/>
          <w:lang w:eastAsia="en-AU"/>
        </w:rPr>
        <w:t xml:space="preserve"> PET-RPLA was often used previously but it appears that this product is no longer available. Some laboratories still use Vero cells to detect enterotoxin activity. ELISA assays are not marketed in Australia. Further information about the performance characteristics of the three methods may be obtained from Berry et al 1988.</w:t>
      </w:r>
    </w:p>
    <w:p w:rsidRPr="00E14E86" w:rsidR="00E14E86" w:rsidP="00E14E86" w:rsidRDefault="00E14E86" w14:paraId="05E06B7A"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3.3.1 Specimens</w:t>
      </w:r>
    </w:p>
    <w:p w:rsidRPr="00E14E86" w:rsidR="00E14E86" w:rsidP="00E14E86" w:rsidRDefault="00E14E86" w14:paraId="0D87E13E"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Faeces only</w:t>
      </w:r>
    </w:p>
    <w:p w:rsidRPr="00E14E86" w:rsidR="00E14E86" w:rsidP="00E14E86" w:rsidRDefault="00E14E86" w14:paraId="30D8CAA9"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3.3.2 Test Sensitivity</w:t>
      </w:r>
    </w:p>
    <w:p w:rsidRPr="00E14E86" w:rsidR="00E14E86" w:rsidP="00E14E86" w:rsidRDefault="00E14E86" w14:paraId="07E385A5"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 xml:space="preserve">All three assays are highly sensitive in detecting enterotoxin if specimens from multiple patients are collected less than 2 days after onset of symptoms. The Vero cell assay is least </w:t>
      </w:r>
      <w:proofErr w:type="gramStart"/>
      <w:r w:rsidRPr="00E14E86">
        <w:rPr>
          <w:rFonts w:ascii="Helvetica" w:hAnsi="Helvetica" w:cs="Helvetica"/>
          <w:color w:val="222222"/>
          <w:sz w:val="20"/>
          <w:szCs w:val="20"/>
          <w:lang w:eastAsia="en-AU"/>
        </w:rPr>
        <w:t>sensitive</w:t>
      </w:r>
      <w:proofErr w:type="gramEnd"/>
      <w:r w:rsidRPr="00E14E86">
        <w:rPr>
          <w:rFonts w:ascii="Helvetica" w:hAnsi="Helvetica" w:cs="Helvetica"/>
          <w:color w:val="222222"/>
          <w:sz w:val="20"/>
          <w:szCs w:val="20"/>
          <w:lang w:eastAsia="en-AU"/>
        </w:rPr>
        <w:t xml:space="preserve"> and its sensitivity is further reduced if testing is delayed, because the assay relies on detection of the enterotoxin’s biological activity which wanes on storage (Berry et al 1988).</w:t>
      </w:r>
    </w:p>
    <w:p w:rsidRPr="00E14E86" w:rsidR="00E14E86" w:rsidP="00E14E86" w:rsidRDefault="00E14E86" w14:paraId="3E8AD306"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3.3.3 Test Specificity</w:t>
      </w:r>
    </w:p>
    <w:p w:rsidRPr="00E14E86" w:rsidR="00E14E86" w:rsidP="00E14E86" w:rsidRDefault="00E14E86" w14:paraId="6ECE5CFA"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The ELISA is highly specific. The RPLA may give false positive results which are generally at the lower limit of detection of the test. The Vero cell assay is the least specific and reproducible but is adequate for investigating outbreaks where faecal specimens from multiple patients are collected soon after symptoms develop.</w:t>
      </w:r>
    </w:p>
    <w:p w:rsidRPr="00E14E86" w:rsidR="00E14E86" w:rsidP="00E14E86" w:rsidRDefault="00E14E86" w14:paraId="7DD1CDD1"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3.3.4 Predictive Values</w:t>
      </w:r>
    </w:p>
    <w:p w:rsidRPr="00E14E86" w:rsidR="00E14E86" w:rsidP="00E14E86" w:rsidRDefault="00E14E86" w14:paraId="74D1B373"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ELISA: Positive and negative predictive values are high.</w:t>
      </w:r>
      <w:r w:rsidRPr="00E14E86">
        <w:rPr>
          <w:rFonts w:ascii="Helvetica" w:hAnsi="Helvetica" w:cs="Helvetica"/>
          <w:color w:val="222222"/>
          <w:sz w:val="20"/>
          <w:szCs w:val="20"/>
          <w:lang w:eastAsia="en-AU"/>
        </w:rPr>
        <w:br/>
      </w:r>
      <w:r w:rsidRPr="00E14E86">
        <w:rPr>
          <w:rFonts w:ascii="Helvetica" w:hAnsi="Helvetica" w:cs="Helvetica"/>
          <w:color w:val="222222"/>
          <w:sz w:val="20"/>
          <w:szCs w:val="20"/>
          <w:lang w:eastAsia="en-AU"/>
        </w:rPr>
        <w:t>RPLA: High Negative predictive value, lower positive predictive value.</w:t>
      </w:r>
      <w:r w:rsidRPr="00E14E86">
        <w:rPr>
          <w:rFonts w:ascii="Helvetica" w:hAnsi="Helvetica" w:cs="Helvetica"/>
          <w:color w:val="222222"/>
          <w:sz w:val="20"/>
          <w:szCs w:val="20"/>
          <w:lang w:eastAsia="en-AU"/>
        </w:rPr>
        <w:br/>
      </w:r>
      <w:r w:rsidRPr="00E14E86">
        <w:rPr>
          <w:rFonts w:ascii="Helvetica" w:hAnsi="Helvetica" w:cs="Helvetica"/>
          <w:color w:val="222222"/>
          <w:sz w:val="20"/>
          <w:szCs w:val="20"/>
          <w:lang w:eastAsia="en-AU"/>
        </w:rPr>
        <w:t>Vero cell assay: lowest negative and positive predictive values.</w:t>
      </w:r>
    </w:p>
    <w:p w:rsidRPr="00E14E86" w:rsidR="00E14E86" w:rsidP="00E14E86" w:rsidRDefault="00E14E86" w14:paraId="2BDE2B9B"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3.3.5 Suitable Internal Controls</w:t>
      </w:r>
    </w:p>
    <w:p w:rsidRPr="00E14E86" w:rsidR="00E14E86" w:rsidP="00E14E86" w:rsidRDefault="00E14E86" w14:paraId="053B9149"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ELISA: according to Bartholomew et al (1985).</w:t>
      </w:r>
      <w:r w:rsidRPr="00E14E86">
        <w:rPr>
          <w:rFonts w:ascii="Helvetica" w:hAnsi="Helvetica" w:cs="Helvetica"/>
          <w:color w:val="222222"/>
          <w:sz w:val="20"/>
          <w:szCs w:val="20"/>
          <w:lang w:eastAsia="en-AU"/>
        </w:rPr>
        <w:br/>
      </w:r>
      <w:r w:rsidRPr="00E14E86">
        <w:rPr>
          <w:rFonts w:ascii="Helvetica" w:hAnsi="Helvetica" w:cs="Helvetica"/>
          <w:color w:val="222222"/>
          <w:sz w:val="20"/>
          <w:szCs w:val="20"/>
          <w:lang w:eastAsia="en-AU"/>
        </w:rPr>
        <w:t>RPLA: according to the manufacturer’s instructions.</w:t>
      </w:r>
      <w:r w:rsidRPr="00E14E86">
        <w:rPr>
          <w:rFonts w:ascii="Helvetica" w:hAnsi="Helvetica" w:cs="Helvetica"/>
          <w:color w:val="222222"/>
          <w:sz w:val="20"/>
          <w:szCs w:val="20"/>
          <w:lang w:eastAsia="en-AU"/>
        </w:rPr>
        <w:br/>
      </w:r>
      <w:r w:rsidRPr="00E14E86">
        <w:rPr>
          <w:rFonts w:ascii="Helvetica" w:hAnsi="Helvetica" w:cs="Helvetica"/>
          <w:color w:val="222222"/>
          <w:sz w:val="20"/>
          <w:szCs w:val="20"/>
          <w:lang w:eastAsia="en-AU"/>
        </w:rPr>
        <w:t>Vero cell assay: appropriate dilutions of enterotoxin preparation (</w:t>
      </w:r>
      <w:proofErr w:type="spellStart"/>
      <w:r w:rsidRPr="00E14E86">
        <w:rPr>
          <w:rFonts w:ascii="Helvetica" w:hAnsi="Helvetica" w:cs="Helvetica"/>
          <w:color w:val="222222"/>
          <w:sz w:val="20"/>
          <w:szCs w:val="20"/>
          <w:lang w:eastAsia="en-AU"/>
        </w:rPr>
        <w:t>Guigliano</w:t>
      </w:r>
      <w:proofErr w:type="spellEnd"/>
      <w:r w:rsidRPr="00E14E86">
        <w:rPr>
          <w:rFonts w:ascii="Helvetica" w:hAnsi="Helvetica" w:cs="Helvetica"/>
          <w:color w:val="222222"/>
          <w:sz w:val="20"/>
          <w:szCs w:val="20"/>
          <w:lang w:eastAsia="en-AU"/>
        </w:rPr>
        <w:t xml:space="preserve"> et al, 1983).</w:t>
      </w:r>
    </w:p>
    <w:p w:rsidRPr="00E14E86" w:rsidR="00E14E86" w:rsidP="00E14E86" w:rsidRDefault="00E14E86" w14:paraId="594144EE"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3.3.6 Suitable Original Test Validation Criteria</w:t>
      </w:r>
    </w:p>
    <w:p w:rsidRPr="00E14E86" w:rsidR="00E14E86" w:rsidP="00E14E86" w:rsidRDefault="00E14E86" w14:paraId="31E1CFB1" w14:textId="4D45F729">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As per published literature.</w:t>
      </w:r>
    </w:p>
    <w:p w:rsidRPr="00E14E86" w:rsidR="00E14E86" w:rsidP="00E14E86" w:rsidRDefault="00E14E86" w14:paraId="3EE997F0" w14:textId="77777777">
      <w:pPr>
        <w:keepNext/>
        <w:shd w:val="clear" w:color="auto" w:fill="FFFFFF"/>
        <w:spacing w:before="240"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lastRenderedPageBreak/>
        <w:t>3.3.7 Suitable External (QAP) Programme(s)</w:t>
      </w:r>
    </w:p>
    <w:p w:rsidRPr="00E14E86" w:rsidR="00E14E86" w:rsidP="00E14E86" w:rsidRDefault="00E14E86" w14:paraId="2276957A" w14:textId="77777777">
      <w:pPr>
        <w:shd w:val="clear" w:color="auto" w:fill="FFFFFF"/>
        <w:spacing w:after="240" w:line="276" w:lineRule="auto"/>
        <w:rPr>
          <w:rFonts w:ascii="Helvetica" w:hAnsi="Helvetica" w:cs="Helvetica"/>
          <w:color w:val="222222"/>
          <w:sz w:val="20"/>
          <w:szCs w:val="20"/>
          <w:lang w:eastAsia="en-AU"/>
        </w:rPr>
      </w:pPr>
      <w:proofErr w:type="gramStart"/>
      <w:r w:rsidRPr="00E14E86">
        <w:rPr>
          <w:rFonts w:ascii="Helvetica" w:hAnsi="Helvetica" w:cs="Helvetica"/>
          <w:color w:val="222222"/>
          <w:sz w:val="20"/>
          <w:szCs w:val="20"/>
          <w:lang w:eastAsia="en-AU"/>
        </w:rPr>
        <w:t>None available</w:t>
      </w:r>
      <w:proofErr w:type="gramEnd"/>
    </w:p>
    <w:p w:rsidRPr="00E14E86" w:rsidR="00E14E86" w:rsidP="00E14E86" w:rsidRDefault="00E14E86" w14:paraId="3A512124"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3.3.8 Special Considerations</w:t>
      </w:r>
    </w:p>
    <w:p w:rsidRPr="00E14E86" w:rsidR="00E14E86" w:rsidP="00E14E86" w:rsidRDefault="00E14E86" w14:paraId="55714848"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Specimens from multiple patients should be obtained as early as possible after symptoms appear.</w:t>
      </w:r>
    </w:p>
    <w:p w:rsidRPr="00E14E86" w:rsidR="00E14E86" w:rsidP="00E14E86" w:rsidRDefault="00E14E86" w14:paraId="75EEC2B4"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3.4 Nucleic Acid Tests</w:t>
      </w:r>
    </w:p>
    <w:p w:rsidRPr="00E14E86" w:rsidR="00E14E86" w:rsidP="00E14E86" w:rsidRDefault="00E14E86" w14:paraId="63B05758"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 xml:space="preserve">Assays are performed on multiple isolates of confirmed Cl. perfringens recovered from the culture of food and faecal samples. The targets include the toxin genes (for molecular typing) and </w:t>
      </w:r>
      <w:proofErr w:type="gramStart"/>
      <w:r w:rsidRPr="00E14E86">
        <w:rPr>
          <w:rFonts w:ascii="Helvetica" w:hAnsi="Helvetica" w:cs="Helvetica"/>
          <w:color w:val="222222"/>
          <w:sz w:val="20"/>
          <w:szCs w:val="20"/>
          <w:lang w:eastAsia="en-AU"/>
        </w:rPr>
        <w:t>in particular the</w:t>
      </w:r>
      <w:proofErr w:type="gramEnd"/>
      <w:r w:rsidRPr="00E14E86">
        <w:rPr>
          <w:rFonts w:ascii="Helvetica" w:hAnsi="Helvetica" w:cs="Helvetica"/>
          <w:color w:val="222222"/>
          <w:sz w:val="20"/>
          <w:szCs w:val="20"/>
          <w:lang w:eastAsia="en-AU"/>
        </w:rPr>
        <w:t xml:space="preserve"> </w:t>
      </w:r>
      <w:proofErr w:type="spellStart"/>
      <w:r w:rsidRPr="00E14E86">
        <w:rPr>
          <w:rFonts w:ascii="Helvetica" w:hAnsi="Helvetica" w:cs="Helvetica"/>
          <w:color w:val="222222"/>
          <w:sz w:val="20"/>
          <w:szCs w:val="20"/>
          <w:lang w:eastAsia="en-AU"/>
        </w:rPr>
        <w:t>cpe</w:t>
      </w:r>
      <w:proofErr w:type="spellEnd"/>
      <w:r w:rsidRPr="00E14E86">
        <w:rPr>
          <w:rFonts w:ascii="Helvetica" w:hAnsi="Helvetica" w:cs="Helvetica"/>
          <w:color w:val="222222"/>
          <w:sz w:val="20"/>
          <w:szCs w:val="20"/>
          <w:lang w:eastAsia="en-AU"/>
        </w:rPr>
        <w:t xml:space="preserve"> </w:t>
      </w:r>
      <w:proofErr w:type="spellStart"/>
      <w:r w:rsidRPr="00E14E86">
        <w:rPr>
          <w:rFonts w:ascii="Helvetica" w:hAnsi="Helvetica" w:cs="Helvetica"/>
          <w:color w:val="222222"/>
          <w:sz w:val="20"/>
          <w:szCs w:val="20"/>
          <w:lang w:eastAsia="en-AU"/>
        </w:rPr>
        <w:t>enteroxin</w:t>
      </w:r>
      <w:proofErr w:type="spellEnd"/>
      <w:r w:rsidRPr="00E14E86">
        <w:rPr>
          <w:rFonts w:ascii="Helvetica" w:hAnsi="Helvetica" w:cs="Helvetica"/>
          <w:color w:val="222222"/>
          <w:sz w:val="20"/>
          <w:szCs w:val="20"/>
          <w:lang w:eastAsia="en-AU"/>
        </w:rPr>
        <w:t xml:space="preserve"> gene. In addition, targets to determine whether the </w:t>
      </w:r>
      <w:proofErr w:type="spellStart"/>
      <w:r w:rsidRPr="00E14E86">
        <w:rPr>
          <w:rFonts w:ascii="Helvetica" w:hAnsi="Helvetica" w:cs="Helvetica"/>
          <w:color w:val="222222"/>
          <w:sz w:val="20"/>
          <w:szCs w:val="20"/>
          <w:lang w:eastAsia="en-AU"/>
        </w:rPr>
        <w:t>cpe</w:t>
      </w:r>
      <w:proofErr w:type="spellEnd"/>
      <w:r w:rsidRPr="00E14E86">
        <w:rPr>
          <w:rFonts w:ascii="Helvetica" w:hAnsi="Helvetica" w:cs="Helvetica"/>
          <w:color w:val="222222"/>
          <w:sz w:val="20"/>
          <w:szCs w:val="20"/>
          <w:lang w:eastAsia="en-AU"/>
        </w:rPr>
        <w:t xml:space="preserve"> gene is carried chromosomally or on a plasmid are included.</w:t>
      </w:r>
    </w:p>
    <w:p w:rsidRPr="00E14E86" w:rsidR="00E14E86" w:rsidP="00E14E86" w:rsidRDefault="00E14E86" w14:paraId="7F13B0CB"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3.4.1 Suitable and Unsuitable specimens</w:t>
      </w:r>
    </w:p>
    <w:p w:rsidRPr="00E14E86" w:rsidR="00E14E86" w:rsidP="00E14E86" w:rsidRDefault="00E14E86" w14:paraId="3172562E"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Crude TE (Tris-EDTA) boils of isolates of </w:t>
      </w:r>
      <w:r w:rsidRPr="00E14E86">
        <w:rPr>
          <w:rFonts w:ascii="Helvetica" w:hAnsi="Helvetica" w:cs="Helvetica"/>
          <w:i/>
          <w:iCs/>
          <w:color w:val="222222"/>
          <w:sz w:val="20"/>
          <w:szCs w:val="20"/>
          <w:lang w:eastAsia="en-AU"/>
        </w:rPr>
        <w:t xml:space="preserve">Cl. </w:t>
      </w:r>
      <w:proofErr w:type="spellStart"/>
      <w:r w:rsidRPr="00E14E86">
        <w:rPr>
          <w:rFonts w:ascii="Helvetica" w:hAnsi="Helvetica" w:cs="Helvetica"/>
          <w:i/>
          <w:iCs/>
          <w:color w:val="222222"/>
          <w:sz w:val="20"/>
          <w:szCs w:val="20"/>
          <w:lang w:eastAsia="en-AU"/>
        </w:rPr>
        <w:t>perfringens</w:t>
      </w:r>
      <w:r w:rsidRPr="00E14E86">
        <w:rPr>
          <w:rFonts w:ascii="Helvetica" w:hAnsi="Helvetica" w:cs="Helvetica"/>
          <w:color w:val="222222"/>
          <w:sz w:val="20"/>
          <w:szCs w:val="20"/>
          <w:lang w:eastAsia="en-AU"/>
        </w:rPr>
        <w:t>that</w:t>
      </w:r>
      <w:proofErr w:type="spellEnd"/>
      <w:r w:rsidRPr="00E14E86">
        <w:rPr>
          <w:rFonts w:ascii="Helvetica" w:hAnsi="Helvetica" w:cs="Helvetica"/>
          <w:color w:val="222222"/>
          <w:sz w:val="20"/>
          <w:szCs w:val="20"/>
          <w:lang w:eastAsia="en-AU"/>
        </w:rPr>
        <w:t xml:space="preserve"> have been confirmed biochemically and that belong to a defined outbreak with an epidemiology consistent with an outbreak of </w:t>
      </w:r>
      <w:r w:rsidRPr="00E14E86">
        <w:rPr>
          <w:rFonts w:ascii="Helvetica" w:hAnsi="Helvetica" w:cs="Helvetica"/>
          <w:i/>
          <w:iCs/>
          <w:color w:val="222222"/>
          <w:sz w:val="20"/>
          <w:szCs w:val="20"/>
          <w:lang w:eastAsia="en-AU"/>
        </w:rPr>
        <w:t>Cl. perfringens </w:t>
      </w:r>
      <w:r w:rsidRPr="00E14E86">
        <w:rPr>
          <w:rFonts w:ascii="Helvetica" w:hAnsi="Helvetica" w:cs="Helvetica"/>
          <w:color w:val="222222"/>
          <w:sz w:val="20"/>
          <w:szCs w:val="20"/>
          <w:lang w:eastAsia="en-AU"/>
        </w:rPr>
        <w:t>food poisoning.</w:t>
      </w:r>
    </w:p>
    <w:p w:rsidRPr="00E14E86" w:rsidR="00E14E86" w:rsidP="00E14E86" w:rsidRDefault="00E14E86" w14:paraId="0A60F510"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3.4.2 Test Sensitivity</w:t>
      </w:r>
    </w:p>
    <w:p w:rsidRPr="00E14E86" w:rsidR="00E14E86" w:rsidP="00E14E86" w:rsidRDefault="00E14E86" w14:paraId="44A60BD4"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 xml:space="preserve">Test sensitivity is high if appropriate controls are </w:t>
      </w:r>
      <w:proofErr w:type="gramStart"/>
      <w:r w:rsidRPr="00E14E86">
        <w:rPr>
          <w:rFonts w:ascii="Helvetica" w:hAnsi="Helvetica" w:cs="Helvetica"/>
          <w:color w:val="222222"/>
          <w:sz w:val="20"/>
          <w:szCs w:val="20"/>
          <w:lang w:eastAsia="en-AU"/>
        </w:rPr>
        <w:t>used</w:t>
      </w:r>
      <w:proofErr w:type="gramEnd"/>
      <w:r w:rsidRPr="00E14E86">
        <w:rPr>
          <w:rFonts w:ascii="Helvetica" w:hAnsi="Helvetica" w:cs="Helvetica"/>
          <w:color w:val="222222"/>
          <w:sz w:val="20"/>
          <w:szCs w:val="20"/>
          <w:lang w:eastAsia="en-AU"/>
        </w:rPr>
        <w:t xml:space="preserve"> and they provide expected reactions.</w:t>
      </w:r>
    </w:p>
    <w:p w:rsidRPr="00E14E86" w:rsidR="00E14E86" w:rsidP="00E14E86" w:rsidRDefault="00E14E86" w14:paraId="31209384"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3.4.3 Test Specificity</w:t>
      </w:r>
    </w:p>
    <w:p w:rsidRPr="00E14E86" w:rsidR="00E14E86" w:rsidP="00E14E86" w:rsidRDefault="00E14E86" w14:paraId="49C7FE14"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The various targets are highly specific when used in conjunction with appropriate controls.</w:t>
      </w:r>
    </w:p>
    <w:p w:rsidRPr="00E14E86" w:rsidR="00E14E86" w:rsidP="00E14E86" w:rsidRDefault="00E14E86" w14:paraId="186B17EA"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3.4.4 Predictive Values</w:t>
      </w:r>
    </w:p>
    <w:p w:rsidRPr="00E14E86" w:rsidR="00E14E86" w:rsidP="00E14E86" w:rsidRDefault="00E14E86" w14:paraId="5F812CE5"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Positive and negative predictive values are high if primers are designed appropriately.</w:t>
      </w:r>
    </w:p>
    <w:p w:rsidRPr="00E14E86" w:rsidR="00E14E86" w:rsidP="00E14E86" w:rsidRDefault="00E14E86" w14:paraId="79A43291"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3.4.5 Suitable Test Acceptance Criteria</w:t>
      </w:r>
    </w:p>
    <w:p w:rsidRPr="00E14E86" w:rsidR="00E14E86" w:rsidP="00E14E86" w:rsidRDefault="00E14E86" w14:paraId="2B34DBAA"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In-house assays should be validated according to the NPAAC Requirements for the Validation of In-house In Vitro Diagnostic Devices (IVDs).</w:t>
      </w:r>
    </w:p>
    <w:p w:rsidRPr="00E14E86" w:rsidR="00E14E86" w:rsidP="00E14E86" w:rsidRDefault="00E14E86" w14:paraId="25DBCD52"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3.4.6 Suitable Internal Controls</w:t>
      </w:r>
    </w:p>
    <w:p w:rsidRPr="00E14E86" w:rsidR="00E14E86" w:rsidP="00E14E86" w:rsidRDefault="00E14E86" w14:paraId="7C607DFB"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Suitable controls include isolates that have been shown to carry the </w:t>
      </w:r>
      <w:proofErr w:type="spellStart"/>
      <w:r w:rsidRPr="00E14E86">
        <w:rPr>
          <w:rFonts w:ascii="Helvetica" w:hAnsi="Helvetica" w:cs="Helvetica"/>
          <w:i/>
          <w:iCs/>
          <w:color w:val="222222"/>
          <w:sz w:val="20"/>
          <w:szCs w:val="20"/>
          <w:lang w:eastAsia="en-AU"/>
        </w:rPr>
        <w:t>cpe</w:t>
      </w:r>
      <w:proofErr w:type="spellEnd"/>
      <w:r w:rsidRPr="00E14E86">
        <w:rPr>
          <w:rFonts w:ascii="Helvetica" w:hAnsi="Helvetica" w:cs="Helvetica"/>
          <w:i/>
          <w:iCs/>
          <w:color w:val="222222"/>
          <w:sz w:val="20"/>
          <w:szCs w:val="20"/>
          <w:lang w:eastAsia="en-AU"/>
        </w:rPr>
        <w:t> </w:t>
      </w:r>
      <w:r w:rsidRPr="00E14E86">
        <w:rPr>
          <w:rFonts w:ascii="Helvetica" w:hAnsi="Helvetica" w:cs="Helvetica"/>
          <w:color w:val="222222"/>
          <w:sz w:val="20"/>
          <w:szCs w:val="20"/>
          <w:lang w:eastAsia="en-AU"/>
        </w:rPr>
        <w:t>gene chromosomally and via plasmids, as well as a range of isolates of different toxin types. The plasmid </w:t>
      </w:r>
      <w:proofErr w:type="spellStart"/>
      <w:r w:rsidRPr="00E14E86">
        <w:rPr>
          <w:rFonts w:ascii="Helvetica" w:hAnsi="Helvetica" w:cs="Helvetica"/>
          <w:i/>
          <w:iCs/>
          <w:color w:val="222222"/>
          <w:sz w:val="20"/>
          <w:szCs w:val="20"/>
          <w:lang w:eastAsia="en-AU"/>
        </w:rPr>
        <w:t>cpe</w:t>
      </w:r>
      <w:proofErr w:type="spellEnd"/>
      <w:r w:rsidRPr="00E14E86">
        <w:rPr>
          <w:rFonts w:ascii="Helvetica" w:hAnsi="Helvetica" w:cs="Helvetica"/>
          <w:color w:val="222222"/>
          <w:sz w:val="20"/>
          <w:szCs w:val="20"/>
          <w:lang w:eastAsia="en-AU"/>
        </w:rPr>
        <w:t> can have two organisational arrangements; either an IS </w:t>
      </w:r>
      <w:r w:rsidRPr="00E14E86">
        <w:rPr>
          <w:rFonts w:ascii="Helvetica" w:hAnsi="Helvetica" w:cs="Helvetica"/>
          <w:i/>
          <w:iCs/>
          <w:color w:val="222222"/>
          <w:sz w:val="20"/>
          <w:szCs w:val="20"/>
          <w:lang w:eastAsia="en-AU"/>
        </w:rPr>
        <w:t>1470</w:t>
      </w:r>
      <w:r w:rsidRPr="00E14E86">
        <w:rPr>
          <w:rFonts w:ascii="Helvetica" w:hAnsi="Helvetica" w:cs="Helvetica"/>
          <w:color w:val="222222"/>
          <w:sz w:val="20"/>
          <w:szCs w:val="20"/>
          <w:lang w:eastAsia="en-AU"/>
        </w:rPr>
        <w:t>-like or an IS </w:t>
      </w:r>
      <w:r w:rsidRPr="00E14E86">
        <w:rPr>
          <w:rFonts w:ascii="Helvetica" w:hAnsi="Helvetica" w:cs="Helvetica"/>
          <w:i/>
          <w:iCs/>
          <w:color w:val="222222"/>
          <w:sz w:val="20"/>
          <w:szCs w:val="20"/>
          <w:lang w:eastAsia="en-AU"/>
        </w:rPr>
        <w:t>1151</w:t>
      </w:r>
      <w:r w:rsidRPr="00E14E86">
        <w:rPr>
          <w:rFonts w:ascii="Helvetica" w:hAnsi="Helvetica" w:cs="Helvetica"/>
          <w:color w:val="222222"/>
          <w:sz w:val="20"/>
          <w:szCs w:val="20"/>
          <w:lang w:eastAsia="en-AU"/>
        </w:rPr>
        <w:t> sequence can be immediately downstream of the plasmid </w:t>
      </w:r>
      <w:proofErr w:type="spellStart"/>
      <w:r w:rsidRPr="00E14E86">
        <w:rPr>
          <w:rFonts w:ascii="Helvetica" w:hAnsi="Helvetica" w:cs="Helvetica"/>
          <w:i/>
          <w:iCs/>
          <w:color w:val="222222"/>
          <w:sz w:val="20"/>
          <w:szCs w:val="20"/>
          <w:lang w:eastAsia="en-AU"/>
        </w:rPr>
        <w:t>cpe</w:t>
      </w:r>
      <w:proofErr w:type="spellEnd"/>
      <w:r w:rsidRPr="00E14E86">
        <w:rPr>
          <w:rFonts w:ascii="Helvetica" w:hAnsi="Helvetica" w:cs="Helvetica"/>
          <w:i/>
          <w:iCs/>
          <w:color w:val="222222"/>
          <w:sz w:val="20"/>
          <w:szCs w:val="20"/>
          <w:lang w:eastAsia="en-AU"/>
        </w:rPr>
        <w:t> </w:t>
      </w:r>
      <w:r w:rsidRPr="00E14E86">
        <w:rPr>
          <w:rFonts w:ascii="Helvetica" w:hAnsi="Helvetica" w:cs="Helvetica"/>
          <w:color w:val="222222"/>
          <w:sz w:val="20"/>
          <w:szCs w:val="20"/>
          <w:lang w:eastAsia="en-AU"/>
        </w:rPr>
        <w:t>gene.</w:t>
      </w:r>
    </w:p>
    <w:p w:rsidRPr="00E14E86" w:rsidR="00E14E86" w:rsidP="00E14E86" w:rsidRDefault="00E14E86" w14:paraId="1CCDF30F" w14:textId="77777777">
      <w:pPr>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3.4.7 Suitable Original Test Validation Criteria</w:t>
      </w:r>
    </w:p>
    <w:p w:rsidRPr="00E14E86" w:rsidR="00E14E86" w:rsidP="00E14E86" w:rsidRDefault="00E14E86" w14:paraId="23F23714" w14:textId="77777777">
      <w:pPr>
        <w:shd w:val="clear" w:color="auto" w:fill="FFFFFF"/>
        <w:spacing w:after="24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Validation criteria are dependent on possession of a large databank of cultures of </w:t>
      </w:r>
      <w:r w:rsidRPr="00E14E86">
        <w:rPr>
          <w:rFonts w:ascii="Helvetica" w:hAnsi="Helvetica" w:cs="Helvetica"/>
          <w:i/>
          <w:iCs/>
          <w:color w:val="222222"/>
          <w:sz w:val="20"/>
          <w:szCs w:val="20"/>
          <w:lang w:eastAsia="en-AU"/>
        </w:rPr>
        <w:t>Cl. perfringens</w:t>
      </w:r>
      <w:r w:rsidRPr="00E14E86">
        <w:rPr>
          <w:rFonts w:ascii="Helvetica" w:hAnsi="Helvetica" w:cs="Helvetica"/>
          <w:color w:val="222222"/>
          <w:sz w:val="20"/>
          <w:szCs w:val="20"/>
          <w:lang w:eastAsia="en-AU"/>
        </w:rPr>
        <w:t> from food poisoning outbreaks, as well as other human and animal isolates. This collection should encompass all the different toxin types (A-E), the Beta2 toxin and the different variations of the </w:t>
      </w:r>
      <w:proofErr w:type="spellStart"/>
      <w:r w:rsidRPr="00E14E86">
        <w:rPr>
          <w:rFonts w:ascii="Helvetica" w:hAnsi="Helvetica" w:cs="Helvetica"/>
          <w:i/>
          <w:iCs/>
          <w:color w:val="222222"/>
          <w:sz w:val="20"/>
          <w:szCs w:val="20"/>
          <w:lang w:eastAsia="en-AU"/>
        </w:rPr>
        <w:t>cpe</w:t>
      </w:r>
      <w:proofErr w:type="spellEnd"/>
      <w:r w:rsidRPr="00E14E86">
        <w:rPr>
          <w:rFonts w:ascii="Helvetica" w:hAnsi="Helvetica" w:cs="Helvetica"/>
          <w:color w:val="222222"/>
          <w:sz w:val="20"/>
          <w:szCs w:val="20"/>
          <w:lang w:eastAsia="en-AU"/>
        </w:rPr>
        <w:t> gene.</w:t>
      </w:r>
    </w:p>
    <w:p w:rsidRPr="00E14E86" w:rsidR="00E14E86" w:rsidP="00E14E86" w:rsidRDefault="00E14E86" w14:paraId="1E37CFB0" w14:textId="77777777">
      <w:pPr>
        <w:keepNext/>
        <w:shd w:val="clear" w:color="auto" w:fill="FFFFFF"/>
        <w:spacing w:after="120" w:line="276" w:lineRule="auto"/>
        <w:outlineLvl w:val="3"/>
        <w:rPr>
          <w:rFonts w:ascii="Open Sans" w:hAnsi="Open Sans" w:cs="Open Sans"/>
          <w:color w:val="000000"/>
          <w:sz w:val="24"/>
          <w:lang w:eastAsia="en-AU"/>
        </w:rPr>
      </w:pPr>
      <w:r w:rsidRPr="00E14E86">
        <w:rPr>
          <w:rFonts w:ascii="Open Sans" w:hAnsi="Open Sans" w:cs="Open Sans"/>
          <w:color w:val="000000"/>
          <w:sz w:val="24"/>
          <w:lang w:eastAsia="en-AU"/>
        </w:rPr>
        <w:t>3.4.8 Suitable External QC Programme</w:t>
      </w:r>
    </w:p>
    <w:p w:rsidRPr="00E14E86" w:rsidR="00E14E86" w:rsidP="00E14E86" w:rsidRDefault="00E14E86" w14:paraId="5E27491C" w14:textId="77777777">
      <w:pPr>
        <w:spacing w:line="276" w:lineRule="auto"/>
        <w:rPr>
          <w:rFonts w:ascii="Times New Roman" w:hAnsi="Times New Roman"/>
          <w:sz w:val="24"/>
          <w:lang w:eastAsia="en-AU"/>
        </w:rPr>
      </w:pPr>
      <w:proofErr w:type="gramStart"/>
      <w:r w:rsidRPr="00E14E86">
        <w:rPr>
          <w:rFonts w:ascii="Helvetica" w:hAnsi="Helvetica" w:cs="Helvetica"/>
          <w:color w:val="222222"/>
          <w:sz w:val="20"/>
          <w:szCs w:val="20"/>
          <w:shd w:val="clear" w:color="auto" w:fill="FFFFFF"/>
          <w:lang w:eastAsia="en-AU"/>
        </w:rPr>
        <w:lastRenderedPageBreak/>
        <w:t>None available</w:t>
      </w:r>
      <w:proofErr w:type="gramEnd"/>
    </w:p>
    <w:p w:rsidRPr="00E14E86" w:rsidR="00E14E86" w:rsidP="00E14E86" w:rsidRDefault="00E14E86" w14:paraId="242C9D87" w14:textId="77777777">
      <w:pPr>
        <w:shd w:val="clear" w:color="auto" w:fill="FFFFFF"/>
        <w:spacing w:before="240" w:after="120" w:line="276" w:lineRule="auto"/>
        <w:outlineLvl w:val="1"/>
        <w:rPr>
          <w:rFonts w:ascii="Open Sans" w:hAnsi="Open Sans" w:cs="Open Sans"/>
          <w:color w:val="000000"/>
          <w:sz w:val="36"/>
          <w:szCs w:val="36"/>
          <w:lang w:eastAsia="en-AU"/>
        </w:rPr>
      </w:pPr>
      <w:r w:rsidRPr="00E14E86">
        <w:rPr>
          <w:rFonts w:ascii="Open Sans" w:hAnsi="Open Sans" w:cs="Open Sans"/>
          <w:color w:val="000000"/>
          <w:sz w:val="36"/>
          <w:szCs w:val="36"/>
          <w:lang w:eastAsia="en-AU"/>
        </w:rPr>
        <w:t>4 Laboratory Nomenclature for National Database Dictionary</w:t>
      </w:r>
    </w:p>
    <w:p w:rsidRPr="00E14E86" w:rsidR="00E14E86" w:rsidP="00E14E86" w:rsidRDefault="00E14E86" w14:paraId="5EA3FC2A" w14:textId="77777777">
      <w:pPr>
        <w:shd w:val="clear" w:color="auto" w:fill="FFFFFF"/>
        <w:spacing w:before="240" w:after="120" w:line="276" w:lineRule="auto"/>
        <w:outlineLvl w:val="2"/>
        <w:rPr>
          <w:rFonts w:ascii="Open Sans" w:hAnsi="Open Sans" w:cs="Open Sans"/>
          <w:color w:val="000000"/>
          <w:sz w:val="27"/>
          <w:szCs w:val="27"/>
          <w:lang w:eastAsia="en-AU"/>
        </w:rPr>
      </w:pPr>
      <w:proofErr w:type="gramStart"/>
      <w:r w:rsidRPr="00E14E86">
        <w:rPr>
          <w:rFonts w:ascii="Open Sans" w:hAnsi="Open Sans" w:cs="Open Sans"/>
          <w:color w:val="000000"/>
          <w:sz w:val="27"/>
          <w:szCs w:val="27"/>
          <w:lang w:eastAsia="en-AU"/>
        </w:rPr>
        <w:t>4.1.1  Organism</w:t>
      </w:r>
      <w:proofErr w:type="gramEnd"/>
      <w:r w:rsidRPr="00E14E86">
        <w:rPr>
          <w:rFonts w:ascii="Open Sans" w:hAnsi="Open Sans" w:cs="Open Sans"/>
          <w:color w:val="000000"/>
          <w:sz w:val="27"/>
          <w:szCs w:val="27"/>
          <w:lang w:eastAsia="en-AU"/>
        </w:rPr>
        <w:t xml:space="preserve"> Name(s) List</w:t>
      </w:r>
    </w:p>
    <w:p w:rsidRPr="00E14E86" w:rsidR="00E14E86" w:rsidP="00E14E86" w:rsidRDefault="00E14E86" w14:paraId="540DB2F8" w14:textId="7CB0351C">
      <w:pPr>
        <w:spacing w:line="276" w:lineRule="auto"/>
        <w:rPr>
          <w:rFonts w:ascii="Times New Roman" w:hAnsi="Times New Roman"/>
          <w:sz w:val="24"/>
          <w:lang w:eastAsia="en-AU"/>
        </w:rPr>
      </w:pPr>
      <w:r w:rsidRPr="00E14E86">
        <w:rPr>
          <w:rFonts w:ascii="Helvetica" w:hAnsi="Helvetica" w:cs="Helvetica"/>
          <w:color w:val="222222"/>
          <w:sz w:val="20"/>
          <w:szCs w:val="20"/>
          <w:shd w:val="clear" w:color="auto" w:fill="FFFFFF"/>
          <w:lang w:eastAsia="en-AU"/>
        </w:rPr>
        <w:t> </w:t>
      </w:r>
      <w:r w:rsidRPr="00E14E86">
        <w:rPr>
          <w:rFonts w:ascii="Helvetica" w:hAnsi="Helvetica" w:cs="Helvetica"/>
          <w:color w:val="222222"/>
          <w:sz w:val="20"/>
          <w:szCs w:val="20"/>
          <w:shd w:val="clear" w:color="auto" w:fill="FFFFFF"/>
          <w:lang w:eastAsia="en-AU"/>
        </w:rPr>
        <w:t>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Caption w:val="Table display SNOMED-CT terminology"/>
        <w:tblDescription w:val="Table display SNOMED-CT terminology"/>
      </w:tblPr>
      <w:tblGrid>
        <w:gridCol w:w="4530"/>
        <w:gridCol w:w="4530"/>
      </w:tblGrid>
      <w:tr w:rsidRPr="00E14E86" w:rsidR="00E14E86" w:rsidTr="00E14E86" w14:paraId="22DC0E29" w14:textId="77777777">
        <w:tc>
          <w:tcPr>
            <w:tcW w:w="2500" w:type="pct"/>
            <w:shd w:val="clear" w:color="auto" w:fill="E8F3FA"/>
            <w:tcMar>
              <w:top w:w="150" w:type="dxa"/>
              <w:left w:w="150" w:type="dxa"/>
              <w:bottom w:w="150" w:type="dxa"/>
              <w:right w:w="150" w:type="dxa"/>
            </w:tcMar>
            <w:hideMark/>
          </w:tcPr>
          <w:p w:rsidRPr="00E14E86" w:rsidR="00E14E86" w:rsidP="00E14E86" w:rsidRDefault="00E14E86" w14:paraId="2C97BA86" w14:textId="77777777">
            <w:pPr>
              <w:spacing w:after="300" w:line="276" w:lineRule="auto"/>
              <w:jc w:val="center"/>
              <w:rPr>
                <w:rFonts w:ascii="Helvetica" w:hAnsi="Helvetica" w:cs="Helvetica"/>
                <w:b/>
                <w:bCs/>
                <w:color w:val="222222"/>
                <w:sz w:val="20"/>
                <w:szCs w:val="20"/>
                <w:lang w:eastAsia="en-AU"/>
              </w:rPr>
            </w:pPr>
            <w:r w:rsidRPr="00E14E86">
              <w:rPr>
                <w:rFonts w:ascii="Helvetica" w:hAnsi="Helvetica" w:cs="Helvetica"/>
                <w:b/>
                <w:bCs/>
                <w:color w:val="222222"/>
                <w:sz w:val="20"/>
                <w:szCs w:val="20"/>
                <w:lang w:eastAsia="en-AU"/>
              </w:rPr>
              <w:t>SNOMED CT concept</w:t>
            </w:r>
          </w:p>
        </w:tc>
        <w:tc>
          <w:tcPr>
            <w:tcW w:w="2500" w:type="pct"/>
            <w:shd w:val="clear" w:color="auto" w:fill="E8F3FA"/>
            <w:tcMar>
              <w:top w:w="150" w:type="dxa"/>
              <w:left w:w="150" w:type="dxa"/>
              <w:bottom w:w="150" w:type="dxa"/>
              <w:right w:w="150" w:type="dxa"/>
            </w:tcMar>
            <w:hideMark/>
          </w:tcPr>
          <w:p w:rsidRPr="00E14E86" w:rsidR="00E14E86" w:rsidP="00E14E86" w:rsidRDefault="00E14E86" w14:paraId="53DB65C5" w14:textId="77777777">
            <w:pPr>
              <w:spacing w:after="300" w:line="276" w:lineRule="auto"/>
              <w:jc w:val="center"/>
              <w:rPr>
                <w:rFonts w:ascii="Helvetica" w:hAnsi="Helvetica" w:cs="Helvetica"/>
                <w:b/>
                <w:bCs/>
                <w:color w:val="222222"/>
                <w:sz w:val="20"/>
                <w:szCs w:val="20"/>
                <w:lang w:eastAsia="en-AU"/>
              </w:rPr>
            </w:pPr>
            <w:r w:rsidRPr="00E14E86">
              <w:rPr>
                <w:rFonts w:ascii="Helvetica" w:hAnsi="Helvetica" w:cs="Helvetica"/>
                <w:b/>
                <w:bCs/>
                <w:color w:val="222222"/>
                <w:sz w:val="20"/>
                <w:szCs w:val="20"/>
                <w:lang w:eastAsia="en-AU"/>
              </w:rPr>
              <w:t>Code</w:t>
            </w:r>
          </w:p>
        </w:tc>
      </w:tr>
      <w:tr w:rsidRPr="00E14E86" w:rsidR="00E14E86" w:rsidTr="00E14E86" w14:paraId="7411679F" w14:textId="77777777">
        <w:tc>
          <w:tcPr>
            <w:tcW w:w="2500" w:type="pct"/>
            <w:shd w:val="clear" w:color="auto" w:fill="FFFFFF"/>
            <w:tcMar>
              <w:top w:w="150" w:type="dxa"/>
              <w:left w:w="150" w:type="dxa"/>
              <w:bottom w:w="150" w:type="dxa"/>
              <w:right w:w="150" w:type="dxa"/>
            </w:tcMar>
            <w:hideMark/>
          </w:tcPr>
          <w:p w:rsidRPr="00E14E86" w:rsidR="00E14E86" w:rsidP="00E14E86" w:rsidRDefault="00E14E86" w14:paraId="6F17FB55" w14:textId="77777777">
            <w:pPr>
              <w:spacing w:after="300" w:line="276" w:lineRule="auto"/>
              <w:rPr>
                <w:rFonts w:ascii="Helvetica" w:hAnsi="Helvetica" w:cs="Helvetica"/>
                <w:color w:val="222222"/>
                <w:sz w:val="20"/>
                <w:szCs w:val="20"/>
                <w:lang w:eastAsia="en-AU"/>
              </w:rPr>
            </w:pPr>
            <w:r w:rsidRPr="00E14E86">
              <w:rPr>
                <w:rFonts w:ascii="Helvetica" w:hAnsi="Helvetica" w:cs="Helvetica"/>
                <w:i/>
                <w:iCs/>
                <w:color w:val="222222"/>
                <w:sz w:val="20"/>
                <w:szCs w:val="20"/>
                <w:bdr w:val="none" w:color="auto" w:sz="0" w:space="0" w:frame="1"/>
                <w:lang w:eastAsia="en-AU"/>
              </w:rPr>
              <w:t>Clostridium perfringens</w:t>
            </w:r>
            <w:r w:rsidRPr="00E14E86">
              <w:rPr>
                <w:rFonts w:ascii="Helvetica" w:hAnsi="Helvetica" w:cs="Helvetica"/>
                <w:color w:val="222222"/>
                <w:sz w:val="20"/>
                <w:szCs w:val="20"/>
                <w:lang w:eastAsia="en-AU"/>
              </w:rPr>
              <w:t> (organism)</w:t>
            </w:r>
          </w:p>
        </w:tc>
        <w:tc>
          <w:tcPr>
            <w:tcW w:w="2500" w:type="pct"/>
            <w:shd w:val="clear" w:color="auto" w:fill="FFFFFF"/>
            <w:tcMar>
              <w:top w:w="150" w:type="dxa"/>
              <w:left w:w="150" w:type="dxa"/>
              <w:bottom w:w="150" w:type="dxa"/>
              <w:right w:w="150" w:type="dxa"/>
            </w:tcMar>
            <w:hideMark/>
          </w:tcPr>
          <w:p w:rsidRPr="00E14E86" w:rsidR="00E14E86" w:rsidP="00E14E86" w:rsidRDefault="00E14E86" w14:paraId="0611CDD0" w14:textId="77777777">
            <w:pPr>
              <w:spacing w:after="300" w:line="276" w:lineRule="auto"/>
              <w:jc w:val="center"/>
              <w:rPr>
                <w:rFonts w:ascii="Helvetica" w:hAnsi="Helvetica" w:cs="Helvetica"/>
                <w:color w:val="222222"/>
                <w:sz w:val="20"/>
                <w:szCs w:val="20"/>
                <w:lang w:eastAsia="en-AU"/>
              </w:rPr>
            </w:pPr>
            <w:r w:rsidRPr="00E14E86">
              <w:rPr>
                <w:rFonts w:ascii="Helvetica" w:hAnsi="Helvetica" w:cs="Helvetica"/>
                <w:color w:val="222222"/>
                <w:sz w:val="20"/>
                <w:szCs w:val="20"/>
                <w:lang w:eastAsia="en-AU"/>
              </w:rPr>
              <w:t>8331005</w:t>
            </w:r>
          </w:p>
        </w:tc>
      </w:tr>
      <w:tr w:rsidRPr="00E14E86" w:rsidR="00E14E86" w:rsidTr="00E14E86" w14:paraId="5D90ADB6" w14:textId="77777777">
        <w:tc>
          <w:tcPr>
            <w:tcW w:w="2500" w:type="pct"/>
            <w:shd w:val="clear" w:color="auto" w:fill="FFFFFF"/>
            <w:tcMar>
              <w:top w:w="150" w:type="dxa"/>
              <w:left w:w="150" w:type="dxa"/>
              <w:bottom w:w="150" w:type="dxa"/>
              <w:right w:w="150" w:type="dxa"/>
            </w:tcMar>
            <w:hideMark/>
          </w:tcPr>
          <w:p w:rsidRPr="00E14E86" w:rsidR="00E14E86" w:rsidP="00E14E86" w:rsidRDefault="00E14E86" w14:paraId="5AC12E67" w14:textId="77777777">
            <w:pPr>
              <w:spacing w:after="30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Infection caused by</w:t>
            </w:r>
            <w:r w:rsidRPr="00E14E86">
              <w:rPr>
                <w:rFonts w:ascii="Helvetica" w:hAnsi="Helvetica" w:cs="Helvetica"/>
                <w:i/>
                <w:iCs/>
                <w:color w:val="222222"/>
                <w:sz w:val="20"/>
                <w:szCs w:val="20"/>
                <w:bdr w:val="none" w:color="auto" w:sz="0" w:space="0" w:frame="1"/>
                <w:lang w:eastAsia="en-AU"/>
              </w:rPr>
              <w:t> Clostridium perfringens </w:t>
            </w:r>
            <w:r w:rsidRPr="00E14E86">
              <w:rPr>
                <w:rFonts w:ascii="Helvetica" w:hAnsi="Helvetica" w:cs="Helvetica"/>
                <w:color w:val="222222"/>
                <w:sz w:val="20"/>
                <w:szCs w:val="20"/>
                <w:lang w:eastAsia="en-AU"/>
              </w:rPr>
              <w:t>(disorder)</w:t>
            </w:r>
          </w:p>
        </w:tc>
        <w:tc>
          <w:tcPr>
            <w:tcW w:w="2500" w:type="pct"/>
            <w:shd w:val="clear" w:color="auto" w:fill="FFFFFF"/>
            <w:tcMar>
              <w:top w:w="150" w:type="dxa"/>
              <w:left w:w="150" w:type="dxa"/>
              <w:bottom w:w="150" w:type="dxa"/>
              <w:right w:w="150" w:type="dxa"/>
            </w:tcMar>
            <w:hideMark/>
          </w:tcPr>
          <w:p w:rsidRPr="00E14E86" w:rsidR="00E14E86" w:rsidP="00E14E86" w:rsidRDefault="00E14E86" w14:paraId="401E1822" w14:textId="77777777">
            <w:pPr>
              <w:spacing w:after="300" w:line="276" w:lineRule="auto"/>
              <w:jc w:val="center"/>
              <w:rPr>
                <w:rFonts w:ascii="Helvetica" w:hAnsi="Helvetica" w:cs="Helvetica"/>
                <w:color w:val="222222"/>
                <w:sz w:val="20"/>
                <w:szCs w:val="20"/>
                <w:lang w:eastAsia="en-AU"/>
              </w:rPr>
            </w:pPr>
            <w:r w:rsidRPr="00E14E86">
              <w:rPr>
                <w:rFonts w:ascii="Helvetica" w:hAnsi="Helvetica" w:cs="Helvetica"/>
                <w:color w:val="222222"/>
                <w:sz w:val="20"/>
                <w:szCs w:val="20"/>
                <w:lang w:eastAsia="en-AU"/>
              </w:rPr>
              <w:t>65154009</w:t>
            </w:r>
          </w:p>
        </w:tc>
      </w:tr>
      <w:tr w:rsidRPr="00E14E86" w:rsidR="00E14E86" w:rsidTr="00E14E86" w14:paraId="5C5C9016" w14:textId="77777777">
        <w:tc>
          <w:tcPr>
            <w:tcW w:w="2500" w:type="pct"/>
            <w:shd w:val="clear" w:color="auto" w:fill="FFFFFF"/>
            <w:tcMar>
              <w:top w:w="150" w:type="dxa"/>
              <w:left w:w="150" w:type="dxa"/>
              <w:bottom w:w="150" w:type="dxa"/>
              <w:right w:w="150" w:type="dxa"/>
            </w:tcMar>
            <w:hideMark/>
          </w:tcPr>
          <w:p w:rsidRPr="00E14E86" w:rsidR="00E14E86" w:rsidP="00E14E86" w:rsidRDefault="00E14E86" w14:paraId="12650566" w14:textId="77777777">
            <w:pPr>
              <w:spacing w:after="300" w:line="276" w:lineRule="auto"/>
              <w:rPr>
                <w:rFonts w:ascii="Helvetica" w:hAnsi="Helvetica" w:cs="Helvetica"/>
                <w:color w:val="222222"/>
                <w:sz w:val="20"/>
                <w:szCs w:val="20"/>
                <w:lang w:eastAsia="en-AU"/>
              </w:rPr>
            </w:pPr>
            <w:r w:rsidRPr="00E14E86">
              <w:rPr>
                <w:rFonts w:ascii="Helvetica" w:hAnsi="Helvetica" w:cs="Helvetica"/>
                <w:color w:val="222222"/>
                <w:sz w:val="20"/>
                <w:szCs w:val="20"/>
                <w:lang w:eastAsia="en-AU"/>
              </w:rPr>
              <w:t>Food poisoning caused by </w:t>
            </w:r>
            <w:r w:rsidRPr="00E14E86">
              <w:rPr>
                <w:rFonts w:ascii="Helvetica" w:hAnsi="Helvetica" w:cs="Helvetica"/>
                <w:i/>
                <w:iCs/>
                <w:color w:val="222222"/>
                <w:sz w:val="20"/>
                <w:szCs w:val="20"/>
                <w:bdr w:val="none" w:color="auto" w:sz="0" w:space="0" w:frame="1"/>
                <w:lang w:eastAsia="en-AU"/>
              </w:rPr>
              <w:t>Clostridium perfringens</w:t>
            </w:r>
            <w:r w:rsidRPr="00E14E86">
              <w:rPr>
                <w:rFonts w:ascii="Helvetica" w:hAnsi="Helvetica" w:cs="Helvetica"/>
                <w:color w:val="222222"/>
                <w:sz w:val="20"/>
                <w:szCs w:val="20"/>
                <w:lang w:eastAsia="en-AU"/>
              </w:rPr>
              <w:t> (disorder)</w:t>
            </w:r>
          </w:p>
        </w:tc>
        <w:tc>
          <w:tcPr>
            <w:tcW w:w="2500" w:type="pct"/>
            <w:shd w:val="clear" w:color="auto" w:fill="FFFFFF"/>
            <w:tcMar>
              <w:top w:w="150" w:type="dxa"/>
              <w:left w:w="150" w:type="dxa"/>
              <w:bottom w:w="150" w:type="dxa"/>
              <w:right w:w="150" w:type="dxa"/>
            </w:tcMar>
            <w:hideMark/>
          </w:tcPr>
          <w:p w:rsidRPr="00E14E86" w:rsidR="00E14E86" w:rsidP="00E14E86" w:rsidRDefault="00E14E86" w14:paraId="488CCB35" w14:textId="77777777">
            <w:pPr>
              <w:spacing w:after="300" w:line="276" w:lineRule="auto"/>
              <w:jc w:val="center"/>
              <w:rPr>
                <w:rFonts w:ascii="Helvetica" w:hAnsi="Helvetica" w:cs="Helvetica"/>
                <w:color w:val="222222"/>
                <w:sz w:val="20"/>
                <w:szCs w:val="20"/>
                <w:lang w:eastAsia="en-AU"/>
              </w:rPr>
            </w:pPr>
            <w:r w:rsidRPr="00E14E86">
              <w:rPr>
                <w:rFonts w:ascii="Helvetica" w:hAnsi="Helvetica" w:cs="Helvetica"/>
                <w:color w:val="222222"/>
                <w:sz w:val="20"/>
                <w:szCs w:val="20"/>
                <w:lang w:eastAsia="en-AU"/>
              </w:rPr>
              <w:t>70014009</w:t>
            </w:r>
          </w:p>
        </w:tc>
      </w:tr>
      <w:tr w:rsidRPr="00E14E86" w:rsidR="00E14E86" w:rsidTr="00E14E86" w14:paraId="697FBE4A" w14:textId="77777777">
        <w:tc>
          <w:tcPr>
            <w:tcW w:w="2500" w:type="pct"/>
            <w:shd w:val="clear" w:color="auto" w:fill="FFFFFF"/>
            <w:tcMar>
              <w:top w:w="150" w:type="dxa"/>
              <w:left w:w="150" w:type="dxa"/>
              <w:bottom w:w="150" w:type="dxa"/>
              <w:right w:w="150" w:type="dxa"/>
            </w:tcMar>
            <w:hideMark/>
          </w:tcPr>
          <w:p w:rsidRPr="00E14E86" w:rsidR="00E14E86" w:rsidP="00E14E86" w:rsidRDefault="00E14E86" w14:paraId="6610820B" w14:textId="77777777">
            <w:pPr>
              <w:spacing w:after="300" w:line="276" w:lineRule="auto"/>
              <w:rPr>
                <w:rFonts w:ascii="Helvetica" w:hAnsi="Helvetica" w:cs="Helvetica"/>
                <w:color w:val="222222"/>
                <w:sz w:val="20"/>
                <w:szCs w:val="20"/>
                <w:lang w:eastAsia="en-AU"/>
              </w:rPr>
            </w:pPr>
            <w:r w:rsidRPr="00E14E86">
              <w:rPr>
                <w:rFonts w:ascii="Helvetica" w:hAnsi="Helvetica" w:cs="Helvetica"/>
                <w:i/>
                <w:iCs/>
                <w:color w:val="222222"/>
                <w:sz w:val="20"/>
                <w:szCs w:val="20"/>
                <w:bdr w:val="none" w:color="auto" w:sz="0" w:space="0" w:frame="1"/>
                <w:lang w:eastAsia="en-AU"/>
              </w:rPr>
              <w:t>Clostridium perfringens</w:t>
            </w:r>
            <w:r w:rsidRPr="00E14E86">
              <w:rPr>
                <w:rFonts w:ascii="Helvetica" w:hAnsi="Helvetica" w:cs="Helvetica"/>
                <w:color w:val="222222"/>
                <w:sz w:val="20"/>
                <w:szCs w:val="20"/>
                <w:lang w:eastAsia="en-AU"/>
              </w:rPr>
              <w:t> enterotoxin (substance)</w:t>
            </w:r>
          </w:p>
        </w:tc>
        <w:tc>
          <w:tcPr>
            <w:tcW w:w="2500" w:type="pct"/>
            <w:shd w:val="clear" w:color="auto" w:fill="FFFFFF"/>
            <w:tcMar>
              <w:top w:w="150" w:type="dxa"/>
              <w:left w:w="150" w:type="dxa"/>
              <w:bottom w:w="150" w:type="dxa"/>
              <w:right w:w="150" w:type="dxa"/>
            </w:tcMar>
            <w:hideMark/>
          </w:tcPr>
          <w:p w:rsidRPr="00E14E86" w:rsidR="00E14E86" w:rsidP="00E14E86" w:rsidRDefault="00E14E86" w14:paraId="2259C8F9" w14:textId="77777777">
            <w:pPr>
              <w:spacing w:after="300" w:line="276" w:lineRule="auto"/>
              <w:jc w:val="center"/>
              <w:rPr>
                <w:rFonts w:ascii="Helvetica" w:hAnsi="Helvetica" w:cs="Helvetica"/>
                <w:color w:val="222222"/>
                <w:sz w:val="20"/>
                <w:szCs w:val="20"/>
                <w:lang w:eastAsia="en-AU"/>
              </w:rPr>
            </w:pPr>
            <w:r w:rsidRPr="00E14E86">
              <w:rPr>
                <w:rFonts w:ascii="Helvetica" w:hAnsi="Helvetica" w:cs="Helvetica"/>
                <w:color w:val="222222"/>
                <w:sz w:val="20"/>
                <w:szCs w:val="20"/>
                <w:lang w:eastAsia="en-AU"/>
              </w:rPr>
              <w:t>116557000</w:t>
            </w:r>
          </w:p>
        </w:tc>
      </w:tr>
      <w:tr w:rsidRPr="00E14E86" w:rsidR="00E14E86" w:rsidTr="00E14E86" w14:paraId="360410F2" w14:textId="77777777">
        <w:tc>
          <w:tcPr>
            <w:tcW w:w="2500" w:type="pct"/>
            <w:shd w:val="clear" w:color="auto" w:fill="FFFFFF"/>
            <w:tcMar>
              <w:top w:w="150" w:type="dxa"/>
              <w:left w:w="150" w:type="dxa"/>
              <w:bottom w:w="150" w:type="dxa"/>
              <w:right w:w="150" w:type="dxa"/>
            </w:tcMar>
            <w:hideMark/>
          </w:tcPr>
          <w:p w:rsidRPr="00E14E86" w:rsidR="00E14E86" w:rsidP="00E14E86" w:rsidRDefault="00E14E86" w14:paraId="64B401CF" w14:textId="77777777">
            <w:pPr>
              <w:spacing w:after="300" w:line="276" w:lineRule="auto"/>
              <w:rPr>
                <w:rFonts w:ascii="Helvetica" w:hAnsi="Helvetica" w:cs="Helvetica"/>
                <w:color w:val="222222"/>
                <w:sz w:val="20"/>
                <w:szCs w:val="20"/>
                <w:lang w:eastAsia="en-AU"/>
              </w:rPr>
            </w:pPr>
            <w:r w:rsidRPr="00E14E86">
              <w:rPr>
                <w:rFonts w:ascii="Helvetica" w:hAnsi="Helvetica" w:cs="Helvetica"/>
                <w:i/>
                <w:iCs/>
                <w:color w:val="222222"/>
                <w:sz w:val="20"/>
                <w:szCs w:val="20"/>
                <w:bdr w:val="none" w:color="auto" w:sz="0" w:space="0" w:frame="1"/>
                <w:lang w:eastAsia="en-AU"/>
              </w:rPr>
              <w:t>Clostridium perfringens</w:t>
            </w:r>
            <w:r w:rsidRPr="00E14E86">
              <w:rPr>
                <w:rFonts w:ascii="Helvetica" w:hAnsi="Helvetica" w:cs="Helvetica"/>
                <w:color w:val="222222"/>
                <w:sz w:val="20"/>
                <w:szCs w:val="20"/>
                <w:lang w:eastAsia="en-AU"/>
              </w:rPr>
              <w:t> genotype determination (procedure)</w:t>
            </w:r>
          </w:p>
        </w:tc>
        <w:tc>
          <w:tcPr>
            <w:tcW w:w="2500" w:type="pct"/>
            <w:shd w:val="clear" w:color="auto" w:fill="FFFFFF"/>
            <w:tcMar>
              <w:top w:w="150" w:type="dxa"/>
              <w:left w:w="150" w:type="dxa"/>
              <w:bottom w:w="150" w:type="dxa"/>
              <w:right w:w="150" w:type="dxa"/>
            </w:tcMar>
            <w:hideMark/>
          </w:tcPr>
          <w:p w:rsidRPr="00E14E86" w:rsidR="00E14E86" w:rsidP="00E14E86" w:rsidRDefault="00E14E86" w14:paraId="68B655BD" w14:textId="77777777">
            <w:pPr>
              <w:spacing w:after="300" w:line="276" w:lineRule="auto"/>
              <w:jc w:val="center"/>
              <w:rPr>
                <w:rFonts w:ascii="Helvetica" w:hAnsi="Helvetica" w:cs="Helvetica"/>
                <w:color w:val="222222"/>
                <w:sz w:val="20"/>
                <w:szCs w:val="20"/>
                <w:lang w:eastAsia="en-AU"/>
              </w:rPr>
            </w:pPr>
            <w:r w:rsidRPr="00E14E86">
              <w:rPr>
                <w:rFonts w:ascii="Helvetica" w:hAnsi="Helvetica" w:cs="Helvetica"/>
                <w:color w:val="222222"/>
                <w:sz w:val="20"/>
                <w:szCs w:val="20"/>
                <w:lang w:eastAsia="en-AU"/>
              </w:rPr>
              <w:t>121894001</w:t>
            </w:r>
          </w:p>
        </w:tc>
      </w:tr>
      <w:tr w:rsidRPr="00E14E86" w:rsidR="00E14E86" w:rsidTr="00E14E86" w14:paraId="4703E86D" w14:textId="77777777">
        <w:tc>
          <w:tcPr>
            <w:tcW w:w="2500" w:type="pct"/>
            <w:shd w:val="clear" w:color="auto" w:fill="FFFFFF"/>
            <w:tcMar>
              <w:top w:w="150" w:type="dxa"/>
              <w:left w:w="150" w:type="dxa"/>
              <w:bottom w:w="150" w:type="dxa"/>
              <w:right w:w="150" w:type="dxa"/>
            </w:tcMar>
            <w:hideMark/>
          </w:tcPr>
          <w:p w:rsidRPr="00E14E86" w:rsidR="00E14E86" w:rsidP="00E14E86" w:rsidRDefault="00E14E86" w14:paraId="550AF339" w14:textId="77777777">
            <w:pPr>
              <w:spacing w:after="300" w:line="276" w:lineRule="auto"/>
              <w:rPr>
                <w:rFonts w:ascii="Helvetica" w:hAnsi="Helvetica" w:cs="Helvetica"/>
                <w:color w:val="222222"/>
                <w:sz w:val="20"/>
                <w:szCs w:val="20"/>
                <w:lang w:eastAsia="en-AU"/>
              </w:rPr>
            </w:pPr>
            <w:r w:rsidRPr="00E14E86">
              <w:rPr>
                <w:rFonts w:ascii="Helvetica" w:hAnsi="Helvetica" w:cs="Helvetica"/>
                <w:i/>
                <w:iCs/>
                <w:color w:val="222222"/>
                <w:sz w:val="20"/>
                <w:szCs w:val="20"/>
                <w:bdr w:val="none" w:color="auto" w:sz="0" w:space="0" w:frame="1"/>
                <w:lang w:eastAsia="en-AU"/>
              </w:rPr>
              <w:t>Clostridium perfringens</w:t>
            </w:r>
            <w:r w:rsidRPr="00E14E86">
              <w:rPr>
                <w:rFonts w:ascii="Helvetica" w:hAnsi="Helvetica" w:cs="Helvetica"/>
                <w:color w:val="222222"/>
                <w:sz w:val="20"/>
                <w:szCs w:val="20"/>
                <w:lang w:eastAsia="en-AU"/>
              </w:rPr>
              <w:t> enterotoxin assay (procedure)</w:t>
            </w:r>
          </w:p>
        </w:tc>
        <w:tc>
          <w:tcPr>
            <w:tcW w:w="2500" w:type="pct"/>
            <w:shd w:val="clear" w:color="auto" w:fill="FFFFFF"/>
            <w:tcMar>
              <w:top w:w="150" w:type="dxa"/>
              <w:left w:w="150" w:type="dxa"/>
              <w:bottom w:w="150" w:type="dxa"/>
              <w:right w:w="150" w:type="dxa"/>
            </w:tcMar>
            <w:hideMark/>
          </w:tcPr>
          <w:p w:rsidRPr="00E14E86" w:rsidR="00E14E86" w:rsidP="00E14E86" w:rsidRDefault="00E14E86" w14:paraId="2021AD59" w14:textId="77777777">
            <w:pPr>
              <w:spacing w:after="300" w:line="276" w:lineRule="auto"/>
              <w:jc w:val="center"/>
              <w:rPr>
                <w:rFonts w:ascii="Helvetica" w:hAnsi="Helvetica" w:cs="Helvetica"/>
                <w:color w:val="222222"/>
                <w:sz w:val="20"/>
                <w:szCs w:val="20"/>
                <w:lang w:eastAsia="en-AU"/>
              </w:rPr>
            </w:pPr>
            <w:r w:rsidRPr="00E14E86">
              <w:rPr>
                <w:rFonts w:ascii="Helvetica" w:hAnsi="Helvetica" w:cs="Helvetica"/>
                <w:color w:val="222222"/>
                <w:sz w:val="20"/>
                <w:szCs w:val="20"/>
                <w:lang w:eastAsia="en-AU"/>
              </w:rPr>
              <w:t>121965009</w:t>
            </w:r>
          </w:p>
        </w:tc>
      </w:tr>
    </w:tbl>
    <w:p w:rsidR="003F0BA7" w:rsidP="003F0BA7" w:rsidRDefault="003F0BA7" w14:paraId="03E7A214" w14:textId="77777777">
      <w:pPr>
        <w:rPr>
          <w:rFonts w:ascii="Open Sans" w:hAnsi="Open Sans" w:cs="Open Sans"/>
          <w:color w:val="000000"/>
          <w:sz w:val="36"/>
          <w:szCs w:val="36"/>
          <w:lang w:eastAsia="en-AU"/>
        </w:rPr>
      </w:pPr>
    </w:p>
    <w:p w:rsidR="003F0BA7" w:rsidRDefault="003F0BA7" w14:paraId="35FAA41C" w14:textId="77777777">
      <w:pPr>
        <w:rPr>
          <w:rFonts w:ascii="Open Sans" w:hAnsi="Open Sans" w:cs="Open Sans"/>
          <w:color w:val="000000"/>
          <w:sz w:val="36"/>
          <w:szCs w:val="36"/>
          <w:lang w:eastAsia="en-AU"/>
        </w:rPr>
      </w:pPr>
      <w:r>
        <w:rPr>
          <w:rFonts w:ascii="Open Sans" w:hAnsi="Open Sans" w:cs="Open Sans"/>
          <w:color w:val="000000"/>
          <w:sz w:val="36"/>
          <w:szCs w:val="36"/>
          <w:lang w:eastAsia="en-AU"/>
        </w:rPr>
        <w:br w:type="page"/>
      </w:r>
    </w:p>
    <w:p w:rsidRPr="00E14E86" w:rsidR="00E14E86" w:rsidP="003F0BA7" w:rsidRDefault="00E14E86" w14:paraId="7BF8872B" w14:textId="68418E3D">
      <w:pPr>
        <w:rPr>
          <w:rFonts w:ascii="Open Sans" w:hAnsi="Open Sans" w:cs="Open Sans"/>
          <w:color w:val="000000"/>
          <w:sz w:val="36"/>
          <w:szCs w:val="36"/>
          <w:lang w:eastAsia="en-AU"/>
        </w:rPr>
      </w:pPr>
      <w:r w:rsidRPr="00E14E86">
        <w:rPr>
          <w:rFonts w:ascii="Open Sans" w:hAnsi="Open Sans" w:cs="Open Sans"/>
          <w:color w:val="000000"/>
          <w:sz w:val="36"/>
          <w:szCs w:val="36"/>
          <w:lang w:eastAsia="en-AU"/>
        </w:rPr>
        <w:t>5 References</w:t>
      </w:r>
    </w:p>
    <w:p w:rsidRPr="00E14E86" w:rsidR="00E14E86" w:rsidP="00E14E86" w:rsidRDefault="00E14E86" w14:paraId="08667A34" w14:textId="77777777">
      <w:pPr>
        <w:numPr>
          <w:ilvl w:val="0"/>
          <w:numId w:val="23"/>
        </w:numPr>
        <w:shd w:val="clear" w:color="auto" w:fill="FFFFFF"/>
        <w:spacing w:after="90" w:line="300" w:lineRule="atLeast"/>
        <w:rPr>
          <w:rFonts w:ascii="Helvetica" w:hAnsi="Helvetica" w:cs="Helvetica"/>
          <w:color w:val="222222"/>
          <w:sz w:val="20"/>
          <w:szCs w:val="20"/>
          <w:lang w:eastAsia="en-AU"/>
        </w:rPr>
      </w:pPr>
      <w:r w:rsidRPr="00E14E86">
        <w:rPr>
          <w:rFonts w:ascii="Helvetica" w:hAnsi="Helvetica" w:cs="Helvetica"/>
          <w:color w:val="222222"/>
          <w:sz w:val="20"/>
          <w:szCs w:val="20"/>
          <w:lang w:eastAsia="en-AU"/>
        </w:rPr>
        <w:t>Bartholomew BA, Stringer MF, et al. 1985. Development and application of an enzyme-linked immunosorbent assay for </w:t>
      </w:r>
      <w:r w:rsidRPr="00E14E86">
        <w:rPr>
          <w:rFonts w:ascii="Helvetica" w:hAnsi="Helvetica" w:cs="Helvetica"/>
          <w:i/>
          <w:iCs/>
          <w:color w:val="222222"/>
          <w:sz w:val="20"/>
          <w:szCs w:val="20"/>
          <w:lang w:eastAsia="en-AU"/>
        </w:rPr>
        <w:t>Clostridium perfringens</w:t>
      </w:r>
      <w:r w:rsidRPr="00E14E86">
        <w:rPr>
          <w:rFonts w:ascii="Helvetica" w:hAnsi="Helvetica" w:cs="Helvetica"/>
          <w:color w:val="222222"/>
          <w:sz w:val="20"/>
          <w:szCs w:val="20"/>
          <w:lang w:eastAsia="en-AU"/>
        </w:rPr>
        <w:t xml:space="preserve"> type A enterotoxin. J Clin </w:t>
      </w:r>
      <w:proofErr w:type="spellStart"/>
      <w:r w:rsidRPr="00E14E86">
        <w:rPr>
          <w:rFonts w:ascii="Helvetica" w:hAnsi="Helvetica" w:cs="Helvetica"/>
          <w:color w:val="222222"/>
          <w:sz w:val="20"/>
          <w:szCs w:val="20"/>
          <w:lang w:eastAsia="en-AU"/>
        </w:rPr>
        <w:t>Pathol</w:t>
      </w:r>
      <w:proofErr w:type="spellEnd"/>
      <w:r w:rsidRPr="00E14E86">
        <w:rPr>
          <w:rFonts w:ascii="Helvetica" w:hAnsi="Helvetica" w:cs="Helvetica"/>
          <w:color w:val="222222"/>
          <w:sz w:val="20"/>
          <w:szCs w:val="20"/>
          <w:lang w:eastAsia="en-AU"/>
        </w:rPr>
        <w:t xml:space="preserve"> 38:222-228.</w:t>
      </w:r>
    </w:p>
    <w:p w:rsidRPr="00E14E86" w:rsidR="00E14E86" w:rsidP="00E14E86" w:rsidRDefault="00E14E86" w14:paraId="5E6AE0D9" w14:textId="77777777">
      <w:pPr>
        <w:numPr>
          <w:ilvl w:val="0"/>
          <w:numId w:val="23"/>
        </w:numPr>
        <w:shd w:val="clear" w:color="auto" w:fill="FFFFFF"/>
        <w:spacing w:after="90" w:line="300" w:lineRule="atLeast"/>
        <w:rPr>
          <w:rFonts w:ascii="Helvetica" w:hAnsi="Helvetica" w:cs="Helvetica"/>
          <w:color w:val="222222"/>
          <w:sz w:val="20"/>
          <w:szCs w:val="20"/>
          <w:lang w:eastAsia="en-AU"/>
        </w:rPr>
      </w:pPr>
      <w:r w:rsidRPr="00E14E86">
        <w:rPr>
          <w:rFonts w:ascii="Helvetica" w:hAnsi="Helvetica" w:cs="Helvetica"/>
          <w:color w:val="222222"/>
          <w:sz w:val="20"/>
          <w:szCs w:val="20"/>
          <w:lang w:eastAsia="en-AU"/>
        </w:rPr>
        <w:t xml:space="preserve">Bates JR, and </w:t>
      </w:r>
      <w:proofErr w:type="spellStart"/>
      <w:r w:rsidRPr="00E14E86">
        <w:rPr>
          <w:rFonts w:ascii="Helvetica" w:hAnsi="Helvetica" w:cs="Helvetica"/>
          <w:color w:val="222222"/>
          <w:sz w:val="20"/>
          <w:szCs w:val="20"/>
          <w:lang w:eastAsia="en-AU"/>
        </w:rPr>
        <w:t>Bodnaruk</w:t>
      </w:r>
      <w:proofErr w:type="spellEnd"/>
      <w:r w:rsidRPr="00E14E86">
        <w:rPr>
          <w:rFonts w:ascii="Helvetica" w:hAnsi="Helvetica" w:cs="Helvetica"/>
          <w:color w:val="222222"/>
          <w:sz w:val="20"/>
          <w:szCs w:val="20"/>
          <w:lang w:eastAsia="en-AU"/>
        </w:rPr>
        <w:t xml:space="preserve"> PW. 2003. Chapter 15. </w:t>
      </w:r>
      <w:r w:rsidRPr="00E14E86">
        <w:rPr>
          <w:rFonts w:ascii="Helvetica" w:hAnsi="Helvetica" w:cs="Helvetica"/>
          <w:i/>
          <w:iCs/>
          <w:color w:val="222222"/>
          <w:sz w:val="20"/>
          <w:szCs w:val="20"/>
          <w:lang w:eastAsia="en-AU"/>
        </w:rPr>
        <w:t>Clostridium perfringens</w:t>
      </w:r>
      <w:r w:rsidRPr="00E14E86">
        <w:rPr>
          <w:rFonts w:ascii="Helvetica" w:hAnsi="Helvetica" w:cs="Helvetica"/>
          <w:color w:val="222222"/>
          <w:sz w:val="20"/>
          <w:szCs w:val="20"/>
          <w:lang w:eastAsia="en-AU"/>
        </w:rPr>
        <w:t>. In Foodborne organisms of public health significance. Ed. Hocking AD. AIFST Inc. (NSW Branch). (Green book)</w:t>
      </w:r>
    </w:p>
    <w:p w:rsidRPr="00E14E86" w:rsidR="00E14E86" w:rsidP="00E14E86" w:rsidRDefault="00E14E86" w14:paraId="4540DB5E" w14:textId="77777777">
      <w:pPr>
        <w:numPr>
          <w:ilvl w:val="0"/>
          <w:numId w:val="23"/>
        </w:numPr>
        <w:shd w:val="clear" w:color="auto" w:fill="FFFFFF"/>
        <w:spacing w:after="90" w:line="300" w:lineRule="atLeast"/>
        <w:rPr>
          <w:rFonts w:ascii="Helvetica" w:hAnsi="Helvetica" w:cs="Helvetica"/>
          <w:color w:val="222222"/>
          <w:sz w:val="20"/>
          <w:szCs w:val="20"/>
          <w:lang w:eastAsia="en-AU"/>
        </w:rPr>
      </w:pPr>
      <w:r w:rsidRPr="00E14E86">
        <w:rPr>
          <w:rFonts w:ascii="Helvetica" w:hAnsi="Helvetica" w:cs="Helvetica"/>
          <w:color w:val="222222"/>
          <w:sz w:val="20"/>
          <w:szCs w:val="20"/>
          <w:lang w:eastAsia="en-AU"/>
        </w:rPr>
        <w:t xml:space="preserve">Berry PR, </w:t>
      </w:r>
      <w:proofErr w:type="spellStart"/>
      <w:r w:rsidRPr="00E14E86">
        <w:rPr>
          <w:rFonts w:ascii="Helvetica" w:hAnsi="Helvetica" w:cs="Helvetica"/>
          <w:color w:val="222222"/>
          <w:sz w:val="20"/>
          <w:szCs w:val="20"/>
          <w:lang w:eastAsia="en-AU"/>
        </w:rPr>
        <w:t>Rodhouse</w:t>
      </w:r>
      <w:proofErr w:type="spellEnd"/>
      <w:r w:rsidRPr="00E14E86">
        <w:rPr>
          <w:rFonts w:ascii="Helvetica" w:hAnsi="Helvetica" w:cs="Helvetica"/>
          <w:color w:val="222222"/>
          <w:sz w:val="20"/>
          <w:szCs w:val="20"/>
          <w:lang w:eastAsia="en-AU"/>
        </w:rPr>
        <w:t xml:space="preserve"> JC et al. 1988. Evaluation of ELISA, RPLA, and Vero cell assays for detecting </w:t>
      </w:r>
      <w:r w:rsidRPr="00E14E86">
        <w:rPr>
          <w:rFonts w:ascii="Helvetica" w:hAnsi="Helvetica" w:cs="Helvetica"/>
          <w:i/>
          <w:iCs/>
          <w:color w:val="222222"/>
          <w:sz w:val="20"/>
          <w:szCs w:val="20"/>
          <w:lang w:eastAsia="en-AU"/>
        </w:rPr>
        <w:t>Clostridium perfringens</w:t>
      </w:r>
      <w:r w:rsidRPr="00E14E86">
        <w:rPr>
          <w:rFonts w:ascii="Helvetica" w:hAnsi="Helvetica" w:cs="Helvetica"/>
          <w:color w:val="222222"/>
          <w:sz w:val="20"/>
          <w:szCs w:val="20"/>
          <w:lang w:eastAsia="en-AU"/>
        </w:rPr>
        <w:t xml:space="preserve"> enterotoxin in faecal specimens. J Clin </w:t>
      </w:r>
      <w:proofErr w:type="spellStart"/>
      <w:r w:rsidRPr="00E14E86">
        <w:rPr>
          <w:rFonts w:ascii="Helvetica" w:hAnsi="Helvetica" w:cs="Helvetica"/>
          <w:color w:val="222222"/>
          <w:sz w:val="20"/>
          <w:szCs w:val="20"/>
          <w:lang w:eastAsia="en-AU"/>
        </w:rPr>
        <w:t>Pathol</w:t>
      </w:r>
      <w:proofErr w:type="spellEnd"/>
      <w:r w:rsidRPr="00E14E86">
        <w:rPr>
          <w:rFonts w:ascii="Helvetica" w:hAnsi="Helvetica" w:cs="Helvetica"/>
          <w:color w:val="222222"/>
          <w:sz w:val="20"/>
          <w:szCs w:val="20"/>
          <w:lang w:eastAsia="en-AU"/>
        </w:rPr>
        <w:t xml:space="preserve"> 41:458-461.</w:t>
      </w:r>
    </w:p>
    <w:p w:rsidRPr="00E14E86" w:rsidR="00E14E86" w:rsidP="00E14E86" w:rsidRDefault="00E14E86" w14:paraId="642C8C9F" w14:textId="77777777">
      <w:pPr>
        <w:numPr>
          <w:ilvl w:val="0"/>
          <w:numId w:val="23"/>
        </w:numPr>
        <w:shd w:val="clear" w:color="auto" w:fill="FFFFFF"/>
        <w:spacing w:after="90" w:line="300" w:lineRule="atLeast"/>
        <w:rPr>
          <w:rFonts w:ascii="Helvetica" w:hAnsi="Helvetica" w:cs="Helvetica"/>
          <w:color w:val="222222"/>
          <w:sz w:val="20"/>
          <w:szCs w:val="20"/>
          <w:lang w:eastAsia="en-AU"/>
        </w:rPr>
      </w:pPr>
      <w:r w:rsidRPr="00E14E86">
        <w:rPr>
          <w:rFonts w:ascii="Helvetica" w:hAnsi="Helvetica" w:cs="Helvetica"/>
          <w:color w:val="222222"/>
          <w:sz w:val="20"/>
          <w:szCs w:val="20"/>
          <w:lang w:eastAsia="en-AU"/>
        </w:rPr>
        <w:lastRenderedPageBreak/>
        <w:t xml:space="preserve">Bos, J. </w:t>
      </w:r>
      <w:proofErr w:type="spellStart"/>
      <w:r w:rsidRPr="00E14E86">
        <w:rPr>
          <w:rFonts w:ascii="Helvetica" w:hAnsi="Helvetica" w:cs="Helvetica"/>
          <w:color w:val="222222"/>
          <w:sz w:val="20"/>
          <w:szCs w:val="20"/>
          <w:lang w:eastAsia="en-AU"/>
        </w:rPr>
        <w:t>Smithee</w:t>
      </w:r>
      <w:proofErr w:type="spellEnd"/>
      <w:r w:rsidRPr="00E14E86">
        <w:rPr>
          <w:rFonts w:ascii="Helvetica" w:hAnsi="Helvetica" w:cs="Helvetica"/>
          <w:color w:val="222222"/>
          <w:sz w:val="20"/>
          <w:szCs w:val="20"/>
          <w:lang w:eastAsia="en-AU"/>
        </w:rPr>
        <w:t>, L. et al. 2005. Fatal Necrotising Colitis following a Foodborne Outbreak of Enterotoxigenic </w:t>
      </w:r>
      <w:r w:rsidRPr="00E14E86">
        <w:rPr>
          <w:rFonts w:ascii="Helvetica" w:hAnsi="Helvetica" w:cs="Helvetica"/>
          <w:i/>
          <w:iCs/>
          <w:color w:val="222222"/>
          <w:sz w:val="20"/>
          <w:szCs w:val="20"/>
          <w:lang w:eastAsia="en-AU"/>
        </w:rPr>
        <w:t xml:space="preserve">Clostridium </w:t>
      </w:r>
      <w:proofErr w:type="gramStart"/>
      <w:r w:rsidRPr="00E14E86">
        <w:rPr>
          <w:rFonts w:ascii="Helvetica" w:hAnsi="Helvetica" w:cs="Helvetica"/>
          <w:i/>
          <w:iCs/>
          <w:color w:val="222222"/>
          <w:sz w:val="20"/>
          <w:szCs w:val="20"/>
          <w:lang w:eastAsia="en-AU"/>
        </w:rPr>
        <w:t>perfringens </w:t>
      </w:r>
      <w:r w:rsidRPr="00E14E86">
        <w:rPr>
          <w:rFonts w:ascii="Helvetica" w:hAnsi="Helvetica" w:cs="Helvetica"/>
          <w:color w:val="222222"/>
          <w:sz w:val="20"/>
          <w:szCs w:val="20"/>
          <w:lang w:eastAsia="en-AU"/>
        </w:rPr>
        <w:t> Type</w:t>
      </w:r>
      <w:proofErr w:type="gramEnd"/>
      <w:r w:rsidRPr="00E14E86">
        <w:rPr>
          <w:rFonts w:ascii="Helvetica" w:hAnsi="Helvetica" w:cs="Helvetica"/>
          <w:color w:val="222222"/>
          <w:sz w:val="20"/>
          <w:szCs w:val="20"/>
          <w:lang w:eastAsia="en-AU"/>
        </w:rPr>
        <w:t xml:space="preserve"> A Infection. Clin Inf Dis, 40 (10); 78-83</w:t>
      </w:r>
    </w:p>
    <w:p w:rsidRPr="00E14E86" w:rsidR="00E14E86" w:rsidP="00E14E86" w:rsidRDefault="00E14E86" w14:paraId="1C1BAA0C" w14:textId="77777777">
      <w:pPr>
        <w:numPr>
          <w:ilvl w:val="0"/>
          <w:numId w:val="23"/>
        </w:numPr>
        <w:shd w:val="clear" w:color="auto" w:fill="FFFFFF"/>
        <w:spacing w:after="90" w:line="300" w:lineRule="atLeast"/>
        <w:rPr>
          <w:rFonts w:ascii="Helvetica" w:hAnsi="Helvetica" w:cs="Helvetica"/>
          <w:color w:val="222222"/>
          <w:sz w:val="20"/>
          <w:szCs w:val="20"/>
          <w:lang w:eastAsia="en-AU"/>
        </w:rPr>
      </w:pPr>
      <w:r w:rsidRPr="00E14E86">
        <w:rPr>
          <w:rFonts w:ascii="Helvetica" w:hAnsi="Helvetica" w:cs="Helvetica"/>
          <w:color w:val="222222"/>
          <w:sz w:val="20"/>
          <w:szCs w:val="20"/>
          <w:lang w:eastAsia="en-AU"/>
        </w:rPr>
        <w:t xml:space="preserve">Brett MM, </w:t>
      </w:r>
      <w:proofErr w:type="spellStart"/>
      <w:r w:rsidRPr="00E14E86">
        <w:rPr>
          <w:rFonts w:ascii="Helvetica" w:hAnsi="Helvetica" w:cs="Helvetica"/>
          <w:color w:val="222222"/>
          <w:sz w:val="20"/>
          <w:szCs w:val="20"/>
          <w:lang w:eastAsia="en-AU"/>
        </w:rPr>
        <w:t>Rodhouse</w:t>
      </w:r>
      <w:proofErr w:type="spellEnd"/>
      <w:r w:rsidRPr="00E14E86">
        <w:rPr>
          <w:rFonts w:ascii="Helvetica" w:hAnsi="Helvetica" w:cs="Helvetica"/>
          <w:color w:val="222222"/>
          <w:sz w:val="20"/>
          <w:szCs w:val="20"/>
          <w:lang w:eastAsia="en-AU"/>
        </w:rPr>
        <w:t xml:space="preserve"> JC et al. 1992. Detection of </w:t>
      </w:r>
      <w:r w:rsidRPr="00E14E86">
        <w:rPr>
          <w:rFonts w:ascii="Helvetica" w:hAnsi="Helvetica" w:cs="Helvetica"/>
          <w:i/>
          <w:iCs/>
          <w:color w:val="222222"/>
          <w:sz w:val="20"/>
          <w:szCs w:val="20"/>
          <w:lang w:eastAsia="en-AU"/>
        </w:rPr>
        <w:t>Clostridium perfringens</w:t>
      </w:r>
      <w:r w:rsidRPr="00E14E86">
        <w:rPr>
          <w:rFonts w:ascii="Helvetica" w:hAnsi="Helvetica" w:cs="Helvetica"/>
          <w:color w:val="222222"/>
          <w:sz w:val="20"/>
          <w:szCs w:val="20"/>
          <w:lang w:eastAsia="en-AU"/>
        </w:rPr>
        <w:t xml:space="preserve"> and its enterotoxin in cases of sporadic diarrhea. J Clin </w:t>
      </w:r>
      <w:proofErr w:type="spellStart"/>
      <w:r w:rsidRPr="00E14E86">
        <w:rPr>
          <w:rFonts w:ascii="Helvetica" w:hAnsi="Helvetica" w:cs="Helvetica"/>
          <w:color w:val="222222"/>
          <w:sz w:val="20"/>
          <w:szCs w:val="20"/>
          <w:lang w:eastAsia="en-AU"/>
        </w:rPr>
        <w:t>Pathol</w:t>
      </w:r>
      <w:proofErr w:type="spellEnd"/>
      <w:r w:rsidRPr="00E14E86">
        <w:rPr>
          <w:rFonts w:ascii="Helvetica" w:hAnsi="Helvetica" w:cs="Helvetica"/>
          <w:color w:val="222222"/>
          <w:sz w:val="20"/>
          <w:szCs w:val="20"/>
          <w:lang w:eastAsia="en-AU"/>
        </w:rPr>
        <w:t xml:space="preserve"> 45: 609-611.</w:t>
      </w:r>
    </w:p>
    <w:p w:rsidRPr="00E14E86" w:rsidR="00E14E86" w:rsidP="00E14E86" w:rsidRDefault="00E14E86" w14:paraId="6C57529E" w14:textId="77777777">
      <w:pPr>
        <w:numPr>
          <w:ilvl w:val="0"/>
          <w:numId w:val="23"/>
        </w:numPr>
        <w:shd w:val="clear" w:color="auto" w:fill="FFFFFF"/>
        <w:spacing w:after="90" w:line="300" w:lineRule="atLeast"/>
        <w:rPr>
          <w:rFonts w:ascii="Helvetica" w:hAnsi="Helvetica" w:cs="Helvetica"/>
          <w:color w:val="222222"/>
          <w:sz w:val="20"/>
          <w:szCs w:val="20"/>
          <w:lang w:eastAsia="en-AU"/>
        </w:rPr>
      </w:pPr>
      <w:proofErr w:type="spellStart"/>
      <w:r w:rsidRPr="00E14E86">
        <w:rPr>
          <w:rFonts w:ascii="Helvetica" w:hAnsi="Helvetica" w:cs="Helvetica"/>
          <w:color w:val="222222"/>
          <w:sz w:val="20"/>
          <w:szCs w:val="20"/>
          <w:lang w:eastAsia="en-AU"/>
        </w:rPr>
        <w:t>Brynestad</w:t>
      </w:r>
      <w:proofErr w:type="spellEnd"/>
      <w:r w:rsidRPr="00E14E86">
        <w:rPr>
          <w:rFonts w:ascii="Helvetica" w:hAnsi="Helvetica" w:cs="Helvetica"/>
          <w:color w:val="222222"/>
          <w:sz w:val="20"/>
          <w:szCs w:val="20"/>
          <w:lang w:eastAsia="en-AU"/>
        </w:rPr>
        <w:t>, S. and Granum, PE. 2002. </w:t>
      </w:r>
      <w:r w:rsidRPr="00E14E86">
        <w:rPr>
          <w:rFonts w:ascii="Helvetica" w:hAnsi="Helvetica" w:cs="Helvetica"/>
          <w:i/>
          <w:iCs/>
          <w:color w:val="222222"/>
          <w:sz w:val="20"/>
          <w:szCs w:val="20"/>
          <w:lang w:eastAsia="en-AU"/>
        </w:rPr>
        <w:t>Clostridium perfringens </w:t>
      </w:r>
      <w:r w:rsidRPr="00E14E86">
        <w:rPr>
          <w:rFonts w:ascii="Helvetica" w:hAnsi="Helvetica" w:cs="Helvetica"/>
          <w:color w:val="222222"/>
          <w:sz w:val="20"/>
          <w:szCs w:val="20"/>
          <w:lang w:eastAsia="en-AU"/>
        </w:rPr>
        <w:t>and foodborne infections. Int. J Food Micro. 74: 195-202</w:t>
      </w:r>
    </w:p>
    <w:p w:rsidRPr="00E14E86" w:rsidR="00E14E86" w:rsidP="00E14E86" w:rsidRDefault="00E14E86" w14:paraId="6D096371" w14:textId="77777777">
      <w:pPr>
        <w:numPr>
          <w:ilvl w:val="0"/>
          <w:numId w:val="23"/>
        </w:numPr>
        <w:shd w:val="clear" w:color="auto" w:fill="FFFFFF"/>
        <w:spacing w:after="90" w:line="300" w:lineRule="atLeast"/>
        <w:rPr>
          <w:rFonts w:ascii="Helvetica" w:hAnsi="Helvetica" w:cs="Helvetica"/>
          <w:color w:val="222222"/>
          <w:sz w:val="20"/>
          <w:szCs w:val="20"/>
          <w:lang w:eastAsia="en-AU"/>
        </w:rPr>
      </w:pPr>
      <w:r w:rsidRPr="00E14E86">
        <w:rPr>
          <w:rFonts w:ascii="Helvetica" w:hAnsi="Helvetica" w:cs="Helvetica"/>
          <w:color w:val="222222"/>
          <w:sz w:val="20"/>
          <w:szCs w:val="20"/>
          <w:lang w:eastAsia="en-AU"/>
        </w:rPr>
        <w:t>Fatal Foodborne </w:t>
      </w:r>
      <w:r w:rsidRPr="00E14E86">
        <w:rPr>
          <w:rFonts w:ascii="Helvetica" w:hAnsi="Helvetica" w:cs="Helvetica"/>
          <w:i/>
          <w:iCs/>
          <w:color w:val="222222"/>
          <w:sz w:val="20"/>
          <w:szCs w:val="20"/>
          <w:lang w:eastAsia="en-AU"/>
        </w:rPr>
        <w:t xml:space="preserve">Clostridium </w:t>
      </w:r>
      <w:proofErr w:type="gramStart"/>
      <w:r w:rsidRPr="00E14E86">
        <w:rPr>
          <w:rFonts w:ascii="Helvetica" w:hAnsi="Helvetica" w:cs="Helvetica"/>
          <w:i/>
          <w:iCs/>
          <w:color w:val="222222"/>
          <w:sz w:val="20"/>
          <w:szCs w:val="20"/>
          <w:lang w:eastAsia="en-AU"/>
        </w:rPr>
        <w:t>perfringens </w:t>
      </w:r>
      <w:r w:rsidRPr="00E14E86">
        <w:rPr>
          <w:rFonts w:ascii="Helvetica" w:hAnsi="Helvetica" w:cs="Helvetica"/>
          <w:color w:val="222222"/>
          <w:sz w:val="20"/>
          <w:szCs w:val="20"/>
          <w:lang w:eastAsia="en-AU"/>
        </w:rPr>
        <w:t> Illness</w:t>
      </w:r>
      <w:proofErr w:type="gramEnd"/>
      <w:r w:rsidRPr="00E14E86">
        <w:rPr>
          <w:rFonts w:ascii="Helvetica" w:hAnsi="Helvetica" w:cs="Helvetica"/>
          <w:color w:val="222222"/>
          <w:sz w:val="20"/>
          <w:szCs w:val="20"/>
          <w:lang w:eastAsia="en-AU"/>
        </w:rPr>
        <w:t xml:space="preserve"> at a State </w:t>
      </w:r>
      <w:proofErr w:type="spellStart"/>
      <w:r w:rsidRPr="00E14E86">
        <w:rPr>
          <w:rFonts w:ascii="Helvetica" w:hAnsi="Helvetica" w:cs="Helvetica"/>
          <w:color w:val="222222"/>
          <w:sz w:val="20"/>
          <w:szCs w:val="20"/>
          <w:lang w:eastAsia="en-AU"/>
        </w:rPr>
        <w:t>Pyschiatric</w:t>
      </w:r>
      <w:proofErr w:type="spellEnd"/>
      <w:r w:rsidRPr="00E14E86">
        <w:rPr>
          <w:rFonts w:ascii="Helvetica" w:hAnsi="Helvetica" w:cs="Helvetica"/>
          <w:color w:val="222222"/>
          <w:sz w:val="20"/>
          <w:szCs w:val="20"/>
          <w:lang w:eastAsia="en-AU"/>
        </w:rPr>
        <w:t xml:space="preserve"> Hospital – Louisiana, 2010. MMWR 61 (32): 605-608</w:t>
      </w:r>
    </w:p>
    <w:p w:rsidRPr="00E14E86" w:rsidR="00E14E86" w:rsidP="00E14E86" w:rsidRDefault="00E14E86" w14:paraId="1C38E38F" w14:textId="77777777">
      <w:pPr>
        <w:numPr>
          <w:ilvl w:val="0"/>
          <w:numId w:val="23"/>
        </w:numPr>
        <w:shd w:val="clear" w:color="auto" w:fill="FFFFFF"/>
        <w:spacing w:after="90" w:line="300" w:lineRule="atLeast"/>
        <w:rPr>
          <w:rFonts w:ascii="Helvetica" w:hAnsi="Helvetica" w:cs="Helvetica"/>
          <w:color w:val="222222"/>
          <w:sz w:val="20"/>
          <w:szCs w:val="20"/>
          <w:lang w:eastAsia="en-AU"/>
        </w:rPr>
      </w:pPr>
      <w:proofErr w:type="spellStart"/>
      <w:r w:rsidRPr="00E14E86">
        <w:rPr>
          <w:rFonts w:ascii="Helvetica" w:hAnsi="Helvetica" w:cs="Helvetica"/>
          <w:color w:val="222222"/>
          <w:sz w:val="20"/>
          <w:szCs w:val="20"/>
          <w:lang w:eastAsia="en-AU"/>
        </w:rPr>
        <w:t>Guigliano</w:t>
      </w:r>
      <w:proofErr w:type="spellEnd"/>
      <w:r w:rsidRPr="00E14E86">
        <w:rPr>
          <w:rFonts w:ascii="Helvetica" w:hAnsi="Helvetica" w:cs="Helvetica"/>
          <w:color w:val="222222"/>
          <w:sz w:val="20"/>
          <w:szCs w:val="20"/>
          <w:lang w:eastAsia="en-AU"/>
        </w:rPr>
        <w:t xml:space="preserve"> LG, Stringer M and </w:t>
      </w:r>
      <w:proofErr w:type="spellStart"/>
      <w:r w:rsidRPr="00E14E86">
        <w:rPr>
          <w:rFonts w:ascii="Helvetica" w:hAnsi="Helvetica" w:cs="Helvetica"/>
          <w:color w:val="222222"/>
          <w:sz w:val="20"/>
          <w:szCs w:val="20"/>
          <w:lang w:eastAsia="en-AU"/>
        </w:rPr>
        <w:t>Drasar</w:t>
      </w:r>
      <w:proofErr w:type="spellEnd"/>
      <w:r w:rsidRPr="00E14E86">
        <w:rPr>
          <w:rFonts w:ascii="Helvetica" w:hAnsi="Helvetica" w:cs="Helvetica"/>
          <w:color w:val="222222"/>
          <w:sz w:val="20"/>
          <w:szCs w:val="20"/>
          <w:lang w:eastAsia="en-AU"/>
        </w:rPr>
        <w:t xml:space="preserve"> BS. 1983. Detection of </w:t>
      </w:r>
      <w:r w:rsidRPr="00E14E86">
        <w:rPr>
          <w:rFonts w:ascii="Helvetica" w:hAnsi="Helvetica" w:cs="Helvetica"/>
          <w:i/>
          <w:iCs/>
          <w:color w:val="222222"/>
          <w:sz w:val="20"/>
          <w:szCs w:val="20"/>
          <w:lang w:eastAsia="en-AU"/>
        </w:rPr>
        <w:t>Clostridium perfringens</w:t>
      </w:r>
      <w:r w:rsidRPr="00E14E86">
        <w:rPr>
          <w:rFonts w:ascii="Helvetica" w:hAnsi="Helvetica" w:cs="Helvetica"/>
          <w:color w:val="222222"/>
          <w:sz w:val="20"/>
          <w:szCs w:val="20"/>
          <w:lang w:eastAsia="en-AU"/>
        </w:rPr>
        <w:t> by tissue culture and double gel diffusion methods. J Med Microbiol 16:233-237.</w:t>
      </w:r>
    </w:p>
    <w:p w:rsidRPr="00E14E86" w:rsidR="00E14E86" w:rsidP="00E14E86" w:rsidRDefault="00E14E86" w14:paraId="4D7EA204" w14:textId="77777777">
      <w:pPr>
        <w:numPr>
          <w:ilvl w:val="0"/>
          <w:numId w:val="23"/>
        </w:numPr>
        <w:shd w:val="clear" w:color="auto" w:fill="FFFFFF"/>
        <w:spacing w:after="90" w:line="300" w:lineRule="atLeast"/>
        <w:rPr>
          <w:rFonts w:ascii="Helvetica" w:hAnsi="Helvetica" w:cs="Helvetica"/>
          <w:color w:val="222222"/>
          <w:sz w:val="20"/>
          <w:szCs w:val="20"/>
          <w:lang w:eastAsia="en-AU"/>
        </w:rPr>
      </w:pPr>
      <w:r w:rsidRPr="00E14E86">
        <w:rPr>
          <w:rFonts w:ascii="Helvetica" w:hAnsi="Helvetica" w:cs="Helvetica"/>
          <w:color w:val="222222"/>
          <w:sz w:val="20"/>
          <w:szCs w:val="20"/>
          <w:lang w:eastAsia="en-AU"/>
        </w:rPr>
        <w:t>McClung LS. 1945. Human food poisoning due to growth of </w:t>
      </w:r>
      <w:r w:rsidRPr="00E14E86">
        <w:rPr>
          <w:rFonts w:ascii="Helvetica" w:hAnsi="Helvetica" w:cs="Helvetica"/>
          <w:i/>
          <w:iCs/>
          <w:color w:val="222222"/>
          <w:sz w:val="20"/>
          <w:szCs w:val="20"/>
          <w:lang w:eastAsia="en-AU"/>
        </w:rPr>
        <w:t>Clostridium perfringens</w:t>
      </w:r>
      <w:r w:rsidRPr="00E14E86">
        <w:rPr>
          <w:rFonts w:ascii="Helvetica" w:hAnsi="Helvetica" w:cs="Helvetica"/>
          <w:color w:val="222222"/>
          <w:sz w:val="20"/>
          <w:szCs w:val="20"/>
          <w:lang w:eastAsia="en-AU"/>
        </w:rPr>
        <w:t> (</w:t>
      </w:r>
      <w:r w:rsidRPr="00E14E86">
        <w:rPr>
          <w:rFonts w:ascii="Helvetica" w:hAnsi="Helvetica" w:cs="Helvetica"/>
          <w:i/>
          <w:iCs/>
          <w:color w:val="222222"/>
          <w:sz w:val="20"/>
          <w:szCs w:val="20"/>
          <w:lang w:eastAsia="en-AU"/>
        </w:rPr>
        <w:t xml:space="preserve">C </w:t>
      </w:r>
      <w:proofErr w:type="spellStart"/>
      <w:r w:rsidRPr="00E14E86">
        <w:rPr>
          <w:rFonts w:ascii="Helvetica" w:hAnsi="Helvetica" w:cs="Helvetica"/>
          <w:i/>
          <w:iCs/>
          <w:color w:val="222222"/>
          <w:sz w:val="20"/>
          <w:szCs w:val="20"/>
          <w:lang w:eastAsia="en-AU"/>
        </w:rPr>
        <w:t>welchii</w:t>
      </w:r>
      <w:proofErr w:type="spellEnd"/>
      <w:r w:rsidRPr="00E14E86">
        <w:rPr>
          <w:rFonts w:ascii="Helvetica" w:hAnsi="Helvetica" w:cs="Helvetica"/>
          <w:color w:val="222222"/>
          <w:sz w:val="20"/>
          <w:szCs w:val="20"/>
          <w:lang w:eastAsia="en-AU"/>
        </w:rPr>
        <w:t xml:space="preserve">) in freshly cooked chicken: preliminary note. J </w:t>
      </w:r>
      <w:proofErr w:type="spellStart"/>
      <w:r w:rsidRPr="00E14E86">
        <w:rPr>
          <w:rFonts w:ascii="Helvetica" w:hAnsi="Helvetica" w:cs="Helvetica"/>
          <w:color w:val="222222"/>
          <w:sz w:val="20"/>
          <w:szCs w:val="20"/>
          <w:lang w:eastAsia="en-AU"/>
        </w:rPr>
        <w:t>Bacteriol</w:t>
      </w:r>
      <w:proofErr w:type="spellEnd"/>
      <w:r w:rsidRPr="00E14E86">
        <w:rPr>
          <w:rFonts w:ascii="Helvetica" w:hAnsi="Helvetica" w:cs="Helvetica"/>
          <w:color w:val="222222"/>
          <w:sz w:val="20"/>
          <w:szCs w:val="20"/>
          <w:lang w:eastAsia="en-AU"/>
        </w:rPr>
        <w:t xml:space="preserve"> 49:611-615.</w:t>
      </w:r>
    </w:p>
    <w:p w:rsidRPr="00E14E86" w:rsidR="00E14E86" w:rsidP="00E14E86" w:rsidRDefault="00E14E86" w14:paraId="0E1A4EB8" w14:textId="77777777">
      <w:pPr>
        <w:numPr>
          <w:ilvl w:val="0"/>
          <w:numId w:val="23"/>
        </w:numPr>
        <w:shd w:val="clear" w:color="auto" w:fill="FFFFFF"/>
        <w:spacing w:after="90" w:line="300" w:lineRule="atLeast"/>
        <w:rPr>
          <w:rFonts w:ascii="Helvetica" w:hAnsi="Helvetica" w:cs="Helvetica"/>
          <w:color w:val="222222"/>
          <w:sz w:val="20"/>
          <w:szCs w:val="20"/>
          <w:lang w:eastAsia="en-AU"/>
        </w:rPr>
      </w:pPr>
      <w:r w:rsidRPr="00E14E86">
        <w:rPr>
          <w:rFonts w:ascii="Helvetica" w:hAnsi="Helvetica" w:cs="Helvetica"/>
          <w:color w:val="222222"/>
          <w:sz w:val="20"/>
          <w:szCs w:val="20"/>
          <w:lang w:eastAsia="en-AU"/>
        </w:rPr>
        <w:t xml:space="preserve">Miyamoto, K, Wen, Q. and </w:t>
      </w:r>
      <w:proofErr w:type="spellStart"/>
      <w:r w:rsidRPr="00E14E86">
        <w:rPr>
          <w:rFonts w:ascii="Helvetica" w:hAnsi="Helvetica" w:cs="Helvetica"/>
          <w:color w:val="222222"/>
          <w:sz w:val="20"/>
          <w:szCs w:val="20"/>
          <w:lang w:eastAsia="en-AU"/>
        </w:rPr>
        <w:t>McClane</w:t>
      </w:r>
      <w:proofErr w:type="spellEnd"/>
      <w:r w:rsidRPr="00E14E86">
        <w:rPr>
          <w:rFonts w:ascii="Helvetica" w:hAnsi="Helvetica" w:cs="Helvetica"/>
          <w:color w:val="222222"/>
          <w:sz w:val="20"/>
          <w:szCs w:val="20"/>
          <w:lang w:eastAsia="en-AU"/>
        </w:rPr>
        <w:t>, B. 2004. Multiplex PCR Genotyping Assay That Distinguishes between Isolates of </w:t>
      </w:r>
      <w:r w:rsidRPr="00E14E86">
        <w:rPr>
          <w:rFonts w:ascii="Helvetica" w:hAnsi="Helvetica" w:cs="Helvetica"/>
          <w:i/>
          <w:iCs/>
          <w:color w:val="222222"/>
          <w:sz w:val="20"/>
          <w:szCs w:val="20"/>
          <w:lang w:eastAsia="en-AU"/>
        </w:rPr>
        <w:t>Clostridium perfringens</w:t>
      </w:r>
      <w:r w:rsidRPr="00E14E86">
        <w:rPr>
          <w:rFonts w:ascii="Helvetica" w:hAnsi="Helvetica" w:cs="Helvetica"/>
          <w:color w:val="222222"/>
          <w:sz w:val="20"/>
          <w:szCs w:val="20"/>
          <w:lang w:eastAsia="en-AU"/>
        </w:rPr>
        <w:t> Type A Carrying a Chromosomal Enterotoxin Gene (</w:t>
      </w:r>
      <w:proofErr w:type="spellStart"/>
      <w:r w:rsidRPr="00E14E86">
        <w:rPr>
          <w:rFonts w:ascii="Helvetica" w:hAnsi="Helvetica" w:cs="Helvetica"/>
          <w:color w:val="222222"/>
          <w:sz w:val="20"/>
          <w:szCs w:val="20"/>
          <w:lang w:eastAsia="en-AU"/>
        </w:rPr>
        <w:t>cpe</w:t>
      </w:r>
      <w:proofErr w:type="spellEnd"/>
      <w:r w:rsidRPr="00E14E86">
        <w:rPr>
          <w:rFonts w:ascii="Helvetica" w:hAnsi="Helvetica" w:cs="Helvetica"/>
          <w:color w:val="222222"/>
          <w:sz w:val="20"/>
          <w:szCs w:val="20"/>
          <w:lang w:eastAsia="en-AU"/>
        </w:rPr>
        <w:t xml:space="preserve">) Locus, a Plasmid </w:t>
      </w:r>
      <w:proofErr w:type="spellStart"/>
      <w:r w:rsidRPr="00E14E86">
        <w:rPr>
          <w:rFonts w:ascii="Helvetica" w:hAnsi="Helvetica" w:cs="Helvetica"/>
          <w:color w:val="222222"/>
          <w:sz w:val="20"/>
          <w:szCs w:val="20"/>
          <w:lang w:eastAsia="en-AU"/>
        </w:rPr>
        <w:t>cpe</w:t>
      </w:r>
      <w:proofErr w:type="spellEnd"/>
      <w:r w:rsidRPr="00E14E86">
        <w:rPr>
          <w:rFonts w:ascii="Helvetica" w:hAnsi="Helvetica" w:cs="Helvetica"/>
          <w:color w:val="222222"/>
          <w:sz w:val="20"/>
          <w:szCs w:val="20"/>
          <w:lang w:eastAsia="en-AU"/>
        </w:rPr>
        <w:t xml:space="preserve"> Locus with an IS1470-Like Sequence, or a Plasmid </w:t>
      </w:r>
      <w:proofErr w:type="spellStart"/>
      <w:r w:rsidRPr="00E14E86">
        <w:rPr>
          <w:rFonts w:ascii="Helvetica" w:hAnsi="Helvetica" w:cs="Helvetica"/>
          <w:color w:val="222222"/>
          <w:sz w:val="20"/>
          <w:szCs w:val="20"/>
          <w:lang w:eastAsia="en-AU"/>
        </w:rPr>
        <w:t>cpe</w:t>
      </w:r>
      <w:proofErr w:type="spellEnd"/>
      <w:r w:rsidRPr="00E14E86">
        <w:rPr>
          <w:rFonts w:ascii="Helvetica" w:hAnsi="Helvetica" w:cs="Helvetica"/>
          <w:color w:val="222222"/>
          <w:sz w:val="20"/>
          <w:szCs w:val="20"/>
          <w:lang w:eastAsia="en-AU"/>
        </w:rPr>
        <w:t xml:space="preserve"> Locus with an IS1151 Sequence J. Clin Micro, Vol 42 (2): 1552-1558</w:t>
      </w:r>
    </w:p>
    <w:p w:rsidRPr="00E14E86" w:rsidR="00E14E86" w:rsidP="00E14E86" w:rsidRDefault="00E14E86" w14:paraId="224AA576" w14:textId="77777777">
      <w:pPr>
        <w:numPr>
          <w:ilvl w:val="0"/>
          <w:numId w:val="23"/>
        </w:numPr>
        <w:shd w:val="clear" w:color="auto" w:fill="FFFFFF"/>
        <w:spacing w:after="90" w:line="300" w:lineRule="atLeast"/>
        <w:rPr>
          <w:rFonts w:ascii="Helvetica" w:hAnsi="Helvetica" w:cs="Helvetica"/>
          <w:color w:val="222222"/>
          <w:sz w:val="20"/>
          <w:szCs w:val="20"/>
          <w:lang w:eastAsia="en-AU"/>
        </w:rPr>
      </w:pPr>
      <w:proofErr w:type="spellStart"/>
      <w:r w:rsidRPr="00E14E86">
        <w:rPr>
          <w:rFonts w:ascii="Helvetica" w:hAnsi="Helvetica" w:cs="Helvetica"/>
          <w:color w:val="222222"/>
          <w:sz w:val="20"/>
          <w:szCs w:val="20"/>
          <w:lang w:eastAsia="en-AU"/>
        </w:rPr>
        <w:t>Pinegar</w:t>
      </w:r>
      <w:proofErr w:type="spellEnd"/>
      <w:r w:rsidRPr="00E14E86">
        <w:rPr>
          <w:rFonts w:ascii="Helvetica" w:hAnsi="Helvetica" w:cs="Helvetica"/>
          <w:color w:val="222222"/>
          <w:sz w:val="20"/>
          <w:szCs w:val="20"/>
          <w:lang w:eastAsia="en-AU"/>
        </w:rPr>
        <w:t xml:space="preserve"> JA and Stringer MF. 1977. Outbreaks of food poisoning attributed to </w:t>
      </w:r>
      <w:proofErr w:type="spellStart"/>
      <w:r w:rsidRPr="00E14E86">
        <w:rPr>
          <w:rFonts w:ascii="Helvetica" w:hAnsi="Helvetica" w:cs="Helvetica"/>
          <w:color w:val="222222"/>
          <w:sz w:val="20"/>
          <w:szCs w:val="20"/>
          <w:lang w:eastAsia="en-AU"/>
        </w:rPr>
        <w:t>lecithinase</w:t>
      </w:r>
      <w:proofErr w:type="spellEnd"/>
      <w:r w:rsidRPr="00E14E86">
        <w:rPr>
          <w:rFonts w:ascii="Helvetica" w:hAnsi="Helvetica" w:cs="Helvetica"/>
          <w:color w:val="222222"/>
          <w:sz w:val="20"/>
          <w:szCs w:val="20"/>
          <w:lang w:eastAsia="en-AU"/>
        </w:rPr>
        <w:t>-negative </w:t>
      </w:r>
      <w:r w:rsidRPr="00E14E86">
        <w:rPr>
          <w:rFonts w:ascii="Helvetica" w:hAnsi="Helvetica" w:cs="Helvetica"/>
          <w:i/>
          <w:iCs/>
          <w:color w:val="222222"/>
          <w:sz w:val="20"/>
          <w:szCs w:val="20"/>
          <w:lang w:eastAsia="en-AU"/>
        </w:rPr>
        <w:t xml:space="preserve">Clostridium </w:t>
      </w:r>
      <w:proofErr w:type="spellStart"/>
      <w:r w:rsidRPr="00E14E86">
        <w:rPr>
          <w:rFonts w:ascii="Helvetica" w:hAnsi="Helvetica" w:cs="Helvetica"/>
          <w:i/>
          <w:iCs/>
          <w:color w:val="222222"/>
          <w:sz w:val="20"/>
          <w:szCs w:val="20"/>
          <w:lang w:eastAsia="en-AU"/>
        </w:rPr>
        <w:t>welchii</w:t>
      </w:r>
      <w:proofErr w:type="spellEnd"/>
      <w:r w:rsidRPr="00E14E86">
        <w:rPr>
          <w:rFonts w:ascii="Helvetica" w:hAnsi="Helvetica" w:cs="Helvetica"/>
          <w:color w:val="222222"/>
          <w:sz w:val="20"/>
          <w:szCs w:val="20"/>
          <w:lang w:eastAsia="en-AU"/>
        </w:rPr>
        <w:t xml:space="preserve">. J Clin </w:t>
      </w:r>
      <w:proofErr w:type="spellStart"/>
      <w:r w:rsidRPr="00E14E86">
        <w:rPr>
          <w:rFonts w:ascii="Helvetica" w:hAnsi="Helvetica" w:cs="Helvetica"/>
          <w:color w:val="222222"/>
          <w:sz w:val="20"/>
          <w:szCs w:val="20"/>
          <w:lang w:eastAsia="en-AU"/>
        </w:rPr>
        <w:t>Pathol</w:t>
      </w:r>
      <w:proofErr w:type="spellEnd"/>
      <w:r w:rsidRPr="00E14E86">
        <w:rPr>
          <w:rFonts w:ascii="Helvetica" w:hAnsi="Helvetica" w:cs="Helvetica"/>
          <w:color w:val="222222"/>
          <w:sz w:val="20"/>
          <w:szCs w:val="20"/>
          <w:lang w:eastAsia="en-AU"/>
        </w:rPr>
        <w:t xml:space="preserve"> 30:491-492.</w:t>
      </w:r>
    </w:p>
    <w:p w:rsidRPr="00E14E86" w:rsidR="00E14E86" w:rsidP="00E14E86" w:rsidRDefault="00E14E86" w14:paraId="24BA77AF" w14:textId="77777777">
      <w:pPr>
        <w:numPr>
          <w:ilvl w:val="0"/>
          <w:numId w:val="23"/>
        </w:numPr>
        <w:shd w:val="clear" w:color="auto" w:fill="FFFFFF"/>
        <w:spacing w:after="90" w:line="300" w:lineRule="atLeast"/>
        <w:rPr>
          <w:rFonts w:ascii="Helvetica" w:hAnsi="Helvetica" w:cs="Helvetica"/>
          <w:color w:val="222222"/>
          <w:sz w:val="20"/>
          <w:szCs w:val="20"/>
          <w:lang w:eastAsia="en-AU"/>
        </w:rPr>
      </w:pPr>
      <w:proofErr w:type="spellStart"/>
      <w:r w:rsidRPr="00E14E86">
        <w:rPr>
          <w:rFonts w:ascii="Helvetica" w:hAnsi="Helvetica" w:cs="Helvetica"/>
          <w:color w:val="222222"/>
          <w:sz w:val="20"/>
          <w:szCs w:val="20"/>
          <w:lang w:eastAsia="en-AU"/>
        </w:rPr>
        <w:t>Rhodehamel</w:t>
      </w:r>
      <w:proofErr w:type="spellEnd"/>
      <w:r w:rsidRPr="00E14E86">
        <w:rPr>
          <w:rFonts w:ascii="Helvetica" w:hAnsi="Helvetica" w:cs="Helvetica"/>
          <w:color w:val="222222"/>
          <w:sz w:val="20"/>
          <w:szCs w:val="20"/>
          <w:lang w:eastAsia="en-AU"/>
        </w:rPr>
        <w:t xml:space="preserve"> EJ and Harmon SM. 1998. Chapter 16 </w:t>
      </w:r>
      <w:r w:rsidRPr="00E14E86">
        <w:rPr>
          <w:rFonts w:ascii="Helvetica" w:hAnsi="Helvetica" w:cs="Helvetica"/>
          <w:i/>
          <w:iCs/>
          <w:color w:val="222222"/>
          <w:sz w:val="20"/>
          <w:szCs w:val="20"/>
          <w:lang w:eastAsia="en-AU"/>
        </w:rPr>
        <w:t>Clostridium perfringens</w:t>
      </w:r>
      <w:r w:rsidRPr="00E14E86">
        <w:rPr>
          <w:rFonts w:ascii="Helvetica" w:hAnsi="Helvetica" w:cs="Helvetica"/>
          <w:color w:val="222222"/>
          <w:sz w:val="20"/>
          <w:szCs w:val="20"/>
          <w:lang w:eastAsia="en-AU"/>
        </w:rPr>
        <w:t>. In Bacteriological Analytical Manual, 8th Edition, Revision A 1991. US FDA. (www.cfsan.fda.gov/~ebam/bam-16.html)</w:t>
      </w:r>
    </w:p>
    <w:p w:rsidRPr="00E14E86" w:rsidR="009E0B84" w:rsidP="00F42019" w:rsidRDefault="00E14E86" w14:paraId="5C505560" w14:textId="2F8B9FFF">
      <w:pPr>
        <w:numPr>
          <w:ilvl w:val="0"/>
          <w:numId w:val="23"/>
        </w:numPr>
        <w:shd w:val="clear" w:color="auto" w:fill="FFFFFF"/>
        <w:spacing w:after="90" w:line="300" w:lineRule="atLeast"/>
        <w:rPr>
          <w:rFonts w:ascii="Helvetica" w:hAnsi="Helvetica" w:cs="Helvetica"/>
          <w:color w:val="222222"/>
          <w:sz w:val="20"/>
          <w:szCs w:val="20"/>
          <w:lang w:eastAsia="en-AU"/>
        </w:rPr>
      </w:pPr>
      <w:r w:rsidRPr="00E14E86">
        <w:rPr>
          <w:rFonts w:ascii="Helvetica" w:hAnsi="Helvetica" w:cs="Helvetica"/>
          <w:color w:val="222222"/>
          <w:sz w:val="20"/>
          <w:szCs w:val="20"/>
          <w:lang w:eastAsia="en-AU"/>
        </w:rPr>
        <w:t xml:space="preserve">van </w:t>
      </w:r>
      <w:proofErr w:type="spellStart"/>
      <w:r w:rsidRPr="00E14E86">
        <w:rPr>
          <w:rFonts w:ascii="Helvetica" w:hAnsi="Helvetica" w:cs="Helvetica"/>
          <w:color w:val="222222"/>
          <w:sz w:val="20"/>
          <w:szCs w:val="20"/>
          <w:lang w:eastAsia="en-AU"/>
        </w:rPr>
        <w:t>Asten</w:t>
      </w:r>
      <w:proofErr w:type="spellEnd"/>
      <w:r w:rsidRPr="00E14E86">
        <w:rPr>
          <w:rFonts w:ascii="Helvetica" w:hAnsi="Helvetica" w:cs="Helvetica"/>
          <w:color w:val="222222"/>
          <w:sz w:val="20"/>
          <w:szCs w:val="20"/>
          <w:lang w:eastAsia="en-AU"/>
        </w:rPr>
        <w:t xml:space="preserve"> AJ, van der Weil, CW. et al. 2009. A multiplex PCR for toxin typing of </w:t>
      </w:r>
      <w:r w:rsidRPr="00E14E86">
        <w:rPr>
          <w:rFonts w:ascii="Helvetica" w:hAnsi="Helvetica" w:cs="Helvetica"/>
          <w:i/>
          <w:iCs/>
          <w:color w:val="222222"/>
          <w:sz w:val="20"/>
          <w:szCs w:val="20"/>
          <w:lang w:eastAsia="en-AU"/>
        </w:rPr>
        <w:t>Clostridium perfringens</w:t>
      </w:r>
      <w:r w:rsidRPr="00E14E86">
        <w:rPr>
          <w:rFonts w:ascii="Helvetica" w:hAnsi="Helvetica" w:cs="Helvetica"/>
          <w:color w:val="222222"/>
          <w:sz w:val="20"/>
          <w:szCs w:val="20"/>
          <w:lang w:eastAsia="en-AU"/>
        </w:rPr>
        <w:t> isolates. Vet Micro, Vol 136: 411-412</w:t>
      </w:r>
    </w:p>
    <w:sectPr w:rsidRPr="00E14E86" w:rsidR="009E0B84" w:rsidSect="00F42019">
      <w:headerReference w:type="default" r:id="rId15"/>
      <w:footerReference w:type="default" r:id="rId16"/>
      <w:headerReference w:type="first" r:id="rId17"/>
      <w:footerReference w:type="first" r:id="rId18"/>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4E86" w:rsidP="006B56BB" w:rsidRDefault="00E14E86" w14:paraId="16F789AC" w14:textId="77777777">
      <w:r>
        <w:separator/>
      </w:r>
    </w:p>
    <w:p w:rsidR="00E14E86" w:rsidRDefault="00E14E86" w14:paraId="3169542B" w14:textId="77777777"/>
  </w:endnote>
  <w:endnote w:type="continuationSeparator" w:id="0">
    <w:p w:rsidR="00E14E86" w:rsidP="006B56BB" w:rsidRDefault="00E14E86" w14:paraId="0453A915" w14:textId="77777777">
      <w:r>
        <w:continuationSeparator/>
      </w:r>
    </w:p>
    <w:p w:rsidR="00E14E86" w:rsidRDefault="00E14E86" w14:paraId="188A4FCA" w14:textId="77777777"/>
  </w:endnote>
  <w:endnote w:type="continuationNotice" w:id="1">
    <w:p w:rsidR="00E14E86" w:rsidRDefault="00E14E86" w14:paraId="3047DD4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P="00E14E86" w:rsidRDefault="00E14E86" w14:paraId="1965047A" w14:textId="0FEA5A3F">
            <w:pPr>
              <w:pStyle w:val="Footer"/>
              <w:jc w:val="right"/>
            </w:pPr>
            <w:r w:rsidRPr="00E14E86">
              <w:rPr>
                <w:i/>
                <w:iCs/>
              </w:rPr>
              <w:t>C</w:t>
            </w:r>
            <w:r w:rsidRPr="00E14E86">
              <w:rPr>
                <w:i/>
                <w:iCs/>
              </w:rPr>
              <w:t>lostridium perfringens</w:t>
            </w:r>
            <w:r w:rsidRPr="00E14E86">
              <w:t xml:space="preserve"> enteritis</w:t>
            </w:r>
            <w:r w:rsidRPr="00E14E86">
              <w:t xml:space="preserve">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E14E86" w:rsidRDefault="00E14E86" w14:paraId="7D8F676E" w14:textId="2261461E">
    <w:pPr>
      <w:pStyle w:val="Footer"/>
      <w:jc w:val="right"/>
    </w:pPr>
    <w:r w:rsidRPr="00E14E86">
      <w:rPr>
        <w:i/>
        <w:iCs/>
      </w:rPr>
      <w:t>C</w:t>
    </w:r>
    <w:r w:rsidRPr="00E14E86">
      <w:rPr>
        <w:i/>
        <w:iCs/>
      </w:rPr>
      <w:t>lostridium perfringens</w:t>
    </w:r>
    <w:r w:rsidRPr="00E14E86">
      <w:t xml:space="preserve"> enteritis</w:t>
    </w:r>
    <w:r w:rsidRPr="00E14E86">
      <w:t xml:space="preserve">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4E86" w:rsidP="006B56BB" w:rsidRDefault="00E14E86" w14:paraId="0C9C112A" w14:textId="77777777">
      <w:r>
        <w:separator/>
      </w:r>
    </w:p>
    <w:p w:rsidR="00E14E86" w:rsidRDefault="00E14E86" w14:paraId="5A4B212B" w14:textId="77777777"/>
  </w:footnote>
  <w:footnote w:type="continuationSeparator" w:id="0">
    <w:p w:rsidR="00E14E86" w:rsidP="006B56BB" w:rsidRDefault="00E14E86" w14:paraId="4A9F5CE6" w14:textId="77777777">
      <w:r>
        <w:continuationSeparator/>
      </w:r>
    </w:p>
    <w:p w:rsidR="00E14E86" w:rsidRDefault="00E14E86" w14:paraId="5EBBC9AE" w14:textId="77777777"/>
  </w:footnote>
  <w:footnote w:type="continuationNotice" w:id="1">
    <w:p w:rsidR="00E14E86" w:rsidRDefault="00E14E86" w14:paraId="3E86A83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3D546AD3"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0F88300F" w14:textId="77777777">
    <w:pPr>
      <w:pStyle w:val="Header"/>
    </w:pPr>
    <w:r>
      <w:rPr>
        <w:noProof/>
      </w:rPr>
      <w:drawing>
        <wp:inline distT="0" distB="0" distL="0" distR="0" wp14:anchorId="0C4B2CE3" wp14:editId="3B05C07E">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0A7E432C"/>
    <w:multiLevelType w:val="multilevel"/>
    <w:tmpl w:val="8102C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26011B"/>
    <w:multiLevelType w:val="multilevel"/>
    <w:tmpl w:val="26CE0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6" w15:restartNumberingAfterBreak="0">
    <w:nsid w:val="476773CD"/>
    <w:multiLevelType w:val="multilevel"/>
    <w:tmpl w:val="8AE4D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847EE5"/>
    <w:multiLevelType w:val="multilevel"/>
    <w:tmpl w:val="B3148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8"/>
  </w:num>
  <w:num w:numId="3">
    <w:abstractNumId w:val="20"/>
  </w:num>
  <w:num w:numId="4">
    <w:abstractNumId w:val="8"/>
  </w:num>
  <w:num w:numId="5">
    <w:abstractNumId w:val="8"/>
    <w:lvlOverride w:ilvl="0">
      <w:startOverride w:val="1"/>
    </w:lvlOverride>
  </w:num>
  <w:num w:numId="6">
    <w:abstractNumId w:val="9"/>
  </w:num>
  <w:num w:numId="7">
    <w:abstractNumId w:val="15"/>
  </w:num>
  <w:num w:numId="8">
    <w:abstractNumId w:val="19"/>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1"/>
  </w:num>
  <w:num w:numId="17">
    <w:abstractNumId w:val="12"/>
  </w:num>
  <w:num w:numId="18">
    <w:abstractNumId w:val="13"/>
  </w:num>
  <w:num w:numId="19">
    <w:abstractNumId w:val="14"/>
  </w:num>
  <w:num w:numId="20">
    <w:abstractNumId w:val="16"/>
  </w:num>
  <w:num w:numId="21">
    <w:abstractNumId w:val="11"/>
  </w:num>
  <w:num w:numId="22">
    <w:abstractNumId w:val="17"/>
  </w:num>
  <w:num w:numId="2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3"/>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86"/>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B6AD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D1B97"/>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0BA7"/>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4E86"/>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1E056E2D"/>
    <w:rsid w:val="61FD9C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90AC0"/>
  <w15:docId w15:val="{48178D6A-D8E8-46BE-ACC1-7356376ED0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E14E86"/>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E14E86"/>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E14E86"/>
    <w:rPr>
      <w:rFonts w:ascii="Arial" w:hAnsi="Arial"/>
      <w:b/>
      <w:bCs/>
      <w:i/>
      <w:color w:val="414141"/>
      <w:sz w:val="24"/>
      <w:szCs w:val="28"/>
      <w:lang w:eastAsia="en-US"/>
    </w:rPr>
  </w:style>
  <w:style w:type="paragraph" w:styleId="NormalWeb">
    <w:name w:val="Normal (Web)"/>
    <w:basedOn w:val="Normal"/>
    <w:uiPriority w:val="99"/>
    <w:semiHidden/>
    <w:unhideWhenUsed/>
    <w:rsid w:val="00E14E86"/>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529610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1619">
          <w:marLeft w:val="0"/>
          <w:marRight w:val="0"/>
          <w:marTop w:val="0"/>
          <w:marBottom w:val="0"/>
          <w:divBdr>
            <w:top w:val="none" w:sz="0" w:space="0" w:color="C4DEEE"/>
            <w:left w:val="none" w:sz="0" w:space="0" w:color="C4DEEE"/>
            <w:bottom w:val="none" w:sz="0" w:space="0" w:color="C4DEEE"/>
            <w:right w:val="none" w:sz="0" w:space="0" w:color="C4DEEE"/>
          </w:divBdr>
        </w:div>
        <w:div w:id="840506091">
          <w:marLeft w:val="0"/>
          <w:marRight w:val="0"/>
          <w:marTop w:val="0"/>
          <w:marBottom w:val="0"/>
          <w:divBdr>
            <w:top w:val="none" w:sz="0" w:space="0" w:color="C4DEEE"/>
            <w:left w:val="none" w:sz="0" w:space="0" w:color="C4DEEE"/>
            <w:bottom w:val="none" w:sz="0" w:space="0" w:color="C4DEEE"/>
            <w:right w:val="none" w:sz="0" w:space="0" w:color="C4DEEE"/>
          </w:divBdr>
        </w:div>
        <w:div w:id="1126195648">
          <w:marLeft w:val="0"/>
          <w:marRight w:val="0"/>
          <w:marTop w:val="0"/>
          <w:marBottom w:val="0"/>
          <w:divBdr>
            <w:top w:val="none" w:sz="0" w:space="0" w:color="C4DEEE"/>
            <w:left w:val="none" w:sz="0" w:space="0" w:color="C4DEEE"/>
            <w:bottom w:val="none" w:sz="0" w:space="0" w:color="C4DEEE"/>
            <w:right w:val="none" w:sz="0" w:space="0" w:color="C4DEEE"/>
          </w:divBdr>
        </w:div>
        <w:div w:id="915240052">
          <w:marLeft w:val="0"/>
          <w:marRight w:val="0"/>
          <w:marTop w:val="0"/>
          <w:marBottom w:val="0"/>
          <w:divBdr>
            <w:top w:val="none" w:sz="0" w:space="0" w:color="C4DEEE"/>
            <w:left w:val="none" w:sz="0" w:space="0" w:color="C4DEEE"/>
            <w:bottom w:val="none" w:sz="0" w:space="0" w:color="C4DEEE"/>
            <w:right w:val="none" w:sz="0" w:space="0" w:color="C4DEEE"/>
          </w:divBdr>
        </w:div>
        <w:div w:id="1138376967">
          <w:marLeft w:val="0"/>
          <w:marRight w:val="0"/>
          <w:marTop w:val="0"/>
          <w:marBottom w:val="0"/>
          <w:divBdr>
            <w:top w:val="none" w:sz="0" w:space="0" w:color="C4DEEE"/>
            <w:left w:val="none" w:sz="0" w:space="0" w:color="C4DEEE"/>
            <w:bottom w:val="none" w:sz="0" w:space="0" w:color="C4DEEE"/>
            <w:right w:val="none" w:sz="0" w:space="0" w:color="C4DEEE"/>
          </w:divBdr>
        </w:div>
        <w:div w:id="1390299761">
          <w:marLeft w:val="0"/>
          <w:marRight w:val="0"/>
          <w:marTop w:val="0"/>
          <w:marBottom w:val="0"/>
          <w:divBdr>
            <w:top w:val="none" w:sz="0" w:space="0" w:color="C4DEEE"/>
            <w:left w:val="none" w:sz="0" w:space="0" w:color="C4DEEE"/>
            <w:bottom w:val="none" w:sz="0" w:space="0" w:color="C4DEEE"/>
            <w:right w:val="none" w:sz="0" w:space="0" w:color="C4DEEE"/>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fc13709cfd8248c2"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c5fd209-6a2e-4606-880a-2282207e433d}"/>
      </w:docPartPr>
      <w:docPartBody>
        <w:p w14:paraId="76EF1F5D">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75B96380-20FD-4FC7-B44F-0033470D5208}"/>
</file>

<file path=customXml/itemProps3.xml><?xml version="1.0" encoding="utf-8"?>
<ds:datastoreItem xmlns:ds="http://schemas.openxmlformats.org/officeDocument/2006/customXml" ds:itemID="{D20C6417-ADBB-487B-9091-DC3471F064B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6487dd-ec90-4f99-8970-1318e5f29791"/>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Clostridium perfringens enteritis – Laboratory case definition</dc:title>
  <dc:creator>Public Health Laboratory Network</dc:creator>
  <cp:keywords>Communicable diseases</cp:keywords>
  <dcterms:created xsi:type="dcterms:W3CDTF">2022-06-03T05:43:00Z</dcterms:created>
  <dcterms:modified xsi:type="dcterms:W3CDTF">2022-06-10T00:11:41Z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