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07A8D5" w14:textId="6AF0DA60" w:rsidR="00FE1D9C" w:rsidRPr="004D3350" w:rsidRDefault="00935310" w:rsidP="00FE1D9C">
      <w:pPr>
        <w:spacing w:before="3840" w:after="0"/>
        <w:ind w:left="567"/>
        <w:jc w:val="center"/>
        <w:rPr>
          <w:rFonts w:ascii="Calibri" w:hAnsi="Calibri"/>
          <w:b/>
          <w:color w:val="FFFFFF"/>
          <w:sz w:val="60"/>
          <w:szCs w:val="60"/>
          <w:lang w:val="en-AU"/>
        </w:rPr>
      </w:pPr>
      <w:r>
        <w:rPr>
          <w:noProof/>
          <w:lang w:val="en-AU" w:eastAsia="en-AU"/>
        </w:rPr>
        <w:drawing>
          <wp:anchor distT="0" distB="0" distL="114300" distR="114300" simplePos="0" relativeHeight="251660288" behindDoc="1" locked="0" layoutInCell="1" allowOverlap="1" wp14:anchorId="3EE5F2BF" wp14:editId="56C9B4A0">
            <wp:simplePos x="0" y="0"/>
            <wp:positionH relativeFrom="column">
              <wp:posOffset>-872490</wp:posOffset>
            </wp:positionH>
            <wp:positionV relativeFrom="page">
              <wp:posOffset>27940</wp:posOffset>
            </wp:positionV>
            <wp:extent cx="7494905" cy="10601960"/>
            <wp:effectExtent l="0" t="0" r="0" b="0"/>
            <wp:wrapNone/>
            <wp:docPr id="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94905" cy="10601960"/>
                    </a:xfrm>
                    <a:prstGeom prst="rect">
                      <a:avLst/>
                    </a:prstGeom>
                  </pic:spPr>
                </pic:pic>
              </a:graphicData>
            </a:graphic>
            <wp14:sizeRelH relativeFrom="margin">
              <wp14:pctWidth>0</wp14:pctWidth>
            </wp14:sizeRelH>
            <wp14:sizeRelV relativeFrom="margin">
              <wp14:pctHeight>0</wp14:pctHeight>
            </wp14:sizeRelV>
          </wp:anchor>
        </w:drawing>
      </w:r>
      <w:r w:rsidR="00FE1D9C" w:rsidRPr="00FE1D9C">
        <w:rPr>
          <w:rFonts w:ascii="Calibri" w:hAnsi="Calibri"/>
          <w:b/>
          <w:color w:val="FFFFFF"/>
          <w:sz w:val="60"/>
          <w:szCs w:val="60"/>
          <w:lang w:val="en-AU"/>
        </w:rPr>
        <w:t xml:space="preserve"> </w:t>
      </w:r>
      <w:r w:rsidR="00FE1D9C" w:rsidRPr="004D3350">
        <w:rPr>
          <w:rFonts w:ascii="Calibri" w:hAnsi="Calibri"/>
          <w:b/>
          <w:color w:val="FFFFFF"/>
          <w:sz w:val="60"/>
          <w:szCs w:val="60"/>
          <w:lang w:val="en-AU"/>
        </w:rPr>
        <w:t>Debilitating Symptom Complexes Attributed to Ticks (DSCATT) Clinical Pathway</w:t>
      </w:r>
    </w:p>
    <w:p w14:paraId="62E4A175" w14:textId="77777777" w:rsidR="00FE1D9C" w:rsidRPr="004D3350" w:rsidRDefault="00FE1D9C" w:rsidP="00FE1D9C">
      <w:pPr>
        <w:spacing w:before="240" w:after="0"/>
        <w:ind w:left="567"/>
        <w:jc w:val="center"/>
        <w:rPr>
          <w:rFonts w:ascii="Calibri" w:hAnsi="Calibri"/>
          <w:b/>
          <w:color w:val="FFFFFF"/>
          <w:sz w:val="48"/>
          <w:szCs w:val="48"/>
        </w:rPr>
      </w:pPr>
      <w:r w:rsidRPr="004D3350">
        <w:rPr>
          <w:rFonts w:ascii="Calibri" w:hAnsi="Calibri"/>
          <w:b/>
          <w:color w:val="FFFFFF"/>
          <w:sz w:val="48"/>
          <w:szCs w:val="48"/>
        </w:rPr>
        <w:t>Australian Government</w:t>
      </w:r>
    </w:p>
    <w:p w14:paraId="7812FA8A" w14:textId="77777777" w:rsidR="00FE1D9C" w:rsidRPr="004D3350" w:rsidRDefault="00FE1D9C" w:rsidP="00FE1D9C">
      <w:pPr>
        <w:spacing w:line="360" w:lineRule="auto"/>
        <w:ind w:left="567"/>
        <w:jc w:val="center"/>
        <w:rPr>
          <w:rFonts w:ascii="Calibri" w:hAnsi="Calibri"/>
          <w:b/>
          <w:color w:val="FFFFFF"/>
          <w:sz w:val="48"/>
          <w:szCs w:val="48"/>
        </w:rPr>
      </w:pPr>
      <w:r w:rsidRPr="004D3350">
        <w:rPr>
          <w:rFonts w:ascii="Calibri" w:hAnsi="Calibri"/>
          <w:b/>
          <w:color w:val="FFFFFF"/>
          <w:sz w:val="48"/>
          <w:szCs w:val="48"/>
        </w:rPr>
        <w:t>Department of Health</w:t>
      </w:r>
    </w:p>
    <w:p w14:paraId="0B2275B3" w14:textId="77777777" w:rsidR="00FE1D9C" w:rsidRPr="004D3350" w:rsidRDefault="00FE1D9C" w:rsidP="00FE1D9C">
      <w:pPr>
        <w:spacing w:before="240"/>
        <w:ind w:left="567"/>
        <w:jc w:val="center"/>
        <w:rPr>
          <w:rFonts w:ascii="Calibri" w:hAnsi="Calibri"/>
          <w:b/>
          <w:i/>
          <w:color w:val="FFFFFF"/>
          <w:sz w:val="36"/>
          <w:szCs w:val="36"/>
        </w:rPr>
      </w:pPr>
      <w:r w:rsidRPr="004D3350">
        <w:rPr>
          <w:rFonts w:ascii="Calibri" w:hAnsi="Calibri"/>
          <w:b/>
          <w:i/>
          <w:color w:val="FFFFFF"/>
          <w:sz w:val="36"/>
          <w:szCs w:val="36"/>
        </w:rPr>
        <w:t>FINAL CLINICAL PATHWAY</w:t>
      </w:r>
    </w:p>
    <w:p w14:paraId="440A075A" w14:textId="77777777" w:rsidR="00FE1D9C" w:rsidRPr="004D3350" w:rsidRDefault="00FE1D9C" w:rsidP="00FE1D9C">
      <w:pPr>
        <w:ind w:left="567"/>
        <w:jc w:val="center"/>
        <w:rPr>
          <w:rFonts w:ascii="Calibri" w:hAnsi="Calibri"/>
          <w:b/>
          <w:bCs/>
        </w:rPr>
      </w:pPr>
      <w:r w:rsidRPr="004D3350">
        <w:rPr>
          <w:rFonts w:ascii="Calibri" w:hAnsi="Calibri"/>
          <w:b/>
          <w:bCs/>
          <w:color w:val="FFFFFF"/>
        </w:rPr>
        <w:t>October 2020</w:t>
      </w:r>
    </w:p>
    <w:p w14:paraId="378FBEE9" w14:textId="4FC8F1CB" w:rsidR="00AC2755" w:rsidRPr="00F2704A" w:rsidRDefault="00AC2755" w:rsidP="00607A4E">
      <w:pPr>
        <w:rPr>
          <w:lang w:val="en-AU"/>
        </w:rPr>
      </w:pPr>
    </w:p>
    <w:p w14:paraId="209BBA4D" w14:textId="77777777" w:rsidR="00607A4E" w:rsidRPr="00CF74AD" w:rsidRDefault="00B735A4" w:rsidP="00607A4E">
      <w:pPr>
        <w:rPr>
          <w:lang w:val="en-AU"/>
        </w:rPr>
      </w:pPr>
      <w:r>
        <w:rPr>
          <w:lang w:val="en-AU"/>
        </w:rPr>
        <w:br w:type="page"/>
      </w:r>
      <w:bookmarkStart w:id="0" w:name="_Hlk494457981"/>
    </w:p>
    <w:p w14:paraId="1146E4A8" w14:textId="77777777" w:rsidR="002D1B56" w:rsidRPr="00B77596" w:rsidRDefault="002D1B56" w:rsidP="002D1B56">
      <w:pPr>
        <w:pStyle w:val="Heading1-NOTinTOC"/>
      </w:pPr>
      <w:r>
        <w:lastRenderedPageBreak/>
        <w:t>Acknowledgements</w:t>
      </w:r>
    </w:p>
    <w:p w14:paraId="67BEBBD9" w14:textId="77777777" w:rsidR="002D1B56" w:rsidRPr="004D3350" w:rsidRDefault="002D1B56" w:rsidP="002D1B56">
      <w:pPr>
        <w:pStyle w:val="BodyText"/>
        <w:rPr>
          <w:rFonts w:cs="Cambria"/>
        </w:rPr>
      </w:pPr>
      <w:r w:rsidRPr="004D3350">
        <w:rPr>
          <w:rFonts w:cs="Cambria"/>
        </w:rPr>
        <w:t xml:space="preserve">In the spirit of respect and reconciliation, </w:t>
      </w:r>
      <w:r w:rsidRPr="004D3350">
        <w:rPr>
          <w:rFonts w:cs="Cambria"/>
          <w:i/>
          <w:iCs/>
        </w:rPr>
        <w:t>Allen + Clarke</w:t>
      </w:r>
      <w:r w:rsidRPr="004D3350">
        <w:rPr>
          <w:rFonts w:cs="Cambria"/>
        </w:rPr>
        <w:t xml:space="preserve"> acknowledges and pays respect to the Traditional Custodians of Australia – the Aboriginal and Torres Strait Islander people, and their continuing connection to land, waters, sea and community.</w:t>
      </w:r>
    </w:p>
    <w:p w14:paraId="1B39643A" w14:textId="77777777" w:rsidR="00607A4E" w:rsidRPr="00F2704A" w:rsidRDefault="72C30FDE" w:rsidP="00607A4E">
      <w:pPr>
        <w:rPr>
          <w:lang w:val="en-AU"/>
        </w:rPr>
      </w:pPr>
      <w:r w:rsidRPr="492469AA">
        <w:rPr>
          <w:rFonts w:cs="Cambria"/>
          <w:i/>
          <w:iCs/>
        </w:rPr>
        <w:t xml:space="preserve">Allen + Clarke </w:t>
      </w:r>
      <w:r w:rsidRPr="492469AA">
        <w:rPr>
          <w:rFonts w:cs="Cambria"/>
        </w:rPr>
        <w:t xml:space="preserve">sincerely acknowledges </w:t>
      </w:r>
      <w:r w:rsidRPr="625C4CC6">
        <w:rPr>
          <w:rFonts w:cs="Cambria"/>
        </w:rPr>
        <w:t xml:space="preserve">and thanks </w:t>
      </w:r>
      <w:r w:rsidRPr="492469AA">
        <w:rPr>
          <w:rFonts w:cs="Cambria"/>
        </w:rPr>
        <w:t xml:space="preserve">all the stakeholders </w:t>
      </w:r>
      <w:r w:rsidR="002D1B56" w:rsidRPr="62123F2F">
        <w:rPr>
          <w:rFonts w:cs="Cambria"/>
        </w:rPr>
        <w:t>f</w:t>
      </w:r>
      <w:r w:rsidR="002D1B56" w:rsidRPr="004D3350">
        <w:rPr>
          <w:rFonts w:cs="Cambria"/>
        </w:rPr>
        <w:t>or being so generous with their time and their contributions during consultations</w:t>
      </w:r>
      <w:r w:rsidR="79340D7B" w:rsidRPr="62123F2F">
        <w:t xml:space="preserve"> to develop and further refine the DSCATT Clinical Pathway.</w:t>
      </w:r>
      <w:r w:rsidR="00A35619" w:rsidRPr="00F2704A">
        <w:rPr>
          <w:lang w:val="en-AU"/>
        </w:rPr>
        <w:t xml:space="preserve"> </w:t>
      </w:r>
    </w:p>
    <w:tbl>
      <w:tblPr>
        <w:tblpPr w:leftFromText="180" w:rightFromText="180" w:vertAnchor="text" w:tblpY="699"/>
        <w:tblW w:w="5078" w:type="pct"/>
        <w:tblBorders>
          <w:top w:val="single" w:sz="4" w:space="0" w:color="77B800"/>
          <w:left w:val="single" w:sz="4" w:space="0" w:color="77B800"/>
          <w:bottom w:val="single" w:sz="4" w:space="0" w:color="77B800"/>
          <w:right w:val="single" w:sz="4" w:space="0" w:color="77B800"/>
          <w:insideH w:val="single" w:sz="4" w:space="0" w:color="77B800"/>
          <w:insideV w:val="single" w:sz="4" w:space="0" w:color="77B800"/>
        </w:tblBorders>
        <w:tblLayout w:type="fixed"/>
        <w:tblCellMar>
          <w:top w:w="57" w:type="dxa"/>
          <w:left w:w="28" w:type="dxa"/>
          <w:bottom w:w="57" w:type="dxa"/>
          <w:right w:w="28" w:type="dxa"/>
        </w:tblCellMar>
        <w:tblLook w:val="0480" w:firstRow="0" w:lastRow="0" w:firstColumn="1" w:lastColumn="0" w:noHBand="0" w:noVBand="1"/>
      </w:tblPr>
      <w:tblGrid>
        <w:gridCol w:w="1836"/>
        <w:gridCol w:w="3966"/>
        <w:gridCol w:w="3400"/>
      </w:tblGrid>
      <w:tr w:rsidR="00AF0535" w:rsidRPr="004D3350" w14:paraId="3D9AB7F3" w14:textId="77777777" w:rsidTr="004D3350">
        <w:trPr>
          <w:tblHeader/>
        </w:trPr>
        <w:tc>
          <w:tcPr>
            <w:tcW w:w="1836" w:type="dxa"/>
            <w:shd w:val="clear" w:color="auto" w:fill="auto"/>
          </w:tcPr>
          <w:p w14:paraId="03C6CA3C" w14:textId="77777777" w:rsidR="00AF0535" w:rsidRPr="004D3350" w:rsidRDefault="00AF0535" w:rsidP="004D3350">
            <w:pPr>
              <w:pStyle w:val="Footer"/>
              <w:spacing w:after="0" w:line="240" w:lineRule="auto"/>
              <w:rPr>
                <w:b/>
                <w:lang w:val="en-AU"/>
              </w:rPr>
            </w:pPr>
            <w:r w:rsidRPr="004D3350">
              <w:rPr>
                <w:b/>
                <w:lang w:val="en-AU"/>
              </w:rPr>
              <w:t xml:space="preserve">Document status: </w:t>
            </w:r>
          </w:p>
        </w:tc>
        <w:tc>
          <w:tcPr>
            <w:tcW w:w="3966" w:type="dxa"/>
            <w:tcBorders>
              <w:right w:val="single" w:sz="4" w:space="0" w:color="77B800"/>
            </w:tcBorders>
            <w:shd w:val="clear" w:color="auto" w:fill="auto"/>
          </w:tcPr>
          <w:p w14:paraId="7C490602" w14:textId="77777777" w:rsidR="00AF0535" w:rsidRPr="004D3350" w:rsidRDefault="00AF0535" w:rsidP="004D3350">
            <w:pPr>
              <w:pStyle w:val="Footer"/>
              <w:spacing w:after="0" w:line="240" w:lineRule="auto"/>
              <w:rPr>
                <w:lang w:val="en-AU"/>
              </w:rPr>
            </w:pPr>
            <w:r w:rsidRPr="004D3350">
              <w:rPr>
                <w:lang w:val="en-AU"/>
              </w:rPr>
              <w:t>Final</w:t>
            </w:r>
          </w:p>
        </w:tc>
        <w:tc>
          <w:tcPr>
            <w:tcW w:w="3400" w:type="dxa"/>
            <w:vMerge w:val="restart"/>
            <w:tcBorders>
              <w:top w:val="nil"/>
              <w:left w:val="single" w:sz="4" w:space="0" w:color="77B800"/>
              <w:bottom w:val="nil"/>
              <w:right w:val="single" w:sz="4" w:space="0" w:color="FFFFFF"/>
            </w:tcBorders>
            <w:shd w:val="clear" w:color="auto" w:fill="auto"/>
          </w:tcPr>
          <w:p w14:paraId="18786CFF" w14:textId="77777777" w:rsidR="00AF0535" w:rsidRPr="004D3350" w:rsidRDefault="00935310" w:rsidP="004D3350">
            <w:pPr>
              <w:pStyle w:val="Table-para"/>
              <w:spacing w:line="240" w:lineRule="auto"/>
              <w:ind w:left="320"/>
              <w:jc w:val="right"/>
              <w:rPr>
                <w:lang w:val="en-AU"/>
              </w:rPr>
            </w:pPr>
            <w:r>
              <w:rPr>
                <w:noProof/>
                <w:lang w:val="en-AU" w:eastAsia="en-AU"/>
              </w:rPr>
              <w:drawing>
                <wp:anchor distT="0" distB="1270" distL="114300" distR="117094" simplePos="0" relativeHeight="251659264" behindDoc="0" locked="0" layoutInCell="1" allowOverlap="1" wp14:anchorId="0F7D6C58" wp14:editId="13234082">
                  <wp:simplePos x="0" y="0"/>
                  <wp:positionH relativeFrom="column">
                    <wp:posOffset>1720850</wp:posOffset>
                  </wp:positionH>
                  <wp:positionV relativeFrom="paragraph">
                    <wp:posOffset>887730</wp:posOffset>
                  </wp:positionV>
                  <wp:extent cx="539496" cy="1065530"/>
                  <wp:effectExtent l="0" t="0" r="0" b="0"/>
                  <wp:wrapTopAndBottom/>
                  <wp:docPr id="7"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2">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115" cy="1065530"/>
                          </a:xfrm>
                          <a:prstGeom prst="rect">
                            <a:avLst/>
                          </a:prstGeom>
                        </pic:spPr>
                      </pic:pic>
                    </a:graphicData>
                  </a:graphic>
                  <wp14:sizeRelH relativeFrom="margin">
                    <wp14:pctWidth>0</wp14:pctWidth>
                  </wp14:sizeRelH>
                  <wp14:sizeRelV relativeFrom="margin">
                    <wp14:pctHeight>0</wp14:pctHeight>
                  </wp14:sizeRelV>
                </wp:anchor>
              </w:drawing>
            </w:r>
            <w:r w:rsidR="00AF0535" w:rsidRPr="004D3350">
              <w:rPr>
                <w:i/>
                <w:iCs/>
                <w:lang w:val="en-AU"/>
              </w:rPr>
              <w:t>Allen + Clarke</w:t>
            </w:r>
            <w:r w:rsidR="00AF0535" w:rsidRPr="004D3350">
              <w:rPr>
                <w:lang w:val="en-AU"/>
              </w:rPr>
              <w:t xml:space="preserve"> has been independently certified as compliant with ISO9001:2015 Quality Management Systems</w:t>
            </w:r>
          </w:p>
          <w:p w14:paraId="5EFA2643" w14:textId="77777777" w:rsidR="00AF0535" w:rsidRPr="004D3350" w:rsidRDefault="00AF0535" w:rsidP="004D3350">
            <w:pPr>
              <w:pStyle w:val="Table-para"/>
              <w:spacing w:line="240" w:lineRule="auto"/>
              <w:ind w:left="320"/>
              <w:jc w:val="right"/>
              <w:rPr>
                <w:lang w:val="en-AU"/>
              </w:rPr>
            </w:pPr>
            <w:r w:rsidRPr="004D3350">
              <w:rPr>
                <w:lang w:val="en-AU"/>
              </w:rPr>
              <w:t xml:space="preserve"> </w:t>
            </w:r>
          </w:p>
        </w:tc>
      </w:tr>
      <w:tr w:rsidR="00AF0535" w:rsidRPr="004D3350" w14:paraId="5476CF7B" w14:textId="77777777" w:rsidTr="004D3350">
        <w:trPr>
          <w:tblHeader/>
        </w:trPr>
        <w:tc>
          <w:tcPr>
            <w:tcW w:w="1836" w:type="dxa"/>
            <w:shd w:val="clear" w:color="auto" w:fill="auto"/>
          </w:tcPr>
          <w:p w14:paraId="738FB66C" w14:textId="77777777" w:rsidR="00AF0535" w:rsidRPr="004D3350" w:rsidRDefault="00AF0535" w:rsidP="004D3350">
            <w:pPr>
              <w:pStyle w:val="Footer"/>
              <w:spacing w:after="0" w:line="240" w:lineRule="auto"/>
              <w:rPr>
                <w:b/>
                <w:lang w:val="en-AU"/>
              </w:rPr>
            </w:pPr>
            <w:r w:rsidRPr="004D3350">
              <w:rPr>
                <w:b/>
                <w:lang w:val="en-AU"/>
              </w:rPr>
              <w:t>Version and date:</w:t>
            </w:r>
          </w:p>
        </w:tc>
        <w:tc>
          <w:tcPr>
            <w:tcW w:w="3966" w:type="dxa"/>
            <w:tcBorders>
              <w:right w:val="single" w:sz="4" w:space="0" w:color="77B800"/>
            </w:tcBorders>
            <w:shd w:val="clear" w:color="auto" w:fill="auto"/>
          </w:tcPr>
          <w:p w14:paraId="6B564292" w14:textId="77777777" w:rsidR="00AF0535" w:rsidRPr="004D3350" w:rsidRDefault="00AF0535" w:rsidP="004D3350">
            <w:pPr>
              <w:pStyle w:val="Footer"/>
              <w:spacing w:after="0" w:line="240" w:lineRule="auto"/>
              <w:rPr>
                <w:lang w:val="en-AU"/>
              </w:rPr>
            </w:pPr>
            <w:r w:rsidRPr="004D3350">
              <w:rPr>
                <w:lang w:val="en-AU"/>
              </w:rPr>
              <w:t>V</w:t>
            </w:r>
            <w:r w:rsidR="00E7015A" w:rsidRPr="004D3350">
              <w:rPr>
                <w:lang w:val="en-AU"/>
              </w:rPr>
              <w:t>5</w:t>
            </w:r>
            <w:r w:rsidRPr="004D3350">
              <w:rPr>
                <w:lang w:val="en-AU"/>
              </w:rPr>
              <w:t xml:space="preserve">.0, </w:t>
            </w:r>
            <w:r w:rsidR="00E7015A" w:rsidRPr="004D3350">
              <w:rPr>
                <w:lang w:val="en-AU"/>
              </w:rPr>
              <w:t>15 Oct</w:t>
            </w:r>
            <w:r w:rsidR="00573344" w:rsidRPr="004D3350">
              <w:rPr>
                <w:lang w:val="en-AU"/>
              </w:rPr>
              <w:t>ober</w:t>
            </w:r>
            <w:r w:rsidRPr="004D3350">
              <w:rPr>
                <w:lang w:val="en-AU"/>
              </w:rPr>
              <w:t xml:space="preserve"> 2020</w:t>
            </w:r>
          </w:p>
        </w:tc>
        <w:tc>
          <w:tcPr>
            <w:tcW w:w="3400" w:type="dxa"/>
            <w:vMerge/>
            <w:tcBorders>
              <w:right w:val="single" w:sz="4" w:space="0" w:color="FFFFFF"/>
            </w:tcBorders>
            <w:shd w:val="clear" w:color="auto" w:fill="auto"/>
          </w:tcPr>
          <w:p w14:paraId="6744C642" w14:textId="77777777" w:rsidR="00AF0535" w:rsidRPr="004D3350" w:rsidRDefault="00AF0535" w:rsidP="004D3350">
            <w:pPr>
              <w:pStyle w:val="Table-para"/>
              <w:spacing w:line="240" w:lineRule="auto"/>
              <w:rPr>
                <w:sz w:val="18"/>
                <w:lang w:val="en-AU"/>
              </w:rPr>
            </w:pPr>
          </w:p>
        </w:tc>
      </w:tr>
      <w:tr w:rsidR="00AF0535" w:rsidRPr="004D3350" w14:paraId="220AFED7" w14:textId="77777777" w:rsidTr="004D3350">
        <w:trPr>
          <w:tblHeader/>
        </w:trPr>
        <w:tc>
          <w:tcPr>
            <w:tcW w:w="1836" w:type="dxa"/>
            <w:shd w:val="clear" w:color="auto" w:fill="auto"/>
          </w:tcPr>
          <w:p w14:paraId="6D028509" w14:textId="77777777" w:rsidR="00AF0535" w:rsidRPr="004D3350" w:rsidRDefault="00AF0535" w:rsidP="004D3350">
            <w:pPr>
              <w:pStyle w:val="Footer"/>
              <w:spacing w:after="0" w:line="240" w:lineRule="auto"/>
              <w:rPr>
                <w:b/>
                <w:lang w:val="en-AU"/>
              </w:rPr>
            </w:pPr>
            <w:r w:rsidRPr="004D3350">
              <w:rPr>
                <w:b/>
                <w:lang w:val="en-AU"/>
              </w:rPr>
              <w:t>Author(s):</w:t>
            </w:r>
          </w:p>
        </w:tc>
        <w:tc>
          <w:tcPr>
            <w:tcW w:w="3966" w:type="dxa"/>
            <w:tcBorders>
              <w:right w:val="single" w:sz="4" w:space="0" w:color="77B800"/>
            </w:tcBorders>
            <w:shd w:val="clear" w:color="auto" w:fill="auto"/>
          </w:tcPr>
          <w:p w14:paraId="14B6A4EE" w14:textId="77777777" w:rsidR="00AF0535" w:rsidRPr="004D3350" w:rsidRDefault="00AF0535" w:rsidP="004D3350">
            <w:pPr>
              <w:pStyle w:val="Footer"/>
              <w:spacing w:after="0" w:line="240" w:lineRule="auto"/>
              <w:rPr>
                <w:lang w:val="en-AU"/>
              </w:rPr>
            </w:pPr>
            <w:r w:rsidRPr="004D3350">
              <w:rPr>
                <w:lang w:val="en-AU"/>
              </w:rPr>
              <w:t>Dr Robyn Haisman-Welsh, Catherine Marshall</w:t>
            </w:r>
          </w:p>
        </w:tc>
        <w:tc>
          <w:tcPr>
            <w:tcW w:w="3400" w:type="dxa"/>
            <w:vMerge/>
            <w:tcBorders>
              <w:right w:val="single" w:sz="4" w:space="0" w:color="FFFFFF"/>
            </w:tcBorders>
            <w:shd w:val="clear" w:color="auto" w:fill="auto"/>
          </w:tcPr>
          <w:p w14:paraId="3DE1FF46" w14:textId="77777777" w:rsidR="00AF0535" w:rsidRPr="004D3350" w:rsidRDefault="00AF0535" w:rsidP="004D3350">
            <w:pPr>
              <w:pStyle w:val="Table-para"/>
              <w:spacing w:line="240" w:lineRule="auto"/>
              <w:rPr>
                <w:sz w:val="18"/>
                <w:lang w:val="en-AU"/>
              </w:rPr>
            </w:pPr>
          </w:p>
        </w:tc>
      </w:tr>
      <w:tr w:rsidR="00AF0535" w:rsidRPr="004D3350" w14:paraId="4D6FB58A" w14:textId="77777777" w:rsidTr="004D3350">
        <w:trPr>
          <w:tblHeader/>
        </w:trPr>
        <w:tc>
          <w:tcPr>
            <w:tcW w:w="1836" w:type="dxa"/>
            <w:shd w:val="clear" w:color="auto" w:fill="auto"/>
          </w:tcPr>
          <w:p w14:paraId="1ADF52DA" w14:textId="77777777" w:rsidR="00AF0535" w:rsidRPr="004D3350" w:rsidRDefault="00AF0535" w:rsidP="004D3350">
            <w:pPr>
              <w:pStyle w:val="Footer"/>
              <w:spacing w:after="0" w:line="240" w:lineRule="auto"/>
              <w:rPr>
                <w:b/>
                <w:lang w:val="en-AU"/>
              </w:rPr>
            </w:pPr>
            <w:r w:rsidRPr="004D3350">
              <w:rPr>
                <w:b/>
                <w:lang w:val="en-AU"/>
              </w:rPr>
              <w:t>Peer / technical review:</w:t>
            </w:r>
          </w:p>
        </w:tc>
        <w:tc>
          <w:tcPr>
            <w:tcW w:w="3966" w:type="dxa"/>
            <w:tcBorders>
              <w:right w:val="single" w:sz="4" w:space="0" w:color="77B800"/>
            </w:tcBorders>
            <w:shd w:val="clear" w:color="auto" w:fill="auto"/>
          </w:tcPr>
          <w:p w14:paraId="047A3962" w14:textId="77777777" w:rsidR="00AF0535" w:rsidRPr="004D3350" w:rsidRDefault="00AF0535" w:rsidP="004D3350">
            <w:pPr>
              <w:pStyle w:val="Footer"/>
              <w:spacing w:after="0" w:line="240" w:lineRule="auto"/>
              <w:rPr>
                <w:lang w:val="en-AU"/>
              </w:rPr>
            </w:pPr>
            <w:r w:rsidRPr="004D3350">
              <w:rPr>
                <w:lang w:val="en-AU"/>
              </w:rPr>
              <w:t xml:space="preserve">Catherine Marshall </w:t>
            </w:r>
          </w:p>
        </w:tc>
        <w:tc>
          <w:tcPr>
            <w:tcW w:w="3400" w:type="dxa"/>
            <w:vMerge/>
            <w:tcBorders>
              <w:right w:val="single" w:sz="4" w:space="0" w:color="FFFFFF"/>
            </w:tcBorders>
            <w:shd w:val="clear" w:color="auto" w:fill="auto"/>
          </w:tcPr>
          <w:p w14:paraId="5FF82351" w14:textId="77777777" w:rsidR="00AF0535" w:rsidRPr="004D3350" w:rsidRDefault="00AF0535" w:rsidP="004D3350">
            <w:pPr>
              <w:pStyle w:val="Table-para"/>
              <w:spacing w:line="240" w:lineRule="auto"/>
              <w:rPr>
                <w:sz w:val="18"/>
                <w:lang w:val="en-AU"/>
              </w:rPr>
            </w:pPr>
          </w:p>
        </w:tc>
      </w:tr>
      <w:tr w:rsidR="00AF0535" w:rsidRPr="004D3350" w14:paraId="453C237D" w14:textId="77777777" w:rsidTr="004D3350">
        <w:trPr>
          <w:trHeight w:val="299"/>
          <w:tblHeader/>
        </w:trPr>
        <w:tc>
          <w:tcPr>
            <w:tcW w:w="1836" w:type="dxa"/>
            <w:shd w:val="clear" w:color="auto" w:fill="auto"/>
          </w:tcPr>
          <w:p w14:paraId="5194442D" w14:textId="77777777" w:rsidR="00AF0535" w:rsidRPr="004D3350" w:rsidRDefault="00AF0535" w:rsidP="004D3350">
            <w:pPr>
              <w:pStyle w:val="Footer"/>
              <w:spacing w:after="0" w:line="240" w:lineRule="auto"/>
              <w:rPr>
                <w:b/>
                <w:lang w:val="en-AU"/>
              </w:rPr>
            </w:pPr>
            <w:r w:rsidRPr="004D3350">
              <w:rPr>
                <w:b/>
                <w:lang w:val="en-AU"/>
              </w:rPr>
              <w:t>Verification that QA changes made:</w:t>
            </w:r>
          </w:p>
        </w:tc>
        <w:tc>
          <w:tcPr>
            <w:tcW w:w="3966" w:type="dxa"/>
            <w:tcBorders>
              <w:right w:val="single" w:sz="4" w:space="0" w:color="77B800"/>
            </w:tcBorders>
            <w:shd w:val="clear" w:color="auto" w:fill="auto"/>
          </w:tcPr>
          <w:p w14:paraId="40085268" w14:textId="77777777" w:rsidR="00AF0535" w:rsidRPr="004D3350" w:rsidRDefault="00AF0535" w:rsidP="004D3350">
            <w:pPr>
              <w:pStyle w:val="Footer"/>
              <w:spacing w:after="0" w:line="240" w:lineRule="auto"/>
              <w:rPr>
                <w:lang w:val="en-AU"/>
              </w:rPr>
            </w:pPr>
            <w:r w:rsidRPr="004D3350">
              <w:rPr>
                <w:lang w:val="en-AU"/>
              </w:rPr>
              <w:t>Dr Robyn Haisman-Welsh</w:t>
            </w:r>
          </w:p>
        </w:tc>
        <w:tc>
          <w:tcPr>
            <w:tcW w:w="3400" w:type="dxa"/>
            <w:vMerge/>
            <w:tcBorders>
              <w:right w:val="single" w:sz="4" w:space="0" w:color="FFFFFF"/>
            </w:tcBorders>
            <w:shd w:val="clear" w:color="auto" w:fill="auto"/>
          </w:tcPr>
          <w:p w14:paraId="1A4E3461" w14:textId="77777777" w:rsidR="00AF0535" w:rsidRPr="004D3350" w:rsidRDefault="00AF0535" w:rsidP="004D3350">
            <w:pPr>
              <w:pStyle w:val="Table-para"/>
              <w:spacing w:line="240" w:lineRule="auto"/>
              <w:rPr>
                <w:sz w:val="18"/>
                <w:lang w:val="en-AU"/>
              </w:rPr>
            </w:pPr>
          </w:p>
        </w:tc>
      </w:tr>
      <w:tr w:rsidR="00AF0535" w:rsidRPr="004D3350" w14:paraId="6733C5C1" w14:textId="77777777" w:rsidTr="004D3350">
        <w:trPr>
          <w:tblHeader/>
        </w:trPr>
        <w:tc>
          <w:tcPr>
            <w:tcW w:w="1836" w:type="dxa"/>
            <w:shd w:val="clear" w:color="auto" w:fill="auto"/>
          </w:tcPr>
          <w:p w14:paraId="2F2A395E" w14:textId="77777777" w:rsidR="00AF0535" w:rsidRPr="004D3350" w:rsidRDefault="00AF0535" w:rsidP="004D3350">
            <w:pPr>
              <w:pStyle w:val="Footer"/>
              <w:spacing w:after="0" w:line="240" w:lineRule="auto"/>
              <w:rPr>
                <w:b/>
                <w:lang w:val="en-AU"/>
              </w:rPr>
            </w:pPr>
            <w:r w:rsidRPr="004D3350">
              <w:rPr>
                <w:b/>
                <w:lang w:val="en-AU"/>
              </w:rPr>
              <w:t>Proofread:</w:t>
            </w:r>
          </w:p>
        </w:tc>
        <w:tc>
          <w:tcPr>
            <w:tcW w:w="3966" w:type="dxa"/>
            <w:tcBorders>
              <w:right w:val="single" w:sz="4" w:space="0" w:color="77B800"/>
            </w:tcBorders>
            <w:shd w:val="clear" w:color="auto" w:fill="auto"/>
          </w:tcPr>
          <w:p w14:paraId="01E7A584" w14:textId="77777777" w:rsidR="00AF0535" w:rsidRPr="004D3350" w:rsidRDefault="00AF0535" w:rsidP="004D3350">
            <w:pPr>
              <w:pStyle w:val="Footer"/>
              <w:spacing w:after="0" w:line="240" w:lineRule="auto"/>
              <w:rPr>
                <w:lang w:val="en-AU"/>
              </w:rPr>
            </w:pPr>
            <w:r w:rsidRPr="004D3350">
              <w:rPr>
                <w:lang w:val="en-AU"/>
              </w:rPr>
              <w:t>Pauline Van</w:t>
            </w:r>
          </w:p>
        </w:tc>
        <w:tc>
          <w:tcPr>
            <w:tcW w:w="3400" w:type="dxa"/>
            <w:vMerge/>
            <w:tcBorders>
              <w:right w:val="single" w:sz="4" w:space="0" w:color="FFFFFF"/>
            </w:tcBorders>
            <w:shd w:val="clear" w:color="auto" w:fill="auto"/>
          </w:tcPr>
          <w:p w14:paraId="2EC56EAE" w14:textId="77777777" w:rsidR="00AF0535" w:rsidRPr="004D3350" w:rsidRDefault="00AF0535" w:rsidP="004D3350">
            <w:pPr>
              <w:pStyle w:val="Table-para"/>
              <w:spacing w:line="240" w:lineRule="auto"/>
              <w:rPr>
                <w:sz w:val="18"/>
                <w:lang w:val="en-AU"/>
              </w:rPr>
            </w:pPr>
          </w:p>
        </w:tc>
      </w:tr>
      <w:tr w:rsidR="00AF0535" w:rsidRPr="004D3350" w14:paraId="37062449" w14:textId="77777777" w:rsidTr="004D3350">
        <w:trPr>
          <w:tblHeader/>
        </w:trPr>
        <w:tc>
          <w:tcPr>
            <w:tcW w:w="1836" w:type="dxa"/>
            <w:tcBorders>
              <w:bottom w:val="single" w:sz="4" w:space="0" w:color="77B800"/>
            </w:tcBorders>
            <w:shd w:val="clear" w:color="auto" w:fill="auto"/>
          </w:tcPr>
          <w:p w14:paraId="483664F7" w14:textId="77777777" w:rsidR="00AF0535" w:rsidRPr="004D3350" w:rsidRDefault="00AF0535" w:rsidP="004D3350">
            <w:pPr>
              <w:pStyle w:val="Footer"/>
              <w:spacing w:after="0" w:line="240" w:lineRule="auto"/>
              <w:rPr>
                <w:b/>
                <w:lang w:val="en-AU"/>
              </w:rPr>
            </w:pPr>
            <w:r w:rsidRPr="004D3350">
              <w:rPr>
                <w:b/>
                <w:lang w:val="en-AU"/>
              </w:rPr>
              <w:t>Formatting:</w:t>
            </w:r>
          </w:p>
        </w:tc>
        <w:tc>
          <w:tcPr>
            <w:tcW w:w="3966" w:type="dxa"/>
            <w:tcBorders>
              <w:bottom w:val="single" w:sz="4" w:space="0" w:color="77B800"/>
              <w:right w:val="single" w:sz="4" w:space="0" w:color="77B800"/>
            </w:tcBorders>
            <w:shd w:val="clear" w:color="auto" w:fill="auto"/>
          </w:tcPr>
          <w:p w14:paraId="69CC2820" w14:textId="77777777" w:rsidR="00AF0535" w:rsidRPr="004D3350" w:rsidRDefault="00AF0535" w:rsidP="004D3350">
            <w:pPr>
              <w:pStyle w:val="Footer"/>
              <w:spacing w:after="0" w:line="240" w:lineRule="auto"/>
              <w:rPr>
                <w:lang w:val="en-AU"/>
              </w:rPr>
            </w:pPr>
            <w:r w:rsidRPr="004D3350">
              <w:rPr>
                <w:lang w:val="en-AU"/>
              </w:rPr>
              <w:t>Pauline Van, Aidan Udall</w:t>
            </w:r>
          </w:p>
        </w:tc>
        <w:tc>
          <w:tcPr>
            <w:tcW w:w="3400" w:type="dxa"/>
            <w:vMerge/>
            <w:tcBorders>
              <w:right w:val="single" w:sz="4" w:space="0" w:color="FFFFFF"/>
            </w:tcBorders>
            <w:shd w:val="clear" w:color="auto" w:fill="auto"/>
          </w:tcPr>
          <w:p w14:paraId="582C5001" w14:textId="77777777" w:rsidR="00AF0535" w:rsidRPr="004D3350" w:rsidRDefault="00AF0535" w:rsidP="004D3350">
            <w:pPr>
              <w:pStyle w:val="Table-para"/>
              <w:spacing w:line="240" w:lineRule="auto"/>
              <w:rPr>
                <w:sz w:val="18"/>
                <w:lang w:val="en-AU"/>
              </w:rPr>
            </w:pPr>
          </w:p>
        </w:tc>
      </w:tr>
      <w:tr w:rsidR="00AF0535" w:rsidRPr="004D3350" w14:paraId="6DAE030B" w14:textId="77777777" w:rsidTr="004D3350">
        <w:trPr>
          <w:trHeight w:val="395"/>
          <w:tblHeader/>
        </w:trPr>
        <w:tc>
          <w:tcPr>
            <w:tcW w:w="1836" w:type="dxa"/>
            <w:tcBorders>
              <w:bottom w:val="single" w:sz="4" w:space="0" w:color="77B800"/>
            </w:tcBorders>
            <w:shd w:val="clear" w:color="auto" w:fill="auto"/>
          </w:tcPr>
          <w:p w14:paraId="01AAC9E8" w14:textId="77777777" w:rsidR="00AF0535" w:rsidRPr="004D3350" w:rsidRDefault="00AF0535" w:rsidP="004D3350">
            <w:pPr>
              <w:pStyle w:val="Footer"/>
              <w:spacing w:after="0" w:line="240" w:lineRule="auto"/>
              <w:rPr>
                <w:b/>
                <w:lang w:val="en-AU"/>
              </w:rPr>
            </w:pPr>
            <w:r w:rsidRPr="004D3350">
              <w:rPr>
                <w:b/>
                <w:lang w:val="en-AU"/>
              </w:rPr>
              <w:t>Final QA check and approved for release:</w:t>
            </w:r>
          </w:p>
        </w:tc>
        <w:tc>
          <w:tcPr>
            <w:tcW w:w="3966" w:type="dxa"/>
            <w:tcBorders>
              <w:bottom w:val="single" w:sz="4" w:space="0" w:color="77B800"/>
              <w:right w:val="single" w:sz="4" w:space="0" w:color="77B800"/>
            </w:tcBorders>
            <w:shd w:val="clear" w:color="auto" w:fill="auto"/>
          </w:tcPr>
          <w:p w14:paraId="10108467" w14:textId="77777777" w:rsidR="00AF0535" w:rsidRPr="004D3350" w:rsidRDefault="00AF0535" w:rsidP="004D3350">
            <w:pPr>
              <w:pStyle w:val="Footer"/>
              <w:spacing w:after="0" w:line="240" w:lineRule="auto"/>
              <w:rPr>
                <w:lang w:val="en-AU"/>
              </w:rPr>
            </w:pPr>
            <w:r w:rsidRPr="004D3350">
              <w:rPr>
                <w:lang w:val="en-AU"/>
              </w:rPr>
              <w:t>Paul Houliston, Managing Partner (Australia)</w:t>
            </w:r>
          </w:p>
        </w:tc>
        <w:tc>
          <w:tcPr>
            <w:tcW w:w="3400" w:type="dxa"/>
            <w:vMerge/>
            <w:tcBorders>
              <w:bottom w:val="single" w:sz="4" w:space="0" w:color="FFFFFF"/>
              <w:right w:val="single" w:sz="4" w:space="0" w:color="FFFFFF"/>
            </w:tcBorders>
            <w:shd w:val="clear" w:color="auto" w:fill="auto"/>
          </w:tcPr>
          <w:p w14:paraId="64B422F5" w14:textId="77777777" w:rsidR="00AF0535" w:rsidRPr="004D3350" w:rsidRDefault="00AF0535" w:rsidP="004D3350">
            <w:pPr>
              <w:pStyle w:val="Table-para"/>
              <w:spacing w:line="240" w:lineRule="auto"/>
              <w:rPr>
                <w:sz w:val="18"/>
                <w:lang w:val="en-AU"/>
              </w:rPr>
            </w:pPr>
          </w:p>
        </w:tc>
      </w:tr>
      <w:bookmarkEnd w:id="0"/>
    </w:tbl>
    <w:p w14:paraId="47B7A85E" w14:textId="77777777" w:rsidR="00B735A4" w:rsidRDefault="00B735A4">
      <w:pPr>
        <w:rPr>
          <w:lang w:val="en-AU"/>
        </w:rPr>
      </w:pPr>
    </w:p>
    <w:p w14:paraId="6BC30339" w14:textId="77777777" w:rsidR="00B735A4" w:rsidRDefault="00B735A4">
      <w:pPr>
        <w:rPr>
          <w:lang w:val="en-AU"/>
        </w:rPr>
      </w:pPr>
      <w:r>
        <w:rPr>
          <w:lang w:val="en-AU"/>
        </w:rPr>
        <w:br w:type="page"/>
      </w:r>
    </w:p>
    <w:p w14:paraId="335FA32F" w14:textId="77777777" w:rsidR="00BD5ECB" w:rsidRPr="00CF74AD" w:rsidRDefault="00BD5ECB">
      <w:pPr>
        <w:rPr>
          <w:lang w:val="en-AU"/>
        </w:rPr>
      </w:pPr>
    </w:p>
    <w:p w14:paraId="7704171D" w14:textId="77777777" w:rsidR="00C7419B" w:rsidRDefault="002E241B" w:rsidP="00980923">
      <w:pPr>
        <w:jc w:val="center"/>
        <w:rPr>
          <w:lang w:val="en-AU"/>
        </w:rPr>
      </w:pPr>
      <w:r w:rsidRPr="00CF74AD">
        <w:rPr>
          <w:lang w:val="en-AU"/>
        </w:rPr>
        <w:t>This page is intentionally blank.</w:t>
      </w:r>
    </w:p>
    <w:p w14:paraId="72F7B9F4" w14:textId="77777777" w:rsidR="00C7419B" w:rsidRDefault="00C7419B">
      <w:pPr>
        <w:rPr>
          <w:lang w:val="en-AU"/>
        </w:rPr>
      </w:pPr>
      <w:r>
        <w:rPr>
          <w:lang w:val="en-AU"/>
        </w:rPr>
        <w:br w:type="page"/>
      </w:r>
    </w:p>
    <w:p w14:paraId="24A5C0C0" w14:textId="77777777" w:rsidR="00CF2B18" w:rsidRPr="00CF2B18" w:rsidRDefault="00AA36F3" w:rsidP="00BF373C">
      <w:pPr>
        <w:pStyle w:val="Caption"/>
        <w:jc w:val="center"/>
        <w:rPr>
          <w:sz w:val="28"/>
          <w:szCs w:val="28"/>
          <w:lang w:val="en-AU"/>
        </w:rPr>
      </w:pPr>
      <w:r w:rsidRPr="00CF2B18">
        <w:rPr>
          <w:sz w:val="28"/>
          <w:szCs w:val="28"/>
          <w:lang w:val="en-AU"/>
        </w:rPr>
        <w:lastRenderedPageBreak/>
        <w:t>DSCATT Clinical Pathway</w:t>
      </w:r>
    </w:p>
    <w:p w14:paraId="05E04A03" w14:textId="77777777" w:rsidR="0067551A" w:rsidRPr="00CF2B18" w:rsidRDefault="00AA36F3" w:rsidP="00BF373C">
      <w:pPr>
        <w:pStyle w:val="Caption"/>
        <w:jc w:val="center"/>
        <w:rPr>
          <w:i/>
          <w:sz w:val="22"/>
          <w:szCs w:val="22"/>
          <w:lang w:val="en-AU"/>
        </w:rPr>
      </w:pPr>
      <w:r w:rsidRPr="00CF2B18">
        <w:rPr>
          <w:i/>
          <w:sz w:val="22"/>
          <w:szCs w:val="22"/>
          <w:lang w:val="en-AU"/>
        </w:rPr>
        <w:t>(Note: Patients may be on multiple parts of the pathway simultaneously)</w:t>
      </w:r>
    </w:p>
    <w:p w14:paraId="4F03F4EC" w14:textId="2F52A830" w:rsidR="00E754BD" w:rsidRDefault="00935310" w:rsidP="00FE1D9C">
      <w:pPr>
        <w:pStyle w:val="Body"/>
        <w:jc w:val="center"/>
        <w:rPr>
          <w:lang w:val="en-AU"/>
        </w:rPr>
      </w:pPr>
      <w:r>
        <w:rPr>
          <w:noProof/>
          <w:lang w:val="en-AU" w:eastAsia="en-AU"/>
        </w:rPr>
        <w:drawing>
          <wp:inline distT="0" distB="0" distL="0" distR="0" wp14:anchorId="237E124B" wp14:editId="6F430FBB">
            <wp:extent cx="6161659" cy="7903845"/>
            <wp:effectExtent l="0" t="0" r="0" b="1905"/>
            <wp:docPr id="6" name="Picture 1655471639" descr="The image shows the various stages of the DSCATT clinical pathway, including initial assessment and support, differential diagnosis, diagnostic testing, diagnosis +/- referral, initial management, and ongoing management. " title="DSCATT clinical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471639" name="Picture 1655471639" descr="The image shows the various stages of the DSCATT clinical pathway, including initial assessment and support, differential diagnosis, diagnostic testing, diagnosis +/- referral, initial management, and ongoing management. " title="DSCATT clinical pathwa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1405" cy="7903845"/>
                    </a:xfrm>
                    <a:prstGeom prst="rect">
                      <a:avLst/>
                    </a:prstGeom>
                    <a:noFill/>
                  </pic:spPr>
                </pic:pic>
              </a:graphicData>
            </a:graphic>
          </wp:inline>
        </w:drawing>
      </w:r>
      <w:r w:rsidR="0067551A" w:rsidRPr="004D3350">
        <w:rPr>
          <w:rStyle w:val="BodyChar"/>
          <w:rFonts w:ascii="Calibri" w:hAnsi="Calibri" w:cs="Times New Roman"/>
          <w:lang w:val="en-AU"/>
        </w:rPr>
        <w:t>Target population: Patients of all ages presenting at primary care with new onset (e.g. fever, rash) or unresolved debilitating symptoms, +/- history of tick bit</w:t>
      </w:r>
      <w:r w:rsidR="0067551A" w:rsidRPr="004D3350">
        <w:rPr>
          <w:rFonts w:ascii="Calibri" w:hAnsi="Calibri" w:cs="Times New Roman"/>
          <w:lang w:val="en-AU"/>
        </w:rPr>
        <w:t>es</w:t>
      </w:r>
    </w:p>
    <w:p w14:paraId="65D7D727" w14:textId="77777777" w:rsidR="0009305B" w:rsidRPr="00CF74AD" w:rsidRDefault="00AA7432" w:rsidP="00507D7C">
      <w:pPr>
        <w:pStyle w:val="Heading1-NOTinTOC"/>
        <w:spacing w:before="0" w:after="120"/>
        <w:jc w:val="center"/>
        <w:rPr>
          <w:sz w:val="16"/>
          <w:szCs w:val="16"/>
          <w:lang w:val="en-AU"/>
        </w:rPr>
      </w:pPr>
      <w:r w:rsidRPr="00CF74AD">
        <w:rPr>
          <w:lang w:val="en-AU"/>
        </w:rPr>
        <w:lastRenderedPageBreak/>
        <w:t>summary information</w:t>
      </w:r>
    </w:p>
    <w:p w14:paraId="2465CFB5" w14:textId="77777777" w:rsidR="008A63CE" w:rsidRPr="004D3350" w:rsidRDefault="0009305B" w:rsidP="008A63CE">
      <w:pPr>
        <w:pStyle w:val="BodyText"/>
        <w:spacing w:before="60" w:after="60" w:line="259" w:lineRule="auto"/>
        <w:rPr>
          <w:rFonts w:ascii="Calibri" w:hAnsi="Calibri" w:cs="Calibri"/>
          <w:sz w:val="20"/>
          <w:szCs w:val="20"/>
          <w:lang w:val="en-AU"/>
        </w:rPr>
      </w:pPr>
      <w:r w:rsidRPr="004D3350">
        <w:rPr>
          <w:rFonts w:ascii="Calibri" w:hAnsi="Calibri" w:cs="Calibri"/>
          <w:sz w:val="20"/>
          <w:szCs w:val="20"/>
          <w:lang w:val="en-AU"/>
        </w:rPr>
        <w:t xml:space="preserve">The Debilitating Symptom Complexes Attributed to Ticks (DSCATT) Clinical Pathway </w:t>
      </w:r>
      <w:r w:rsidR="001B7BA1" w:rsidRPr="004D3350">
        <w:rPr>
          <w:rFonts w:ascii="Calibri" w:hAnsi="Calibri" w:cs="Calibri"/>
          <w:sz w:val="20"/>
          <w:szCs w:val="20"/>
          <w:lang w:val="en-AU" w:eastAsia="en-AU"/>
        </w:rPr>
        <w:t xml:space="preserve">has been developed </w:t>
      </w:r>
      <w:r w:rsidR="001B7BA1" w:rsidRPr="004D3350">
        <w:rPr>
          <w:rFonts w:ascii="Calibri" w:hAnsi="Calibri" w:cs="Calibri"/>
          <w:sz w:val="20"/>
          <w:szCs w:val="20"/>
          <w:lang w:val="en-AU"/>
        </w:rPr>
        <w:t>to support decision-making on differential diagnosis and referral pathways for patients presenting with either new onset or unresolved debilitating symptoms with or without a history of tick bites and that cannot be attributed to another condition (acute or chronic).</w:t>
      </w:r>
      <w:r w:rsidR="00C67216" w:rsidRPr="004D3350">
        <w:rPr>
          <w:rFonts w:ascii="Calibri" w:hAnsi="Calibri" w:cs="Calibri"/>
          <w:sz w:val="20"/>
          <w:szCs w:val="20"/>
          <w:lang w:val="en-AU"/>
        </w:rPr>
        <w:t xml:space="preserve"> </w:t>
      </w:r>
      <w:r w:rsidR="00541A06" w:rsidRPr="004D3350">
        <w:rPr>
          <w:rFonts w:ascii="Calibri" w:hAnsi="Calibri" w:cs="Calibri"/>
          <w:sz w:val="20"/>
          <w:szCs w:val="20"/>
          <w:lang w:val="en-AU"/>
        </w:rPr>
        <w:t xml:space="preserve">The </w:t>
      </w:r>
      <w:r w:rsidR="00C73379" w:rsidRPr="004D3350">
        <w:rPr>
          <w:rFonts w:ascii="Calibri" w:hAnsi="Calibri" w:cs="Calibri"/>
          <w:sz w:val="20"/>
          <w:szCs w:val="20"/>
          <w:lang w:val="en-AU"/>
        </w:rPr>
        <w:t xml:space="preserve">DSCATT Clinical Pathway is </w:t>
      </w:r>
      <w:r w:rsidR="00D85B33" w:rsidRPr="004D3350">
        <w:rPr>
          <w:rFonts w:ascii="Calibri" w:hAnsi="Calibri" w:cs="Calibri"/>
          <w:sz w:val="20"/>
          <w:szCs w:val="20"/>
          <w:lang w:val="en-AU"/>
        </w:rPr>
        <w:t>not instructive</w:t>
      </w:r>
      <w:r w:rsidR="00F12FF9" w:rsidRPr="004D3350">
        <w:rPr>
          <w:rFonts w:ascii="Calibri" w:hAnsi="Calibri" w:cs="Calibri"/>
          <w:sz w:val="20"/>
          <w:szCs w:val="20"/>
          <w:lang w:val="en-AU"/>
        </w:rPr>
        <w:t xml:space="preserve">; rather a tool/pathway to help </w:t>
      </w:r>
      <w:r w:rsidR="00463CBF" w:rsidRPr="004D3350">
        <w:rPr>
          <w:rFonts w:ascii="Calibri" w:hAnsi="Calibri" w:cs="Calibri"/>
          <w:sz w:val="20"/>
          <w:szCs w:val="20"/>
          <w:lang w:val="en-AU"/>
        </w:rPr>
        <w:t xml:space="preserve">structure assessments and management of patients with a wide variety of symptoms and severity of </w:t>
      </w:r>
      <w:r w:rsidR="00EC6E50" w:rsidRPr="004D3350">
        <w:rPr>
          <w:rFonts w:ascii="Calibri" w:hAnsi="Calibri" w:cs="Calibri"/>
          <w:sz w:val="20"/>
          <w:szCs w:val="20"/>
          <w:lang w:val="en-AU"/>
        </w:rPr>
        <w:t xml:space="preserve">disability. </w:t>
      </w:r>
    </w:p>
    <w:tbl>
      <w:tblPr>
        <w:tblW w:w="9133" w:type="dxa"/>
        <w:tblLook w:val="04A0" w:firstRow="1" w:lastRow="0" w:firstColumn="1" w:lastColumn="0" w:noHBand="0" w:noVBand="1"/>
      </w:tblPr>
      <w:tblGrid>
        <w:gridCol w:w="9133"/>
      </w:tblGrid>
      <w:tr w:rsidR="008A63CE" w:rsidRPr="004D3350" w14:paraId="1281E183" w14:textId="77777777" w:rsidTr="004D3350">
        <w:trPr>
          <w:trHeight w:val="280"/>
          <w:tblHeader/>
        </w:trPr>
        <w:tc>
          <w:tcPr>
            <w:tcW w:w="9133" w:type="dxa"/>
            <w:shd w:val="clear" w:color="auto" w:fill="77B800"/>
          </w:tcPr>
          <w:p w14:paraId="70DE12BD" w14:textId="77777777" w:rsidR="008A63CE" w:rsidRPr="004D3350" w:rsidRDefault="008A63CE" w:rsidP="004D3350">
            <w:pPr>
              <w:spacing w:before="40" w:after="40" w:line="240" w:lineRule="auto"/>
              <w:ind w:right="-184"/>
              <w:jc w:val="both"/>
              <w:rPr>
                <w:rFonts w:ascii="Calibri" w:hAnsi="Calibri"/>
                <w:b/>
                <w:bCs/>
                <w:color w:val="FFFFFF"/>
                <w:lang w:val="en-AU"/>
              </w:rPr>
            </w:pPr>
            <w:r w:rsidRPr="004D3350">
              <w:rPr>
                <w:rFonts w:ascii="Calibri" w:hAnsi="Calibri"/>
                <w:b/>
                <w:bCs/>
                <w:color w:val="FFFFFF"/>
                <w:lang w:val="en-AU"/>
              </w:rPr>
              <w:t>Initial assessment</w:t>
            </w:r>
          </w:p>
        </w:tc>
      </w:tr>
    </w:tbl>
    <w:p w14:paraId="1BB51404" w14:textId="77777777" w:rsidR="008A63CE" w:rsidRPr="004D3350" w:rsidRDefault="008A63CE" w:rsidP="006E1736">
      <w:pPr>
        <w:pStyle w:val="BodyText"/>
        <w:numPr>
          <w:ilvl w:val="0"/>
          <w:numId w:val="14"/>
        </w:numPr>
        <w:spacing w:before="60" w:after="60" w:line="240" w:lineRule="auto"/>
        <w:ind w:left="312" w:hanging="284"/>
        <w:rPr>
          <w:rFonts w:ascii="Calibri" w:hAnsi="Calibri"/>
          <w:sz w:val="20"/>
          <w:szCs w:val="20"/>
          <w:lang w:val="en-AU"/>
        </w:rPr>
      </w:pPr>
      <w:r w:rsidRPr="004D3350">
        <w:rPr>
          <w:rFonts w:ascii="Calibri" w:hAnsi="Calibri"/>
          <w:sz w:val="20"/>
          <w:szCs w:val="20"/>
          <w:lang w:val="en-AU"/>
        </w:rPr>
        <w:t>Follow usual clinical assessment practice including a travel history and activity history (</w:t>
      </w:r>
      <w:r w:rsidR="006933BF" w:rsidRPr="004D3350">
        <w:rPr>
          <w:rFonts w:ascii="Calibri" w:hAnsi="Calibri"/>
          <w:sz w:val="20"/>
          <w:szCs w:val="20"/>
          <w:lang w:val="en-AU"/>
        </w:rPr>
        <w:t>e.g.</w:t>
      </w:r>
      <w:r w:rsidRPr="004D3350">
        <w:rPr>
          <w:rFonts w:ascii="Calibri" w:hAnsi="Calibri"/>
          <w:sz w:val="20"/>
          <w:szCs w:val="20"/>
          <w:lang w:val="en-AU"/>
        </w:rPr>
        <w:t xml:space="preserve"> bushwalking).</w:t>
      </w:r>
    </w:p>
    <w:p w14:paraId="0CCDA47D" w14:textId="77777777" w:rsidR="008A63CE" w:rsidRPr="004D3350" w:rsidRDefault="008A63CE" w:rsidP="006E1736">
      <w:pPr>
        <w:pStyle w:val="BodyText"/>
        <w:numPr>
          <w:ilvl w:val="0"/>
          <w:numId w:val="14"/>
        </w:numPr>
        <w:spacing w:before="60" w:after="60" w:line="240" w:lineRule="auto"/>
        <w:ind w:left="312" w:hanging="284"/>
        <w:rPr>
          <w:rFonts w:ascii="Calibri" w:hAnsi="Calibri"/>
          <w:sz w:val="20"/>
          <w:szCs w:val="20"/>
          <w:lang w:val="en-AU"/>
        </w:rPr>
      </w:pPr>
      <w:r w:rsidRPr="004D3350">
        <w:rPr>
          <w:rFonts w:ascii="Calibri" w:hAnsi="Calibri"/>
          <w:sz w:val="20"/>
          <w:szCs w:val="20"/>
          <w:lang w:val="en-AU"/>
        </w:rPr>
        <w:t xml:space="preserve">A thorough subjective and objective examination will assist in forming a differential diagnosis. </w:t>
      </w:r>
    </w:p>
    <w:p w14:paraId="482C0A61" w14:textId="77777777" w:rsidR="008A63CE" w:rsidRPr="004D3350" w:rsidRDefault="008A63CE" w:rsidP="006E1736">
      <w:pPr>
        <w:pStyle w:val="BodyText"/>
        <w:numPr>
          <w:ilvl w:val="0"/>
          <w:numId w:val="14"/>
        </w:numPr>
        <w:spacing w:before="60" w:after="60" w:line="240" w:lineRule="auto"/>
        <w:ind w:left="312" w:hanging="284"/>
        <w:rPr>
          <w:rFonts w:ascii="Calibri" w:hAnsi="Calibri"/>
          <w:lang w:val="en-AU"/>
        </w:rPr>
      </w:pPr>
      <w:r w:rsidRPr="004D3350">
        <w:rPr>
          <w:rFonts w:ascii="Calibri" w:hAnsi="Calibri"/>
          <w:sz w:val="20"/>
          <w:szCs w:val="20"/>
          <w:lang w:val="en-AU"/>
        </w:rPr>
        <w:t xml:space="preserve">Tick bite diagnoses are challenging as clinical features can be similar to many other diseases (infectious and non-infectious). Consult with appropriate experts in vector-borne diseases including specialist microbiologists with diagnostic experience and infectious disease (ID) physicians for treatment of diagnosed vector-borne diseases. </w:t>
      </w:r>
    </w:p>
    <w:p w14:paraId="5C970334" w14:textId="77777777" w:rsidR="008A63CE" w:rsidRPr="004D3350" w:rsidRDefault="008A63CE" w:rsidP="006E1736">
      <w:pPr>
        <w:pStyle w:val="BodyText"/>
        <w:numPr>
          <w:ilvl w:val="0"/>
          <w:numId w:val="14"/>
        </w:numPr>
        <w:spacing w:before="60" w:after="60" w:line="240" w:lineRule="auto"/>
        <w:ind w:left="312" w:hanging="284"/>
        <w:rPr>
          <w:rFonts w:ascii="Calibri" w:hAnsi="Calibri"/>
          <w:sz w:val="20"/>
          <w:szCs w:val="20"/>
          <w:lang w:val="en-AU"/>
        </w:rPr>
      </w:pPr>
      <w:r w:rsidRPr="004D3350">
        <w:rPr>
          <w:rFonts w:ascii="Calibri" w:hAnsi="Calibri"/>
          <w:sz w:val="20"/>
          <w:szCs w:val="20"/>
          <w:lang w:val="en-AU"/>
        </w:rPr>
        <w:t xml:space="preserve">Seek advice from a specialist microbiologist or ID physician regarding clinical management, especially consideration of prophylactic antibiotics, for patients presenting with a tick bite or possible </w:t>
      </w:r>
      <w:r w:rsidR="00AC67D3" w:rsidRPr="004D3350">
        <w:rPr>
          <w:rFonts w:ascii="Calibri" w:hAnsi="Calibri"/>
          <w:sz w:val="20"/>
          <w:szCs w:val="20"/>
          <w:lang w:val="en-AU"/>
        </w:rPr>
        <w:t>erythema migrans (</w:t>
      </w:r>
      <w:r w:rsidRPr="004D3350">
        <w:rPr>
          <w:rFonts w:ascii="Calibri" w:hAnsi="Calibri"/>
          <w:sz w:val="20"/>
          <w:szCs w:val="20"/>
          <w:lang w:val="en-AU"/>
        </w:rPr>
        <w:t>EM</w:t>
      </w:r>
      <w:r w:rsidR="00AC67D3" w:rsidRPr="004D3350">
        <w:rPr>
          <w:rFonts w:ascii="Calibri" w:hAnsi="Calibri"/>
          <w:sz w:val="20"/>
          <w:szCs w:val="20"/>
          <w:lang w:val="en-AU"/>
        </w:rPr>
        <w:t>)</w:t>
      </w:r>
      <w:r w:rsidRPr="004D3350">
        <w:rPr>
          <w:rFonts w:ascii="Calibri" w:hAnsi="Calibri"/>
          <w:sz w:val="20"/>
          <w:szCs w:val="20"/>
          <w:lang w:val="en-AU"/>
        </w:rPr>
        <w:t xml:space="preserve">. Prescribing of antibiotic treatments must be based on best practice and appropriate use of antibiotic treatments. </w:t>
      </w:r>
    </w:p>
    <w:p w14:paraId="2862C52C" w14:textId="77777777" w:rsidR="008A63CE" w:rsidRPr="004D3350" w:rsidRDefault="008A63CE" w:rsidP="008A63CE">
      <w:pPr>
        <w:pStyle w:val="BodyText"/>
        <w:numPr>
          <w:ilvl w:val="0"/>
          <w:numId w:val="14"/>
        </w:numPr>
        <w:spacing w:before="60" w:after="60" w:line="240" w:lineRule="auto"/>
        <w:ind w:left="312" w:hanging="284"/>
        <w:rPr>
          <w:rFonts w:ascii="Calibri" w:hAnsi="Calibri"/>
          <w:sz w:val="20"/>
          <w:szCs w:val="20"/>
          <w:lang w:val="en-AU"/>
        </w:rPr>
      </w:pPr>
      <w:r w:rsidRPr="004D3350">
        <w:rPr>
          <w:rFonts w:ascii="Calibri" w:hAnsi="Calibri"/>
          <w:sz w:val="20"/>
          <w:szCs w:val="20"/>
          <w:lang w:val="en-AU"/>
        </w:rPr>
        <w:t xml:space="preserve">DSCATT is not a diagnosable disease or a clinical diagnosis, rather it is a term used to describe symptoms of a chronic debilitating illness, often associated with a tick bite. The most common unexplained symptoms reported by patients experiencing the symptom complex described as DSCATT include fatigue, disordered thinking, sensory disturbance, arthralgia and headache. These symptoms can have multiple different causes, depending on the particular symptoms, cluster, and timeframe of symptoms. </w:t>
      </w:r>
    </w:p>
    <w:tbl>
      <w:tblPr>
        <w:tblW w:w="9120" w:type="dxa"/>
        <w:tblLook w:val="04A0" w:firstRow="1" w:lastRow="0" w:firstColumn="1" w:lastColumn="0" w:noHBand="0" w:noVBand="1"/>
      </w:tblPr>
      <w:tblGrid>
        <w:gridCol w:w="9120"/>
      </w:tblGrid>
      <w:tr w:rsidR="008A63CE" w:rsidRPr="004D3350" w14:paraId="6E201FEB" w14:textId="77777777" w:rsidTr="004D3350">
        <w:trPr>
          <w:trHeight w:val="291"/>
          <w:tblHeader/>
        </w:trPr>
        <w:tc>
          <w:tcPr>
            <w:tcW w:w="9120" w:type="dxa"/>
            <w:shd w:val="clear" w:color="auto" w:fill="77B800"/>
          </w:tcPr>
          <w:p w14:paraId="7032F64F" w14:textId="77777777" w:rsidR="008A63CE" w:rsidRPr="004D3350" w:rsidRDefault="008A63CE" w:rsidP="004D3350">
            <w:pPr>
              <w:spacing w:before="40" w:after="40" w:line="240" w:lineRule="auto"/>
              <w:jc w:val="both"/>
              <w:rPr>
                <w:rFonts w:ascii="Calibri" w:hAnsi="Calibri"/>
                <w:b/>
                <w:bCs/>
                <w:color w:val="FFFFFF"/>
                <w:lang w:val="en-AU"/>
              </w:rPr>
            </w:pPr>
            <w:r w:rsidRPr="004D3350">
              <w:rPr>
                <w:rFonts w:ascii="Calibri" w:hAnsi="Calibri"/>
                <w:b/>
                <w:bCs/>
                <w:color w:val="FFFFFF"/>
                <w:lang w:val="en-AU"/>
              </w:rPr>
              <w:t>Lyme disease (only patients who have travelled overseas to Lyme disease endemic areas)</w:t>
            </w:r>
          </w:p>
        </w:tc>
      </w:tr>
    </w:tbl>
    <w:p w14:paraId="617577E0" w14:textId="77777777" w:rsidR="008A63CE" w:rsidRPr="004D3350" w:rsidRDefault="008A63CE" w:rsidP="006D2EA5">
      <w:pPr>
        <w:pStyle w:val="BodyText"/>
        <w:numPr>
          <w:ilvl w:val="0"/>
          <w:numId w:val="14"/>
        </w:numPr>
        <w:spacing w:before="60" w:after="60" w:line="240" w:lineRule="auto"/>
        <w:ind w:left="312" w:hanging="170"/>
        <w:rPr>
          <w:rFonts w:ascii="Calibri" w:hAnsi="Calibri"/>
          <w:sz w:val="20"/>
          <w:szCs w:val="20"/>
          <w:lang w:val="en-AU"/>
        </w:rPr>
      </w:pPr>
      <w:r w:rsidRPr="004D3350">
        <w:rPr>
          <w:rFonts w:ascii="Calibri" w:hAnsi="Calibri"/>
          <w:sz w:val="20"/>
          <w:szCs w:val="20"/>
          <w:lang w:val="en-AU"/>
        </w:rPr>
        <w:t xml:space="preserve">In patients presenting with a history of travel to Lyme disease endemic areas (Europe, North America, Asia), exposure to tick bites and with relevant clinical symptoms, suspect Lyme disease. </w:t>
      </w:r>
      <w:r w:rsidRPr="004D3350">
        <w:rPr>
          <w:rFonts w:ascii="Calibri" w:hAnsi="Calibri"/>
          <w:i/>
          <w:sz w:val="20"/>
          <w:szCs w:val="20"/>
          <w:u w:val="single"/>
          <w:lang w:val="en-AU"/>
        </w:rPr>
        <w:t>Do NOT test for Lyme disease if patients have NOT travelled to Lyme disease endemic areas</w:t>
      </w:r>
      <w:r w:rsidRPr="004D3350">
        <w:rPr>
          <w:rFonts w:ascii="Calibri" w:hAnsi="Calibri"/>
          <w:sz w:val="20"/>
          <w:szCs w:val="20"/>
          <w:lang w:val="en-AU"/>
        </w:rPr>
        <w:t xml:space="preserve"> as tests may show false positives, with a risk of missing an alternative diagnosis and providing inappropriate treatment. It is important to ensure that conditions such as tumours, multiple sclerosis and motor neurone disease are not misdiagnosed as Lyme disease.</w:t>
      </w:r>
    </w:p>
    <w:p w14:paraId="7284AFCD" w14:textId="77777777" w:rsidR="008A63CE" w:rsidRPr="004D3350" w:rsidRDefault="008A63CE" w:rsidP="006D2EA5">
      <w:pPr>
        <w:pStyle w:val="BodyText"/>
        <w:numPr>
          <w:ilvl w:val="0"/>
          <w:numId w:val="15"/>
        </w:numPr>
        <w:spacing w:before="60" w:after="60" w:line="240" w:lineRule="auto"/>
        <w:ind w:left="340" w:hanging="312"/>
        <w:rPr>
          <w:rFonts w:ascii="Calibri" w:hAnsi="Calibri"/>
          <w:sz w:val="20"/>
          <w:szCs w:val="20"/>
          <w:lang w:val="en-AU"/>
        </w:rPr>
      </w:pPr>
      <w:r w:rsidRPr="004D3350">
        <w:rPr>
          <w:rFonts w:ascii="Calibri" w:hAnsi="Calibri"/>
          <w:sz w:val="20"/>
          <w:szCs w:val="20"/>
          <w:lang w:val="en-AU"/>
        </w:rPr>
        <w:t>As there is no person-to-person transmission of classical Lyme disease, the risk to Australia and Australians is low.</w:t>
      </w:r>
    </w:p>
    <w:p w14:paraId="67594D19" w14:textId="77777777" w:rsidR="008A63CE" w:rsidRPr="004D3350" w:rsidRDefault="008A63CE" w:rsidP="00E754BD">
      <w:pPr>
        <w:pStyle w:val="BodyText"/>
        <w:numPr>
          <w:ilvl w:val="0"/>
          <w:numId w:val="15"/>
        </w:numPr>
        <w:spacing w:before="60" w:after="60" w:line="240" w:lineRule="auto"/>
        <w:ind w:left="340" w:hanging="312"/>
        <w:rPr>
          <w:rFonts w:ascii="Calibri" w:hAnsi="Calibri"/>
          <w:sz w:val="20"/>
          <w:szCs w:val="20"/>
          <w:lang w:val="en-AU"/>
        </w:rPr>
      </w:pPr>
      <w:r w:rsidRPr="004D3350">
        <w:rPr>
          <w:rFonts w:ascii="Calibri" w:hAnsi="Calibri"/>
          <w:sz w:val="20"/>
          <w:szCs w:val="20"/>
          <w:lang w:val="en-AU"/>
        </w:rPr>
        <w:t>For patients presenting with a bull’s-eye rash (</w:t>
      </w:r>
      <w:r w:rsidR="003B4746" w:rsidRPr="004D3350">
        <w:rPr>
          <w:rFonts w:ascii="Calibri" w:hAnsi="Calibri"/>
          <w:sz w:val="20"/>
          <w:szCs w:val="20"/>
          <w:lang w:val="en-AU"/>
        </w:rPr>
        <w:t>erythema migrans</w:t>
      </w:r>
      <w:r w:rsidRPr="004D3350">
        <w:rPr>
          <w:rFonts w:ascii="Calibri" w:hAnsi="Calibri"/>
          <w:sz w:val="20"/>
          <w:szCs w:val="20"/>
          <w:lang w:val="en-AU"/>
        </w:rPr>
        <w:t>) and a relevant travel history, seek advice from a specialist microbiologist or an ID physician in regards to the appropriate investigations and treatments that are clinically relevant to the patient’s presentation and commence antibiotic therapy.</w:t>
      </w:r>
      <w:r w:rsidR="008C6748" w:rsidRPr="004D3350">
        <w:rPr>
          <w:rFonts w:ascii="Calibri" w:hAnsi="Calibri"/>
          <w:sz w:val="20"/>
          <w:szCs w:val="20"/>
          <w:lang w:val="en-AU"/>
        </w:rPr>
        <w:t xml:space="preserve"> </w:t>
      </w:r>
    </w:p>
    <w:p w14:paraId="67EF9B36" w14:textId="77777777" w:rsidR="008A63CE" w:rsidRPr="004D3350" w:rsidRDefault="008A63CE" w:rsidP="00E754BD">
      <w:pPr>
        <w:pStyle w:val="BodyText"/>
        <w:numPr>
          <w:ilvl w:val="0"/>
          <w:numId w:val="15"/>
        </w:numPr>
        <w:spacing w:before="60" w:after="60" w:line="240" w:lineRule="auto"/>
        <w:ind w:left="340" w:hanging="312"/>
        <w:rPr>
          <w:rFonts w:ascii="Calibri" w:hAnsi="Calibri"/>
          <w:sz w:val="20"/>
          <w:szCs w:val="20"/>
          <w:lang w:val="en-AU"/>
        </w:rPr>
      </w:pPr>
      <w:r w:rsidRPr="004D3350">
        <w:rPr>
          <w:rFonts w:ascii="Calibri" w:hAnsi="Calibri"/>
          <w:sz w:val="20"/>
          <w:szCs w:val="20"/>
          <w:lang w:val="en-AU"/>
        </w:rPr>
        <w:t>Diagnostic testing for Lyme disease should only be initiated following advice from appropriate experts such as a consultant ID physician or a specialist microbiologist and should only be undertaken in Australia in a pathology laboratory accredited by National Association of Testing Authorities, Australia (NATA) and Royal College of Pathologists of Australasia (RCPA) to conduct such testing.</w:t>
      </w:r>
    </w:p>
    <w:p w14:paraId="6E224C5E" w14:textId="77777777" w:rsidR="008A63CE" w:rsidRPr="004D3350" w:rsidRDefault="008A63CE" w:rsidP="00E754BD">
      <w:pPr>
        <w:pStyle w:val="BodyText"/>
        <w:numPr>
          <w:ilvl w:val="0"/>
          <w:numId w:val="15"/>
        </w:numPr>
        <w:spacing w:before="60" w:after="60" w:line="240" w:lineRule="auto"/>
        <w:ind w:left="340" w:hanging="312"/>
        <w:rPr>
          <w:rFonts w:ascii="Calibri" w:hAnsi="Calibri"/>
          <w:sz w:val="20"/>
          <w:szCs w:val="20"/>
          <w:lang w:val="en-AU"/>
        </w:rPr>
      </w:pPr>
      <w:r w:rsidRPr="004D3350">
        <w:rPr>
          <w:rFonts w:ascii="Calibri" w:hAnsi="Calibri"/>
          <w:sz w:val="20"/>
          <w:szCs w:val="20"/>
          <w:lang w:val="en-AU"/>
        </w:rPr>
        <w:t>NATA accreditation is highly regarded both nationally and internationally as a reliable indicator of technical competence.</w:t>
      </w:r>
      <w:r w:rsidRPr="00E47209">
        <w:rPr>
          <w:rStyle w:val="BodyTextChar"/>
          <w:lang w:val="en-AU"/>
        </w:rPr>
        <w:t xml:space="preserve"> </w:t>
      </w:r>
      <w:r w:rsidRPr="004D3350">
        <w:rPr>
          <w:rFonts w:ascii="Calibri" w:hAnsi="Calibri"/>
          <w:sz w:val="20"/>
          <w:szCs w:val="20"/>
          <w:lang w:val="en-AU"/>
        </w:rPr>
        <w:t xml:space="preserve">All pathology laboratories in Australia receiving funding via Medicare must be accredited by the NATA/RCPA Laboratory Accreditation Program. The Standards are set by the National Pathology Accreditation Advisory Council (NPAAC). </w:t>
      </w:r>
      <w:r w:rsidRPr="004D3350">
        <w:rPr>
          <w:rStyle w:val="BodyTextChar"/>
          <w:rFonts w:ascii="Calibri" w:hAnsi="Calibri" w:cs="Calibri"/>
          <w:sz w:val="20"/>
          <w:szCs w:val="20"/>
          <w:lang w:val="en-AU"/>
        </w:rPr>
        <w:t>The quality management aspects of the NPAAC requirements are based on the international standard</w:t>
      </w:r>
      <w:r w:rsidRPr="004D3350">
        <w:rPr>
          <w:rStyle w:val="BodyTextChar"/>
          <w:rFonts w:ascii="Calibri" w:hAnsi="Calibri"/>
          <w:sz w:val="20"/>
          <w:szCs w:val="20"/>
          <w:lang w:val="en-AU"/>
        </w:rPr>
        <w:t xml:space="preserve"> AS </w:t>
      </w:r>
      <w:r w:rsidRPr="004D3350">
        <w:rPr>
          <w:rStyle w:val="BodyTextChar"/>
          <w:rFonts w:ascii="Calibri" w:hAnsi="Calibri" w:cs="Calibri"/>
          <w:sz w:val="20"/>
          <w:szCs w:val="20"/>
          <w:lang w:val="en-AU"/>
        </w:rPr>
        <w:t>ISO 15189 Standard for Medical Laboratories.</w:t>
      </w:r>
      <w:r w:rsidRPr="004D3350" w:rsidDel="004F7FB7">
        <w:rPr>
          <w:rFonts w:ascii="Calibri" w:hAnsi="Calibri" w:cs="Calibri"/>
          <w:lang w:val="en-AU"/>
        </w:rPr>
        <w:t xml:space="preserve"> </w:t>
      </w:r>
      <w:r w:rsidRPr="004D3350">
        <w:rPr>
          <w:rFonts w:ascii="Calibri" w:hAnsi="Calibri"/>
          <w:sz w:val="20"/>
          <w:szCs w:val="20"/>
          <w:lang w:val="en-AU"/>
        </w:rPr>
        <w:t xml:space="preserve">NATA accredited laboratories can detect tick-borne illnesses. </w:t>
      </w:r>
    </w:p>
    <w:p w14:paraId="34D8A59D" w14:textId="77777777" w:rsidR="008A63CE" w:rsidRPr="004D3350" w:rsidRDefault="008A63CE" w:rsidP="00E754BD">
      <w:pPr>
        <w:pStyle w:val="BodyText"/>
        <w:numPr>
          <w:ilvl w:val="0"/>
          <w:numId w:val="15"/>
        </w:numPr>
        <w:spacing w:before="60" w:after="60" w:line="240" w:lineRule="auto"/>
        <w:ind w:left="340" w:hanging="312"/>
        <w:rPr>
          <w:rFonts w:ascii="Calibri" w:hAnsi="Calibri"/>
          <w:sz w:val="20"/>
          <w:szCs w:val="20"/>
          <w:lang w:val="en-AU"/>
        </w:rPr>
      </w:pPr>
      <w:r w:rsidRPr="004D3350">
        <w:rPr>
          <w:rFonts w:ascii="Calibri" w:hAnsi="Calibri"/>
          <w:sz w:val="20"/>
          <w:szCs w:val="20"/>
          <w:lang w:val="en-AU"/>
        </w:rPr>
        <w:t>If there is no EM, a course of antibiotic treatment for Lyme disease should only be initiated based on the expert advice of either a consultant ID physician or a specialist microbiologist. This advice will be based upon results of confirmatory testing conducted in a NATA/RCPA accredited laboratory and/or other clinical findings relevant to informing a treatment decision.</w:t>
      </w:r>
    </w:p>
    <w:p w14:paraId="76564E6D" w14:textId="77777777" w:rsidR="008A63CE" w:rsidRPr="004D3350" w:rsidRDefault="008A63CE" w:rsidP="00E754BD">
      <w:pPr>
        <w:pStyle w:val="BodyText"/>
        <w:numPr>
          <w:ilvl w:val="0"/>
          <w:numId w:val="15"/>
        </w:numPr>
        <w:spacing w:before="60" w:after="60" w:line="240" w:lineRule="auto"/>
        <w:ind w:left="340" w:hanging="312"/>
        <w:rPr>
          <w:rFonts w:ascii="Calibri" w:hAnsi="Calibri"/>
          <w:lang w:val="en-AU"/>
        </w:rPr>
      </w:pPr>
      <w:r w:rsidRPr="004D3350">
        <w:rPr>
          <w:rFonts w:ascii="Calibri" w:hAnsi="Calibri"/>
          <w:sz w:val="20"/>
          <w:szCs w:val="20"/>
          <w:lang w:val="en-AU"/>
        </w:rPr>
        <w:t xml:space="preserve">For patients with ongoing symptoms after one course of antibiotics (course duration as defined by best practice), only one additional course of antibiotics may be recommended as there is no evidence of benefit </w:t>
      </w:r>
      <w:r w:rsidRPr="004D3350">
        <w:rPr>
          <w:rFonts w:ascii="Calibri" w:hAnsi="Calibri"/>
          <w:sz w:val="20"/>
          <w:szCs w:val="20"/>
          <w:lang w:val="en-AU"/>
        </w:rPr>
        <w:lastRenderedPageBreak/>
        <w:t>of longer courses. An additional course of antibiotics should be determined case by case. Full resolution of symptoms may take some time but does not require further antibiotics.</w:t>
      </w:r>
      <w:r w:rsidRPr="004D3350">
        <w:rPr>
          <w:rFonts w:ascii="Calibri" w:hAnsi="Calibri"/>
          <w:lang w:val="en-AU"/>
        </w:rPr>
        <w:t xml:space="preserve"> </w:t>
      </w:r>
    </w:p>
    <w:p w14:paraId="680B95FE" w14:textId="77777777" w:rsidR="008A63CE" w:rsidRPr="008A63CE" w:rsidRDefault="008A63CE" w:rsidP="008A63CE">
      <w:pPr>
        <w:pStyle w:val="BodyText"/>
        <w:numPr>
          <w:ilvl w:val="0"/>
          <w:numId w:val="15"/>
        </w:numPr>
        <w:spacing w:before="60" w:after="60" w:line="240" w:lineRule="auto"/>
        <w:ind w:left="340" w:hanging="312"/>
        <w:rPr>
          <w:lang w:val="en-AU"/>
        </w:rPr>
      </w:pPr>
      <w:r w:rsidRPr="004D3350">
        <w:rPr>
          <w:rFonts w:ascii="Calibri" w:hAnsi="Calibri"/>
          <w:sz w:val="20"/>
          <w:szCs w:val="20"/>
          <w:lang w:val="en-AU"/>
        </w:rPr>
        <w:t xml:space="preserve">Therapeutic modalities </w:t>
      </w:r>
      <w:r w:rsidRPr="004D3350">
        <w:rPr>
          <w:rFonts w:ascii="Calibri" w:hAnsi="Calibri"/>
          <w:i/>
          <w:iCs/>
          <w:sz w:val="20"/>
          <w:szCs w:val="20"/>
          <w:u w:val="single"/>
          <w:lang w:val="en-AU"/>
        </w:rPr>
        <w:t>not recommended</w:t>
      </w:r>
      <w:r w:rsidRPr="004D3350">
        <w:rPr>
          <w:rFonts w:ascii="Calibri" w:hAnsi="Calibri"/>
          <w:sz w:val="20"/>
          <w:szCs w:val="20"/>
          <w:lang w:val="en-AU"/>
        </w:rPr>
        <w:t xml:space="preserve"> for treatment of patients with any manifestation of Lyme disease include combinations of antimicrobials, long-term antibiotic therapy, hyperbaric oxygen, fever therapy, intravenous immunoglobulin, ozone, cholestyramine, energy and radiation-based therapies, vitamins and nutritional managements, magnesium and bismuth injections, chelation and heavy metal therapies, stem cell transplants.</w:t>
      </w:r>
      <w:r w:rsidRPr="006F79D1">
        <w:rPr>
          <w:lang w:val="en-AU"/>
        </w:rPr>
        <w:t xml:space="preserve"> </w:t>
      </w:r>
    </w:p>
    <w:tbl>
      <w:tblPr>
        <w:tblW w:w="9105" w:type="dxa"/>
        <w:tblLook w:val="04A0" w:firstRow="1" w:lastRow="0" w:firstColumn="1" w:lastColumn="0" w:noHBand="0" w:noVBand="1"/>
      </w:tblPr>
      <w:tblGrid>
        <w:gridCol w:w="9105"/>
      </w:tblGrid>
      <w:tr w:rsidR="008A63CE" w:rsidRPr="004D3350" w14:paraId="79BD6BA5" w14:textId="77777777" w:rsidTr="004D3350">
        <w:trPr>
          <w:trHeight w:val="268"/>
          <w:tblHeader/>
        </w:trPr>
        <w:tc>
          <w:tcPr>
            <w:tcW w:w="9105" w:type="dxa"/>
            <w:shd w:val="clear" w:color="auto" w:fill="77B800"/>
          </w:tcPr>
          <w:p w14:paraId="1F862EC8" w14:textId="77777777" w:rsidR="008A63CE" w:rsidRPr="004D3350" w:rsidRDefault="008A63CE" w:rsidP="004D3350">
            <w:pPr>
              <w:spacing w:before="40" w:after="40" w:line="240" w:lineRule="auto"/>
              <w:jc w:val="both"/>
              <w:rPr>
                <w:rFonts w:ascii="Calibri" w:hAnsi="Calibri"/>
                <w:b/>
                <w:bCs/>
                <w:color w:val="FFFFFF"/>
                <w:lang w:val="en-AU"/>
              </w:rPr>
            </w:pPr>
            <w:r w:rsidRPr="004D3350">
              <w:rPr>
                <w:rFonts w:ascii="Calibri" w:hAnsi="Calibri"/>
                <w:b/>
                <w:bCs/>
                <w:color w:val="FFFFFF"/>
                <w:lang w:val="en-AU"/>
              </w:rPr>
              <w:t>Tick-borne diseases known to be acquired in Australia</w:t>
            </w:r>
          </w:p>
        </w:tc>
      </w:tr>
    </w:tbl>
    <w:p w14:paraId="72D79399" w14:textId="77777777" w:rsidR="008A63CE" w:rsidRPr="004D3350" w:rsidRDefault="008A63CE" w:rsidP="00E754BD">
      <w:pPr>
        <w:pStyle w:val="BodyText"/>
        <w:numPr>
          <w:ilvl w:val="0"/>
          <w:numId w:val="31"/>
        </w:numPr>
        <w:spacing w:before="60" w:after="60" w:line="240" w:lineRule="auto"/>
        <w:ind w:left="312" w:hanging="284"/>
        <w:rPr>
          <w:rFonts w:ascii="Calibri" w:hAnsi="Calibri"/>
          <w:sz w:val="20"/>
          <w:szCs w:val="20"/>
          <w:lang w:val="en-AU"/>
        </w:rPr>
      </w:pPr>
      <w:r w:rsidRPr="004D3350">
        <w:rPr>
          <w:rFonts w:ascii="Calibri" w:hAnsi="Calibri"/>
          <w:sz w:val="20"/>
          <w:szCs w:val="20"/>
          <w:lang w:val="en-AU"/>
        </w:rPr>
        <w:t xml:space="preserve">In patients who have not travelled overseas </w:t>
      </w:r>
      <w:r w:rsidRPr="004D3350" w:rsidDel="00297BB9">
        <w:rPr>
          <w:rFonts w:ascii="Calibri" w:hAnsi="Calibri"/>
          <w:sz w:val="20"/>
          <w:szCs w:val="20"/>
          <w:lang w:val="en-AU"/>
        </w:rPr>
        <w:t xml:space="preserve">to Lyme </w:t>
      </w:r>
      <w:r w:rsidRPr="004D3350">
        <w:rPr>
          <w:rFonts w:ascii="Calibri" w:hAnsi="Calibri"/>
          <w:sz w:val="20"/>
          <w:szCs w:val="20"/>
          <w:lang w:val="en-AU"/>
        </w:rPr>
        <w:t xml:space="preserve">disease </w:t>
      </w:r>
      <w:r w:rsidRPr="004D3350" w:rsidDel="00297BB9">
        <w:rPr>
          <w:rFonts w:ascii="Calibri" w:hAnsi="Calibri"/>
          <w:sz w:val="20"/>
          <w:szCs w:val="20"/>
          <w:lang w:val="en-AU"/>
        </w:rPr>
        <w:t>endemic areas</w:t>
      </w:r>
      <w:r w:rsidRPr="004D3350">
        <w:rPr>
          <w:rFonts w:ascii="Calibri" w:hAnsi="Calibri"/>
          <w:sz w:val="20"/>
          <w:szCs w:val="20"/>
          <w:lang w:val="en-AU"/>
        </w:rPr>
        <w:t xml:space="preserve"> AND who have or may have been recently bitten by a tick in the past or who engage in activities such as bushwalking AND present with relevant acute or chronic symptoms, suspect Australian tick-borne diseases and seek expert advice as per above. </w:t>
      </w:r>
    </w:p>
    <w:p w14:paraId="53463BC2" w14:textId="77777777" w:rsidR="008A63CE" w:rsidRPr="004D3350" w:rsidRDefault="008A63CE" w:rsidP="00120C61">
      <w:pPr>
        <w:pStyle w:val="BodyText"/>
        <w:numPr>
          <w:ilvl w:val="0"/>
          <w:numId w:val="16"/>
        </w:numPr>
        <w:spacing w:before="0" w:after="60" w:line="240" w:lineRule="auto"/>
        <w:ind w:left="321" w:hanging="293"/>
        <w:rPr>
          <w:rFonts w:ascii="Calibri" w:hAnsi="Calibri" w:cs="Calibri"/>
          <w:sz w:val="20"/>
          <w:szCs w:val="20"/>
          <w:lang w:val="en-AU"/>
        </w:rPr>
      </w:pPr>
      <w:r w:rsidRPr="004D3350">
        <w:rPr>
          <w:rFonts w:ascii="Calibri" w:hAnsi="Calibri"/>
          <w:sz w:val="20"/>
          <w:szCs w:val="20"/>
          <w:lang w:val="en-AU"/>
        </w:rPr>
        <w:t xml:space="preserve">Diagnosis of tick-borne disease known to exist in Australia is challenging. Symptoms may overlap with other infectious diseases including those that are transmitted by non-tick vectors as well as a number of chronic diseases. Seek further expert opinion as necessary depending upon the nature of the patient’s clinical presentation. </w:t>
      </w:r>
      <w:r w:rsidRPr="004D3350">
        <w:rPr>
          <w:rFonts w:ascii="Calibri" w:hAnsi="Calibri" w:cs="Calibri"/>
          <w:sz w:val="20"/>
          <w:szCs w:val="20"/>
          <w:lang w:val="en-AU"/>
        </w:rPr>
        <w:t xml:space="preserve">Apart from the occasional local bacterial infection at the tick bite site (eschar) the only two systemic infections that are definitely known to be transmitted by tick bites in Australia are </w:t>
      </w:r>
      <w:r w:rsidRPr="004D3350">
        <w:rPr>
          <w:rFonts w:ascii="Calibri" w:hAnsi="Calibri" w:cs="Calibri"/>
          <w:b/>
          <w:sz w:val="20"/>
          <w:szCs w:val="20"/>
          <w:lang w:val="en-AU"/>
        </w:rPr>
        <w:t>Rickettsial infections</w:t>
      </w:r>
      <w:r w:rsidRPr="004D3350">
        <w:rPr>
          <w:rFonts w:ascii="Calibri" w:hAnsi="Calibri" w:cs="Calibri"/>
          <w:sz w:val="20"/>
          <w:szCs w:val="20"/>
          <w:lang w:val="en-AU"/>
        </w:rPr>
        <w:t xml:space="preserve"> from infection with </w:t>
      </w:r>
      <w:r w:rsidRPr="004D3350">
        <w:rPr>
          <w:rFonts w:ascii="Calibri" w:hAnsi="Calibri" w:cs="Calibri"/>
          <w:i/>
          <w:sz w:val="20"/>
          <w:szCs w:val="20"/>
          <w:lang w:val="en-AU"/>
        </w:rPr>
        <w:t>Rickettsia</w:t>
      </w:r>
      <w:r w:rsidRPr="004D3350">
        <w:rPr>
          <w:rFonts w:ascii="Calibri" w:hAnsi="Calibri" w:cs="Calibri"/>
          <w:sz w:val="20"/>
          <w:szCs w:val="20"/>
          <w:lang w:val="en-AU"/>
        </w:rPr>
        <w:t xml:space="preserve"> spp. (Queensland Tick Typhus, Flinders Island S</w:t>
      </w:r>
      <w:r w:rsidR="00BD66C7" w:rsidRPr="004D3350">
        <w:rPr>
          <w:rFonts w:ascii="Calibri" w:hAnsi="Calibri" w:cs="Calibri"/>
          <w:sz w:val="20"/>
          <w:szCs w:val="20"/>
          <w:lang w:val="en-AU"/>
        </w:rPr>
        <w:t>potted F</w:t>
      </w:r>
      <w:r w:rsidRPr="004D3350">
        <w:rPr>
          <w:rFonts w:ascii="Calibri" w:hAnsi="Calibri" w:cs="Calibri"/>
          <w:sz w:val="20"/>
          <w:szCs w:val="20"/>
          <w:lang w:val="en-AU"/>
        </w:rPr>
        <w:t xml:space="preserve">ever and Australian Spotted Fever) and </w:t>
      </w:r>
      <w:r w:rsidRPr="004D3350">
        <w:rPr>
          <w:rFonts w:ascii="Calibri" w:hAnsi="Calibri" w:cs="Calibri"/>
          <w:b/>
          <w:sz w:val="20"/>
          <w:szCs w:val="20"/>
          <w:lang w:val="en-AU"/>
        </w:rPr>
        <w:t>Q fever</w:t>
      </w:r>
      <w:r w:rsidRPr="004D3350">
        <w:rPr>
          <w:rFonts w:ascii="Calibri" w:hAnsi="Calibri" w:cs="Calibri"/>
          <w:sz w:val="20"/>
          <w:szCs w:val="20"/>
          <w:lang w:val="en-AU"/>
        </w:rPr>
        <w:t xml:space="preserve"> (</w:t>
      </w:r>
      <w:r w:rsidRPr="004D3350">
        <w:rPr>
          <w:rFonts w:ascii="Calibri" w:hAnsi="Calibri" w:cs="Calibri"/>
          <w:i/>
          <w:sz w:val="20"/>
          <w:szCs w:val="20"/>
          <w:lang w:val="en-AU"/>
        </w:rPr>
        <w:t>Coxiella burnetii</w:t>
      </w:r>
      <w:r w:rsidRPr="004D3350">
        <w:rPr>
          <w:rFonts w:ascii="Calibri" w:hAnsi="Calibri" w:cs="Calibri"/>
          <w:sz w:val="20"/>
          <w:szCs w:val="20"/>
          <w:lang w:val="en-AU"/>
        </w:rPr>
        <w:t>).</w:t>
      </w:r>
    </w:p>
    <w:p w14:paraId="486F5FF6" w14:textId="77777777" w:rsidR="008A63CE" w:rsidRPr="004D3350" w:rsidRDefault="008A63CE" w:rsidP="00120C61">
      <w:pPr>
        <w:pStyle w:val="BodyText"/>
        <w:numPr>
          <w:ilvl w:val="0"/>
          <w:numId w:val="16"/>
        </w:numPr>
        <w:spacing w:before="0" w:after="60" w:line="240" w:lineRule="auto"/>
        <w:ind w:left="321" w:hanging="293"/>
        <w:rPr>
          <w:rFonts w:ascii="Calibri" w:hAnsi="Calibri"/>
          <w:sz w:val="20"/>
          <w:szCs w:val="20"/>
          <w:lang w:val="en-AU"/>
        </w:rPr>
      </w:pPr>
      <w:r w:rsidRPr="004D3350">
        <w:rPr>
          <w:rFonts w:ascii="Calibri" w:hAnsi="Calibri"/>
          <w:b/>
          <w:bCs/>
          <w:i/>
          <w:iCs/>
          <w:sz w:val="20"/>
          <w:szCs w:val="20"/>
          <w:lang w:val="en-AU"/>
        </w:rPr>
        <w:t>Queensland Tick Typhus (QTT)</w:t>
      </w:r>
      <w:r w:rsidRPr="004D3350">
        <w:rPr>
          <w:rFonts w:ascii="Calibri" w:hAnsi="Calibri"/>
          <w:sz w:val="20"/>
          <w:szCs w:val="20"/>
          <w:lang w:val="en-AU"/>
        </w:rPr>
        <w:t>, early recognition and treatment is important –</w:t>
      </w:r>
      <w:r w:rsidRPr="004D3350">
        <w:rPr>
          <w:rFonts w:ascii="Calibri" w:hAnsi="Calibri"/>
          <w:i/>
          <w:iCs/>
          <w:sz w:val="20"/>
          <w:szCs w:val="20"/>
          <w:lang w:val="en-AU"/>
        </w:rPr>
        <w:t xml:space="preserve"> </w:t>
      </w:r>
      <w:r w:rsidRPr="004D3350">
        <w:rPr>
          <w:rFonts w:ascii="Calibri" w:hAnsi="Calibri"/>
          <w:b/>
          <w:bCs/>
          <w:i/>
          <w:iCs/>
          <w:sz w:val="20"/>
          <w:szCs w:val="20"/>
          <w:lang w:val="en-AU"/>
        </w:rPr>
        <w:t>see Therapeutic Guidelines antibiotic for treatment</w:t>
      </w:r>
      <w:r w:rsidRPr="004D3350">
        <w:rPr>
          <w:rFonts w:ascii="Calibri" w:hAnsi="Calibri"/>
          <w:sz w:val="20"/>
          <w:szCs w:val="20"/>
          <w:lang w:val="en-AU"/>
        </w:rPr>
        <w:t>.</w:t>
      </w:r>
    </w:p>
    <w:p w14:paraId="73C13C14" w14:textId="77777777" w:rsidR="008A63CE" w:rsidRPr="004D3350" w:rsidRDefault="008A63CE" w:rsidP="00120C61">
      <w:pPr>
        <w:pStyle w:val="BodyText"/>
        <w:numPr>
          <w:ilvl w:val="0"/>
          <w:numId w:val="16"/>
        </w:numPr>
        <w:spacing w:before="0" w:after="60" w:line="240" w:lineRule="auto"/>
        <w:ind w:left="321" w:hanging="293"/>
        <w:rPr>
          <w:rFonts w:ascii="Calibri" w:hAnsi="Calibri"/>
          <w:sz w:val="20"/>
          <w:szCs w:val="20"/>
          <w:lang w:val="en-AU"/>
        </w:rPr>
      </w:pPr>
      <w:r w:rsidRPr="004D3350">
        <w:rPr>
          <w:rFonts w:ascii="Calibri" w:hAnsi="Calibri"/>
          <w:b/>
          <w:bCs/>
          <w:i/>
          <w:iCs/>
          <w:sz w:val="20"/>
          <w:szCs w:val="20"/>
          <w:lang w:val="en-AU"/>
        </w:rPr>
        <w:t>Flinders Island Spotted Fever (FISF) and Australian Spotted Fever (ASF)</w:t>
      </w:r>
      <w:r w:rsidRPr="004D3350">
        <w:rPr>
          <w:rFonts w:ascii="Calibri" w:hAnsi="Calibri"/>
          <w:sz w:val="20"/>
          <w:szCs w:val="20"/>
          <w:lang w:val="en-AU"/>
        </w:rPr>
        <w:t xml:space="preserve"> –</w:t>
      </w:r>
      <w:r w:rsidRPr="004D3350">
        <w:rPr>
          <w:rFonts w:ascii="Calibri" w:hAnsi="Calibri"/>
          <w:i/>
          <w:iCs/>
          <w:sz w:val="20"/>
          <w:szCs w:val="20"/>
          <w:lang w:val="en-AU"/>
        </w:rPr>
        <w:t xml:space="preserve"> </w:t>
      </w:r>
      <w:r w:rsidRPr="004D3350">
        <w:rPr>
          <w:rFonts w:ascii="Calibri" w:hAnsi="Calibri"/>
          <w:b/>
          <w:bCs/>
          <w:i/>
          <w:iCs/>
          <w:sz w:val="20"/>
          <w:szCs w:val="20"/>
          <w:lang w:val="en-AU"/>
        </w:rPr>
        <w:t>see Therapeutic Guidelines antibiotic for treatment.</w:t>
      </w:r>
    </w:p>
    <w:p w14:paraId="572AB1B1" w14:textId="77777777" w:rsidR="008A63CE" w:rsidRPr="004D3350" w:rsidRDefault="008A63CE" w:rsidP="008A63CE">
      <w:pPr>
        <w:pStyle w:val="BodyText"/>
        <w:numPr>
          <w:ilvl w:val="0"/>
          <w:numId w:val="16"/>
        </w:numPr>
        <w:spacing w:before="0" w:after="60" w:line="240" w:lineRule="auto"/>
        <w:ind w:left="321" w:hanging="293"/>
        <w:rPr>
          <w:rFonts w:ascii="Calibri" w:hAnsi="Calibri"/>
          <w:sz w:val="20"/>
          <w:szCs w:val="20"/>
          <w:lang w:val="en-AU"/>
        </w:rPr>
      </w:pPr>
      <w:r w:rsidRPr="004D3350">
        <w:rPr>
          <w:rFonts w:ascii="Calibri" w:hAnsi="Calibri"/>
          <w:b/>
          <w:bCs/>
          <w:i/>
          <w:iCs/>
          <w:sz w:val="20"/>
          <w:szCs w:val="20"/>
          <w:lang w:val="en-AU"/>
        </w:rPr>
        <w:t>Q fever</w:t>
      </w:r>
      <w:r w:rsidRPr="004D3350">
        <w:rPr>
          <w:rFonts w:ascii="Calibri" w:hAnsi="Calibri"/>
          <w:sz w:val="20"/>
          <w:szCs w:val="20"/>
          <w:lang w:val="en-AU"/>
        </w:rPr>
        <w:t xml:space="preserve"> </w:t>
      </w:r>
      <w:r w:rsidRPr="004D3350">
        <w:rPr>
          <w:rFonts w:ascii="Calibri" w:hAnsi="Calibri"/>
          <w:i/>
          <w:iCs/>
          <w:sz w:val="20"/>
          <w:szCs w:val="20"/>
          <w:lang w:val="en-AU"/>
        </w:rPr>
        <w:t>(Coxiella burnetii)</w:t>
      </w:r>
      <w:r w:rsidRPr="004D3350">
        <w:rPr>
          <w:rFonts w:ascii="Calibri" w:hAnsi="Calibri"/>
          <w:sz w:val="20"/>
          <w:szCs w:val="20"/>
          <w:lang w:val="en-AU"/>
        </w:rPr>
        <w:t xml:space="preserve"> –</w:t>
      </w:r>
      <w:r w:rsidRPr="004D3350">
        <w:rPr>
          <w:rFonts w:ascii="Calibri" w:hAnsi="Calibri"/>
          <w:i/>
          <w:iCs/>
          <w:sz w:val="20"/>
          <w:szCs w:val="20"/>
          <w:lang w:val="en-AU"/>
        </w:rPr>
        <w:t xml:space="preserve"> </w:t>
      </w:r>
      <w:r w:rsidRPr="004D3350">
        <w:rPr>
          <w:rFonts w:ascii="Calibri" w:hAnsi="Calibri"/>
          <w:b/>
          <w:bCs/>
          <w:i/>
          <w:iCs/>
          <w:sz w:val="20"/>
          <w:szCs w:val="20"/>
          <w:lang w:val="en-AU"/>
        </w:rPr>
        <w:t>see Therapeutic Guidelines antibiotic for treatment</w:t>
      </w:r>
      <w:r w:rsidRPr="004D3350">
        <w:rPr>
          <w:rFonts w:ascii="Calibri" w:hAnsi="Calibri"/>
          <w:sz w:val="20"/>
          <w:szCs w:val="20"/>
          <w:lang w:val="en-AU"/>
        </w:rPr>
        <w:t>. Q fever is a nationally notifiable disease. Q fever is acquired via various modes of transmission, a minority of which is tick-borne.</w:t>
      </w:r>
    </w:p>
    <w:tbl>
      <w:tblPr>
        <w:tblW w:w="9090" w:type="dxa"/>
        <w:tblLook w:val="04A0" w:firstRow="1" w:lastRow="0" w:firstColumn="1" w:lastColumn="0" w:noHBand="0" w:noVBand="1"/>
      </w:tblPr>
      <w:tblGrid>
        <w:gridCol w:w="9090"/>
      </w:tblGrid>
      <w:tr w:rsidR="008A63CE" w:rsidRPr="004D3350" w14:paraId="56927B93" w14:textId="77777777" w:rsidTr="004D3350">
        <w:trPr>
          <w:trHeight w:val="234"/>
          <w:tblHeader/>
        </w:trPr>
        <w:tc>
          <w:tcPr>
            <w:tcW w:w="9090" w:type="dxa"/>
            <w:shd w:val="clear" w:color="auto" w:fill="77B800"/>
          </w:tcPr>
          <w:p w14:paraId="1BEFB8D5" w14:textId="77777777" w:rsidR="008A63CE" w:rsidRPr="004D3350" w:rsidRDefault="008A63CE" w:rsidP="004D3350">
            <w:pPr>
              <w:spacing w:before="40" w:after="40" w:line="240" w:lineRule="auto"/>
              <w:ind w:right="-229"/>
              <w:jc w:val="both"/>
              <w:rPr>
                <w:rFonts w:ascii="Calibri" w:hAnsi="Calibri"/>
                <w:b/>
                <w:bCs/>
                <w:color w:val="FFFFFF"/>
                <w:lang w:val="en-AU"/>
              </w:rPr>
            </w:pPr>
            <w:r w:rsidRPr="004D3350">
              <w:rPr>
                <w:rFonts w:ascii="Calibri" w:hAnsi="Calibri"/>
                <w:b/>
                <w:bCs/>
                <w:color w:val="FFFFFF"/>
                <w:lang w:val="en-AU"/>
              </w:rPr>
              <w:t>Tick removal and bite prevention</w:t>
            </w:r>
          </w:p>
        </w:tc>
      </w:tr>
    </w:tbl>
    <w:p w14:paraId="4C9B9915" w14:textId="77777777" w:rsidR="008A63CE" w:rsidRPr="004D3350" w:rsidRDefault="008A63CE" w:rsidP="00120C61">
      <w:pPr>
        <w:numPr>
          <w:ilvl w:val="0"/>
          <w:numId w:val="16"/>
        </w:numPr>
        <w:spacing w:after="60"/>
        <w:ind w:left="321" w:hanging="293"/>
        <w:jc w:val="both"/>
        <w:rPr>
          <w:rFonts w:ascii="Calibri" w:hAnsi="Calibri"/>
          <w:sz w:val="20"/>
          <w:szCs w:val="20"/>
          <w:lang w:val="en-AU"/>
        </w:rPr>
      </w:pPr>
      <w:r w:rsidRPr="004D3350">
        <w:rPr>
          <w:rFonts w:ascii="Calibri" w:hAnsi="Calibri"/>
          <w:sz w:val="20"/>
          <w:szCs w:val="20"/>
          <w:lang w:val="en-AU"/>
        </w:rPr>
        <w:t xml:space="preserve">If a tick has embedded in the patient’s skin and remains in situ, enquire whether the patient suffers from allergies to ticks </w:t>
      </w:r>
      <w:r w:rsidRPr="004D3350">
        <w:rPr>
          <w:rFonts w:ascii="Calibri" w:hAnsi="Calibri"/>
          <w:b/>
          <w:bCs/>
          <w:sz w:val="20"/>
          <w:szCs w:val="20"/>
          <w:lang w:val="en-AU"/>
        </w:rPr>
        <w:t>before</w:t>
      </w:r>
      <w:r w:rsidRPr="004D3350">
        <w:rPr>
          <w:rFonts w:ascii="Calibri" w:hAnsi="Calibri"/>
          <w:sz w:val="20"/>
          <w:szCs w:val="20"/>
          <w:lang w:val="en-AU"/>
        </w:rPr>
        <w:t xml:space="preserve"> attempting to remove the tick. It is vital that anyone with a known tick allergy seek urgent medical attention as soon as they are aware of an attached tick and not attempt to remove it without medical help. For patients with known tick allergies, removing the tick must occur in a medical facility with capacity to initiate advanced life support in the event of anaphylaxis. </w:t>
      </w:r>
    </w:p>
    <w:p w14:paraId="084C9CF0" w14:textId="77777777" w:rsidR="008A63CE" w:rsidRPr="004D3350" w:rsidRDefault="008A63CE" w:rsidP="00120C61">
      <w:pPr>
        <w:pStyle w:val="BodyText"/>
        <w:numPr>
          <w:ilvl w:val="0"/>
          <w:numId w:val="16"/>
        </w:numPr>
        <w:spacing w:before="0" w:after="60" w:line="240" w:lineRule="auto"/>
        <w:ind w:left="321" w:hanging="293"/>
        <w:rPr>
          <w:rFonts w:ascii="Calibri" w:hAnsi="Calibri"/>
          <w:sz w:val="20"/>
          <w:szCs w:val="20"/>
          <w:lang w:val="en-AU"/>
        </w:rPr>
      </w:pPr>
      <w:r w:rsidRPr="004D3350">
        <w:rPr>
          <w:rFonts w:ascii="Calibri" w:hAnsi="Calibri"/>
          <w:sz w:val="20"/>
          <w:szCs w:val="20"/>
          <w:lang w:val="en-AU"/>
        </w:rPr>
        <w:t xml:space="preserve">Once a tick is found attached, patients should be advised not to touch, scratch or try to remove the tick, which should be left as undisturbed as possible. Several years of experience at Sydney hospital emergency departments using ether sprays to freeze attached adult ticks has proven highly successful in killing ticks in situ and substantially reducing the risk of allergy/anaphylaxis. </w:t>
      </w:r>
    </w:p>
    <w:p w14:paraId="7E2D62A6" w14:textId="77777777" w:rsidR="008A63CE" w:rsidRPr="004D3350" w:rsidRDefault="008A63CE" w:rsidP="00120C61">
      <w:pPr>
        <w:pStyle w:val="BodyText"/>
        <w:numPr>
          <w:ilvl w:val="0"/>
          <w:numId w:val="16"/>
        </w:numPr>
        <w:spacing w:before="0" w:after="60" w:line="240" w:lineRule="auto"/>
        <w:ind w:left="321" w:hanging="293"/>
        <w:rPr>
          <w:rFonts w:ascii="Calibri" w:hAnsi="Calibri"/>
          <w:sz w:val="20"/>
          <w:szCs w:val="20"/>
          <w:lang w:val="en-AU"/>
        </w:rPr>
      </w:pPr>
      <w:r w:rsidRPr="004D3350">
        <w:rPr>
          <w:rFonts w:ascii="Calibri" w:hAnsi="Calibri"/>
          <w:sz w:val="20"/>
          <w:szCs w:val="20"/>
          <w:lang w:val="en-AU"/>
        </w:rPr>
        <w:t>The best way to prevent tick bites is to avoid tick-infested areas. If this is not possible patients should be advised to wear appropriate clothing such as long sleeve shirt, long pants tucked into socks and light coloured clothing to make it easier to see ticks before they attach to skin.</w:t>
      </w:r>
    </w:p>
    <w:p w14:paraId="2E2E74BD" w14:textId="77777777" w:rsidR="008A63CE" w:rsidRPr="004D3350" w:rsidRDefault="008A63CE" w:rsidP="008A63CE">
      <w:pPr>
        <w:pStyle w:val="BodyText"/>
        <w:numPr>
          <w:ilvl w:val="0"/>
          <w:numId w:val="16"/>
        </w:numPr>
        <w:spacing w:before="0" w:after="60" w:line="240" w:lineRule="auto"/>
        <w:ind w:left="321" w:hanging="293"/>
        <w:rPr>
          <w:rFonts w:ascii="Calibri" w:hAnsi="Calibri"/>
          <w:sz w:val="20"/>
          <w:szCs w:val="20"/>
          <w:lang w:val="en-AU"/>
        </w:rPr>
      </w:pPr>
      <w:r w:rsidRPr="004D3350">
        <w:rPr>
          <w:rFonts w:ascii="Calibri" w:hAnsi="Calibri"/>
          <w:sz w:val="20"/>
          <w:szCs w:val="20"/>
          <w:lang w:val="en-AU"/>
        </w:rPr>
        <w:t xml:space="preserve">Insecticides containing either diethyl-meta-toluamide (DEET) or picaridin should be applied to the skin prior to entering a tick infested area. Permethrin treated clothing is considered the most effective means of tick bite prevention. Higher concentrations of DEET are not necessarily more effective, but are longer lasting. </w:t>
      </w:r>
    </w:p>
    <w:tbl>
      <w:tblPr>
        <w:tblW w:w="9090" w:type="dxa"/>
        <w:tblLook w:val="04A0" w:firstRow="1" w:lastRow="0" w:firstColumn="1" w:lastColumn="0" w:noHBand="0" w:noVBand="1"/>
      </w:tblPr>
      <w:tblGrid>
        <w:gridCol w:w="9090"/>
      </w:tblGrid>
      <w:tr w:rsidR="008A63CE" w:rsidRPr="004D3350" w14:paraId="2E9A9D1B" w14:textId="77777777" w:rsidTr="004D3350">
        <w:trPr>
          <w:trHeight w:val="280"/>
          <w:tblHeader/>
        </w:trPr>
        <w:tc>
          <w:tcPr>
            <w:tcW w:w="9090" w:type="dxa"/>
            <w:shd w:val="clear" w:color="auto" w:fill="77B800"/>
          </w:tcPr>
          <w:p w14:paraId="47414902" w14:textId="77777777" w:rsidR="008A63CE" w:rsidRPr="004D3350" w:rsidRDefault="008A63CE" w:rsidP="004D3350">
            <w:pPr>
              <w:spacing w:before="40" w:after="40" w:line="240" w:lineRule="auto"/>
              <w:jc w:val="both"/>
              <w:rPr>
                <w:rFonts w:ascii="Calibri" w:hAnsi="Calibri"/>
                <w:b/>
                <w:bCs/>
                <w:color w:val="FFFFFF"/>
                <w:lang w:val="en-AU"/>
              </w:rPr>
            </w:pPr>
            <w:r w:rsidRPr="004D3350">
              <w:rPr>
                <w:rFonts w:ascii="Calibri" w:hAnsi="Calibri"/>
                <w:b/>
                <w:bCs/>
                <w:color w:val="FFFFFF"/>
                <w:lang w:val="en-AU"/>
              </w:rPr>
              <w:t>Australian and other international vector-borne diseases</w:t>
            </w:r>
          </w:p>
        </w:tc>
      </w:tr>
    </w:tbl>
    <w:p w14:paraId="7C89E44E" w14:textId="77777777" w:rsidR="008A63CE" w:rsidRPr="004D3350" w:rsidRDefault="008A63CE" w:rsidP="00822944">
      <w:pPr>
        <w:pStyle w:val="BodyText"/>
        <w:numPr>
          <w:ilvl w:val="0"/>
          <w:numId w:val="47"/>
        </w:numPr>
        <w:spacing w:before="60" w:after="60" w:line="240" w:lineRule="auto"/>
        <w:ind w:left="321" w:hanging="293"/>
        <w:rPr>
          <w:rFonts w:ascii="Calibri" w:hAnsi="Calibri"/>
          <w:bCs/>
          <w:sz w:val="20"/>
          <w:szCs w:val="20"/>
          <w:lang w:val="en-AU"/>
        </w:rPr>
      </w:pPr>
      <w:r w:rsidRPr="004D3350">
        <w:rPr>
          <w:rFonts w:ascii="Calibri" w:hAnsi="Calibri"/>
          <w:bCs/>
          <w:sz w:val="20"/>
          <w:szCs w:val="20"/>
          <w:lang w:val="en-AU"/>
        </w:rPr>
        <w:t>In patients who have recently returned from international travel AND who have or may have been recently bitten by a vector such as a mosquito AND present with acute onset symptoms, suspect international vector-borne disease AND seek expert advice, as above. Check whether the history of travel aligns with either epidemic or endemic areas for other vector-bo</w:t>
      </w:r>
      <w:r w:rsidR="0001206B" w:rsidRPr="004D3350">
        <w:rPr>
          <w:rFonts w:ascii="Calibri" w:hAnsi="Calibri"/>
          <w:bCs/>
          <w:sz w:val="20"/>
          <w:szCs w:val="20"/>
          <w:lang w:val="en-AU"/>
        </w:rPr>
        <w:t>rne diseases. Consider overseas-</w:t>
      </w:r>
      <w:r w:rsidRPr="004D3350">
        <w:rPr>
          <w:rFonts w:ascii="Calibri" w:hAnsi="Calibri"/>
          <w:bCs/>
          <w:sz w:val="20"/>
          <w:szCs w:val="20"/>
          <w:lang w:val="en-AU"/>
        </w:rPr>
        <w:t xml:space="preserve">acquired tick-borne diseases such as: </w:t>
      </w:r>
    </w:p>
    <w:p w14:paraId="510879D3" w14:textId="77777777" w:rsidR="008A63CE" w:rsidRPr="004D3350" w:rsidRDefault="008A63CE" w:rsidP="0059332C">
      <w:pPr>
        <w:pStyle w:val="BodyText"/>
        <w:numPr>
          <w:ilvl w:val="0"/>
          <w:numId w:val="52"/>
        </w:numPr>
        <w:spacing w:before="0" w:after="60" w:line="240" w:lineRule="auto"/>
        <w:ind w:left="757"/>
        <w:rPr>
          <w:rFonts w:ascii="Calibri" w:hAnsi="Calibri"/>
          <w:sz w:val="20"/>
          <w:szCs w:val="20"/>
          <w:lang w:val="en-AU"/>
        </w:rPr>
      </w:pPr>
      <w:r w:rsidRPr="004D3350">
        <w:rPr>
          <w:rFonts w:ascii="Calibri" w:hAnsi="Calibri"/>
          <w:sz w:val="20"/>
          <w:szCs w:val="20"/>
          <w:lang w:val="en-AU"/>
        </w:rPr>
        <w:t>Relapsing fever borreliosis</w:t>
      </w:r>
    </w:p>
    <w:p w14:paraId="4D36664C" w14:textId="77777777" w:rsidR="008A63CE" w:rsidRPr="004D3350" w:rsidRDefault="008A63CE" w:rsidP="0059332C">
      <w:pPr>
        <w:pStyle w:val="BodyText"/>
        <w:numPr>
          <w:ilvl w:val="0"/>
          <w:numId w:val="52"/>
        </w:numPr>
        <w:spacing w:before="0" w:after="60" w:line="240" w:lineRule="auto"/>
        <w:ind w:left="757"/>
        <w:rPr>
          <w:rFonts w:ascii="Calibri" w:hAnsi="Calibri"/>
          <w:sz w:val="20"/>
          <w:szCs w:val="20"/>
          <w:lang w:val="en-AU"/>
        </w:rPr>
      </w:pPr>
      <w:r w:rsidRPr="004D3350">
        <w:rPr>
          <w:rFonts w:ascii="Calibri" w:hAnsi="Calibri"/>
          <w:sz w:val="20"/>
          <w:szCs w:val="20"/>
          <w:lang w:val="en-AU"/>
        </w:rPr>
        <w:t>Rickettsial diseases</w:t>
      </w:r>
    </w:p>
    <w:p w14:paraId="3AFF58DC" w14:textId="77777777" w:rsidR="008A63CE" w:rsidRPr="004D3350" w:rsidRDefault="008A63CE" w:rsidP="0059332C">
      <w:pPr>
        <w:pStyle w:val="BodyText"/>
        <w:numPr>
          <w:ilvl w:val="0"/>
          <w:numId w:val="52"/>
        </w:numPr>
        <w:spacing w:before="0" w:after="60" w:line="240" w:lineRule="auto"/>
        <w:ind w:left="757"/>
        <w:rPr>
          <w:rFonts w:ascii="Calibri" w:hAnsi="Calibri"/>
          <w:sz w:val="20"/>
          <w:szCs w:val="20"/>
          <w:lang w:val="en-AU"/>
        </w:rPr>
      </w:pPr>
      <w:r w:rsidRPr="004D3350">
        <w:rPr>
          <w:rFonts w:ascii="Calibri" w:hAnsi="Calibri"/>
          <w:sz w:val="20"/>
          <w:szCs w:val="20"/>
          <w:lang w:val="en-AU"/>
        </w:rPr>
        <w:t>Anaplasmosis</w:t>
      </w:r>
    </w:p>
    <w:p w14:paraId="7100D54C" w14:textId="77777777" w:rsidR="008A63CE" w:rsidRPr="004D3350" w:rsidRDefault="008A63CE" w:rsidP="0059332C">
      <w:pPr>
        <w:pStyle w:val="BodyText"/>
        <w:numPr>
          <w:ilvl w:val="0"/>
          <w:numId w:val="52"/>
        </w:numPr>
        <w:spacing w:before="0" w:after="60" w:line="240" w:lineRule="auto"/>
        <w:ind w:left="757"/>
        <w:rPr>
          <w:rFonts w:ascii="Calibri" w:hAnsi="Calibri"/>
          <w:sz w:val="20"/>
          <w:szCs w:val="20"/>
          <w:lang w:val="en-AU"/>
        </w:rPr>
      </w:pPr>
      <w:r w:rsidRPr="004D3350">
        <w:rPr>
          <w:rFonts w:ascii="Calibri" w:hAnsi="Calibri"/>
          <w:sz w:val="20"/>
          <w:szCs w:val="20"/>
          <w:lang w:val="en-AU"/>
        </w:rPr>
        <w:t>Babesiosis</w:t>
      </w:r>
    </w:p>
    <w:p w14:paraId="4803BB98" w14:textId="77777777" w:rsidR="008A63CE" w:rsidRPr="004D3350" w:rsidRDefault="008A63CE" w:rsidP="0059332C">
      <w:pPr>
        <w:pStyle w:val="BodyText"/>
        <w:numPr>
          <w:ilvl w:val="0"/>
          <w:numId w:val="52"/>
        </w:numPr>
        <w:spacing w:before="0" w:after="60" w:line="240" w:lineRule="auto"/>
        <w:ind w:left="757"/>
        <w:rPr>
          <w:rFonts w:ascii="Calibri" w:hAnsi="Calibri"/>
          <w:sz w:val="20"/>
          <w:szCs w:val="20"/>
          <w:lang w:val="en-AU"/>
        </w:rPr>
      </w:pPr>
      <w:r w:rsidRPr="004D3350">
        <w:rPr>
          <w:rFonts w:ascii="Calibri" w:hAnsi="Calibri"/>
          <w:sz w:val="20"/>
          <w:szCs w:val="20"/>
          <w:lang w:val="en-AU"/>
        </w:rPr>
        <w:t>Tularaemia</w:t>
      </w:r>
    </w:p>
    <w:p w14:paraId="5240A124" w14:textId="77777777" w:rsidR="008A63CE" w:rsidRPr="004D3350" w:rsidRDefault="008A63CE" w:rsidP="0059332C">
      <w:pPr>
        <w:pStyle w:val="BodyText"/>
        <w:numPr>
          <w:ilvl w:val="0"/>
          <w:numId w:val="52"/>
        </w:numPr>
        <w:spacing w:before="0" w:after="60" w:line="240" w:lineRule="auto"/>
        <w:ind w:left="757"/>
        <w:rPr>
          <w:rFonts w:ascii="Calibri" w:hAnsi="Calibri" w:cs="Calibri"/>
          <w:sz w:val="20"/>
          <w:szCs w:val="20"/>
          <w:lang w:val="en-AU" w:eastAsia="en-NZ"/>
        </w:rPr>
      </w:pPr>
      <w:r w:rsidRPr="004D3350">
        <w:rPr>
          <w:rFonts w:ascii="Calibri" w:hAnsi="Calibri"/>
          <w:sz w:val="20"/>
          <w:szCs w:val="20"/>
          <w:lang w:val="en-AU"/>
        </w:rPr>
        <w:lastRenderedPageBreak/>
        <w:t>Tick-borne encephalitis.</w:t>
      </w:r>
    </w:p>
    <w:p w14:paraId="1472C3A3" w14:textId="77777777" w:rsidR="008A63CE" w:rsidRPr="004D3350" w:rsidRDefault="008A63CE" w:rsidP="00E754BD">
      <w:pPr>
        <w:pStyle w:val="BodyText"/>
        <w:numPr>
          <w:ilvl w:val="0"/>
          <w:numId w:val="47"/>
        </w:numPr>
        <w:spacing w:before="60" w:after="60" w:line="240" w:lineRule="auto"/>
        <w:ind w:left="388"/>
        <w:rPr>
          <w:rFonts w:ascii="Calibri" w:hAnsi="Calibri"/>
          <w:bCs/>
          <w:sz w:val="20"/>
          <w:szCs w:val="20"/>
          <w:lang w:val="en-AU"/>
        </w:rPr>
      </w:pPr>
      <w:r w:rsidRPr="004D3350">
        <w:rPr>
          <w:rFonts w:ascii="Calibri" w:hAnsi="Calibri"/>
          <w:bCs/>
          <w:sz w:val="20"/>
          <w:szCs w:val="20"/>
          <w:lang w:val="en-AU"/>
        </w:rPr>
        <w:t>Patients considered for such suspected diseases are not covered by this Clinical Pathway.</w:t>
      </w:r>
    </w:p>
    <w:p w14:paraId="11C80ABA" w14:textId="77777777" w:rsidR="008A63CE" w:rsidRPr="004D3350" w:rsidRDefault="008A63CE" w:rsidP="00E754BD">
      <w:pPr>
        <w:pStyle w:val="BodyText"/>
        <w:numPr>
          <w:ilvl w:val="0"/>
          <w:numId w:val="47"/>
        </w:numPr>
        <w:spacing w:before="60" w:after="60" w:line="240" w:lineRule="auto"/>
        <w:ind w:left="388"/>
        <w:rPr>
          <w:rFonts w:ascii="Calibri" w:hAnsi="Calibri"/>
          <w:bCs/>
          <w:sz w:val="20"/>
          <w:szCs w:val="20"/>
          <w:lang w:val="en-AU"/>
        </w:rPr>
      </w:pPr>
      <w:r w:rsidRPr="004D3350">
        <w:rPr>
          <w:rFonts w:ascii="Calibri" w:hAnsi="Calibri"/>
          <w:bCs/>
          <w:sz w:val="20"/>
          <w:szCs w:val="20"/>
          <w:lang w:val="en-AU"/>
        </w:rPr>
        <w:t>In patients who have not travelled overseas recently AND who have or may have been recently bitten by a vector such as a mosquito AND present with acute onset, suspect Australian vector-borne disease AND seek medical advice as above.</w:t>
      </w:r>
    </w:p>
    <w:p w14:paraId="42503220" w14:textId="77777777" w:rsidR="008A63CE" w:rsidRPr="004D3350" w:rsidRDefault="008A63CE" w:rsidP="00675B56">
      <w:pPr>
        <w:pStyle w:val="BodyText"/>
        <w:spacing w:before="60" w:after="60" w:line="240" w:lineRule="auto"/>
        <w:rPr>
          <w:rFonts w:ascii="Calibri" w:hAnsi="Calibri"/>
          <w:b/>
          <w:sz w:val="20"/>
          <w:szCs w:val="20"/>
          <w:lang w:val="en-AU"/>
        </w:rPr>
      </w:pPr>
      <w:r w:rsidRPr="004D3350">
        <w:rPr>
          <w:rFonts w:ascii="Calibri" w:hAnsi="Calibri"/>
          <w:b/>
          <w:sz w:val="20"/>
          <w:szCs w:val="20"/>
          <w:lang w:val="en-AU"/>
        </w:rPr>
        <w:t xml:space="preserve">Mosquito-borne disease </w:t>
      </w:r>
    </w:p>
    <w:p w14:paraId="199FC414" w14:textId="77777777" w:rsidR="008A63CE" w:rsidRPr="004D3350" w:rsidRDefault="008A63CE" w:rsidP="00E754BD">
      <w:pPr>
        <w:pStyle w:val="BodyText"/>
        <w:numPr>
          <w:ilvl w:val="0"/>
          <w:numId w:val="16"/>
        </w:numPr>
        <w:spacing w:before="60" w:after="60" w:line="240" w:lineRule="auto"/>
        <w:ind w:left="388"/>
        <w:rPr>
          <w:rFonts w:ascii="Calibri" w:hAnsi="Calibri" w:cs="Calibri"/>
          <w:sz w:val="20"/>
          <w:szCs w:val="20"/>
          <w:lang w:val="en-AU"/>
        </w:rPr>
      </w:pPr>
      <w:r w:rsidRPr="004D3350">
        <w:rPr>
          <w:rFonts w:ascii="Calibri" w:hAnsi="Calibri" w:cs="Calibri"/>
          <w:sz w:val="20"/>
          <w:szCs w:val="20"/>
          <w:lang w:val="en-AU"/>
        </w:rPr>
        <w:t xml:space="preserve">While some mosquito-borne diseases are locally acquired in Australia, others are imported to Australia when people acquire the disease travelling overseas and return unwell. </w:t>
      </w:r>
    </w:p>
    <w:p w14:paraId="2131ED90" w14:textId="77777777" w:rsidR="008A63CE" w:rsidRPr="004D3350" w:rsidRDefault="008A63CE" w:rsidP="00E754BD">
      <w:pPr>
        <w:pStyle w:val="BodyText"/>
        <w:numPr>
          <w:ilvl w:val="0"/>
          <w:numId w:val="16"/>
        </w:numPr>
        <w:spacing w:before="60" w:after="60" w:line="240" w:lineRule="auto"/>
        <w:ind w:left="388"/>
        <w:rPr>
          <w:rFonts w:ascii="Calibri" w:hAnsi="Calibri" w:cs="Calibri"/>
          <w:sz w:val="20"/>
          <w:szCs w:val="20"/>
          <w:lang w:val="en-AU"/>
        </w:rPr>
      </w:pPr>
      <w:r w:rsidRPr="004D3350">
        <w:rPr>
          <w:rFonts w:ascii="Calibri" w:hAnsi="Calibri" w:cs="Arial"/>
          <w:sz w:val="20"/>
          <w:szCs w:val="20"/>
          <w:lang w:val="en-AU"/>
        </w:rPr>
        <w:t>Some types of mosquitoes can transmit viruses such as Ross River and Barmah Forest</w:t>
      </w:r>
      <w:r w:rsidRPr="004D3350">
        <w:rPr>
          <w:rFonts w:ascii="Calibri" w:hAnsi="Calibri" w:cs="Arial"/>
          <w:color w:val="444444"/>
          <w:sz w:val="20"/>
          <w:szCs w:val="20"/>
          <w:lang w:val="en-AU"/>
        </w:rPr>
        <w:t xml:space="preserve"> </w:t>
      </w:r>
      <w:r w:rsidRPr="004D3350">
        <w:rPr>
          <w:rFonts w:ascii="Calibri" w:hAnsi="Calibri" w:cs="Arial"/>
          <w:sz w:val="20"/>
          <w:szCs w:val="20"/>
          <w:lang w:val="en-AU"/>
        </w:rPr>
        <w:t>in most parts of Australia and, rarely, the virus that causes Murray Valley encephalitis.</w:t>
      </w:r>
      <w:r w:rsidRPr="004D3350">
        <w:rPr>
          <w:rFonts w:ascii="Calibri" w:hAnsi="Calibri" w:cs="Arial"/>
          <w:color w:val="444444"/>
          <w:sz w:val="20"/>
          <w:szCs w:val="20"/>
          <w:lang w:val="en-AU"/>
        </w:rPr>
        <w:t xml:space="preserve"> </w:t>
      </w:r>
      <w:r w:rsidRPr="004D3350">
        <w:rPr>
          <w:rFonts w:ascii="Calibri" w:hAnsi="Calibri" w:cs="Arial"/>
          <w:sz w:val="20"/>
          <w:szCs w:val="20"/>
          <w:lang w:val="en-AU"/>
        </w:rPr>
        <w:t>Some parts of northern Queensland have a type of mosquito (</w:t>
      </w:r>
      <w:r w:rsidRPr="004D3350">
        <w:rPr>
          <w:rFonts w:ascii="Calibri" w:hAnsi="Calibri" w:cs="Arial"/>
          <w:i/>
          <w:iCs/>
          <w:sz w:val="20"/>
          <w:szCs w:val="20"/>
          <w:lang w:val="en-AU"/>
        </w:rPr>
        <w:t>Aedes aegypti</w:t>
      </w:r>
      <w:r w:rsidRPr="004D3350">
        <w:rPr>
          <w:rFonts w:ascii="Calibri" w:hAnsi="Calibri" w:cs="Arial"/>
          <w:sz w:val="20"/>
          <w:szCs w:val="20"/>
          <w:lang w:val="en-AU"/>
        </w:rPr>
        <w:t>) that is capable of transmitting dengue fever</w:t>
      </w:r>
      <w:r w:rsidRPr="004D3350">
        <w:rPr>
          <w:rFonts w:ascii="Calibri" w:hAnsi="Calibri" w:cs="Arial"/>
          <w:color w:val="444444"/>
          <w:sz w:val="20"/>
          <w:szCs w:val="20"/>
          <w:lang w:val="en-AU"/>
        </w:rPr>
        <w:t>, c</w:t>
      </w:r>
      <w:r w:rsidRPr="004D3350">
        <w:rPr>
          <w:rFonts w:ascii="Calibri" w:hAnsi="Calibri" w:cs="Arial"/>
          <w:sz w:val="20"/>
          <w:szCs w:val="20"/>
          <w:lang w:val="en-AU"/>
        </w:rPr>
        <w:t>hikungunya and zika infections. Dengue outbreaks have known to occur from time to time in Queensland while chikungunya and </w:t>
      </w:r>
      <w:r w:rsidRPr="004D3350">
        <w:rPr>
          <w:rFonts w:ascii="Calibri" w:hAnsi="Calibri" w:cs="Calibri"/>
          <w:sz w:val="20"/>
          <w:szCs w:val="20"/>
          <w:lang w:val="en-AU"/>
        </w:rPr>
        <w:t>zika</w:t>
      </w:r>
      <w:r w:rsidRPr="004D3350">
        <w:rPr>
          <w:rFonts w:ascii="Calibri" w:hAnsi="Calibri" w:cs="Arial"/>
          <w:sz w:val="20"/>
          <w:szCs w:val="20"/>
          <w:lang w:val="en-AU"/>
        </w:rPr>
        <w:t xml:space="preserve"> are </w:t>
      </w:r>
      <w:r w:rsidRPr="004D3350">
        <w:rPr>
          <w:rFonts w:ascii="Calibri" w:hAnsi="Calibri" w:cs="Arial"/>
          <w:b/>
          <w:bCs/>
          <w:sz w:val="20"/>
          <w:szCs w:val="20"/>
          <w:lang w:val="en-AU"/>
        </w:rPr>
        <w:t xml:space="preserve">only </w:t>
      </w:r>
      <w:r w:rsidRPr="004D3350">
        <w:rPr>
          <w:rFonts w:ascii="Calibri" w:hAnsi="Calibri" w:cs="Arial"/>
          <w:sz w:val="20"/>
          <w:szCs w:val="20"/>
          <w:lang w:val="en-AU"/>
        </w:rPr>
        <w:t>seen</w:t>
      </w:r>
      <w:r w:rsidRPr="004D3350">
        <w:rPr>
          <w:rFonts w:ascii="Calibri" w:hAnsi="Calibri"/>
          <w:sz w:val="20"/>
          <w:szCs w:val="20"/>
          <w:lang w:val="en-AU"/>
        </w:rPr>
        <w:t xml:space="preserve"> in imported cases.</w:t>
      </w:r>
    </w:p>
    <w:p w14:paraId="13736CEE" w14:textId="77777777" w:rsidR="008A63CE" w:rsidRPr="004D3350" w:rsidRDefault="008A63CE" w:rsidP="00E754BD">
      <w:pPr>
        <w:pStyle w:val="BodyText"/>
        <w:numPr>
          <w:ilvl w:val="0"/>
          <w:numId w:val="16"/>
        </w:numPr>
        <w:spacing w:before="60" w:after="60" w:line="240" w:lineRule="auto"/>
        <w:ind w:left="388"/>
        <w:rPr>
          <w:rFonts w:ascii="Calibri" w:hAnsi="Calibri" w:cs="Calibri"/>
          <w:sz w:val="20"/>
          <w:szCs w:val="20"/>
          <w:lang w:val="en-AU"/>
        </w:rPr>
      </w:pPr>
      <w:r w:rsidRPr="004D3350">
        <w:rPr>
          <w:rFonts w:ascii="Calibri" w:hAnsi="Calibri"/>
          <w:sz w:val="20"/>
          <w:szCs w:val="20"/>
          <w:lang w:val="en-AU"/>
        </w:rPr>
        <w:t xml:space="preserve">Mosquito-borne diseases are notifiable to public health authorities. If clinically suspected, seek appropriate expert advice where necessary on both appropriate sampling and testing that should be requested to confirm diagnosis. </w:t>
      </w:r>
    </w:p>
    <w:p w14:paraId="4E26A21A" w14:textId="77777777" w:rsidR="008A63CE" w:rsidRPr="004D3350" w:rsidRDefault="008A63CE" w:rsidP="00106DED">
      <w:pPr>
        <w:pStyle w:val="BodyText"/>
        <w:numPr>
          <w:ilvl w:val="0"/>
          <w:numId w:val="16"/>
        </w:numPr>
        <w:spacing w:before="60" w:after="60" w:line="240" w:lineRule="auto"/>
        <w:ind w:left="388"/>
        <w:rPr>
          <w:rFonts w:ascii="Calibri" w:hAnsi="Calibri"/>
          <w:sz w:val="20"/>
          <w:szCs w:val="20"/>
          <w:lang w:val="en-AU"/>
        </w:rPr>
      </w:pPr>
      <w:r w:rsidRPr="004D3350">
        <w:rPr>
          <w:rFonts w:ascii="Calibri" w:hAnsi="Calibri"/>
          <w:sz w:val="20"/>
          <w:szCs w:val="20"/>
          <w:lang w:val="en-AU"/>
        </w:rPr>
        <w:t xml:space="preserve">Overseas travellers may be at risk of mosquito-borne diseases such as malaria, dengue, yellow fever, chikungunya, or zika. While vaccines are available for some diseases (e.g. yellow fever and Japanese encephalitis) and chemoprophylaxis medicine can help prevent malaria, all travellers should also use repellents and other general protective measures to avoid mosquito bites. The same general protection measures also apply to locally acquired mosquito-borne disease. </w:t>
      </w:r>
    </w:p>
    <w:tbl>
      <w:tblPr>
        <w:tblW w:w="9105" w:type="dxa"/>
        <w:tblLook w:val="04A0" w:firstRow="1" w:lastRow="0" w:firstColumn="1" w:lastColumn="0" w:noHBand="0" w:noVBand="1"/>
      </w:tblPr>
      <w:tblGrid>
        <w:gridCol w:w="9105"/>
      </w:tblGrid>
      <w:tr w:rsidR="008A63CE" w:rsidRPr="004D3350" w14:paraId="2FD4B065" w14:textId="77777777" w:rsidTr="004D3350">
        <w:trPr>
          <w:trHeight w:val="290"/>
          <w:tblHeader/>
        </w:trPr>
        <w:tc>
          <w:tcPr>
            <w:tcW w:w="9105" w:type="dxa"/>
            <w:shd w:val="clear" w:color="auto" w:fill="77B800"/>
          </w:tcPr>
          <w:p w14:paraId="3B25AFC3" w14:textId="77777777" w:rsidR="008A63CE" w:rsidRPr="004D3350" w:rsidRDefault="008A63CE" w:rsidP="004D3350">
            <w:pPr>
              <w:spacing w:before="40" w:after="40" w:line="240" w:lineRule="auto"/>
              <w:jc w:val="both"/>
              <w:rPr>
                <w:rFonts w:ascii="Calibri" w:hAnsi="Calibri"/>
                <w:b/>
                <w:bCs/>
                <w:color w:val="FFFFFF"/>
                <w:lang w:val="en-AU"/>
              </w:rPr>
            </w:pPr>
            <w:r w:rsidRPr="004D3350">
              <w:rPr>
                <w:rFonts w:ascii="Calibri" w:hAnsi="Calibri"/>
                <w:b/>
                <w:bCs/>
                <w:color w:val="FFFFFF"/>
                <w:lang w:val="en-AU"/>
              </w:rPr>
              <w:t>Management of patients who have persistent symptoms or remain undiagnosed</w:t>
            </w:r>
          </w:p>
        </w:tc>
      </w:tr>
    </w:tbl>
    <w:p w14:paraId="0D7FE365" w14:textId="77777777" w:rsidR="008A63CE" w:rsidRPr="004D3350" w:rsidRDefault="008A63CE" w:rsidP="00E754BD">
      <w:pPr>
        <w:pStyle w:val="BodyText"/>
        <w:numPr>
          <w:ilvl w:val="0"/>
          <w:numId w:val="17"/>
        </w:numPr>
        <w:spacing w:before="60" w:after="60" w:line="240" w:lineRule="auto"/>
        <w:ind w:left="341" w:hanging="313"/>
        <w:rPr>
          <w:rFonts w:ascii="Calibri" w:hAnsi="Calibri"/>
          <w:sz w:val="20"/>
          <w:szCs w:val="20"/>
          <w:lang w:val="en-AU"/>
        </w:rPr>
      </w:pPr>
      <w:r w:rsidRPr="004D3350">
        <w:rPr>
          <w:rFonts w:ascii="Calibri" w:hAnsi="Calibri"/>
          <w:sz w:val="20"/>
          <w:szCs w:val="20"/>
          <w:lang w:val="en-AU"/>
        </w:rPr>
        <w:t>If the symptoms are medically unexplained, general practice should treat and manage symptoms according to common best-practice and provide person-centred, stepped care. Stepped care includes:</w:t>
      </w:r>
    </w:p>
    <w:p w14:paraId="7E433EDA" w14:textId="77777777" w:rsidR="008A63CE" w:rsidRPr="004D3350" w:rsidRDefault="008A63CE" w:rsidP="0059332C">
      <w:pPr>
        <w:pStyle w:val="BodyText"/>
        <w:numPr>
          <w:ilvl w:val="0"/>
          <w:numId w:val="40"/>
        </w:numPr>
        <w:spacing w:before="0" w:after="60" w:line="240" w:lineRule="auto"/>
        <w:ind w:left="757"/>
        <w:rPr>
          <w:rFonts w:ascii="Calibri" w:hAnsi="Calibri"/>
          <w:sz w:val="20"/>
          <w:szCs w:val="20"/>
          <w:lang w:val="en-AU"/>
        </w:rPr>
      </w:pPr>
      <w:r w:rsidRPr="004D3350">
        <w:rPr>
          <w:rFonts w:ascii="Calibri" w:hAnsi="Calibri"/>
          <w:sz w:val="20"/>
          <w:szCs w:val="20"/>
          <w:lang w:val="en-AU"/>
        </w:rPr>
        <w:t xml:space="preserve">developing an individualised, time contingent, care plan </w:t>
      </w:r>
    </w:p>
    <w:p w14:paraId="74CF34FE" w14:textId="77777777" w:rsidR="008A63CE" w:rsidRPr="004D3350" w:rsidRDefault="008A63CE" w:rsidP="0059332C">
      <w:pPr>
        <w:pStyle w:val="BodyText"/>
        <w:numPr>
          <w:ilvl w:val="0"/>
          <w:numId w:val="40"/>
        </w:numPr>
        <w:spacing w:before="0" w:after="60" w:line="240" w:lineRule="auto"/>
        <w:ind w:left="757"/>
        <w:rPr>
          <w:rFonts w:ascii="Calibri" w:hAnsi="Calibri"/>
          <w:sz w:val="20"/>
          <w:szCs w:val="20"/>
          <w:lang w:val="en-AU"/>
        </w:rPr>
      </w:pPr>
      <w:r w:rsidRPr="004D3350">
        <w:rPr>
          <w:rFonts w:ascii="Calibri" w:hAnsi="Calibri"/>
          <w:sz w:val="20"/>
          <w:szCs w:val="20"/>
          <w:lang w:val="en-AU"/>
        </w:rPr>
        <w:t>actively managing symptoms to improve the functioning of the patient in accordance with evidence-based guidelines</w:t>
      </w:r>
    </w:p>
    <w:p w14:paraId="4C30E198" w14:textId="77777777" w:rsidR="008A63CE" w:rsidRPr="004D3350" w:rsidRDefault="008A63CE" w:rsidP="0059332C">
      <w:pPr>
        <w:pStyle w:val="BodyText"/>
        <w:numPr>
          <w:ilvl w:val="0"/>
          <w:numId w:val="40"/>
        </w:numPr>
        <w:spacing w:before="0" w:after="60" w:line="240" w:lineRule="auto"/>
        <w:ind w:left="757"/>
        <w:rPr>
          <w:rFonts w:ascii="Calibri" w:hAnsi="Calibri"/>
          <w:sz w:val="20"/>
          <w:szCs w:val="20"/>
          <w:lang w:val="en-AU"/>
        </w:rPr>
      </w:pPr>
      <w:r w:rsidRPr="004D3350">
        <w:rPr>
          <w:rFonts w:ascii="Calibri" w:hAnsi="Calibri"/>
          <w:sz w:val="20"/>
          <w:szCs w:val="20"/>
          <w:lang w:val="en-AU"/>
        </w:rPr>
        <w:t>offering a variety of support options for people with different levels and types of need, from low intensity to high intensity</w:t>
      </w:r>
    </w:p>
    <w:p w14:paraId="0A4B5EA9" w14:textId="77777777" w:rsidR="008A63CE" w:rsidRPr="004D3350" w:rsidRDefault="008A63CE" w:rsidP="0059332C">
      <w:pPr>
        <w:pStyle w:val="BodyText"/>
        <w:numPr>
          <w:ilvl w:val="0"/>
          <w:numId w:val="40"/>
        </w:numPr>
        <w:spacing w:before="0" w:after="60" w:line="240" w:lineRule="auto"/>
        <w:ind w:left="757"/>
        <w:rPr>
          <w:rFonts w:ascii="Calibri" w:hAnsi="Calibri"/>
          <w:sz w:val="20"/>
          <w:szCs w:val="20"/>
          <w:lang w:val="en-AU"/>
        </w:rPr>
      </w:pPr>
      <w:r w:rsidRPr="004D3350">
        <w:rPr>
          <w:rFonts w:ascii="Calibri" w:hAnsi="Calibri"/>
          <w:sz w:val="20"/>
          <w:szCs w:val="20"/>
          <w:lang w:val="en-AU"/>
        </w:rPr>
        <w:t>providing clear pathways between these care options as individuals’ needs change</w:t>
      </w:r>
    </w:p>
    <w:p w14:paraId="087B3617" w14:textId="77777777" w:rsidR="008A63CE" w:rsidRPr="004D3350" w:rsidRDefault="008A63CE" w:rsidP="0059332C">
      <w:pPr>
        <w:pStyle w:val="BodyText"/>
        <w:numPr>
          <w:ilvl w:val="0"/>
          <w:numId w:val="40"/>
        </w:numPr>
        <w:spacing w:before="0" w:after="60" w:line="240" w:lineRule="auto"/>
        <w:ind w:left="757"/>
        <w:rPr>
          <w:rFonts w:ascii="Calibri" w:hAnsi="Calibri"/>
          <w:sz w:val="20"/>
          <w:szCs w:val="20"/>
          <w:lang w:val="en-AU"/>
        </w:rPr>
      </w:pPr>
      <w:r w:rsidRPr="004D3350">
        <w:rPr>
          <w:rFonts w:ascii="Calibri" w:hAnsi="Calibri"/>
          <w:sz w:val="20"/>
          <w:szCs w:val="20"/>
          <w:lang w:val="en-AU"/>
        </w:rPr>
        <w:t xml:space="preserve">intensifying stepped care as required by referring to relevant specialists </w:t>
      </w:r>
    </w:p>
    <w:p w14:paraId="79D6C8C6" w14:textId="77777777" w:rsidR="008A63CE" w:rsidRPr="004D3350" w:rsidRDefault="008A63CE" w:rsidP="0059332C">
      <w:pPr>
        <w:pStyle w:val="BodyText"/>
        <w:numPr>
          <w:ilvl w:val="0"/>
          <w:numId w:val="40"/>
        </w:numPr>
        <w:spacing w:before="0" w:after="60" w:line="240" w:lineRule="auto"/>
        <w:ind w:left="757"/>
        <w:rPr>
          <w:rFonts w:ascii="Calibri" w:hAnsi="Calibri"/>
          <w:lang w:val="en-AU"/>
        </w:rPr>
      </w:pPr>
      <w:r w:rsidRPr="004D3350">
        <w:rPr>
          <w:rFonts w:ascii="Calibri" w:hAnsi="Calibri"/>
          <w:sz w:val="20"/>
          <w:szCs w:val="20"/>
          <w:lang w:val="en-AU"/>
        </w:rPr>
        <w:t>providing regular follow-up and exploring symptoms if recovery stagnates</w:t>
      </w:r>
    </w:p>
    <w:p w14:paraId="3FE14B84" w14:textId="77777777" w:rsidR="008A63CE" w:rsidRPr="004D3350" w:rsidRDefault="008A63CE" w:rsidP="0059332C">
      <w:pPr>
        <w:pStyle w:val="BodyText"/>
        <w:numPr>
          <w:ilvl w:val="0"/>
          <w:numId w:val="40"/>
        </w:numPr>
        <w:spacing w:before="0" w:after="60" w:line="240" w:lineRule="auto"/>
        <w:ind w:left="757"/>
        <w:rPr>
          <w:rFonts w:ascii="Calibri" w:hAnsi="Calibri"/>
          <w:sz w:val="20"/>
          <w:szCs w:val="20"/>
          <w:lang w:val="en-AU"/>
        </w:rPr>
      </w:pPr>
      <w:r w:rsidRPr="004D3350">
        <w:rPr>
          <w:rFonts w:ascii="Calibri" w:hAnsi="Calibri"/>
          <w:sz w:val="20"/>
          <w:szCs w:val="20"/>
          <w:lang w:val="en-AU"/>
        </w:rPr>
        <w:t>reviewing new symptoms for information that may lead to diagnosis, or for indications of a new disease process.</w:t>
      </w:r>
    </w:p>
    <w:p w14:paraId="411ADCE5" w14:textId="77777777" w:rsidR="008A63CE" w:rsidRPr="004D3350" w:rsidRDefault="008A63CE" w:rsidP="00E754BD">
      <w:pPr>
        <w:pStyle w:val="BodyText"/>
        <w:numPr>
          <w:ilvl w:val="0"/>
          <w:numId w:val="18"/>
        </w:numPr>
        <w:spacing w:before="60" w:after="60" w:line="240" w:lineRule="auto"/>
        <w:ind w:left="385" w:hanging="357"/>
        <w:rPr>
          <w:rFonts w:ascii="Calibri" w:hAnsi="Calibri"/>
          <w:sz w:val="20"/>
          <w:szCs w:val="20"/>
          <w:lang w:val="en-AU"/>
        </w:rPr>
      </w:pPr>
      <w:r w:rsidRPr="004D3350">
        <w:rPr>
          <w:rFonts w:ascii="Calibri" w:hAnsi="Calibri"/>
          <w:sz w:val="20"/>
          <w:szCs w:val="20"/>
          <w:lang w:val="en-AU"/>
        </w:rPr>
        <w:t>Where symptoms are medically unexplained, good communication and empathy are important. Take each patient’s concerns seriously and acknowledge and alleviate their symptoms.</w:t>
      </w:r>
    </w:p>
    <w:p w14:paraId="3E992425" w14:textId="77777777" w:rsidR="008A63CE" w:rsidRPr="004D3350" w:rsidRDefault="008A63CE" w:rsidP="00E754BD">
      <w:pPr>
        <w:pStyle w:val="BodyText"/>
        <w:numPr>
          <w:ilvl w:val="0"/>
          <w:numId w:val="18"/>
        </w:numPr>
        <w:spacing w:before="60" w:after="60" w:line="240" w:lineRule="auto"/>
        <w:ind w:left="385" w:hanging="357"/>
        <w:rPr>
          <w:rFonts w:ascii="Calibri" w:hAnsi="Calibri" w:cs="Calibri"/>
          <w:sz w:val="20"/>
          <w:szCs w:val="20"/>
          <w:lang w:val="en-AU"/>
        </w:rPr>
      </w:pPr>
      <w:r w:rsidRPr="004D3350">
        <w:rPr>
          <w:rFonts w:ascii="Calibri" w:hAnsi="Calibri" w:cs="Calibri"/>
          <w:sz w:val="20"/>
          <w:szCs w:val="20"/>
          <w:lang w:val="en-AU"/>
        </w:rPr>
        <w:t>Patients with medically unexplained symptoms (MUS) may need support to manage distressing symptoms and any disability that accompanies the symptoms. Acknowledging the difficulty of chronic symptoms and supporting the important mental health strategies is vital to person centred care in chronic disease.</w:t>
      </w:r>
    </w:p>
    <w:p w14:paraId="140C68F3" w14:textId="77777777" w:rsidR="008A63CE" w:rsidRPr="004D3350" w:rsidRDefault="008A63CE" w:rsidP="00E754BD">
      <w:pPr>
        <w:pStyle w:val="BodyText"/>
        <w:numPr>
          <w:ilvl w:val="0"/>
          <w:numId w:val="18"/>
        </w:numPr>
        <w:spacing w:before="60" w:after="60" w:line="240" w:lineRule="auto"/>
        <w:ind w:left="385" w:hanging="357"/>
        <w:rPr>
          <w:rFonts w:ascii="Calibri" w:hAnsi="Calibri"/>
          <w:sz w:val="20"/>
          <w:szCs w:val="20"/>
          <w:lang w:val="en-AU"/>
        </w:rPr>
      </w:pPr>
      <w:r w:rsidRPr="004D3350">
        <w:rPr>
          <w:rFonts w:ascii="Calibri" w:hAnsi="Calibri"/>
          <w:sz w:val="20"/>
          <w:szCs w:val="20"/>
          <w:lang w:val="en-AU"/>
        </w:rPr>
        <w:t>Practice harm minimisation by avoiding fragmented care from multiple different practitioners; repeated diagnostic testing; use of non-accredited laboratories for diagnostic testing and use of unconventional diagnostic techniques; unnecessary referrals and interventions; and treatments with known harm and/or no benefit.</w:t>
      </w:r>
    </w:p>
    <w:p w14:paraId="3B22ED06" w14:textId="77777777" w:rsidR="008A63CE" w:rsidRPr="004D3350" w:rsidRDefault="008A63CE" w:rsidP="00E754BD">
      <w:pPr>
        <w:pStyle w:val="BodyText"/>
        <w:numPr>
          <w:ilvl w:val="0"/>
          <w:numId w:val="18"/>
        </w:numPr>
        <w:spacing w:before="60" w:after="60" w:line="240" w:lineRule="auto"/>
        <w:ind w:left="385" w:hanging="357"/>
        <w:rPr>
          <w:rFonts w:ascii="Calibri" w:hAnsi="Calibri"/>
          <w:sz w:val="20"/>
          <w:szCs w:val="20"/>
          <w:lang w:val="en-AU"/>
        </w:rPr>
      </w:pPr>
      <w:r w:rsidRPr="004D3350">
        <w:rPr>
          <w:rFonts w:ascii="Calibri" w:hAnsi="Calibri"/>
          <w:sz w:val="20"/>
          <w:szCs w:val="20"/>
          <w:lang w:val="en-AU"/>
        </w:rPr>
        <w:t xml:space="preserve">The management plan for patients who have persistent symptoms or remain undiagnosed would be led by the patient’s general practitioner (GP), in consultation with the patient so the patient can achieve their goals. However, management of ongoing symptoms should involve a multidisciplinary approach, incorporating the teamwork of all medical specialties and skills relevant to the individual patient’s care. The management of patients must be a collaborative approach between GPs and specialists. Telehealth can also be used where appropriate. </w:t>
      </w:r>
    </w:p>
    <w:p w14:paraId="45EBC23E" w14:textId="77777777" w:rsidR="008A63CE" w:rsidRPr="004D3350" w:rsidRDefault="008A63CE" w:rsidP="00E754BD">
      <w:pPr>
        <w:pStyle w:val="BodyText"/>
        <w:numPr>
          <w:ilvl w:val="0"/>
          <w:numId w:val="18"/>
        </w:numPr>
        <w:spacing w:before="60" w:after="60" w:line="240" w:lineRule="auto"/>
        <w:ind w:left="385" w:hanging="357"/>
        <w:rPr>
          <w:rFonts w:ascii="Calibri" w:hAnsi="Calibri"/>
          <w:sz w:val="20"/>
          <w:szCs w:val="20"/>
          <w:lang w:val="en-AU"/>
        </w:rPr>
      </w:pPr>
      <w:r w:rsidRPr="004D3350">
        <w:rPr>
          <w:rFonts w:ascii="Calibri" w:hAnsi="Calibri"/>
          <w:sz w:val="20"/>
          <w:szCs w:val="20"/>
          <w:lang w:val="en-AU"/>
        </w:rPr>
        <w:t>Consider referring patients who have medically unexplained symptoms to appropriate specialists based on best clinical practice and relevant evidence.</w:t>
      </w:r>
    </w:p>
    <w:tbl>
      <w:tblPr>
        <w:tblW w:w="9105" w:type="dxa"/>
        <w:tblLook w:val="04A0" w:firstRow="1" w:lastRow="0" w:firstColumn="1" w:lastColumn="0" w:noHBand="0" w:noVBand="1"/>
      </w:tblPr>
      <w:tblGrid>
        <w:gridCol w:w="9105"/>
      </w:tblGrid>
      <w:tr w:rsidR="004F6A03" w:rsidRPr="004D3350" w14:paraId="6B57E409" w14:textId="77777777" w:rsidTr="004D3350">
        <w:trPr>
          <w:trHeight w:val="290"/>
          <w:tblHeader/>
        </w:trPr>
        <w:tc>
          <w:tcPr>
            <w:tcW w:w="9105" w:type="dxa"/>
            <w:shd w:val="clear" w:color="auto" w:fill="77B800"/>
          </w:tcPr>
          <w:p w14:paraId="00878DCF" w14:textId="77777777" w:rsidR="004F6A03" w:rsidRPr="004D3350" w:rsidRDefault="004F6A03" w:rsidP="004D3350">
            <w:pPr>
              <w:spacing w:before="40" w:after="40" w:line="240" w:lineRule="auto"/>
              <w:jc w:val="both"/>
              <w:rPr>
                <w:rFonts w:ascii="Calibri" w:hAnsi="Calibri"/>
                <w:b/>
                <w:bCs/>
                <w:color w:val="FFFFFF"/>
                <w:lang w:val="en-AU"/>
              </w:rPr>
            </w:pPr>
            <w:r w:rsidRPr="004D3350">
              <w:rPr>
                <w:rFonts w:ascii="Calibri" w:hAnsi="Calibri"/>
                <w:b/>
                <w:bCs/>
                <w:color w:val="FFFFFF"/>
                <w:lang w:val="en-AU"/>
              </w:rPr>
              <w:lastRenderedPageBreak/>
              <w:t>Periodic review of the Clinical Pathway</w:t>
            </w:r>
          </w:p>
        </w:tc>
      </w:tr>
    </w:tbl>
    <w:p w14:paraId="25D4230F" w14:textId="77777777" w:rsidR="008A63CE" w:rsidRPr="004D3350" w:rsidRDefault="008A63CE" w:rsidP="0059332C">
      <w:pPr>
        <w:pStyle w:val="ListParagraph"/>
        <w:numPr>
          <w:ilvl w:val="0"/>
          <w:numId w:val="41"/>
        </w:numPr>
        <w:spacing w:before="60" w:after="60"/>
        <w:ind w:left="388"/>
        <w:jc w:val="both"/>
        <w:rPr>
          <w:rFonts w:ascii="Calibri" w:hAnsi="Calibri" w:cs="Calibri"/>
          <w:sz w:val="20"/>
          <w:szCs w:val="20"/>
          <w:lang w:val="en-AU"/>
        </w:rPr>
      </w:pPr>
      <w:r w:rsidRPr="004D3350">
        <w:rPr>
          <w:rFonts w:ascii="Calibri" w:hAnsi="Calibri" w:cs="Calibri"/>
          <w:sz w:val="20"/>
          <w:szCs w:val="20"/>
          <w:lang w:val="en-AU"/>
        </w:rPr>
        <w:t>This DSCATT Clinical Pathway on Lyme disease, known Australian tick-borne diseases and the management of patients for whom a diagnosis cannot be established and who have persistent symptoms is informed by the current peer-reviewed evidence base and Australian and international authority guidance.</w:t>
      </w:r>
    </w:p>
    <w:p w14:paraId="5651CA25" w14:textId="77777777" w:rsidR="008A63CE" w:rsidRPr="004D3350" w:rsidRDefault="008A63CE" w:rsidP="0059332C">
      <w:pPr>
        <w:pStyle w:val="ListParagraph"/>
        <w:numPr>
          <w:ilvl w:val="0"/>
          <w:numId w:val="41"/>
        </w:numPr>
        <w:spacing w:before="60" w:after="60"/>
        <w:ind w:left="388"/>
        <w:jc w:val="both"/>
        <w:rPr>
          <w:rFonts w:ascii="Calibri" w:hAnsi="Calibri" w:cs="Calibri"/>
          <w:sz w:val="20"/>
          <w:szCs w:val="20"/>
          <w:lang w:val="en-AU"/>
        </w:rPr>
      </w:pPr>
      <w:r w:rsidRPr="004D3350">
        <w:rPr>
          <w:rFonts w:ascii="Calibri" w:hAnsi="Calibri" w:cs="Calibri"/>
          <w:sz w:val="20"/>
          <w:szCs w:val="20"/>
          <w:lang w:val="en-AU"/>
        </w:rPr>
        <w:t>There is a number of research projects currently in place to further understand the aetiology and pathophysiology of the symptom complex described as DSCATT so as to improve the diagnosis, treatment and management.</w:t>
      </w:r>
    </w:p>
    <w:p w14:paraId="1AC4C329" w14:textId="77777777" w:rsidR="008A63CE" w:rsidRPr="004D3350" w:rsidRDefault="008A63CE" w:rsidP="0059332C">
      <w:pPr>
        <w:pStyle w:val="ListParagraph"/>
        <w:numPr>
          <w:ilvl w:val="0"/>
          <w:numId w:val="41"/>
        </w:numPr>
        <w:spacing w:before="60" w:after="60"/>
        <w:ind w:left="388"/>
        <w:jc w:val="both"/>
        <w:rPr>
          <w:rFonts w:ascii="Calibri" w:eastAsia="MS Gothic" w:hAnsi="Calibri"/>
          <w:sz w:val="20"/>
          <w:szCs w:val="20"/>
          <w:lang w:val="en-AU"/>
        </w:rPr>
      </w:pPr>
      <w:r w:rsidRPr="004D3350">
        <w:rPr>
          <w:rFonts w:ascii="Calibri" w:hAnsi="Calibri"/>
          <w:sz w:val="20"/>
          <w:szCs w:val="20"/>
          <w:lang w:val="en-AU"/>
        </w:rPr>
        <w:t>Should the evidence base change significantly this Clinical Pathway may be reviewed.</w:t>
      </w:r>
    </w:p>
    <w:p w14:paraId="097FCDF2" w14:textId="77777777" w:rsidR="00507D7C" w:rsidRPr="004D3350" w:rsidRDefault="00507D7C" w:rsidP="007B6DB5">
      <w:pPr>
        <w:pStyle w:val="Body"/>
        <w:rPr>
          <w:rFonts w:ascii="Calibri" w:hAnsi="Calibri" w:cs="Calibri"/>
          <w:lang w:val="en-AU"/>
        </w:rPr>
      </w:pPr>
      <w:r w:rsidRPr="004D3350">
        <w:rPr>
          <w:rFonts w:ascii="Calibri" w:hAnsi="Calibri" w:cs="Calibri"/>
          <w:lang w:val="en-AU"/>
        </w:rPr>
        <w:br w:type="page"/>
      </w:r>
    </w:p>
    <w:p w14:paraId="070C6C6C" w14:textId="77777777" w:rsidR="00F25988" w:rsidRPr="004D3350" w:rsidRDefault="00F25988" w:rsidP="00513E2F">
      <w:pPr>
        <w:pStyle w:val="BodyText"/>
        <w:spacing w:before="0"/>
        <w:rPr>
          <w:rFonts w:ascii="Calibri" w:hAnsi="Calibri"/>
          <w:b/>
          <w:color w:val="36424A"/>
          <w:sz w:val="28"/>
          <w:lang w:val="en-AU"/>
        </w:rPr>
      </w:pPr>
      <w:r w:rsidRPr="004D3350">
        <w:rPr>
          <w:rFonts w:ascii="Calibri" w:hAnsi="Calibri"/>
          <w:b/>
          <w:color w:val="36424A"/>
          <w:sz w:val="28"/>
          <w:lang w:val="en-AU"/>
        </w:rPr>
        <w:lastRenderedPageBreak/>
        <w:t>CONTENTS</w:t>
      </w:r>
    </w:p>
    <w:p w14:paraId="02A824DC" w14:textId="35D581CC" w:rsidR="00C71C61" w:rsidRPr="004D3350" w:rsidRDefault="00F25988">
      <w:pPr>
        <w:pStyle w:val="TOC1"/>
        <w:rPr>
          <w:rFonts w:ascii="Cambria" w:eastAsia="MS Mincho" w:hAnsi="Cambria"/>
          <w:b w:val="0"/>
          <w:caps w:val="0"/>
          <w:lang w:val="en-AU" w:eastAsia="en-AU"/>
        </w:rPr>
      </w:pPr>
      <w:r w:rsidRPr="004D3350">
        <w:rPr>
          <w:noProof w:val="0"/>
          <w:lang w:val="en-AU"/>
        </w:rPr>
        <w:fldChar w:fldCharType="begin"/>
      </w:r>
      <w:r w:rsidRPr="00F2704A">
        <w:rPr>
          <w:noProof w:val="0"/>
          <w:lang w:val="en-AU"/>
        </w:rPr>
        <w:instrText xml:space="preserve"> TOC \o "1-3" \h \z \t "Heading 1 Numbered,1,Heading 2 Numbered,2,Heading 3 Numbered,3" </w:instrText>
      </w:r>
      <w:r w:rsidRPr="004D3350">
        <w:rPr>
          <w:noProof w:val="0"/>
          <w:lang w:val="en-AU"/>
        </w:rPr>
        <w:fldChar w:fldCharType="separate"/>
      </w:r>
      <w:hyperlink w:anchor="_Toc55464757" w:history="1">
        <w:r w:rsidR="00C71C61" w:rsidRPr="00BD05CB">
          <w:rPr>
            <w:rStyle w:val="Hyperlink"/>
            <w:lang w:val="en-AU"/>
          </w:rPr>
          <w:t>Figures</w:t>
        </w:r>
        <w:r w:rsidR="00C71C61">
          <w:rPr>
            <w:webHidden/>
          </w:rPr>
          <w:tab/>
        </w:r>
        <w:r w:rsidR="00C71C61">
          <w:rPr>
            <w:webHidden/>
          </w:rPr>
          <w:fldChar w:fldCharType="begin"/>
        </w:r>
        <w:r w:rsidR="00C71C61">
          <w:rPr>
            <w:webHidden/>
          </w:rPr>
          <w:instrText xml:space="preserve"> PAGEREF _Toc55464757 \h </w:instrText>
        </w:r>
        <w:r w:rsidR="00C71C61">
          <w:rPr>
            <w:webHidden/>
          </w:rPr>
        </w:r>
        <w:r w:rsidR="00C71C61">
          <w:rPr>
            <w:webHidden/>
          </w:rPr>
          <w:fldChar w:fldCharType="separate"/>
        </w:r>
        <w:r w:rsidR="00822580">
          <w:rPr>
            <w:webHidden/>
          </w:rPr>
          <w:t>xi</w:t>
        </w:r>
        <w:r w:rsidR="00C71C61">
          <w:rPr>
            <w:webHidden/>
          </w:rPr>
          <w:fldChar w:fldCharType="end"/>
        </w:r>
      </w:hyperlink>
    </w:p>
    <w:p w14:paraId="079AB330" w14:textId="7E7F2C54" w:rsidR="00C71C61" w:rsidRPr="004D3350" w:rsidRDefault="009B2AE3">
      <w:pPr>
        <w:pStyle w:val="TOC1"/>
        <w:rPr>
          <w:rFonts w:ascii="Cambria" w:eastAsia="MS Mincho" w:hAnsi="Cambria"/>
          <w:b w:val="0"/>
          <w:caps w:val="0"/>
          <w:lang w:val="en-AU" w:eastAsia="en-AU"/>
        </w:rPr>
      </w:pPr>
      <w:hyperlink w:anchor="_Toc55464758" w:history="1">
        <w:r w:rsidR="00C71C61" w:rsidRPr="00BD05CB">
          <w:rPr>
            <w:rStyle w:val="Hyperlink"/>
            <w:lang w:val="en-AU"/>
          </w:rPr>
          <w:t>Glossary</w:t>
        </w:r>
        <w:r w:rsidR="00C71C61">
          <w:rPr>
            <w:webHidden/>
          </w:rPr>
          <w:tab/>
        </w:r>
        <w:r w:rsidR="00C71C61">
          <w:rPr>
            <w:webHidden/>
          </w:rPr>
          <w:fldChar w:fldCharType="begin"/>
        </w:r>
        <w:r w:rsidR="00C71C61">
          <w:rPr>
            <w:webHidden/>
          </w:rPr>
          <w:instrText xml:space="preserve"> PAGEREF _Toc55464758 \h </w:instrText>
        </w:r>
        <w:r w:rsidR="00C71C61">
          <w:rPr>
            <w:webHidden/>
          </w:rPr>
        </w:r>
        <w:r w:rsidR="00C71C61">
          <w:rPr>
            <w:webHidden/>
          </w:rPr>
          <w:fldChar w:fldCharType="separate"/>
        </w:r>
        <w:r w:rsidR="00822580">
          <w:rPr>
            <w:webHidden/>
          </w:rPr>
          <w:t>xii</w:t>
        </w:r>
        <w:r w:rsidR="00C71C61">
          <w:rPr>
            <w:webHidden/>
          </w:rPr>
          <w:fldChar w:fldCharType="end"/>
        </w:r>
      </w:hyperlink>
    </w:p>
    <w:p w14:paraId="54D8F2CF" w14:textId="484437A5" w:rsidR="00C71C61" w:rsidRPr="004D3350" w:rsidRDefault="009B2AE3">
      <w:pPr>
        <w:pStyle w:val="TOC1"/>
        <w:rPr>
          <w:rFonts w:ascii="Cambria" w:eastAsia="MS Mincho" w:hAnsi="Cambria"/>
          <w:b w:val="0"/>
          <w:caps w:val="0"/>
          <w:lang w:val="en-AU" w:eastAsia="en-AU"/>
        </w:rPr>
      </w:pPr>
      <w:hyperlink w:anchor="_Toc55464759" w:history="1">
        <w:r w:rsidR="00C71C61" w:rsidRPr="00BD05CB">
          <w:rPr>
            <w:rStyle w:val="Hyperlink"/>
            <w:lang w:val="en-AU" w:eastAsia="en-AU"/>
          </w:rPr>
          <w:t>1.</w:t>
        </w:r>
        <w:r w:rsidR="00C71C61" w:rsidRPr="004D3350">
          <w:rPr>
            <w:rFonts w:ascii="Cambria" w:eastAsia="MS Mincho" w:hAnsi="Cambria"/>
            <w:b w:val="0"/>
            <w:caps w:val="0"/>
            <w:lang w:val="en-AU" w:eastAsia="en-AU"/>
          </w:rPr>
          <w:tab/>
        </w:r>
        <w:r w:rsidR="00C71C61" w:rsidRPr="00BD05CB">
          <w:rPr>
            <w:rStyle w:val="Hyperlink"/>
            <w:lang w:val="en-AU"/>
          </w:rPr>
          <w:t>Introduction</w:t>
        </w:r>
        <w:r w:rsidR="00C71C61">
          <w:rPr>
            <w:webHidden/>
          </w:rPr>
          <w:tab/>
        </w:r>
        <w:r w:rsidR="00C71C61">
          <w:rPr>
            <w:webHidden/>
          </w:rPr>
          <w:fldChar w:fldCharType="begin"/>
        </w:r>
        <w:r w:rsidR="00C71C61">
          <w:rPr>
            <w:webHidden/>
          </w:rPr>
          <w:instrText xml:space="preserve"> PAGEREF _Toc55464759 \h </w:instrText>
        </w:r>
        <w:r w:rsidR="00C71C61">
          <w:rPr>
            <w:webHidden/>
          </w:rPr>
        </w:r>
        <w:r w:rsidR="00C71C61">
          <w:rPr>
            <w:webHidden/>
          </w:rPr>
          <w:fldChar w:fldCharType="separate"/>
        </w:r>
        <w:r w:rsidR="00822580">
          <w:rPr>
            <w:webHidden/>
          </w:rPr>
          <w:t>1</w:t>
        </w:r>
        <w:r w:rsidR="00C71C61">
          <w:rPr>
            <w:webHidden/>
          </w:rPr>
          <w:fldChar w:fldCharType="end"/>
        </w:r>
      </w:hyperlink>
    </w:p>
    <w:p w14:paraId="21E7CCC7" w14:textId="2D0734C3" w:rsidR="00C71C61" w:rsidRPr="004D3350" w:rsidRDefault="009B2AE3">
      <w:pPr>
        <w:pStyle w:val="TOC2"/>
        <w:rPr>
          <w:rFonts w:ascii="Cambria" w:eastAsia="MS Mincho" w:hAnsi="Cambria"/>
          <w:lang w:val="en-AU" w:eastAsia="en-AU"/>
        </w:rPr>
      </w:pPr>
      <w:hyperlink w:anchor="_Toc55464760" w:history="1">
        <w:r w:rsidR="00C71C61" w:rsidRPr="00BD05CB">
          <w:rPr>
            <w:rStyle w:val="Hyperlink"/>
            <w:lang w:val="en-AU" w:eastAsia="en-AU"/>
          </w:rPr>
          <w:t>1.1.</w:t>
        </w:r>
        <w:r w:rsidR="00C71C61" w:rsidRPr="004D3350">
          <w:rPr>
            <w:rFonts w:ascii="Cambria" w:eastAsia="MS Mincho" w:hAnsi="Cambria"/>
            <w:lang w:val="en-AU" w:eastAsia="en-AU"/>
          </w:rPr>
          <w:tab/>
        </w:r>
        <w:r w:rsidR="00C71C61" w:rsidRPr="00BD05CB">
          <w:rPr>
            <w:rStyle w:val="Hyperlink"/>
            <w:lang w:val="en-AU" w:eastAsia="en-AU"/>
          </w:rPr>
          <w:t>Purpose of the Clinical Pathway</w:t>
        </w:r>
        <w:r w:rsidR="00C71C61">
          <w:rPr>
            <w:webHidden/>
          </w:rPr>
          <w:tab/>
        </w:r>
        <w:r w:rsidR="00C71C61">
          <w:rPr>
            <w:webHidden/>
          </w:rPr>
          <w:fldChar w:fldCharType="begin"/>
        </w:r>
        <w:r w:rsidR="00C71C61">
          <w:rPr>
            <w:webHidden/>
          </w:rPr>
          <w:instrText xml:space="preserve"> PAGEREF _Toc55464760 \h </w:instrText>
        </w:r>
        <w:r w:rsidR="00C71C61">
          <w:rPr>
            <w:webHidden/>
          </w:rPr>
        </w:r>
        <w:r w:rsidR="00C71C61">
          <w:rPr>
            <w:webHidden/>
          </w:rPr>
          <w:fldChar w:fldCharType="separate"/>
        </w:r>
        <w:r w:rsidR="00822580">
          <w:rPr>
            <w:webHidden/>
          </w:rPr>
          <w:t>1</w:t>
        </w:r>
        <w:r w:rsidR="00C71C61">
          <w:rPr>
            <w:webHidden/>
          </w:rPr>
          <w:fldChar w:fldCharType="end"/>
        </w:r>
      </w:hyperlink>
    </w:p>
    <w:p w14:paraId="54A7B3D3" w14:textId="2FEDC578" w:rsidR="00C71C61" w:rsidRPr="004D3350" w:rsidRDefault="009B2AE3">
      <w:pPr>
        <w:pStyle w:val="TOC2"/>
        <w:rPr>
          <w:rFonts w:ascii="Cambria" w:eastAsia="MS Mincho" w:hAnsi="Cambria"/>
          <w:lang w:val="en-AU" w:eastAsia="en-AU"/>
        </w:rPr>
      </w:pPr>
      <w:hyperlink w:anchor="_Toc55464761" w:history="1">
        <w:r w:rsidR="00C71C61" w:rsidRPr="00BD05CB">
          <w:rPr>
            <w:rStyle w:val="Hyperlink"/>
            <w:lang w:val="en-AU" w:eastAsia="en-AU"/>
          </w:rPr>
          <w:t>1.2.</w:t>
        </w:r>
        <w:r w:rsidR="00C71C61" w:rsidRPr="004D3350">
          <w:rPr>
            <w:rFonts w:ascii="Cambria" w:eastAsia="MS Mincho" w:hAnsi="Cambria"/>
            <w:lang w:val="en-AU" w:eastAsia="en-AU"/>
          </w:rPr>
          <w:tab/>
        </w:r>
        <w:r w:rsidR="00C71C61" w:rsidRPr="00BD05CB">
          <w:rPr>
            <w:rStyle w:val="Hyperlink"/>
            <w:lang w:val="en-AU" w:eastAsia="en-AU"/>
          </w:rPr>
          <w:t>Debilitating symptom complexes attributed to ticks (DSCATT)</w:t>
        </w:r>
        <w:r w:rsidR="00C71C61">
          <w:rPr>
            <w:webHidden/>
          </w:rPr>
          <w:tab/>
        </w:r>
        <w:r w:rsidR="00C71C61">
          <w:rPr>
            <w:webHidden/>
          </w:rPr>
          <w:fldChar w:fldCharType="begin"/>
        </w:r>
        <w:r w:rsidR="00C71C61">
          <w:rPr>
            <w:webHidden/>
          </w:rPr>
          <w:instrText xml:space="preserve"> PAGEREF _Toc55464761 \h </w:instrText>
        </w:r>
        <w:r w:rsidR="00C71C61">
          <w:rPr>
            <w:webHidden/>
          </w:rPr>
        </w:r>
        <w:r w:rsidR="00C71C61">
          <w:rPr>
            <w:webHidden/>
          </w:rPr>
          <w:fldChar w:fldCharType="separate"/>
        </w:r>
        <w:r w:rsidR="00822580">
          <w:rPr>
            <w:webHidden/>
          </w:rPr>
          <w:t>2</w:t>
        </w:r>
        <w:r w:rsidR="00C71C61">
          <w:rPr>
            <w:webHidden/>
          </w:rPr>
          <w:fldChar w:fldCharType="end"/>
        </w:r>
      </w:hyperlink>
    </w:p>
    <w:p w14:paraId="40AA9512" w14:textId="30D8B8F2" w:rsidR="00C71C61" w:rsidRPr="004D3350" w:rsidRDefault="009B2AE3">
      <w:pPr>
        <w:pStyle w:val="TOC2"/>
        <w:rPr>
          <w:rFonts w:ascii="Cambria" w:eastAsia="MS Mincho" w:hAnsi="Cambria"/>
          <w:lang w:val="en-AU" w:eastAsia="en-AU"/>
        </w:rPr>
      </w:pPr>
      <w:hyperlink w:anchor="_Toc55464762" w:history="1">
        <w:r w:rsidR="00C71C61" w:rsidRPr="00BD05CB">
          <w:rPr>
            <w:rStyle w:val="Hyperlink"/>
            <w:lang w:val="en-AU"/>
          </w:rPr>
          <w:t>1.3.</w:t>
        </w:r>
        <w:r w:rsidR="00C71C61" w:rsidRPr="004D3350">
          <w:rPr>
            <w:rFonts w:ascii="Cambria" w:eastAsia="MS Mincho" w:hAnsi="Cambria"/>
            <w:lang w:val="en-AU" w:eastAsia="en-AU"/>
          </w:rPr>
          <w:tab/>
        </w:r>
        <w:r w:rsidR="00C71C61" w:rsidRPr="00BD05CB">
          <w:rPr>
            <w:rStyle w:val="Hyperlink"/>
            <w:lang w:val="en-AU"/>
          </w:rPr>
          <w:t xml:space="preserve">Consideration of </w:t>
        </w:r>
        <w:r w:rsidR="00C71C61" w:rsidRPr="00BD05CB">
          <w:rPr>
            <w:rStyle w:val="Hyperlink"/>
            <w:lang w:val="en-AU" w:eastAsia="en-AU"/>
          </w:rPr>
          <w:t>tick</w:t>
        </w:r>
        <w:r w:rsidR="00C71C61" w:rsidRPr="00BD05CB">
          <w:rPr>
            <w:rStyle w:val="Hyperlink"/>
            <w:lang w:val="en-AU"/>
          </w:rPr>
          <w:t>-borne diseases in the differential diagnosis</w:t>
        </w:r>
        <w:r w:rsidR="00C71C61">
          <w:rPr>
            <w:webHidden/>
          </w:rPr>
          <w:tab/>
        </w:r>
        <w:r w:rsidR="00C71C61">
          <w:rPr>
            <w:webHidden/>
          </w:rPr>
          <w:fldChar w:fldCharType="begin"/>
        </w:r>
        <w:r w:rsidR="00C71C61">
          <w:rPr>
            <w:webHidden/>
          </w:rPr>
          <w:instrText xml:space="preserve"> PAGEREF _Toc55464762 \h </w:instrText>
        </w:r>
        <w:r w:rsidR="00C71C61">
          <w:rPr>
            <w:webHidden/>
          </w:rPr>
        </w:r>
        <w:r w:rsidR="00C71C61">
          <w:rPr>
            <w:webHidden/>
          </w:rPr>
          <w:fldChar w:fldCharType="separate"/>
        </w:r>
        <w:r w:rsidR="00822580">
          <w:rPr>
            <w:webHidden/>
          </w:rPr>
          <w:t>2</w:t>
        </w:r>
        <w:r w:rsidR="00C71C61">
          <w:rPr>
            <w:webHidden/>
          </w:rPr>
          <w:fldChar w:fldCharType="end"/>
        </w:r>
      </w:hyperlink>
    </w:p>
    <w:p w14:paraId="6B25B132" w14:textId="6541E1F6" w:rsidR="00C71C61" w:rsidRPr="004D3350" w:rsidRDefault="009B2AE3">
      <w:pPr>
        <w:pStyle w:val="TOC2"/>
        <w:rPr>
          <w:rFonts w:ascii="Cambria" w:eastAsia="MS Mincho" w:hAnsi="Cambria"/>
          <w:lang w:val="en-AU" w:eastAsia="en-AU"/>
        </w:rPr>
      </w:pPr>
      <w:hyperlink w:anchor="_Toc55464763" w:history="1">
        <w:r w:rsidR="00C71C61" w:rsidRPr="00BD05CB">
          <w:rPr>
            <w:rStyle w:val="Hyperlink"/>
            <w:lang w:val="en-AU"/>
          </w:rPr>
          <w:t>1.4.</w:t>
        </w:r>
        <w:r w:rsidR="00C71C61" w:rsidRPr="004D3350">
          <w:rPr>
            <w:rFonts w:ascii="Cambria" w:eastAsia="MS Mincho" w:hAnsi="Cambria"/>
            <w:lang w:val="en-AU" w:eastAsia="en-AU"/>
          </w:rPr>
          <w:tab/>
        </w:r>
        <w:r w:rsidR="00C71C61" w:rsidRPr="00BD05CB">
          <w:rPr>
            <w:rStyle w:val="Hyperlink"/>
            <w:lang w:val="en-AU"/>
          </w:rPr>
          <w:t>Lyme disease</w:t>
        </w:r>
        <w:r w:rsidR="00C71C61">
          <w:rPr>
            <w:webHidden/>
          </w:rPr>
          <w:tab/>
        </w:r>
        <w:r w:rsidR="00C71C61">
          <w:rPr>
            <w:webHidden/>
          </w:rPr>
          <w:fldChar w:fldCharType="begin"/>
        </w:r>
        <w:r w:rsidR="00C71C61">
          <w:rPr>
            <w:webHidden/>
          </w:rPr>
          <w:instrText xml:space="preserve"> PAGEREF _Toc55464763 \h </w:instrText>
        </w:r>
        <w:r w:rsidR="00C71C61">
          <w:rPr>
            <w:webHidden/>
          </w:rPr>
        </w:r>
        <w:r w:rsidR="00C71C61">
          <w:rPr>
            <w:webHidden/>
          </w:rPr>
          <w:fldChar w:fldCharType="separate"/>
        </w:r>
        <w:r w:rsidR="00822580">
          <w:rPr>
            <w:webHidden/>
          </w:rPr>
          <w:t>2</w:t>
        </w:r>
        <w:r w:rsidR="00C71C61">
          <w:rPr>
            <w:webHidden/>
          </w:rPr>
          <w:fldChar w:fldCharType="end"/>
        </w:r>
      </w:hyperlink>
    </w:p>
    <w:p w14:paraId="200BCD51" w14:textId="61559937" w:rsidR="00C71C61" w:rsidRPr="004D3350" w:rsidRDefault="009B2AE3">
      <w:pPr>
        <w:pStyle w:val="TOC2"/>
        <w:rPr>
          <w:rFonts w:ascii="Cambria" w:eastAsia="MS Mincho" w:hAnsi="Cambria"/>
          <w:lang w:val="en-AU" w:eastAsia="en-AU"/>
        </w:rPr>
      </w:pPr>
      <w:hyperlink w:anchor="_Toc55464764" w:history="1">
        <w:r w:rsidR="00C71C61" w:rsidRPr="00BD05CB">
          <w:rPr>
            <w:rStyle w:val="Hyperlink"/>
            <w:lang w:val="en-AU"/>
          </w:rPr>
          <w:t>1.5.</w:t>
        </w:r>
        <w:r w:rsidR="00C71C61" w:rsidRPr="004D3350">
          <w:rPr>
            <w:rFonts w:ascii="Cambria" w:eastAsia="MS Mincho" w:hAnsi="Cambria"/>
            <w:lang w:val="en-AU" w:eastAsia="en-AU"/>
          </w:rPr>
          <w:tab/>
        </w:r>
        <w:r w:rsidR="00C71C61" w:rsidRPr="00BD05CB">
          <w:rPr>
            <w:rStyle w:val="Hyperlink"/>
            <w:lang w:val="en-AU"/>
          </w:rPr>
          <w:t>Known Australian tick-borne diseases</w:t>
        </w:r>
        <w:r w:rsidR="00C71C61">
          <w:rPr>
            <w:webHidden/>
          </w:rPr>
          <w:tab/>
        </w:r>
        <w:r w:rsidR="00C71C61">
          <w:rPr>
            <w:webHidden/>
          </w:rPr>
          <w:fldChar w:fldCharType="begin"/>
        </w:r>
        <w:r w:rsidR="00C71C61">
          <w:rPr>
            <w:webHidden/>
          </w:rPr>
          <w:instrText xml:space="preserve"> PAGEREF _Toc55464764 \h </w:instrText>
        </w:r>
        <w:r w:rsidR="00C71C61">
          <w:rPr>
            <w:webHidden/>
          </w:rPr>
        </w:r>
        <w:r w:rsidR="00C71C61">
          <w:rPr>
            <w:webHidden/>
          </w:rPr>
          <w:fldChar w:fldCharType="separate"/>
        </w:r>
        <w:r w:rsidR="00822580">
          <w:rPr>
            <w:webHidden/>
          </w:rPr>
          <w:t>3</w:t>
        </w:r>
        <w:r w:rsidR="00C71C61">
          <w:rPr>
            <w:webHidden/>
          </w:rPr>
          <w:fldChar w:fldCharType="end"/>
        </w:r>
      </w:hyperlink>
    </w:p>
    <w:p w14:paraId="7FD06387" w14:textId="5BDF1E21" w:rsidR="00C71C61" w:rsidRPr="004D3350" w:rsidRDefault="009B2AE3">
      <w:pPr>
        <w:pStyle w:val="TOC2"/>
        <w:rPr>
          <w:rFonts w:ascii="Cambria" w:eastAsia="MS Mincho" w:hAnsi="Cambria"/>
          <w:lang w:val="en-AU" w:eastAsia="en-AU"/>
        </w:rPr>
      </w:pPr>
      <w:hyperlink w:anchor="_Toc55464765" w:history="1">
        <w:r w:rsidR="00C71C61" w:rsidRPr="00BD05CB">
          <w:rPr>
            <w:rStyle w:val="Hyperlink"/>
            <w:lang w:val="en-AU"/>
          </w:rPr>
          <w:t>1.6.</w:t>
        </w:r>
        <w:r w:rsidR="00C71C61" w:rsidRPr="004D3350">
          <w:rPr>
            <w:rFonts w:ascii="Cambria" w:eastAsia="MS Mincho" w:hAnsi="Cambria"/>
            <w:lang w:val="en-AU" w:eastAsia="en-AU"/>
          </w:rPr>
          <w:tab/>
        </w:r>
        <w:r w:rsidR="00C71C61" w:rsidRPr="00BD05CB">
          <w:rPr>
            <w:rStyle w:val="Hyperlink"/>
            <w:lang w:val="en-AU"/>
          </w:rPr>
          <w:t>Management of patients with persistent symptoms or who remain undiagnosed</w:t>
        </w:r>
        <w:r w:rsidR="00C71C61">
          <w:rPr>
            <w:webHidden/>
          </w:rPr>
          <w:tab/>
        </w:r>
        <w:r w:rsidR="00C71C61">
          <w:rPr>
            <w:webHidden/>
          </w:rPr>
          <w:fldChar w:fldCharType="begin"/>
        </w:r>
        <w:r w:rsidR="00C71C61">
          <w:rPr>
            <w:webHidden/>
          </w:rPr>
          <w:instrText xml:space="preserve"> PAGEREF _Toc55464765 \h </w:instrText>
        </w:r>
        <w:r w:rsidR="00C71C61">
          <w:rPr>
            <w:webHidden/>
          </w:rPr>
        </w:r>
        <w:r w:rsidR="00C71C61">
          <w:rPr>
            <w:webHidden/>
          </w:rPr>
          <w:fldChar w:fldCharType="separate"/>
        </w:r>
        <w:r w:rsidR="00822580">
          <w:rPr>
            <w:webHidden/>
          </w:rPr>
          <w:t>3</w:t>
        </w:r>
        <w:r w:rsidR="00C71C61">
          <w:rPr>
            <w:webHidden/>
          </w:rPr>
          <w:fldChar w:fldCharType="end"/>
        </w:r>
      </w:hyperlink>
    </w:p>
    <w:p w14:paraId="788740B4" w14:textId="518A2A27" w:rsidR="00C71C61" w:rsidRPr="004D3350" w:rsidRDefault="009B2AE3">
      <w:pPr>
        <w:pStyle w:val="TOC1"/>
        <w:rPr>
          <w:rFonts w:ascii="Cambria" w:eastAsia="MS Mincho" w:hAnsi="Cambria"/>
          <w:b w:val="0"/>
          <w:caps w:val="0"/>
          <w:lang w:val="en-AU" w:eastAsia="en-AU"/>
        </w:rPr>
      </w:pPr>
      <w:hyperlink w:anchor="_Toc55464766" w:history="1">
        <w:r w:rsidR="00C71C61" w:rsidRPr="00BD05CB">
          <w:rPr>
            <w:rStyle w:val="Hyperlink"/>
            <w:lang w:val="en-AU"/>
          </w:rPr>
          <w:t>2.</w:t>
        </w:r>
        <w:r w:rsidR="00C71C61" w:rsidRPr="004D3350">
          <w:rPr>
            <w:rFonts w:ascii="Cambria" w:eastAsia="MS Mincho" w:hAnsi="Cambria"/>
            <w:b w:val="0"/>
            <w:caps w:val="0"/>
            <w:lang w:val="en-AU" w:eastAsia="en-AU"/>
          </w:rPr>
          <w:tab/>
        </w:r>
        <w:r w:rsidR="00C71C61" w:rsidRPr="00BD05CB">
          <w:rPr>
            <w:rStyle w:val="Hyperlink"/>
            <w:lang w:val="en-AU"/>
          </w:rPr>
          <w:t>Initial assessment and support</w:t>
        </w:r>
        <w:r w:rsidR="00C71C61">
          <w:rPr>
            <w:webHidden/>
          </w:rPr>
          <w:tab/>
        </w:r>
        <w:r w:rsidR="00C71C61">
          <w:rPr>
            <w:webHidden/>
          </w:rPr>
          <w:fldChar w:fldCharType="begin"/>
        </w:r>
        <w:r w:rsidR="00C71C61">
          <w:rPr>
            <w:webHidden/>
          </w:rPr>
          <w:instrText xml:space="preserve"> PAGEREF _Toc55464766 \h </w:instrText>
        </w:r>
        <w:r w:rsidR="00C71C61">
          <w:rPr>
            <w:webHidden/>
          </w:rPr>
        </w:r>
        <w:r w:rsidR="00C71C61">
          <w:rPr>
            <w:webHidden/>
          </w:rPr>
          <w:fldChar w:fldCharType="separate"/>
        </w:r>
        <w:r w:rsidR="00822580">
          <w:rPr>
            <w:webHidden/>
          </w:rPr>
          <w:t>4</w:t>
        </w:r>
        <w:r w:rsidR="00C71C61">
          <w:rPr>
            <w:webHidden/>
          </w:rPr>
          <w:fldChar w:fldCharType="end"/>
        </w:r>
      </w:hyperlink>
    </w:p>
    <w:p w14:paraId="77CA3398" w14:textId="15D1AA9B" w:rsidR="00C71C61" w:rsidRPr="004D3350" w:rsidRDefault="009B2AE3">
      <w:pPr>
        <w:pStyle w:val="TOC2"/>
        <w:rPr>
          <w:rFonts w:ascii="Cambria" w:eastAsia="MS Mincho" w:hAnsi="Cambria"/>
          <w:lang w:val="en-AU" w:eastAsia="en-AU"/>
        </w:rPr>
      </w:pPr>
      <w:hyperlink w:anchor="_Toc55464767" w:history="1">
        <w:r w:rsidR="00C71C61" w:rsidRPr="00BD05CB">
          <w:rPr>
            <w:rStyle w:val="Hyperlink"/>
            <w:lang w:val="en-AU"/>
          </w:rPr>
          <w:t>2.1.</w:t>
        </w:r>
        <w:r w:rsidR="00C71C61" w:rsidRPr="004D3350">
          <w:rPr>
            <w:rFonts w:ascii="Cambria" w:eastAsia="MS Mincho" w:hAnsi="Cambria"/>
            <w:lang w:val="en-AU" w:eastAsia="en-AU"/>
          </w:rPr>
          <w:tab/>
        </w:r>
        <w:r w:rsidR="00C71C61" w:rsidRPr="00BD05CB">
          <w:rPr>
            <w:rStyle w:val="Hyperlink"/>
            <w:lang w:val="en-AU"/>
          </w:rPr>
          <w:t>Follow usual clinical assessment practice including a travel history</w:t>
        </w:r>
        <w:r w:rsidR="00C71C61">
          <w:rPr>
            <w:webHidden/>
          </w:rPr>
          <w:tab/>
        </w:r>
        <w:r w:rsidR="00C71C61">
          <w:rPr>
            <w:webHidden/>
          </w:rPr>
          <w:fldChar w:fldCharType="begin"/>
        </w:r>
        <w:r w:rsidR="00C71C61">
          <w:rPr>
            <w:webHidden/>
          </w:rPr>
          <w:instrText xml:space="preserve"> PAGEREF _Toc55464767 \h </w:instrText>
        </w:r>
        <w:r w:rsidR="00C71C61">
          <w:rPr>
            <w:webHidden/>
          </w:rPr>
        </w:r>
        <w:r w:rsidR="00C71C61">
          <w:rPr>
            <w:webHidden/>
          </w:rPr>
          <w:fldChar w:fldCharType="separate"/>
        </w:r>
        <w:r w:rsidR="00822580">
          <w:rPr>
            <w:webHidden/>
          </w:rPr>
          <w:t>4</w:t>
        </w:r>
        <w:r w:rsidR="00C71C61">
          <w:rPr>
            <w:webHidden/>
          </w:rPr>
          <w:fldChar w:fldCharType="end"/>
        </w:r>
      </w:hyperlink>
    </w:p>
    <w:p w14:paraId="232A5850" w14:textId="0FCE34F4" w:rsidR="00C71C61" w:rsidRPr="004D3350" w:rsidRDefault="009B2AE3">
      <w:pPr>
        <w:pStyle w:val="TOC2"/>
        <w:rPr>
          <w:rFonts w:ascii="Cambria" w:eastAsia="MS Mincho" w:hAnsi="Cambria"/>
          <w:lang w:val="en-AU" w:eastAsia="en-AU"/>
        </w:rPr>
      </w:pPr>
      <w:hyperlink w:anchor="_Toc55464768" w:history="1">
        <w:r w:rsidR="00C71C61" w:rsidRPr="00BD05CB">
          <w:rPr>
            <w:rStyle w:val="Hyperlink"/>
            <w:lang w:val="en-AU"/>
          </w:rPr>
          <w:t>2.2.</w:t>
        </w:r>
        <w:r w:rsidR="00C71C61" w:rsidRPr="004D3350">
          <w:rPr>
            <w:rFonts w:ascii="Cambria" w:eastAsia="MS Mincho" w:hAnsi="Cambria"/>
            <w:lang w:val="en-AU" w:eastAsia="en-AU"/>
          </w:rPr>
          <w:tab/>
        </w:r>
        <w:r w:rsidR="00C71C61" w:rsidRPr="00BD05CB">
          <w:rPr>
            <w:rStyle w:val="Hyperlink"/>
            <w:lang w:val="en-AU"/>
          </w:rPr>
          <w:t>Consult with appropriate experts in vector-borne disease</w:t>
        </w:r>
        <w:r w:rsidR="00C71C61">
          <w:rPr>
            <w:webHidden/>
          </w:rPr>
          <w:tab/>
        </w:r>
        <w:r w:rsidR="00C71C61">
          <w:rPr>
            <w:webHidden/>
          </w:rPr>
          <w:fldChar w:fldCharType="begin"/>
        </w:r>
        <w:r w:rsidR="00C71C61">
          <w:rPr>
            <w:webHidden/>
          </w:rPr>
          <w:instrText xml:space="preserve"> PAGEREF _Toc55464768 \h </w:instrText>
        </w:r>
        <w:r w:rsidR="00C71C61">
          <w:rPr>
            <w:webHidden/>
          </w:rPr>
        </w:r>
        <w:r w:rsidR="00C71C61">
          <w:rPr>
            <w:webHidden/>
          </w:rPr>
          <w:fldChar w:fldCharType="separate"/>
        </w:r>
        <w:r w:rsidR="00822580">
          <w:rPr>
            <w:webHidden/>
          </w:rPr>
          <w:t>5</w:t>
        </w:r>
        <w:r w:rsidR="00C71C61">
          <w:rPr>
            <w:webHidden/>
          </w:rPr>
          <w:fldChar w:fldCharType="end"/>
        </w:r>
      </w:hyperlink>
    </w:p>
    <w:p w14:paraId="2A8AC5E9" w14:textId="3BDE69A4" w:rsidR="00C71C61" w:rsidRPr="004D3350" w:rsidRDefault="009B2AE3">
      <w:pPr>
        <w:pStyle w:val="TOC2"/>
        <w:rPr>
          <w:rFonts w:ascii="Cambria" w:eastAsia="MS Mincho" w:hAnsi="Cambria"/>
          <w:lang w:val="en-AU" w:eastAsia="en-AU"/>
        </w:rPr>
      </w:pPr>
      <w:hyperlink w:anchor="_Toc55464769" w:history="1">
        <w:r w:rsidR="00C71C61" w:rsidRPr="00BD05CB">
          <w:rPr>
            <w:rStyle w:val="Hyperlink"/>
            <w:lang w:val="en-AU"/>
          </w:rPr>
          <w:t>2.3.</w:t>
        </w:r>
        <w:r w:rsidR="00C71C61" w:rsidRPr="004D3350">
          <w:rPr>
            <w:rFonts w:ascii="Cambria" w:eastAsia="MS Mincho" w:hAnsi="Cambria"/>
            <w:lang w:val="en-AU" w:eastAsia="en-AU"/>
          </w:rPr>
          <w:tab/>
        </w:r>
        <w:r w:rsidR="00C71C61" w:rsidRPr="00BD05CB">
          <w:rPr>
            <w:rStyle w:val="Hyperlink"/>
            <w:lang w:val="en-AU"/>
          </w:rPr>
          <w:t>Signs and symptoms associated with DSCATT</w:t>
        </w:r>
        <w:r w:rsidR="00C71C61">
          <w:rPr>
            <w:webHidden/>
          </w:rPr>
          <w:tab/>
        </w:r>
        <w:r w:rsidR="00C71C61">
          <w:rPr>
            <w:webHidden/>
          </w:rPr>
          <w:fldChar w:fldCharType="begin"/>
        </w:r>
        <w:r w:rsidR="00C71C61">
          <w:rPr>
            <w:webHidden/>
          </w:rPr>
          <w:instrText xml:space="preserve"> PAGEREF _Toc55464769 \h </w:instrText>
        </w:r>
        <w:r w:rsidR="00C71C61">
          <w:rPr>
            <w:webHidden/>
          </w:rPr>
        </w:r>
        <w:r w:rsidR="00C71C61">
          <w:rPr>
            <w:webHidden/>
          </w:rPr>
          <w:fldChar w:fldCharType="separate"/>
        </w:r>
        <w:r w:rsidR="00822580">
          <w:rPr>
            <w:webHidden/>
          </w:rPr>
          <w:t>5</w:t>
        </w:r>
        <w:r w:rsidR="00C71C61">
          <w:rPr>
            <w:webHidden/>
          </w:rPr>
          <w:fldChar w:fldCharType="end"/>
        </w:r>
      </w:hyperlink>
    </w:p>
    <w:p w14:paraId="28D7551C" w14:textId="1305D92A" w:rsidR="00C71C61" w:rsidRPr="004D3350" w:rsidRDefault="009B2AE3">
      <w:pPr>
        <w:pStyle w:val="TOC1"/>
        <w:rPr>
          <w:rFonts w:ascii="Cambria" w:eastAsia="MS Mincho" w:hAnsi="Cambria"/>
          <w:b w:val="0"/>
          <w:caps w:val="0"/>
          <w:lang w:val="en-AU" w:eastAsia="en-AU"/>
        </w:rPr>
      </w:pPr>
      <w:hyperlink w:anchor="_Toc55464770" w:history="1">
        <w:r w:rsidR="00C71C61" w:rsidRPr="00BD05CB">
          <w:rPr>
            <w:rStyle w:val="Hyperlink"/>
            <w:lang w:val="en-AU"/>
          </w:rPr>
          <w:t>3.</w:t>
        </w:r>
        <w:r w:rsidR="00C71C61" w:rsidRPr="004D3350">
          <w:rPr>
            <w:rFonts w:ascii="Cambria" w:eastAsia="MS Mincho" w:hAnsi="Cambria"/>
            <w:b w:val="0"/>
            <w:caps w:val="0"/>
            <w:lang w:val="en-AU" w:eastAsia="en-AU"/>
          </w:rPr>
          <w:tab/>
        </w:r>
        <w:r w:rsidR="00C71C61" w:rsidRPr="00BD05CB">
          <w:rPr>
            <w:rStyle w:val="Hyperlink"/>
            <w:lang w:val="en-AU"/>
          </w:rPr>
          <w:t>Differential diagnosis</w:t>
        </w:r>
        <w:r w:rsidR="00C71C61">
          <w:rPr>
            <w:webHidden/>
          </w:rPr>
          <w:tab/>
        </w:r>
        <w:r w:rsidR="00C71C61">
          <w:rPr>
            <w:webHidden/>
          </w:rPr>
          <w:fldChar w:fldCharType="begin"/>
        </w:r>
        <w:r w:rsidR="00C71C61">
          <w:rPr>
            <w:webHidden/>
          </w:rPr>
          <w:instrText xml:space="preserve"> PAGEREF _Toc55464770 \h </w:instrText>
        </w:r>
        <w:r w:rsidR="00C71C61">
          <w:rPr>
            <w:webHidden/>
          </w:rPr>
        </w:r>
        <w:r w:rsidR="00C71C61">
          <w:rPr>
            <w:webHidden/>
          </w:rPr>
          <w:fldChar w:fldCharType="separate"/>
        </w:r>
        <w:r w:rsidR="00822580">
          <w:rPr>
            <w:webHidden/>
          </w:rPr>
          <w:t>6</w:t>
        </w:r>
        <w:r w:rsidR="00C71C61">
          <w:rPr>
            <w:webHidden/>
          </w:rPr>
          <w:fldChar w:fldCharType="end"/>
        </w:r>
      </w:hyperlink>
    </w:p>
    <w:p w14:paraId="67E8E85D" w14:textId="6DA34188" w:rsidR="00C71C61" w:rsidRPr="004D3350" w:rsidRDefault="009B2AE3">
      <w:pPr>
        <w:pStyle w:val="TOC2"/>
        <w:rPr>
          <w:rFonts w:ascii="Cambria" w:eastAsia="MS Mincho" w:hAnsi="Cambria"/>
          <w:lang w:val="en-AU" w:eastAsia="en-AU"/>
        </w:rPr>
      </w:pPr>
      <w:hyperlink w:anchor="_Toc55464771" w:history="1">
        <w:r w:rsidR="00C71C61" w:rsidRPr="00BD05CB">
          <w:rPr>
            <w:rStyle w:val="Hyperlink"/>
            <w:lang w:val="en-AU"/>
          </w:rPr>
          <w:t>3.1.</w:t>
        </w:r>
        <w:r w:rsidR="00C71C61" w:rsidRPr="004D3350">
          <w:rPr>
            <w:rFonts w:ascii="Cambria" w:eastAsia="MS Mincho" w:hAnsi="Cambria"/>
            <w:lang w:val="en-AU" w:eastAsia="en-AU"/>
          </w:rPr>
          <w:tab/>
        </w:r>
        <w:r w:rsidR="00C71C61" w:rsidRPr="00BD05CB">
          <w:rPr>
            <w:rStyle w:val="Hyperlink"/>
            <w:lang w:val="en-AU"/>
          </w:rPr>
          <w:t>Lyme disease</w:t>
        </w:r>
        <w:r w:rsidR="00C71C61">
          <w:rPr>
            <w:webHidden/>
          </w:rPr>
          <w:tab/>
        </w:r>
        <w:r w:rsidR="00C71C61">
          <w:rPr>
            <w:webHidden/>
          </w:rPr>
          <w:fldChar w:fldCharType="begin"/>
        </w:r>
        <w:r w:rsidR="00C71C61">
          <w:rPr>
            <w:webHidden/>
          </w:rPr>
          <w:instrText xml:space="preserve"> PAGEREF _Toc55464771 \h </w:instrText>
        </w:r>
        <w:r w:rsidR="00C71C61">
          <w:rPr>
            <w:webHidden/>
          </w:rPr>
        </w:r>
        <w:r w:rsidR="00C71C61">
          <w:rPr>
            <w:webHidden/>
          </w:rPr>
          <w:fldChar w:fldCharType="separate"/>
        </w:r>
        <w:r w:rsidR="00822580">
          <w:rPr>
            <w:webHidden/>
          </w:rPr>
          <w:t>6</w:t>
        </w:r>
        <w:r w:rsidR="00C71C61">
          <w:rPr>
            <w:webHidden/>
          </w:rPr>
          <w:fldChar w:fldCharType="end"/>
        </w:r>
      </w:hyperlink>
    </w:p>
    <w:p w14:paraId="6D2725C7" w14:textId="034615E9" w:rsidR="00C71C61" w:rsidRPr="004D3350" w:rsidRDefault="009B2AE3">
      <w:pPr>
        <w:pStyle w:val="TOC3"/>
        <w:tabs>
          <w:tab w:val="left" w:pos="2268"/>
        </w:tabs>
        <w:rPr>
          <w:rFonts w:ascii="Cambria" w:eastAsia="MS Mincho" w:hAnsi="Cambria"/>
          <w:sz w:val="22"/>
          <w:lang w:val="en-AU" w:eastAsia="en-AU"/>
        </w:rPr>
      </w:pPr>
      <w:hyperlink w:anchor="_Toc55464772" w:history="1">
        <w:r w:rsidR="00C71C61" w:rsidRPr="00BD05CB">
          <w:rPr>
            <w:rStyle w:val="Hyperlink"/>
            <w:lang w:val="en-AU" w:eastAsia="en-AU"/>
          </w:rPr>
          <w:t>3.1.1.</w:t>
        </w:r>
        <w:r w:rsidR="00C71C61" w:rsidRPr="004D3350">
          <w:rPr>
            <w:rFonts w:ascii="Cambria" w:eastAsia="MS Mincho" w:hAnsi="Cambria"/>
            <w:sz w:val="22"/>
            <w:lang w:val="en-AU" w:eastAsia="en-AU"/>
          </w:rPr>
          <w:tab/>
        </w:r>
        <w:r w:rsidR="00C71C61" w:rsidRPr="00BD05CB">
          <w:rPr>
            <w:rStyle w:val="Hyperlink"/>
            <w:lang w:val="en-AU" w:eastAsia="en-AU"/>
          </w:rPr>
          <w:t>Transmission and geographical distribution of Lyme disease</w:t>
        </w:r>
        <w:r w:rsidR="00C71C61">
          <w:rPr>
            <w:webHidden/>
          </w:rPr>
          <w:tab/>
        </w:r>
        <w:r w:rsidR="00C71C61">
          <w:rPr>
            <w:webHidden/>
          </w:rPr>
          <w:fldChar w:fldCharType="begin"/>
        </w:r>
        <w:r w:rsidR="00C71C61">
          <w:rPr>
            <w:webHidden/>
          </w:rPr>
          <w:instrText xml:space="preserve"> PAGEREF _Toc55464772 \h </w:instrText>
        </w:r>
        <w:r w:rsidR="00C71C61">
          <w:rPr>
            <w:webHidden/>
          </w:rPr>
        </w:r>
        <w:r w:rsidR="00C71C61">
          <w:rPr>
            <w:webHidden/>
          </w:rPr>
          <w:fldChar w:fldCharType="separate"/>
        </w:r>
        <w:r w:rsidR="00822580">
          <w:rPr>
            <w:webHidden/>
          </w:rPr>
          <w:t>6</w:t>
        </w:r>
        <w:r w:rsidR="00C71C61">
          <w:rPr>
            <w:webHidden/>
          </w:rPr>
          <w:fldChar w:fldCharType="end"/>
        </w:r>
      </w:hyperlink>
    </w:p>
    <w:p w14:paraId="11E13603" w14:textId="05681050" w:rsidR="00C71C61" w:rsidRPr="004D3350" w:rsidRDefault="009B2AE3">
      <w:pPr>
        <w:pStyle w:val="TOC3"/>
        <w:tabs>
          <w:tab w:val="left" w:pos="2268"/>
        </w:tabs>
        <w:rPr>
          <w:rFonts w:ascii="Cambria" w:eastAsia="MS Mincho" w:hAnsi="Cambria"/>
          <w:sz w:val="22"/>
          <w:lang w:val="en-AU" w:eastAsia="en-AU"/>
        </w:rPr>
      </w:pPr>
      <w:hyperlink w:anchor="_Toc55464773" w:history="1">
        <w:r w:rsidR="00C71C61" w:rsidRPr="00BD05CB">
          <w:rPr>
            <w:rStyle w:val="Hyperlink"/>
            <w:lang w:val="en-AU"/>
          </w:rPr>
          <w:t>3.1.2.</w:t>
        </w:r>
        <w:r w:rsidR="00C71C61" w:rsidRPr="004D3350">
          <w:rPr>
            <w:rFonts w:ascii="Cambria" w:eastAsia="MS Mincho" w:hAnsi="Cambria"/>
            <w:sz w:val="22"/>
            <w:lang w:val="en-AU" w:eastAsia="en-AU"/>
          </w:rPr>
          <w:tab/>
        </w:r>
        <w:r w:rsidR="00C71C61" w:rsidRPr="00BD05CB">
          <w:rPr>
            <w:rStyle w:val="Hyperlink"/>
            <w:lang w:val="en-AU"/>
          </w:rPr>
          <w:t>Clinical presentation of Lyme disease</w:t>
        </w:r>
        <w:r w:rsidR="00C71C61">
          <w:rPr>
            <w:webHidden/>
          </w:rPr>
          <w:tab/>
        </w:r>
        <w:r w:rsidR="00C71C61">
          <w:rPr>
            <w:webHidden/>
          </w:rPr>
          <w:fldChar w:fldCharType="begin"/>
        </w:r>
        <w:r w:rsidR="00C71C61">
          <w:rPr>
            <w:webHidden/>
          </w:rPr>
          <w:instrText xml:space="preserve"> PAGEREF _Toc55464773 \h </w:instrText>
        </w:r>
        <w:r w:rsidR="00C71C61">
          <w:rPr>
            <w:webHidden/>
          </w:rPr>
        </w:r>
        <w:r w:rsidR="00C71C61">
          <w:rPr>
            <w:webHidden/>
          </w:rPr>
          <w:fldChar w:fldCharType="separate"/>
        </w:r>
        <w:r w:rsidR="00822580">
          <w:rPr>
            <w:webHidden/>
          </w:rPr>
          <w:t>8</w:t>
        </w:r>
        <w:r w:rsidR="00C71C61">
          <w:rPr>
            <w:webHidden/>
          </w:rPr>
          <w:fldChar w:fldCharType="end"/>
        </w:r>
      </w:hyperlink>
    </w:p>
    <w:p w14:paraId="07E1C82A" w14:textId="20BAF46D" w:rsidR="00C71C61" w:rsidRPr="004D3350" w:rsidRDefault="009B2AE3">
      <w:pPr>
        <w:pStyle w:val="TOC3"/>
        <w:tabs>
          <w:tab w:val="left" w:pos="2268"/>
        </w:tabs>
        <w:rPr>
          <w:rFonts w:ascii="Cambria" w:eastAsia="MS Mincho" w:hAnsi="Cambria"/>
          <w:sz w:val="22"/>
          <w:lang w:val="en-AU" w:eastAsia="en-AU"/>
        </w:rPr>
      </w:pPr>
      <w:hyperlink w:anchor="_Toc55464774" w:history="1">
        <w:r w:rsidR="00C71C61" w:rsidRPr="00BD05CB">
          <w:rPr>
            <w:rStyle w:val="Hyperlink"/>
            <w:lang w:val="en-AU" w:eastAsia="en-AU"/>
          </w:rPr>
          <w:t>3.1.3.</w:t>
        </w:r>
        <w:r w:rsidR="00C71C61" w:rsidRPr="004D3350">
          <w:rPr>
            <w:rFonts w:ascii="Cambria" w:eastAsia="MS Mincho" w:hAnsi="Cambria"/>
            <w:sz w:val="22"/>
            <w:lang w:val="en-AU" w:eastAsia="en-AU"/>
          </w:rPr>
          <w:tab/>
        </w:r>
        <w:r w:rsidR="00C71C61" w:rsidRPr="00BD05CB">
          <w:rPr>
            <w:rStyle w:val="Hyperlink"/>
            <w:lang w:val="en-AU" w:eastAsia="en-AU"/>
          </w:rPr>
          <w:t>Other presentations and considerations in diagnosing Lyme disease</w:t>
        </w:r>
        <w:r w:rsidR="00C71C61">
          <w:rPr>
            <w:webHidden/>
          </w:rPr>
          <w:tab/>
        </w:r>
        <w:r w:rsidR="00C71C61">
          <w:rPr>
            <w:webHidden/>
          </w:rPr>
          <w:fldChar w:fldCharType="begin"/>
        </w:r>
        <w:r w:rsidR="00C71C61">
          <w:rPr>
            <w:webHidden/>
          </w:rPr>
          <w:instrText xml:space="preserve"> PAGEREF _Toc55464774 \h </w:instrText>
        </w:r>
        <w:r w:rsidR="00C71C61">
          <w:rPr>
            <w:webHidden/>
          </w:rPr>
        </w:r>
        <w:r w:rsidR="00C71C61">
          <w:rPr>
            <w:webHidden/>
          </w:rPr>
          <w:fldChar w:fldCharType="separate"/>
        </w:r>
        <w:r w:rsidR="00822580">
          <w:rPr>
            <w:webHidden/>
          </w:rPr>
          <w:t>11</w:t>
        </w:r>
        <w:r w:rsidR="00C71C61">
          <w:rPr>
            <w:webHidden/>
          </w:rPr>
          <w:fldChar w:fldCharType="end"/>
        </w:r>
      </w:hyperlink>
    </w:p>
    <w:p w14:paraId="7BC8BA23" w14:textId="0BF32024" w:rsidR="00C71C61" w:rsidRPr="004D3350" w:rsidRDefault="009B2AE3">
      <w:pPr>
        <w:pStyle w:val="TOC3"/>
        <w:tabs>
          <w:tab w:val="left" w:pos="2268"/>
        </w:tabs>
        <w:rPr>
          <w:rFonts w:ascii="Cambria" w:eastAsia="MS Mincho" w:hAnsi="Cambria"/>
          <w:sz w:val="22"/>
          <w:lang w:val="en-AU" w:eastAsia="en-AU"/>
        </w:rPr>
      </w:pPr>
      <w:hyperlink w:anchor="_Toc55464775" w:history="1">
        <w:r w:rsidR="00C71C61" w:rsidRPr="00BD05CB">
          <w:rPr>
            <w:rStyle w:val="Hyperlink"/>
            <w:lang w:val="en-AU"/>
          </w:rPr>
          <w:t>3.1.4.</w:t>
        </w:r>
        <w:r w:rsidR="00C71C61" w:rsidRPr="004D3350">
          <w:rPr>
            <w:rFonts w:ascii="Cambria" w:eastAsia="MS Mincho" w:hAnsi="Cambria"/>
            <w:sz w:val="22"/>
            <w:lang w:val="en-AU" w:eastAsia="en-AU"/>
          </w:rPr>
          <w:tab/>
        </w:r>
        <w:r w:rsidR="00C71C61" w:rsidRPr="00BD05CB">
          <w:rPr>
            <w:rStyle w:val="Hyperlink"/>
            <w:lang w:val="en-AU"/>
          </w:rPr>
          <w:t>Situation in Australia in considering a differential diagnosis of Lyme disease</w:t>
        </w:r>
        <w:r w:rsidR="00C71C61">
          <w:rPr>
            <w:webHidden/>
          </w:rPr>
          <w:tab/>
        </w:r>
        <w:r w:rsidR="00C71C61">
          <w:rPr>
            <w:webHidden/>
          </w:rPr>
          <w:fldChar w:fldCharType="begin"/>
        </w:r>
        <w:r w:rsidR="00C71C61">
          <w:rPr>
            <w:webHidden/>
          </w:rPr>
          <w:instrText xml:space="preserve"> PAGEREF _Toc55464775 \h </w:instrText>
        </w:r>
        <w:r w:rsidR="00C71C61">
          <w:rPr>
            <w:webHidden/>
          </w:rPr>
        </w:r>
        <w:r w:rsidR="00C71C61">
          <w:rPr>
            <w:webHidden/>
          </w:rPr>
          <w:fldChar w:fldCharType="separate"/>
        </w:r>
        <w:r w:rsidR="00822580">
          <w:rPr>
            <w:webHidden/>
          </w:rPr>
          <w:t>12</w:t>
        </w:r>
        <w:r w:rsidR="00C71C61">
          <w:rPr>
            <w:webHidden/>
          </w:rPr>
          <w:fldChar w:fldCharType="end"/>
        </w:r>
      </w:hyperlink>
    </w:p>
    <w:p w14:paraId="5E99CA79" w14:textId="63F94C87" w:rsidR="00C71C61" w:rsidRPr="004D3350" w:rsidRDefault="009B2AE3">
      <w:pPr>
        <w:pStyle w:val="TOC3"/>
        <w:tabs>
          <w:tab w:val="left" w:pos="2268"/>
        </w:tabs>
        <w:rPr>
          <w:rFonts w:ascii="Cambria" w:eastAsia="MS Mincho" w:hAnsi="Cambria"/>
          <w:sz w:val="22"/>
          <w:lang w:val="en-AU" w:eastAsia="en-AU"/>
        </w:rPr>
      </w:pPr>
      <w:hyperlink w:anchor="_Toc55464776" w:history="1">
        <w:r w:rsidR="00C71C61" w:rsidRPr="00BD05CB">
          <w:rPr>
            <w:rStyle w:val="Hyperlink"/>
            <w:lang w:val="en-AU"/>
          </w:rPr>
          <w:t>3.1.5.</w:t>
        </w:r>
        <w:r w:rsidR="00C71C61" w:rsidRPr="004D3350">
          <w:rPr>
            <w:rFonts w:ascii="Cambria" w:eastAsia="MS Mincho" w:hAnsi="Cambria"/>
            <w:sz w:val="22"/>
            <w:lang w:val="en-AU" w:eastAsia="en-AU"/>
          </w:rPr>
          <w:tab/>
        </w:r>
        <w:r w:rsidR="00C71C61" w:rsidRPr="00BD05CB">
          <w:rPr>
            <w:rStyle w:val="Hyperlink"/>
            <w:lang w:val="en-AU"/>
          </w:rPr>
          <w:t>Consult with appropriate Australian experts in infectious diseases</w:t>
        </w:r>
        <w:r w:rsidR="00C71C61">
          <w:rPr>
            <w:webHidden/>
          </w:rPr>
          <w:tab/>
        </w:r>
        <w:r w:rsidR="00C71C61">
          <w:rPr>
            <w:webHidden/>
          </w:rPr>
          <w:fldChar w:fldCharType="begin"/>
        </w:r>
        <w:r w:rsidR="00C71C61">
          <w:rPr>
            <w:webHidden/>
          </w:rPr>
          <w:instrText xml:space="preserve"> PAGEREF _Toc55464776 \h </w:instrText>
        </w:r>
        <w:r w:rsidR="00C71C61">
          <w:rPr>
            <w:webHidden/>
          </w:rPr>
        </w:r>
        <w:r w:rsidR="00C71C61">
          <w:rPr>
            <w:webHidden/>
          </w:rPr>
          <w:fldChar w:fldCharType="separate"/>
        </w:r>
        <w:r w:rsidR="00822580">
          <w:rPr>
            <w:webHidden/>
          </w:rPr>
          <w:t>12</w:t>
        </w:r>
        <w:r w:rsidR="00C71C61">
          <w:rPr>
            <w:webHidden/>
          </w:rPr>
          <w:fldChar w:fldCharType="end"/>
        </w:r>
      </w:hyperlink>
    </w:p>
    <w:p w14:paraId="4CF9643D" w14:textId="21C6BFF6" w:rsidR="00C71C61" w:rsidRPr="004D3350" w:rsidRDefault="009B2AE3">
      <w:pPr>
        <w:pStyle w:val="TOC3"/>
        <w:tabs>
          <w:tab w:val="left" w:pos="2268"/>
        </w:tabs>
        <w:rPr>
          <w:rFonts w:ascii="Cambria" w:eastAsia="MS Mincho" w:hAnsi="Cambria"/>
          <w:sz w:val="22"/>
          <w:lang w:val="en-AU" w:eastAsia="en-AU"/>
        </w:rPr>
      </w:pPr>
      <w:hyperlink w:anchor="_Toc55464777" w:history="1">
        <w:r w:rsidR="00C71C61" w:rsidRPr="00BD05CB">
          <w:rPr>
            <w:rStyle w:val="Hyperlink"/>
            <w:lang w:val="en-AU"/>
          </w:rPr>
          <w:t>3.1.6.</w:t>
        </w:r>
        <w:r w:rsidR="00C71C61" w:rsidRPr="004D3350">
          <w:rPr>
            <w:rFonts w:ascii="Cambria" w:eastAsia="MS Mincho" w:hAnsi="Cambria"/>
            <w:sz w:val="22"/>
            <w:lang w:val="en-AU" w:eastAsia="en-AU"/>
          </w:rPr>
          <w:tab/>
        </w:r>
        <w:r w:rsidR="00C71C61" w:rsidRPr="00BD05CB">
          <w:rPr>
            <w:rStyle w:val="Hyperlink"/>
            <w:lang w:val="en-AU"/>
          </w:rPr>
          <w:t>If EM rash is present and following appropriate expert advice, offer antibiotic treatment</w:t>
        </w:r>
        <w:r w:rsidR="00C71C61">
          <w:rPr>
            <w:webHidden/>
          </w:rPr>
          <w:tab/>
        </w:r>
        <w:r w:rsidR="00C71C61">
          <w:rPr>
            <w:webHidden/>
          </w:rPr>
          <w:fldChar w:fldCharType="begin"/>
        </w:r>
        <w:r w:rsidR="00C71C61">
          <w:rPr>
            <w:webHidden/>
          </w:rPr>
          <w:instrText xml:space="preserve"> PAGEREF _Toc55464777 \h </w:instrText>
        </w:r>
        <w:r w:rsidR="00C71C61">
          <w:rPr>
            <w:webHidden/>
          </w:rPr>
        </w:r>
        <w:r w:rsidR="00C71C61">
          <w:rPr>
            <w:webHidden/>
          </w:rPr>
          <w:fldChar w:fldCharType="separate"/>
        </w:r>
        <w:r w:rsidR="00822580">
          <w:rPr>
            <w:webHidden/>
          </w:rPr>
          <w:t>13</w:t>
        </w:r>
        <w:r w:rsidR="00C71C61">
          <w:rPr>
            <w:webHidden/>
          </w:rPr>
          <w:fldChar w:fldCharType="end"/>
        </w:r>
      </w:hyperlink>
    </w:p>
    <w:p w14:paraId="168761A9" w14:textId="1BD951E6" w:rsidR="00C71C61" w:rsidRPr="004D3350" w:rsidRDefault="009B2AE3">
      <w:pPr>
        <w:pStyle w:val="TOC2"/>
        <w:rPr>
          <w:rFonts w:ascii="Cambria" w:eastAsia="MS Mincho" w:hAnsi="Cambria"/>
          <w:lang w:val="en-AU" w:eastAsia="en-AU"/>
        </w:rPr>
      </w:pPr>
      <w:hyperlink w:anchor="_Toc55464778" w:history="1">
        <w:r w:rsidR="00C71C61" w:rsidRPr="00BD05CB">
          <w:rPr>
            <w:rStyle w:val="Hyperlink"/>
            <w:lang w:val="en-AU"/>
          </w:rPr>
          <w:t>3.2.</w:t>
        </w:r>
        <w:r w:rsidR="00C71C61" w:rsidRPr="004D3350">
          <w:rPr>
            <w:rFonts w:ascii="Cambria" w:eastAsia="MS Mincho" w:hAnsi="Cambria"/>
            <w:lang w:val="en-AU" w:eastAsia="en-AU"/>
          </w:rPr>
          <w:tab/>
        </w:r>
        <w:r w:rsidR="00C71C61" w:rsidRPr="00BD05CB">
          <w:rPr>
            <w:rStyle w:val="Hyperlink"/>
            <w:lang w:val="en-AU"/>
          </w:rPr>
          <w:t>Tick-borne disease known to be acquired in Australia</w:t>
        </w:r>
        <w:r w:rsidR="00C71C61">
          <w:rPr>
            <w:webHidden/>
          </w:rPr>
          <w:tab/>
        </w:r>
        <w:r w:rsidR="00C71C61">
          <w:rPr>
            <w:webHidden/>
          </w:rPr>
          <w:fldChar w:fldCharType="begin"/>
        </w:r>
        <w:r w:rsidR="00C71C61">
          <w:rPr>
            <w:webHidden/>
          </w:rPr>
          <w:instrText xml:space="preserve"> PAGEREF _Toc55464778 \h </w:instrText>
        </w:r>
        <w:r w:rsidR="00C71C61">
          <w:rPr>
            <w:webHidden/>
          </w:rPr>
        </w:r>
        <w:r w:rsidR="00C71C61">
          <w:rPr>
            <w:webHidden/>
          </w:rPr>
          <w:fldChar w:fldCharType="separate"/>
        </w:r>
        <w:r w:rsidR="00822580">
          <w:rPr>
            <w:webHidden/>
          </w:rPr>
          <w:t>13</w:t>
        </w:r>
        <w:r w:rsidR="00C71C61">
          <w:rPr>
            <w:webHidden/>
          </w:rPr>
          <w:fldChar w:fldCharType="end"/>
        </w:r>
      </w:hyperlink>
    </w:p>
    <w:p w14:paraId="62BA60A4" w14:textId="394AF937" w:rsidR="00C71C61" w:rsidRPr="004D3350" w:rsidRDefault="009B2AE3">
      <w:pPr>
        <w:pStyle w:val="TOC3"/>
        <w:tabs>
          <w:tab w:val="left" w:pos="2268"/>
        </w:tabs>
        <w:rPr>
          <w:rFonts w:ascii="Cambria" w:eastAsia="MS Mincho" w:hAnsi="Cambria"/>
          <w:sz w:val="22"/>
          <w:lang w:val="en-AU" w:eastAsia="en-AU"/>
        </w:rPr>
      </w:pPr>
      <w:hyperlink w:anchor="_Toc55464779" w:history="1">
        <w:r w:rsidR="00C71C61" w:rsidRPr="00BD05CB">
          <w:rPr>
            <w:rStyle w:val="Hyperlink"/>
            <w:lang w:val="en-AU"/>
          </w:rPr>
          <w:t>3.2.1.</w:t>
        </w:r>
        <w:r w:rsidR="00C71C61" w:rsidRPr="004D3350">
          <w:rPr>
            <w:rFonts w:ascii="Cambria" w:eastAsia="MS Mincho" w:hAnsi="Cambria"/>
            <w:sz w:val="22"/>
            <w:lang w:val="en-AU" w:eastAsia="en-AU"/>
          </w:rPr>
          <w:tab/>
        </w:r>
        <w:r w:rsidR="00C71C61" w:rsidRPr="00BD05CB">
          <w:rPr>
            <w:rStyle w:val="Hyperlink"/>
            <w:lang w:val="en-AU"/>
          </w:rPr>
          <w:t>Suspect tick-borne disease if relevant symptoms but no overseas travel through a Lyme disease endemic area</w:t>
        </w:r>
        <w:r w:rsidR="00C71C61">
          <w:rPr>
            <w:webHidden/>
          </w:rPr>
          <w:tab/>
        </w:r>
        <w:r w:rsidR="00C71C61">
          <w:rPr>
            <w:webHidden/>
          </w:rPr>
          <w:fldChar w:fldCharType="begin"/>
        </w:r>
        <w:r w:rsidR="00C71C61">
          <w:rPr>
            <w:webHidden/>
          </w:rPr>
          <w:instrText xml:space="preserve"> PAGEREF _Toc55464779 \h </w:instrText>
        </w:r>
        <w:r w:rsidR="00C71C61">
          <w:rPr>
            <w:webHidden/>
          </w:rPr>
        </w:r>
        <w:r w:rsidR="00C71C61">
          <w:rPr>
            <w:webHidden/>
          </w:rPr>
          <w:fldChar w:fldCharType="separate"/>
        </w:r>
        <w:r w:rsidR="00822580">
          <w:rPr>
            <w:webHidden/>
          </w:rPr>
          <w:t>13</w:t>
        </w:r>
        <w:r w:rsidR="00C71C61">
          <w:rPr>
            <w:webHidden/>
          </w:rPr>
          <w:fldChar w:fldCharType="end"/>
        </w:r>
      </w:hyperlink>
    </w:p>
    <w:p w14:paraId="231A6206" w14:textId="31119908" w:rsidR="00C71C61" w:rsidRPr="004D3350" w:rsidRDefault="009B2AE3">
      <w:pPr>
        <w:pStyle w:val="TOC3"/>
        <w:tabs>
          <w:tab w:val="left" w:pos="2268"/>
        </w:tabs>
        <w:rPr>
          <w:rFonts w:ascii="Cambria" w:eastAsia="MS Mincho" w:hAnsi="Cambria"/>
          <w:sz w:val="22"/>
          <w:lang w:val="en-AU" w:eastAsia="en-AU"/>
        </w:rPr>
      </w:pPr>
      <w:hyperlink w:anchor="_Toc55464780" w:history="1">
        <w:r w:rsidR="00C71C61" w:rsidRPr="00BD05CB">
          <w:rPr>
            <w:rStyle w:val="Hyperlink"/>
            <w:lang w:val="en-AU"/>
          </w:rPr>
          <w:t>3.2.2.</w:t>
        </w:r>
        <w:r w:rsidR="00C71C61" w:rsidRPr="004D3350">
          <w:rPr>
            <w:rFonts w:ascii="Cambria" w:eastAsia="MS Mincho" w:hAnsi="Cambria"/>
            <w:sz w:val="22"/>
            <w:lang w:val="en-AU" w:eastAsia="en-AU"/>
          </w:rPr>
          <w:tab/>
        </w:r>
        <w:r w:rsidR="00C71C61" w:rsidRPr="00BD05CB">
          <w:rPr>
            <w:rStyle w:val="Hyperlink"/>
            <w:lang w:val="en-AU"/>
          </w:rPr>
          <w:t>Diagnosis of tick-borne disease known to exist in Australia is challenging</w:t>
        </w:r>
        <w:r w:rsidR="00C71C61">
          <w:rPr>
            <w:webHidden/>
          </w:rPr>
          <w:tab/>
        </w:r>
        <w:r w:rsidR="00C71C61">
          <w:rPr>
            <w:webHidden/>
          </w:rPr>
          <w:fldChar w:fldCharType="begin"/>
        </w:r>
        <w:r w:rsidR="00C71C61">
          <w:rPr>
            <w:webHidden/>
          </w:rPr>
          <w:instrText xml:space="preserve"> PAGEREF _Toc55464780 \h </w:instrText>
        </w:r>
        <w:r w:rsidR="00C71C61">
          <w:rPr>
            <w:webHidden/>
          </w:rPr>
        </w:r>
        <w:r w:rsidR="00C71C61">
          <w:rPr>
            <w:webHidden/>
          </w:rPr>
          <w:fldChar w:fldCharType="separate"/>
        </w:r>
        <w:r w:rsidR="00822580">
          <w:rPr>
            <w:webHidden/>
          </w:rPr>
          <w:t>14</w:t>
        </w:r>
        <w:r w:rsidR="00C71C61">
          <w:rPr>
            <w:webHidden/>
          </w:rPr>
          <w:fldChar w:fldCharType="end"/>
        </w:r>
      </w:hyperlink>
    </w:p>
    <w:p w14:paraId="462F4FFA" w14:textId="2C7C5FFB" w:rsidR="00C71C61" w:rsidRPr="004D3350" w:rsidRDefault="009B2AE3">
      <w:pPr>
        <w:pStyle w:val="TOC3"/>
        <w:tabs>
          <w:tab w:val="left" w:pos="2268"/>
        </w:tabs>
        <w:rPr>
          <w:rFonts w:ascii="Cambria" w:eastAsia="MS Mincho" w:hAnsi="Cambria"/>
          <w:sz w:val="22"/>
          <w:lang w:val="en-AU" w:eastAsia="en-AU"/>
        </w:rPr>
      </w:pPr>
      <w:hyperlink w:anchor="_Toc55464781" w:history="1">
        <w:r w:rsidR="00C71C61" w:rsidRPr="00BD05CB">
          <w:rPr>
            <w:rStyle w:val="Hyperlink"/>
            <w:lang w:val="en-AU"/>
          </w:rPr>
          <w:t>3.2.3.</w:t>
        </w:r>
        <w:r w:rsidR="00C71C61" w:rsidRPr="004D3350">
          <w:rPr>
            <w:rFonts w:ascii="Cambria" w:eastAsia="MS Mincho" w:hAnsi="Cambria"/>
            <w:sz w:val="22"/>
            <w:lang w:val="en-AU" w:eastAsia="en-AU"/>
          </w:rPr>
          <w:tab/>
        </w:r>
        <w:r w:rsidR="00C71C61" w:rsidRPr="00BD05CB">
          <w:rPr>
            <w:rStyle w:val="Hyperlink"/>
            <w:lang w:val="en-AU"/>
          </w:rPr>
          <w:t>Queensland Tick Typhus (QTT)</w:t>
        </w:r>
        <w:r w:rsidR="00C71C61">
          <w:rPr>
            <w:webHidden/>
          </w:rPr>
          <w:tab/>
        </w:r>
        <w:r w:rsidR="00C71C61">
          <w:rPr>
            <w:webHidden/>
          </w:rPr>
          <w:fldChar w:fldCharType="begin"/>
        </w:r>
        <w:r w:rsidR="00C71C61">
          <w:rPr>
            <w:webHidden/>
          </w:rPr>
          <w:instrText xml:space="preserve"> PAGEREF _Toc55464781 \h </w:instrText>
        </w:r>
        <w:r w:rsidR="00C71C61">
          <w:rPr>
            <w:webHidden/>
          </w:rPr>
        </w:r>
        <w:r w:rsidR="00C71C61">
          <w:rPr>
            <w:webHidden/>
          </w:rPr>
          <w:fldChar w:fldCharType="separate"/>
        </w:r>
        <w:r w:rsidR="00822580">
          <w:rPr>
            <w:webHidden/>
          </w:rPr>
          <w:t>14</w:t>
        </w:r>
        <w:r w:rsidR="00C71C61">
          <w:rPr>
            <w:webHidden/>
          </w:rPr>
          <w:fldChar w:fldCharType="end"/>
        </w:r>
      </w:hyperlink>
    </w:p>
    <w:p w14:paraId="201C14D2" w14:textId="17B1AE11" w:rsidR="00C71C61" w:rsidRPr="004D3350" w:rsidRDefault="009B2AE3">
      <w:pPr>
        <w:pStyle w:val="TOC3"/>
        <w:tabs>
          <w:tab w:val="left" w:pos="2268"/>
        </w:tabs>
        <w:rPr>
          <w:rFonts w:ascii="Cambria" w:eastAsia="MS Mincho" w:hAnsi="Cambria"/>
          <w:sz w:val="22"/>
          <w:lang w:val="en-AU" w:eastAsia="en-AU"/>
        </w:rPr>
      </w:pPr>
      <w:hyperlink w:anchor="_Toc55464782" w:history="1">
        <w:r w:rsidR="00C71C61" w:rsidRPr="00BD05CB">
          <w:rPr>
            <w:rStyle w:val="Hyperlink"/>
            <w:lang w:val="en-AU"/>
          </w:rPr>
          <w:t>3.2.4.</w:t>
        </w:r>
        <w:r w:rsidR="00C71C61" w:rsidRPr="004D3350">
          <w:rPr>
            <w:rFonts w:ascii="Cambria" w:eastAsia="MS Mincho" w:hAnsi="Cambria"/>
            <w:sz w:val="22"/>
            <w:lang w:val="en-AU" w:eastAsia="en-AU"/>
          </w:rPr>
          <w:tab/>
        </w:r>
        <w:r w:rsidR="00C71C61" w:rsidRPr="00BD05CB">
          <w:rPr>
            <w:rStyle w:val="Hyperlink"/>
            <w:lang w:val="en-AU"/>
          </w:rPr>
          <w:t xml:space="preserve">If QTT suspected, following advice from appropriate experts, start antibiotic therapy (see </w:t>
        </w:r>
        <w:r w:rsidR="00C71C61" w:rsidRPr="00BD05CB">
          <w:rPr>
            <w:rStyle w:val="Hyperlink"/>
            <w:i/>
            <w:iCs/>
            <w:lang w:val="en-AU"/>
          </w:rPr>
          <w:t>Therapeutic Guidelines:</w:t>
        </w:r>
        <w:r w:rsidR="00C71C61" w:rsidRPr="00BD05CB">
          <w:rPr>
            <w:rStyle w:val="Hyperlink"/>
            <w:lang w:val="en-AU"/>
          </w:rPr>
          <w:t xml:space="preserve"> </w:t>
        </w:r>
        <w:r w:rsidR="00C71C61" w:rsidRPr="00BD05CB">
          <w:rPr>
            <w:rStyle w:val="Hyperlink"/>
            <w:i/>
            <w:iCs/>
            <w:lang w:val="en-AU"/>
          </w:rPr>
          <w:t>Antibiotic</w:t>
        </w:r>
        <w:r w:rsidR="00C71C61" w:rsidRPr="00BD05CB">
          <w:rPr>
            <w:rStyle w:val="Hyperlink"/>
            <w:lang w:val="en-AU"/>
          </w:rPr>
          <w:t>)</w:t>
        </w:r>
        <w:r w:rsidR="00C71C61">
          <w:rPr>
            <w:webHidden/>
          </w:rPr>
          <w:tab/>
        </w:r>
        <w:r w:rsidR="00C71C61">
          <w:rPr>
            <w:webHidden/>
          </w:rPr>
          <w:fldChar w:fldCharType="begin"/>
        </w:r>
        <w:r w:rsidR="00C71C61">
          <w:rPr>
            <w:webHidden/>
          </w:rPr>
          <w:instrText xml:space="preserve"> PAGEREF _Toc55464782 \h </w:instrText>
        </w:r>
        <w:r w:rsidR="00C71C61">
          <w:rPr>
            <w:webHidden/>
          </w:rPr>
        </w:r>
        <w:r w:rsidR="00C71C61">
          <w:rPr>
            <w:webHidden/>
          </w:rPr>
          <w:fldChar w:fldCharType="separate"/>
        </w:r>
        <w:r w:rsidR="00822580">
          <w:rPr>
            <w:webHidden/>
          </w:rPr>
          <w:t>16</w:t>
        </w:r>
        <w:r w:rsidR="00C71C61">
          <w:rPr>
            <w:webHidden/>
          </w:rPr>
          <w:fldChar w:fldCharType="end"/>
        </w:r>
      </w:hyperlink>
    </w:p>
    <w:p w14:paraId="70577E73" w14:textId="4D6314F1" w:rsidR="00C71C61" w:rsidRPr="004D3350" w:rsidRDefault="009B2AE3">
      <w:pPr>
        <w:pStyle w:val="TOC3"/>
        <w:tabs>
          <w:tab w:val="left" w:pos="2268"/>
        </w:tabs>
        <w:rPr>
          <w:rFonts w:ascii="Cambria" w:eastAsia="MS Mincho" w:hAnsi="Cambria"/>
          <w:sz w:val="22"/>
          <w:lang w:val="en-AU" w:eastAsia="en-AU"/>
        </w:rPr>
      </w:pPr>
      <w:hyperlink w:anchor="_Toc55464783" w:history="1">
        <w:r w:rsidR="00C71C61" w:rsidRPr="00BD05CB">
          <w:rPr>
            <w:rStyle w:val="Hyperlink"/>
            <w:lang w:val="en-AU"/>
          </w:rPr>
          <w:t>3.2.5.</w:t>
        </w:r>
        <w:r w:rsidR="00C71C61" w:rsidRPr="004D3350">
          <w:rPr>
            <w:rFonts w:ascii="Cambria" w:eastAsia="MS Mincho" w:hAnsi="Cambria"/>
            <w:sz w:val="22"/>
            <w:lang w:val="en-AU" w:eastAsia="en-AU"/>
          </w:rPr>
          <w:tab/>
        </w:r>
        <w:r w:rsidR="00C71C61" w:rsidRPr="00BD05CB">
          <w:rPr>
            <w:rStyle w:val="Hyperlink"/>
            <w:lang w:val="en-AU"/>
          </w:rPr>
          <w:t>Australian Spotted Fever (ASF)</w:t>
        </w:r>
        <w:r w:rsidR="00C71C61">
          <w:rPr>
            <w:webHidden/>
          </w:rPr>
          <w:tab/>
        </w:r>
        <w:r w:rsidR="00C71C61">
          <w:rPr>
            <w:webHidden/>
          </w:rPr>
          <w:fldChar w:fldCharType="begin"/>
        </w:r>
        <w:r w:rsidR="00C71C61">
          <w:rPr>
            <w:webHidden/>
          </w:rPr>
          <w:instrText xml:space="preserve"> PAGEREF _Toc55464783 \h </w:instrText>
        </w:r>
        <w:r w:rsidR="00C71C61">
          <w:rPr>
            <w:webHidden/>
          </w:rPr>
        </w:r>
        <w:r w:rsidR="00C71C61">
          <w:rPr>
            <w:webHidden/>
          </w:rPr>
          <w:fldChar w:fldCharType="separate"/>
        </w:r>
        <w:r w:rsidR="00822580">
          <w:rPr>
            <w:webHidden/>
          </w:rPr>
          <w:t>17</w:t>
        </w:r>
        <w:r w:rsidR="00C71C61">
          <w:rPr>
            <w:webHidden/>
          </w:rPr>
          <w:fldChar w:fldCharType="end"/>
        </w:r>
      </w:hyperlink>
    </w:p>
    <w:p w14:paraId="679AEA86" w14:textId="170CA6C2" w:rsidR="00C71C61" w:rsidRPr="004D3350" w:rsidRDefault="009B2AE3">
      <w:pPr>
        <w:pStyle w:val="TOC3"/>
        <w:tabs>
          <w:tab w:val="left" w:pos="2268"/>
        </w:tabs>
        <w:rPr>
          <w:rFonts w:ascii="Cambria" w:eastAsia="MS Mincho" w:hAnsi="Cambria"/>
          <w:sz w:val="22"/>
          <w:lang w:val="en-AU" w:eastAsia="en-AU"/>
        </w:rPr>
      </w:pPr>
      <w:hyperlink w:anchor="_Toc55464784" w:history="1">
        <w:r w:rsidR="00C71C61" w:rsidRPr="00BD05CB">
          <w:rPr>
            <w:rStyle w:val="Hyperlink"/>
            <w:lang w:val="en-AU"/>
          </w:rPr>
          <w:t>3.2.6.</w:t>
        </w:r>
        <w:r w:rsidR="00C71C61" w:rsidRPr="004D3350">
          <w:rPr>
            <w:rFonts w:ascii="Cambria" w:eastAsia="MS Mincho" w:hAnsi="Cambria"/>
            <w:sz w:val="22"/>
            <w:lang w:val="en-AU" w:eastAsia="en-AU"/>
          </w:rPr>
          <w:tab/>
        </w:r>
        <w:r w:rsidR="00C71C61" w:rsidRPr="00BD05CB">
          <w:rPr>
            <w:rStyle w:val="Hyperlink"/>
            <w:lang w:val="en-AU"/>
          </w:rPr>
          <w:t>Flinders Island Spotted Fever (FISF)</w:t>
        </w:r>
        <w:r w:rsidR="00C71C61">
          <w:rPr>
            <w:webHidden/>
          </w:rPr>
          <w:tab/>
        </w:r>
        <w:r w:rsidR="00C71C61">
          <w:rPr>
            <w:webHidden/>
          </w:rPr>
          <w:fldChar w:fldCharType="begin"/>
        </w:r>
        <w:r w:rsidR="00C71C61">
          <w:rPr>
            <w:webHidden/>
          </w:rPr>
          <w:instrText xml:space="preserve"> PAGEREF _Toc55464784 \h </w:instrText>
        </w:r>
        <w:r w:rsidR="00C71C61">
          <w:rPr>
            <w:webHidden/>
          </w:rPr>
        </w:r>
        <w:r w:rsidR="00C71C61">
          <w:rPr>
            <w:webHidden/>
          </w:rPr>
          <w:fldChar w:fldCharType="separate"/>
        </w:r>
        <w:r w:rsidR="00822580">
          <w:rPr>
            <w:webHidden/>
          </w:rPr>
          <w:t>17</w:t>
        </w:r>
        <w:r w:rsidR="00C71C61">
          <w:rPr>
            <w:webHidden/>
          </w:rPr>
          <w:fldChar w:fldCharType="end"/>
        </w:r>
      </w:hyperlink>
    </w:p>
    <w:p w14:paraId="3D24147C" w14:textId="790F272B" w:rsidR="00C71C61" w:rsidRPr="004D3350" w:rsidRDefault="009B2AE3">
      <w:pPr>
        <w:pStyle w:val="TOC3"/>
        <w:tabs>
          <w:tab w:val="left" w:pos="2268"/>
        </w:tabs>
        <w:rPr>
          <w:rFonts w:ascii="Cambria" w:eastAsia="MS Mincho" w:hAnsi="Cambria"/>
          <w:sz w:val="22"/>
          <w:lang w:val="en-AU" w:eastAsia="en-AU"/>
        </w:rPr>
      </w:pPr>
      <w:hyperlink w:anchor="_Toc55464785" w:history="1">
        <w:r w:rsidR="00C71C61" w:rsidRPr="00BD05CB">
          <w:rPr>
            <w:rStyle w:val="Hyperlink"/>
            <w:lang w:val="en-AU"/>
          </w:rPr>
          <w:t>3.2.7.</w:t>
        </w:r>
        <w:r w:rsidR="00C71C61" w:rsidRPr="004D3350">
          <w:rPr>
            <w:rFonts w:ascii="Cambria" w:eastAsia="MS Mincho" w:hAnsi="Cambria"/>
            <w:sz w:val="22"/>
            <w:lang w:val="en-AU" w:eastAsia="en-AU"/>
          </w:rPr>
          <w:tab/>
        </w:r>
        <w:r w:rsidR="00C71C61" w:rsidRPr="00BD05CB">
          <w:rPr>
            <w:rStyle w:val="Hyperlink"/>
            <w:lang w:val="en-AU"/>
          </w:rPr>
          <w:t>Q fever</w:t>
        </w:r>
        <w:r w:rsidR="00C71C61">
          <w:rPr>
            <w:webHidden/>
          </w:rPr>
          <w:tab/>
        </w:r>
        <w:r w:rsidR="00C71C61">
          <w:rPr>
            <w:webHidden/>
          </w:rPr>
          <w:fldChar w:fldCharType="begin"/>
        </w:r>
        <w:r w:rsidR="00C71C61">
          <w:rPr>
            <w:webHidden/>
          </w:rPr>
          <w:instrText xml:space="preserve"> PAGEREF _Toc55464785 \h </w:instrText>
        </w:r>
        <w:r w:rsidR="00C71C61">
          <w:rPr>
            <w:webHidden/>
          </w:rPr>
        </w:r>
        <w:r w:rsidR="00C71C61">
          <w:rPr>
            <w:webHidden/>
          </w:rPr>
          <w:fldChar w:fldCharType="separate"/>
        </w:r>
        <w:r w:rsidR="00822580">
          <w:rPr>
            <w:webHidden/>
          </w:rPr>
          <w:t>18</w:t>
        </w:r>
        <w:r w:rsidR="00C71C61">
          <w:rPr>
            <w:webHidden/>
          </w:rPr>
          <w:fldChar w:fldCharType="end"/>
        </w:r>
      </w:hyperlink>
    </w:p>
    <w:p w14:paraId="2C32B1EA" w14:textId="2790F4F9" w:rsidR="00C71C61" w:rsidRPr="004D3350" w:rsidRDefault="009B2AE3">
      <w:pPr>
        <w:pStyle w:val="TOC3"/>
        <w:tabs>
          <w:tab w:val="left" w:pos="2268"/>
        </w:tabs>
        <w:rPr>
          <w:rFonts w:ascii="Cambria" w:eastAsia="MS Mincho" w:hAnsi="Cambria"/>
          <w:sz w:val="22"/>
          <w:lang w:val="en-AU" w:eastAsia="en-AU"/>
        </w:rPr>
      </w:pPr>
      <w:hyperlink w:anchor="_Toc55464786" w:history="1">
        <w:r w:rsidR="00C71C61" w:rsidRPr="00BD05CB">
          <w:rPr>
            <w:rStyle w:val="Hyperlink"/>
            <w:lang w:val="en-AU"/>
          </w:rPr>
          <w:t>3.2.8.</w:t>
        </w:r>
        <w:r w:rsidR="00C71C61" w:rsidRPr="004D3350">
          <w:rPr>
            <w:rFonts w:ascii="Cambria" w:eastAsia="MS Mincho" w:hAnsi="Cambria"/>
            <w:sz w:val="22"/>
            <w:lang w:val="en-AU" w:eastAsia="en-AU"/>
          </w:rPr>
          <w:tab/>
        </w:r>
        <w:r w:rsidR="00C71C61" w:rsidRPr="00BD05CB">
          <w:rPr>
            <w:rStyle w:val="Hyperlink"/>
            <w:lang w:val="en-AU"/>
          </w:rPr>
          <w:t>If Q fever suspected clinically (appropriate symptoms AND at high risk epidemiologically), commence empirical treatment while waiting for laboratory tests</w:t>
        </w:r>
        <w:r w:rsidR="00C71C61">
          <w:rPr>
            <w:webHidden/>
          </w:rPr>
          <w:tab/>
        </w:r>
        <w:r w:rsidR="00C71C61">
          <w:rPr>
            <w:webHidden/>
          </w:rPr>
          <w:fldChar w:fldCharType="begin"/>
        </w:r>
        <w:r w:rsidR="00C71C61">
          <w:rPr>
            <w:webHidden/>
          </w:rPr>
          <w:instrText xml:space="preserve"> PAGEREF _Toc55464786 \h </w:instrText>
        </w:r>
        <w:r w:rsidR="00C71C61">
          <w:rPr>
            <w:webHidden/>
          </w:rPr>
        </w:r>
        <w:r w:rsidR="00C71C61">
          <w:rPr>
            <w:webHidden/>
          </w:rPr>
          <w:fldChar w:fldCharType="separate"/>
        </w:r>
        <w:r w:rsidR="00822580">
          <w:rPr>
            <w:webHidden/>
          </w:rPr>
          <w:t>21</w:t>
        </w:r>
        <w:r w:rsidR="00C71C61">
          <w:rPr>
            <w:webHidden/>
          </w:rPr>
          <w:fldChar w:fldCharType="end"/>
        </w:r>
      </w:hyperlink>
    </w:p>
    <w:p w14:paraId="2FE021D2" w14:textId="0D170717" w:rsidR="00C71C61" w:rsidRPr="004D3350" w:rsidRDefault="009B2AE3">
      <w:pPr>
        <w:pStyle w:val="TOC2"/>
        <w:rPr>
          <w:rFonts w:ascii="Cambria" w:eastAsia="MS Mincho" w:hAnsi="Cambria"/>
          <w:lang w:val="en-AU" w:eastAsia="en-AU"/>
        </w:rPr>
      </w:pPr>
      <w:hyperlink w:anchor="_Toc55464787" w:history="1">
        <w:r w:rsidR="00C71C61" w:rsidRPr="00BD05CB">
          <w:rPr>
            <w:rStyle w:val="Hyperlink"/>
            <w:lang w:val="en-AU"/>
          </w:rPr>
          <w:t>3.3.</w:t>
        </w:r>
        <w:r w:rsidR="00C71C61" w:rsidRPr="004D3350">
          <w:rPr>
            <w:rFonts w:ascii="Cambria" w:eastAsia="MS Mincho" w:hAnsi="Cambria"/>
            <w:lang w:val="en-AU" w:eastAsia="en-AU"/>
          </w:rPr>
          <w:tab/>
        </w:r>
        <w:r w:rsidR="00C71C61" w:rsidRPr="00BD05CB">
          <w:rPr>
            <w:rStyle w:val="Hyperlink"/>
            <w:lang w:val="en-AU"/>
          </w:rPr>
          <w:t>Patients presenting with persistent debilitating symptoms and no diagnosis</w:t>
        </w:r>
        <w:r w:rsidR="00C71C61">
          <w:rPr>
            <w:webHidden/>
          </w:rPr>
          <w:tab/>
        </w:r>
        <w:r w:rsidR="00C71C61">
          <w:rPr>
            <w:webHidden/>
          </w:rPr>
          <w:fldChar w:fldCharType="begin"/>
        </w:r>
        <w:r w:rsidR="00C71C61">
          <w:rPr>
            <w:webHidden/>
          </w:rPr>
          <w:instrText xml:space="preserve"> PAGEREF _Toc55464787 \h </w:instrText>
        </w:r>
        <w:r w:rsidR="00C71C61">
          <w:rPr>
            <w:webHidden/>
          </w:rPr>
        </w:r>
        <w:r w:rsidR="00C71C61">
          <w:rPr>
            <w:webHidden/>
          </w:rPr>
          <w:fldChar w:fldCharType="separate"/>
        </w:r>
        <w:r w:rsidR="00822580">
          <w:rPr>
            <w:webHidden/>
          </w:rPr>
          <w:t>21</w:t>
        </w:r>
        <w:r w:rsidR="00C71C61">
          <w:rPr>
            <w:webHidden/>
          </w:rPr>
          <w:fldChar w:fldCharType="end"/>
        </w:r>
      </w:hyperlink>
    </w:p>
    <w:p w14:paraId="447E3787" w14:textId="5646275C" w:rsidR="00C71C61" w:rsidRPr="004D3350" w:rsidRDefault="009B2AE3">
      <w:pPr>
        <w:pStyle w:val="TOC3"/>
        <w:tabs>
          <w:tab w:val="left" w:pos="2268"/>
        </w:tabs>
        <w:rPr>
          <w:rFonts w:ascii="Cambria" w:eastAsia="MS Mincho" w:hAnsi="Cambria"/>
          <w:sz w:val="22"/>
          <w:lang w:val="en-AU" w:eastAsia="en-AU"/>
        </w:rPr>
      </w:pPr>
      <w:hyperlink w:anchor="_Toc55464788" w:history="1">
        <w:r w:rsidR="00C71C61" w:rsidRPr="00BD05CB">
          <w:rPr>
            <w:rStyle w:val="Hyperlink"/>
            <w:lang w:val="en-AU"/>
          </w:rPr>
          <w:t>3.3.1.</w:t>
        </w:r>
        <w:r w:rsidR="00C71C61" w:rsidRPr="004D3350">
          <w:rPr>
            <w:rFonts w:ascii="Cambria" w:eastAsia="MS Mincho" w:hAnsi="Cambria"/>
            <w:sz w:val="22"/>
            <w:lang w:val="en-AU" w:eastAsia="en-AU"/>
          </w:rPr>
          <w:tab/>
        </w:r>
        <w:r w:rsidR="00C71C61" w:rsidRPr="00BD05CB">
          <w:rPr>
            <w:rStyle w:val="Hyperlink"/>
            <w:lang w:val="en-AU"/>
          </w:rPr>
          <w:t>If tick-borne disease is not suspected, consider alternative diagnoses</w:t>
        </w:r>
        <w:r w:rsidR="00C71C61">
          <w:rPr>
            <w:webHidden/>
          </w:rPr>
          <w:tab/>
        </w:r>
        <w:r w:rsidR="00C71C61">
          <w:rPr>
            <w:webHidden/>
          </w:rPr>
          <w:fldChar w:fldCharType="begin"/>
        </w:r>
        <w:r w:rsidR="00C71C61">
          <w:rPr>
            <w:webHidden/>
          </w:rPr>
          <w:instrText xml:space="preserve"> PAGEREF _Toc55464788 \h </w:instrText>
        </w:r>
        <w:r w:rsidR="00C71C61">
          <w:rPr>
            <w:webHidden/>
          </w:rPr>
        </w:r>
        <w:r w:rsidR="00C71C61">
          <w:rPr>
            <w:webHidden/>
          </w:rPr>
          <w:fldChar w:fldCharType="separate"/>
        </w:r>
        <w:r w:rsidR="00822580">
          <w:rPr>
            <w:webHidden/>
          </w:rPr>
          <w:t>21</w:t>
        </w:r>
        <w:r w:rsidR="00C71C61">
          <w:rPr>
            <w:webHidden/>
          </w:rPr>
          <w:fldChar w:fldCharType="end"/>
        </w:r>
      </w:hyperlink>
    </w:p>
    <w:p w14:paraId="3924FF66" w14:textId="0A56E0B0" w:rsidR="00C71C61" w:rsidRPr="004D3350" w:rsidRDefault="009B2AE3">
      <w:pPr>
        <w:pStyle w:val="TOC1"/>
        <w:rPr>
          <w:rFonts w:ascii="Cambria" w:eastAsia="MS Mincho" w:hAnsi="Cambria"/>
          <w:b w:val="0"/>
          <w:caps w:val="0"/>
          <w:lang w:val="en-AU" w:eastAsia="en-AU"/>
        </w:rPr>
      </w:pPr>
      <w:hyperlink w:anchor="_Toc55464789" w:history="1">
        <w:r w:rsidR="00C71C61" w:rsidRPr="00BD05CB">
          <w:rPr>
            <w:rStyle w:val="Hyperlink"/>
            <w:lang w:val="en-AU"/>
          </w:rPr>
          <w:t>4.</w:t>
        </w:r>
        <w:r w:rsidR="00C71C61" w:rsidRPr="004D3350">
          <w:rPr>
            <w:rFonts w:ascii="Cambria" w:eastAsia="MS Mincho" w:hAnsi="Cambria"/>
            <w:b w:val="0"/>
            <w:caps w:val="0"/>
            <w:lang w:val="en-AU" w:eastAsia="en-AU"/>
          </w:rPr>
          <w:tab/>
        </w:r>
        <w:r w:rsidR="00C71C61" w:rsidRPr="00BD05CB">
          <w:rPr>
            <w:rStyle w:val="Hyperlink"/>
            <w:lang w:val="en-AU"/>
          </w:rPr>
          <w:t>Diagnostic testing</w:t>
        </w:r>
        <w:r w:rsidR="00C71C61">
          <w:rPr>
            <w:webHidden/>
          </w:rPr>
          <w:tab/>
        </w:r>
        <w:r w:rsidR="00C71C61">
          <w:rPr>
            <w:webHidden/>
          </w:rPr>
          <w:fldChar w:fldCharType="begin"/>
        </w:r>
        <w:r w:rsidR="00C71C61">
          <w:rPr>
            <w:webHidden/>
          </w:rPr>
          <w:instrText xml:space="preserve"> PAGEREF _Toc55464789 \h </w:instrText>
        </w:r>
        <w:r w:rsidR="00C71C61">
          <w:rPr>
            <w:webHidden/>
          </w:rPr>
        </w:r>
        <w:r w:rsidR="00C71C61">
          <w:rPr>
            <w:webHidden/>
          </w:rPr>
          <w:fldChar w:fldCharType="separate"/>
        </w:r>
        <w:r w:rsidR="00822580">
          <w:rPr>
            <w:webHidden/>
          </w:rPr>
          <w:t>22</w:t>
        </w:r>
        <w:r w:rsidR="00C71C61">
          <w:rPr>
            <w:webHidden/>
          </w:rPr>
          <w:fldChar w:fldCharType="end"/>
        </w:r>
      </w:hyperlink>
    </w:p>
    <w:p w14:paraId="5B66BF39" w14:textId="24609615" w:rsidR="00C71C61" w:rsidRPr="004D3350" w:rsidRDefault="009B2AE3">
      <w:pPr>
        <w:pStyle w:val="TOC2"/>
        <w:rPr>
          <w:rFonts w:ascii="Cambria" w:eastAsia="MS Mincho" w:hAnsi="Cambria"/>
          <w:lang w:val="en-AU" w:eastAsia="en-AU"/>
        </w:rPr>
      </w:pPr>
      <w:hyperlink w:anchor="_Toc55464790" w:history="1">
        <w:r w:rsidR="00C71C61" w:rsidRPr="00BD05CB">
          <w:rPr>
            <w:rStyle w:val="Hyperlink"/>
            <w:lang w:val="en-AU"/>
          </w:rPr>
          <w:t>4.1.</w:t>
        </w:r>
        <w:r w:rsidR="00C71C61" w:rsidRPr="004D3350">
          <w:rPr>
            <w:rFonts w:ascii="Cambria" w:eastAsia="MS Mincho" w:hAnsi="Cambria"/>
            <w:lang w:val="en-AU" w:eastAsia="en-AU"/>
          </w:rPr>
          <w:tab/>
        </w:r>
        <w:r w:rsidR="00C71C61" w:rsidRPr="00BD05CB">
          <w:rPr>
            <w:rStyle w:val="Hyperlink"/>
            <w:lang w:val="en-AU"/>
          </w:rPr>
          <w:t>Lyme disease</w:t>
        </w:r>
        <w:r w:rsidR="00C71C61">
          <w:rPr>
            <w:webHidden/>
          </w:rPr>
          <w:tab/>
        </w:r>
        <w:r w:rsidR="00C71C61">
          <w:rPr>
            <w:webHidden/>
          </w:rPr>
          <w:fldChar w:fldCharType="begin"/>
        </w:r>
        <w:r w:rsidR="00C71C61">
          <w:rPr>
            <w:webHidden/>
          </w:rPr>
          <w:instrText xml:space="preserve"> PAGEREF _Toc55464790 \h </w:instrText>
        </w:r>
        <w:r w:rsidR="00C71C61">
          <w:rPr>
            <w:webHidden/>
          </w:rPr>
        </w:r>
        <w:r w:rsidR="00C71C61">
          <w:rPr>
            <w:webHidden/>
          </w:rPr>
          <w:fldChar w:fldCharType="separate"/>
        </w:r>
        <w:r w:rsidR="00822580">
          <w:rPr>
            <w:webHidden/>
          </w:rPr>
          <w:t>22</w:t>
        </w:r>
        <w:r w:rsidR="00C71C61">
          <w:rPr>
            <w:webHidden/>
          </w:rPr>
          <w:fldChar w:fldCharType="end"/>
        </w:r>
      </w:hyperlink>
    </w:p>
    <w:p w14:paraId="0FC2DF60" w14:textId="1485227F" w:rsidR="00C71C61" w:rsidRPr="004D3350" w:rsidRDefault="009B2AE3">
      <w:pPr>
        <w:pStyle w:val="TOC3"/>
        <w:tabs>
          <w:tab w:val="left" w:pos="2268"/>
        </w:tabs>
        <w:rPr>
          <w:rFonts w:ascii="Cambria" w:eastAsia="MS Mincho" w:hAnsi="Cambria"/>
          <w:sz w:val="22"/>
          <w:lang w:val="en-AU" w:eastAsia="en-AU"/>
        </w:rPr>
      </w:pPr>
      <w:hyperlink w:anchor="_Toc55464791" w:history="1">
        <w:r w:rsidR="00C71C61" w:rsidRPr="00BD05CB">
          <w:rPr>
            <w:rStyle w:val="Hyperlink"/>
            <w:lang w:val="en-AU"/>
          </w:rPr>
          <w:t>4.1.1.</w:t>
        </w:r>
        <w:r w:rsidR="00C71C61" w:rsidRPr="004D3350">
          <w:rPr>
            <w:rFonts w:ascii="Cambria" w:eastAsia="MS Mincho" w:hAnsi="Cambria"/>
            <w:sz w:val="22"/>
            <w:lang w:val="en-AU" w:eastAsia="en-AU"/>
          </w:rPr>
          <w:tab/>
        </w:r>
        <w:r w:rsidR="00C71C61" w:rsidRPr="00BD05CB">
          <w:rPr>
            <w:rStyle w:val="Hyperlink"/>
            <w:lang w:val="en-AU"/>
          </w:rPr>
          <w:t>Refer for laboratory testing for Lyme disease using a two-tier serology test in a NATA/RCPA accredited laboratory</w:t>
        </w:r>
        <w:r w:rsidR="00C71C61">
          <w:rPr>
            <w:webHidden/>
          </w:rPr>
          <w:tab/>
        </w:r>
        <w:r w:rsidR="00C71C61">
          <w:rPr>
            <w:webHidden/>
          </w:rPr>
          <w:fldChar w:fldCharType="begin"/>
        </w:r>
        <w:r w:rsidR="00C71C61">
          <w:rPr>
            <w:webHidden/>
          </w:rPr>
          <w:instrText xml:space="preserve"> PAGEREF _Toc55464791 \h </w:instrText>
        </w:r>
        <w:r w:rsidR="00C71C61">
          <w:rPr>
            <w:webHidden/>
          </w:rPr>
        </w:r>
        <w:r w:rsidR="00C71C61">
          <w:rPr>
            <w:webHidden/>
          </w:rPr>
          <w:fldChar w:fldCharType="separate"/>
        </w:r>
        <w:r w:rsidR="00822580">
          <w:rPr>
            <w:webHidden/>
          </w:rPr>
          <w:t>22</w:t>
        </w:r>
        <w:r w:rsidR="00C71C61">
          <w:rPr>
            <w:webHidden/>
          </w:rPr>
          <w:fldChar w:fldCharType="end"/>
        </w:r>
      </w:hyperlink>
    </w:p>
    <w:p w14:paraId="42002E68" w14:textId="743C4998" w:rsidR="00C71C61" w:rsidRPr="004D3350" w:rsidRDefault="009B2AE3">
      <w:pPr>
        <w:pStyle w:val="TOC3"/>
        <w:tabs>
          <w:tab w:val="left" w:pos="2268"/>
        </w:tabs>
        <w:rPr>
          <w:rFonts w:ascii="Cambria" w:eastAsia="MS Mincho" w:hAnsi="Cambria"/>
          <w:sz w:val="22"/>
          <w:lang w:val="en-AU" w:eastAsia="en-AU"/>
        </w:rPr>
      </w:pPr>
      <w:hyperlink w:anchor="_Toc55464792" w:history="1">
        <w:r w:rsidR="00C71C61" w:rsidRPr="00BD05CB">
          <w:rPr>
            <w:rStyle w:val="Hyperlink"/>
            <w:lang w:val="en-AU"/>
          </w:rPr>
          <w:t>4.1.2.</w:t>
        </w:r>
        <w:r w:rsidR="00C71C61" w:rsidRPr="004D3350">
          <w:rPr>
            <w:rFonts w:ascii="Cambria" w:eastAsia="MS Mincho" w:hAnsi="Cambria"/>
            <w:sz w:val="22"/>
            <w:lang w:val="en-AU" w:eastAsia="en-AU"/>
          </w:rPr>
          <w:tab/>
        </w:r>
        <w:r w:rsidR="00C71C61" w:rsidRPr="00BD05CB">
          <w:rPr>
            <w:rStyle w:val="Hyperlink"/>
            <w:lang w:val="en-AU"/>
          </w:rPr>
          <w:t>Provide advice to patients about the tests for Lyme disease</w:t>
        </w:r>
        <w:r w:rsidR="00C71C61">
          <w:rPr>
            <w:webHidden/>
          </w:rPr>
          <w:tab/>
        </w:r>
        <w:r w:rsidR="00C71C61">
          <w:rPr>
            <w:webHidden/>
          </w:rPr>
          <w:fldChar w:fldCharType="begin"/>
        </w:r>
        <w:r w:rsidR="00C71C61">
          <w:rPr>
            <w:webHidden/>
          </w:rPr>
          <w:instrText xml:space="preserve"> PAGEREF _Toc55464792 \h </w:instrText>
        </w:r>
        <w:r w:rsidR="00C71C61">
          <w:rPr>
            <w:webHidden/>
          </w:rPr>
        </w:r>
        <w:r w:rsidR="00C71C61">
          <w:rPr>
            <w:webHidden/>
          </w:rPr>
          <w:fldChar w:fldCharType="separate"/>
        </w:r>
        <w:r w:rsidR="00822580">
          <w:rPr>
            <w:webHidden/>
          </w:rPr>
          <w:t>24</w:t>
        </w:r>
        <w:r w:rsidR="00C71C61">
          <w:rPr>
            <w:webHidden/>
          </w:rPr>
          <w:fldChar w:fldCharType="end"/>
        </w:r>
      </w:hyperlink>
    </w:p>
    <w:p w14:paraId="1C011F07" w14:textId="0308DB2D" w:rsidR="00C71C61" w:rsidRPr="004D3350" w:rsidRDefault="009B2AE3">
      <w:pPr>
        <w:pStyle w:val="TOC3"/>
        <w:tabs>
          <w:tab w:val="left" w:pos="2268"/>
        </w:tabs>
        <w:rPr>
          <w:rFonts w:ascii="Cambria" w:eastAsia="MS Mincho" w:hAnsi="Cambria"/>
          <w:sz w:val="22"/>
          <w:lang w:val="en-AU" w:eastAsia="en-AU"/>
        </w:rPr>
      </w:pPr>
      <w:hyperlink w:anchor="_Toc55464793" w:history="1">
        <w:r w:rsidR="00C71C61" w:rsidRPr="00BD05CB">
          <w:rPr>
            <w:rStyle w:val="Hyperlink"/>
            <w:lang w:val="en-AU"/>
          </w:rPr>
          <w:t>4.1.3.</w:t>
        </w:r>
        <w:r w:rsidR="00C71C61" w:rsidRPr="004D3350">
          <w:rPr>
            <w:rFonts w:ascii="Cambria" w:eastAsia="MS Mincho" w:hAnsi="Cambria"/>
            <w:sz w:val="22"/>
            <w:lang w:val="en-AU" w:eastAsia="en-AU"/>
          </w:rPr>
          <w:tab/>
        </w:r>
        <w:r w:rsidR="00C71C61" w:rsidRPr="00BD05CB">
          <w:rPr>
            <w:rStyle w:val="Hyperlink"/>
            <w:lang w:val="en-AU"/>
          </w:rPr>
          <w:t>Commercially available laboratory testing methods to be avoided</w:t>
        </w:r>
        <w:r w:rsidR="00C71C61">
          <w:rPr>
            <w:webHidden/>
          </w:rPr>
          <w:tab/>
        </w:r>
        <w:r w:rsidR="00C71C61">
          <w:rPr>
            <w:webHidden/>
          </w:rPr>
          <w:fldChar w:fldCharType="begin"/>
        </w:r>
        <w:r w:rsidR="00C71C61">
          <w:rPr>
            <w:webHidden/>
          </w:rPr>
          <w:instrText xml:space="preserve"> PAGEREF _Toc55464793 \h </w:instrText>
        </w:r>
        <w:r w:rsidR="00C71C61">
          <w:rPr>
            <w:webHidden/>
          </w:rPr>
        </w:r>
        <w:r w:rsidR="00C71C61">
          <w:rPr>
            <w:webHidden/>
          </w:rPr>
          <w:fldChar w:fldCharType="separate"/>
        </w:r>
        <w:r w:rsidR="00822580">
          <w:rPr>
            <w:webHidden/>
          </w:rPr>
          <w:t>25</w:t>
        </w:r>
        <w:r w:rsidR="00C71C61">
          <w:rPr>
            <w:webHidden/>
          </w:rPr>
          <w:fldChar w:fldCharType="end"/>
        </w:r>
      </w:hyperlink>
    </w:p>
    <w:p w14:paraId="721021D0" w14:textId="22B9E672" w:rsidR="00C71C61" w:rsidRPr="004D3350" w:rsidRDefault="009B2AE3">
      <w:pPr>
        <w:pStyle w:val="TOC2"/>
        <w:rPr>
          <w:rFonts w:ascii="Cambria" w:eastAsia="MS Mincho" w:hAnsi="Cambria"/>
          <w:lang w:val="en-AU" w:eastAsia="en-AU"/>
        </w:rPr>
      </w:pPr>
      <w:hyperlink w:anchor="_Toc55464794" w:history="1">
        <w:r w:rsidR="00C71C61" w:rsidRPr="00BD05CB">
          <w:rPr>
            <w:rStyle w:val="Hyperlink"/>
            <w:lang w:val="en-AU"/>
          </w:rPr>
          <w:t>4.2.</w:t>
        </w:r>
        <w:r w:rsidR="00C71C61" w:rsidRPr="004D3350">
          <w:rPr>
            <w:rFonts w:ascii="Cambria" w:eastAsia="MS Mincho" w:hAnsi="Cambria"/>
            <w:lang w:val="en-AU" w:eastAsia="en-AU"/>
          </w:rPr>
          <w:tab/>
        </w:r>
        <w:r w:rsidR="00C71C61" w:rsidRPr="00BD05CB">
          <w:rPr>
            <w:rStyle w:val="Hyperlink"/>
            <w:lang w:val="en-AU"/>
          </w:rPr>
          <w:t>Tick-borne disease known to be acquired in Australia</w:t>
        </w:r>
        <w:r w:rsidR="00C71C61">
          <w:rPr>
            <w:webHidden/>
          </w:rPr>
          <w:tab/>
        </w:r>
        <w:r w:rsidR="00C71C61">
          <w:rPr>
            <w:webHidden/>
          </w:rPr>
          <w:fldChar w:fldCharType="begin"/>
        </w:r>
        <w:r w:rsidR="00C71C61">
          <w:rPr>
            <w:webHidden/>
          </w:rPr>
          <w:instrText xml:space="preserve"> PAGEREF _Toc55464794 \h </w:instrText>
        </w:r>
        <w:r w:rsidR="00C71C61">
          <w:rPr>
            <w:webHidden/>
          </w:rPr>
        </w:r>
        <w:r w:rsidR="00C71C61">
          <w:rPr>
            <w:webHidden/>
          </w:rPr>
          <w:fldChar w:fldCharType="separate"/>
        </w:r>
        <w:r w:rsidR="00822580">
          <w:rPr>
            <w:webHidden/>
          </w:rPr>
          <w:t>25</w:t>
        </w:r>
        <w:r w:rsidR="00C71C61">
          <w:rPr>
            <w:webHidden/>
          </w:rPr>
          <w:fldChar w:fldCharType="end"/>
        </w:r>
      </w:hyperlink>
    </w:p>
    <w:p w14:paraId="6FEE1355" w14:textId="7D34A15E" w:rsidR="00C71C61" w:rsidRPr="004D3350" w:rsidRDefault="009B2AE3">
      <w:pPr>
        <w:pStyle w:val="TOC3"/>
        <w:tabs>
          <w:tab w:val="left" w:pos="2268"/>
        </w:tabs>
        <w:rPr>
          <w:rFonts w:ascii="Cambria" w:eastAsia="MS Mincho" w:hAnsi="Cambria"/>
          <w:sz w:val="22"/>
          <w:lang w:val="en-AU" w:eastAsia="en-AU"/>
        </w:rPr>
      </w:pPr>
      <w:hyperlink w:anchor="_Toc55464795" w:history="1">
        <w:r w:rsidR="00C71C61" w:rsidRPr="00BD05CB">
          <w:rPr>
            <w:rStyle w:val="Hyperlink"/>
            <w:lang w:val="en-AU"/>
          </w:rPr>
          <w:t>4.2.1.</w:t>
        </w:r>
        <w:r w:rsidR="00C71C61" w:rsidRPr="004D3350">
          <w:rPr>
            <w:rFonts w:ascii="Cambria" w:eastAsia="MS Mincho" w:hAnsi="Cambria"/>
            <w:sz w:val="22"/>
            <w:lang w:val="en-AU" w:eastAsia="en-AU"/>
          </w:rPr>
          <w:tab/>
        </w:r>
        <w:r w:rsidR="00C71C61" w:rsidRPr="00BD05CB">
          <w:rPr>
            <w:rStyle w:val="Hyperlink"/>
            <w:lang w:val="en-AU"/>
          </w:rPr>
          <w:t>Refer for testing for known Australian tick-borne diseases</w:t>
        </w:r>
        <w:r w:rsidR="00C71C61">
          <w:rPr>
            <w:webHidden/>
          </w:rPr>
          <w:tab/>
        </w:r>
        <w:r w:rsidR="00C71C61">
          <w:rPr>
            <w:webHidden/>
          </w:rPr>
          <w:fldChar w:fldCharType="begin"/>
        </w:r>
        <w:r w:rsidR="00C71C61">
          <w:rPr>
            <w:webHidden/>
          </w:rPr>
          <w:instrText xml:space="preserve"> PAGEREF _Toc55464795 \h </w:instrText>
        </w:r>
        <w:r w:rsidR="00C71C61">
          <w:rPr>
            <w:webHidden/>
          </w:rPr>
        </w:r>
        <w:r w:rsidR="00C71C61">
          <w:rPr>
            <w:webHidden/>
          </w:rPr>
          <w:fldChar w:fldCharType="separate"/>
        </w:r>
        <w:r w:rsidR="00822580">
          <w:rPr>
            <w:webHidden/>
          </w:rPr>
          <w:t>25</w:t>
        </w:r>
        <w:r w:rsidR="00C71C61">
          <w:rPr>
            <w:webHidden/>
          </w:rPr>
          <w:fldChar w:fldCharType="end"/>
        </w:r>
      </w:hyperlink>
    </w:p>
    <w:p w14:paraId="1B689DF1" w14:textId="40C0DCE4" w:rsidR="00C71C61" w:rsidRPr="004D3350" w:rsidRDefault="009B2AE3">
      <w:pPr>
        <w:pStyle w:val="TOC2"/>
        <w:rPr>
          <w:rFonts w:ascii="Cambria" w:eastAsia="MS Mincho" w:hAnsi="Cambria"/>
          <w:lang w:val="en-AU" w:eastAsia="en-AU"/>
        </w:rPr>
      </w:pPr>
      <w:hyperlink w:anchor="_Toc55464796" w:history="1">
        <w:r w:rsidR="00C71C61" w:rsidRPr="00BD05CB">
          <w:rPr>
            <w:rStyle w:val="Hyperlink"/>
            <w:lang w:val="en-AU"/>
          </w:rPr>
          <w:t>4.3.</w:t>
        </w:r>
        <w:r w:rsidR="00C71C61" w:rsidRPr="004D3350">
          <w:rPr>
            <w:rFonts w:ascii="Cambria" w:eastAsia="MS Mincho" w:hAnsi="Cambria"/>
            <w:lang w:val="en-AU" w:eastAsia="en-AU"/>
          </w:rPr>
          <w:tab/>
        </w:r>
        <w:r w:rsidR="00C71C61" w:rsidRPr="00BD05CB">
          <w:rPr>
            <w:rStyle w:val="Hyperlink"/>
            <w:lang w:val="en-AU"/>
          </w:rPr>
          <w:t>Patient presenting with persistent debilitating symptoms and no diagnosis</w:t>
        </w:r>
        <w:r w:rsidR="00C71C61">
          <w:rPr>
            <w:webHidden/>
          </w:rPr>
          <w:tab/>
        </w:r>
        <w:r w:rsidR="00C71C61">
          <w:rPr>
            <w:webHidden/>
          </w:rPr>
          <w:fldChar w:fldCharType="begin"/>
        </w:r>
        <w:r w:rsidR="00C71C61">
          <w:rPr>
            <w:webHidden/>
          </w:rPr>
          <w:instrText xml:space="preserve"> PAGEREF _Toc55464796 \h </w:instrText>
        </w:r>
        <w:r w:rsidR="00C71C61">
          <w:rPr>
            <w:webHidden/>
          </w:rPr>
        </w:r>
        <w:r w:rsidR="00C71C61">
          <w:rPr>
            <w:webHidden/>
          </w:rPr>
          <w:fldChar w:fldCharType="separate"/>
        </w:r>
        <w:r w:rsidR="00822580">
          <w:rPr>
            <w:webHidden/>
          </w:rPr>
          <w:t>26</w:t>
        </w:r>
        <w:r w:rsidR="00C71C61">
          <w:rPr>
            <w:webHidden/>
          </w:rPr>
          <w:fldChar w:fldCharType="end"/>
        </w:r>
      </w:hyperlink>
    </w:p>
    <w:p w14:paraId="177FD5FC" w14:textId="50A66495" w:rsidR="00C71C61" w:rsidRPr="004D3350" w:rsidRDefault="009B2AE3">
      <w:pPr>
        <w:pStyle w:val="TOC1"/>
        <w:rPr>
          <w:rFonts w:ascii="Cambria" w:eastAsia="MS Mincho" w:hAnsi="Cambria"/>
          <w:b w:val="0"/>
          <w:caps w:val="0"/>
          <w:lang w:val="en-AU" w:eastAsia="en-AU"/>
        </w:rPr>
      </w:pPr>
      <w:hyperlink w:anchor="_Toc55464797" w:history="1">
        <w:r w:rsidR="00C71C61" w:rsidRPr="00BD05CB">
          <w:rPr>
            <w:rStyle w:val="Hyperlink"/>
            <w:lang w:val="en-AU"/>
          </w:rPr>
          <w:t>5.</w:t>
        </w:r>
        <w:r w:rsidR="00C71C61" w:rsidRPr="004D3350">
          <w:rPr>
            <w:rFonts w:ascii="Cambria" w:eastAsia="MS Mincho" w:hAnsi="Cambria"/>
            <w:b w:val="0"/>
            <w:caps w:val="0"/>
            <w:lang w:val="en-AU" w:eastAsia="en-AU"/>
          </w:rPr>
          <w:tab/>
        </w:r>
        <w:r w:rsidR="00C71C61" w:rsidRPr="00BD05CB">
          <w:rPr>
            <w:rStyle w:val="Hyperlink"/>
            <w:lang w:val="en-AU"/>
          </w:rPr>
          <w:t>Diagnosis</w:t>
        </w:r>
        <w:r w:rsidR="00C71C61">
          <w:rPr>
            <w:webHidden/>
          </w:rPr>
          <w:tab/>
        </w:r>
        <w:r w:rsidR="00C71C61">
          <w:rPr>
            <w:webHidden/>
          </w:rPr>
          <w:fldChar w:fldCharType="begin"/>
        </w:r>
        <w:r w:rsidR="00C71C61">
          <w:rPr>
            <w:webHidden/>
          </w:rPr>
          <w:instrText xml:space="preserve"> PAGEREF _Toc55464797 \h </w:instrText>
        </w:r>
        <w:r w:rsidR="00C71C61">
          <w:rPr>
            <w:webHidden/>
          </w:rPr>
        </w:r>
        <w:r w:rsidR="00C71C61">
          <w:rPr>
            <w:webHidden/>
          </w:rPr>
          <w:fldChar w:fldCharType="separate"/>
        </w:r>
        <w:r w:rsidR="00822580">
          <w:rPr>
            <w:webHidden/>
          </w:rPr>
          <w:t>27</w:t>
        </w:r>
        <w:r w:rsidR="00C71C61">
          <w:rPr>
            <w:webHidden/>
          </w:rPr>
          <w:fldChar w:fldCharType="end"/>
        </w:r>
      </w:hyperlink>
    </w:p>
    <w:p w14:paraId="1E40D733" w14:textId="75764065" w:rsidR="00C71C61" w:rsidRPr="004D3350" w:rsidRDefault="009B2AE3">
      <w:pPr>
        <w:pStyle w:val="TOC2"/>
        <w:rPr>
          <w:rFonts w:ascii="Cambria" w:eastAsia="MS Mincho" w:hAnsi="Cambria"/>
          <w:lang w:val="en-AU" w:eastAsia="en-AU"/>
        </w:rPr>
      </w:pPr>
      <w:hyperlink w:anchor="_Toc55464798" w:history="1">
        <w:r w:rsidR="00C71C61" w:rsidRPr="00BD05CB">
          <w:rPr>
            <w:rStyle w:val="Hyperlink"/>
            <w:lang w:val="en-AU"/>
          </w:rPr>
          <w:t>5.1.</w:t>
        </w:r>
        <w:r w:rsidR="00C71C61" w:rsidRPr="004D3350">
          <w:rPr>
            <w:rFonts w:ascii="Cambria" w:eastAsia="MS Mincho" w:hAnsi="Cambria"/>
            <w:lang w:val="en-AU" w:eastAsia="en-AU"/>
          </w:rPr>
          <w:tab/>
        </w:r>
        <w:r w:rsidR="00C71C61" w:rsidRPr="00BD05CB">
          <w:rPr>
            <w:rStyle w:val="Hyperlink"/>
            <w:lang w:val="en-AU"/>
          </w:rPr>
          <w:t>Lyme disease</w:t>
        </w:r>
        <w:r w:rsidR="00C71C61">
          <w:rPr>
            <w:webHidden/>
          </w:rPr>
          <w:tab/>
        </w:r>
        <w:r w:rsidR="00C71C61">
          <w:rPr>
            <w:webHidden/>
          </w:rPr>
          <w:fldChar w:fldCharType="begin"/>
        </w:r>
        <w:r w:rsidR="00C71C61">
          <w:rPr>
            <w:webHidden/>
          </w:rPr>
          <w:instrText xml:space="preserve"> PAGEREF _Toc55464798 \h </w:instrText>
        </w:r>
        <w:r w:rsidR="00C71C61">
          <w:rPr>
            <w:webHidden/>
          </w:rPr>
        </w:r>
        <w:r w:rsidR="00C71C61">
          <w:rPr>
            <w:webHidden/>
          </w:rPr>
          <w:fldChar w:fldCharType="separate"/>
        </w:r>
        <w:r w:rsidR="00822580">
          <w:rPr>
            <w:webHidden/>
          </w:rPr>
          <w:t>27</w:t>
        </w:r>
        <w:r w:rsidR="00C71C61">
          <w:rPr>
            <w:webHidden/>
          </w:rPr>
          <w:fldChar w:fldCharType="end"/>
        </w:r>
      </w:hyperlink>
    </w:p>
    <w:p w14:paraId="388C9146" w14:textId="64AC09A1" w:rsidR="00C71C61" w:rsidRPr="004D3350" w:rsidRDefault="009B2AE3">
      <w:pPr>
        <w:pStyle w:val="TOC3"/>
        <w:tabs>
          <w:tab w:val="left" w:pos="2268"/>
        </w:tabs>
        <w:rPr>
          <w:rFonts w:ascii="Cambria" w:eastAsia="MS Mincho" w:hAnsi="Cambria"/>
          <w:sz w:val="22"/>
          <w:lang w:val="en-AU" w:eastAsia="en-AU"/>
        </w:rPr>
      </w:pPr>
      <w:hyperlink w:anchor="_Toc55464799" w:history="1">
        <w:r w:rsidR="00C71C61" w:rsidRPr="00BD05CB">
          <w:rPr>
            <w:rStyle w:val="Hyperlink"/>
            <w:lang w:val="en-AU"/>
          </w:rPr>
          <w:t>5.1.1.</w:t>
        </w:r>
        <w:r w:rsidR="00C71C61" w:rsidRPr="004D3350">
          <w:rPr>
            <w:rFonts w:ascii="Cambria" w:eastAsia="MS Mincho" w:hAnsi="Cambria"/>
            <w:sz w:val="22"/>
            <w:lang w:val="en-AU" w:eastAsia="en-AU"/>
          </w:rPr>
          <w:tab/>
        </w:r>
        <w:r w:rsidR="00C71C61" w:rsidRPr="00BD05CB">
          <w:rPr>
            <w:rStyle w:val="Hyperlink"/>
            <w:lang w:val="en-AU"/>
          </w:rPr>
          <w:t>Confirmed diagnosis</w:t>
        </w:r>
        <w:r w:rsidR="00C71C61">
          <w:rPr>
            <w:webHidden/>
          </w:rPr>
          <w:tab/>
        </w:r>
        <w:r w:rsidR="00C71C61">
          <w:rPr>
            <w:webHidden/>
          </w:rPr>
          <w:fldChar w:fldCharType="begin"/>
        </w:r>
        <w:r w:rsidR="00C71C61">
          <w:rPr>
            <w:webHidden/>
          </w:rPr>
          <w:instrText xml:space="preserve"> PAGEREF _Toc55464799 \h </w:instrText>
        </w:r>
        <w:r w:rsidR="00C71C61">
          <w:rPr>
            <w:webHidden/>
          </w:rPr>
        </w:r>
        <w:r w:rsidR="00C71C61">
          <w:rPr>
            <w:webHidden/>
          </w:rPr>
          <w:fldChar w:fldCharType="separate"/>
        </w:r>
        <w:r w:rsidR="00822580">
          <w:rPr>
            <w:webHidden/>
          </w:rPr>
          <w:t>27</w:t>
        </w:r>
        <w:r w:rsidR="00C71C61">
          <w:rPr>
            <w:webHidden/>
          </w:rPr>
          <w:fldChar w:fldCharType="end"/>
        </w:r>
      </w:hyperlink>
    </w:p>
    <w:p w14:paraId="03AE0ACB" w14:textId="3BBACFE6" w:rsidR="00C71C61" w:rsidRPr="004D3350" w:rsidRDefault="009B2AE3">
      <w:pPr>
        <w:pStyle w:val="TOC3"/>
        <w:tabs>
          <w:tab w:val="left" w:pos="2268"/>
        </w:tabs>
        <w:rPr>
          <w:rFonts w:ascii="Cambria" w:eastAsia="MS Mincho" w:hAnsi="Cambria"/>
          <w:sz w:val="22"/>
          <w:lang w:val="en-AU" w:eastAsia="en-AU"/>
        </w:rPr>
      </w:pPr>
      <w:hyperlink w:anchor="_Toc55464800" w:history="1">
        <w:r w:rsidR="00C71C61" w:rsidRPr="00BD05CB">
          <w:rPr>
            <w:rStyle w:val="Hyperlink"/>
            <w:lang w:val="en-AU"/>
          </w:rPr>
          <w:t>5.1.2.</w:t>
        </w:r>
        <w:r w:rsidR="00C71C61" w:rsidRPr="004D3350">
          <w:rPr>
            <w:rFonts w:ascii="Cambria" w:eastAsia="MS Mincho" w:hAnsi="Cambria"/>
            <w:sz w:val="22"/>
            <w:lang w:val="en-AU" w:eastAsia="en-AU"/>
          </w:rPr>
          <w:tab/>
        </w:r>
        <w:r w:rsidR="00C71C61" w:rsidRPr="00BD05CB">
          <w:rPr>
            <w:rStyle w:val="Hyperlink"/>
            <w:lang w:val="en-AU"/>
          </w:rPr>
          <w:t>No confirmed diagnosis of Lyme disease and symptoms resolve</w:t>
        </w:r>
        <w:r w:rsidR="00C71C61">
          <w:rPr>
            <w:webHidden/>
          </w:rPr>
          <w:tab/>
        </w:r>
        <w:r w:rsidR="00C71C61">
          <w:rPr>
            <w:webHidden/>
          </w:rPr>
          <w:fldChar w:fldCharType="begin"/>
        </w:r>
        <w:r w:rsidR="00C71C61">
          <w:rPr>
            <w:webHidden/>
          </w:rPr>
          <w:instrText xml:space="preserve"> PAGEREF _Toc55464800 \h </w:instrText>
        </w:r>
        <w:r w:rsidR="00C71C61">
          <w:rPr>
            <w:webHidden/>
          </w:rPr>
        </w:r>
        <w:r w:rsidR="00C71C61">
          <w:rPr>
            <w:webHidden/>
          </w:rPr>
          <w:fldChar w:fldCharType="separate"/>
        </w:r>
        <w:r w:rsidR="00822580">
          <w:rPr>
            <w:webHidden/>
          </w:rPr>
          <w:t>27</w:t>
        </w:r>
        <w:r w:rsidR="00C71C61">
          <w:rPr>
            <w:webHidden/>
          </w:rPr>
          <w:fldChar w:fldCharType="end"/>
        </w:r>
      </w:hyperlink>
    </w:p>
    <w:p w14:paraId="46E0B17D" w14:textId="44AC3306" w:rsidR="00C71C61" w:rsidRPr="004D3350" w:rsidRDefault="009B2AE3">
      <w:pPr>
        <w:pStyle w:val="TOC3"/>
        <w:tabs>
          <w:tab w:val="left" w:pos="2268"/>
        </w:tabs>
        <w:rPr>
          <w:rFonts w:ascii="Cambria" w:eastAsia="MS Mincho" w:hAnsi="Cambria"/>
          <w:sz w:val="22"/>
          <w:lang w:val="en-AU" w:eastAsia="en-AU"/>
        </w:rPr>
      </w:pPr>
      <w:hyperlink w:anchor="_Toc55464801" w:history="1">
        <w:r w:rsidR="00C71C61" w:rsidRPr="00BD05CB">
          <w:rPr>
            <w:rStyle w:val="Hyperlink"/>
            <w:lang w:val="en-AU"/>
          </w:rPr>
          <w:t>5.1.3.</w:t>
        </w:r>
        <w:r w:rsidR="00C71C61" w:rsidRPr="004D3350">
          <w:rPr>
            <w:rFonts w:ascii="Cambria" w:eastAsia="MS Mincho" w:hAnsi="Cambria"/>
            <w:sz w:val="22"/>
            <w:lang w:val="en-AU" w:eastAsia="en-AU"/>
          </w:rPr>
          <w:tab/>
        </w:r>
        <w:r w:rsidR="00C71C61" w:rsidRPr="00BD05CB">
          <w:rPr>
            <w:rStyle w:val="Hyperlink"/>
            <w:lang w:val="en-AU"/>
          </w:rPr>
          <w:t>No confirmed diagnosis of Lyme disease and symptoms persist</w:t>
        </w:r>
        <w:r w:rsidR="00C71C61">
          <w:rPr>
            <w:webHidden/>
          </w:rPr>
          <w:tab/>
        </w:r>
        <w:r w:rsidR="00C71C61">
          <w:rPr>
            <w:webHidden/>
          </w:rPr>
          <w:fldChar w:fldCharType="begin"/>
        </w:r>
        <w:r w:rsidR="00C71C61">
          <w:rPr>
            <w:webHidden/>
          </w:rPr>
          <w:instrText xml:space="preserve"> PAGEREF _Toc55464801 \h </w:instrText>
        </w:r>
        <w:r w:rsidR="00C71C61">
          <w:rPr>
            <w:webHidden/>
          </w:rPr>
        </w:r>
        <w:r w:rsidR="00C71C61">
          <w:rPr>
            <w:webHidden/>
          </w:rPr>
          <w:fldChar w:fldCharType="separate"/>
        </w:r>
        <w:r w:rsidR="00822580">
          <w:rPr>
            <w:webHidden/>
          </w:rPr>
          <w:t>27</w:t>
        </w:r>
        <w:r w:rsidR="00C71C61">
          <w:rPr>
            <w:webHidden/>
          </w:rPr>
          <w:fldChar w:fldCharType="end"/>
        </w:r>
      </w:hyperlink>
    </w:p>
    <w:p w14:paraId="3505D48A" w14:textId="14EB6B08" w:rsidR="00C71C61" w:rsidRPr="004D3350" w:rsidRDefault="009B2AE3">
      <w:pPr>
        <w:pStyle w:val="TOC2"/>
        <w:rPr>
          <w:rFonts w:ascii="Cambria" w:eastAsia="MS Mincho" w:hAnsi="Cambria"/>
          <w:lang w:val="en-AU" w:eastAsia="en-AU"/>
        </w:rPr>
      </w:pPr>
      <w:hyperlink w:anchor="_Toc55464802" w:history="1">
        <w:r w:rsidR="00C71C61" w:rsidRPr="00BD05CB">
          <w:rPr>
            <w:rStyle w:val="Hyperlink"/>
            <w:lang w:val="en-AU"/>
          </w:rPr>
          <w:t>5.2.</w:t>
        </w:r>
        <w:r w:rsidR="00C71C61" w:rsidRPr="004D3350">
          <w:rPr>
            <w:rFonts w:ascii="Cambria" w:eastAsia="MS Mincho" w:hAnsi="Cambria"/>
            <w:lang w:val="en-AU" w:eastAsia="en-AU"/>
          </w:rPr>
          <w:tab/>
        </w:r>
        <w:r w:rsidR="00C71C61" w:rsidRPr="00BD05CB">
          <w:rPr>
            <w:rStyle w:val="Hyperlink"/>
            <w:lang w:val="en-AU"/>
          </w:rPr>
          <w:t>Tick-borne diseases known to be acquired in Australia</w:t>
        </w:r>
        <w:r w:rsidR="00C71C61">
          <w:rPr>
            <w:webHidden/>
          </w:rPr>
          <w:tab/>
        </w:r>
        <w:r w:rsidR="00C71C61">
          <w:rPr>
            <w:webHidden/>
          </w:rPr>
          <w:fldChar w:fldCharType="begin"/>
        </w:r>
        <w:r w:rsidR="00C71C61">
          <w:rPr>
            <w:webHidden/>
          </w:rPr>
          <w:instrText xml:space="preserve"> PAGEREF _Toc55464802 \h </w:instrText>
        </w:r>
        <w:r w:rsidR="00C71C61">
          <w:rPr>
            <w:webHidden/>
          </w:rPr>
        </w:r>
        <w:r w:rsidR="00C71C61">
          <w:rPr>
            <w:webHidden/>
          </w:rPr>
          <w:fldChar w:fldCharType="separate"/>
        </w:r>
        <w:r w:rsidR="00822580">
          <w:rPr>
            <w:webHidden/>
          </w:rPr>
          <w:t>28</w:t>
        </w:r>
        <w:r w:rsidR="00C71C61">
          <w:rPr>
            <w:webHidden/>
          </w:rPr>
          <w:fldChar w:fldCharType="end"/>
        </w:r>
      </w:hyperlink>
    </w:p>
    <w:p w14:paraId="3BB77A97" w14:textId="11EDD213" w:rsidR="00C71C61" w:rsidRPr="004D3350" w:rsidRDefault="009B2AE3">
      <w:pPr>
        <w:pStyle w:val="TOC2"/>
        <w:rPr>
          <w:rFonts w:ascii="Cambria" w:eastAsia="MS Mincho" w:hAnsi="Cambria"/>
          <w:lang w:val="en-AU" w:eastAsia="en-AU"/>
        </w:rPr>
      </w:pPr>
      <w:hyperlink w:anchor="_Toc55464803" w:history="1">
        <w:r w:rsidR="00C71C61" w:rsidRPr="00BD05CB">
          <w:rPr>
            <w:rStyle w:val="Hyperlink"/>
            <w:lang w:val="en-AU"/>
          </w:rPr>
          <w:t>5.3.</w:t>
        </w:r>
        <w:r w:rsidR="00C71C61" w:rsidRPr="004D3350">
          <w:rPr>
            <w:rFonts w:ascii="Cambria" w:eastAsia="MS Mincho" w:hAnsi="Cambria"/>
            <w:lang w:val="en-AU" w:eastAsia="en-AU"/>
          </w:rPr>
          <w:tab/>
        </w:r>
        <w:r w:rsidR="00C71C61" w:rsidRPr="00BD05CB">
          <w:rPr>
            <w:rStyle w:val="Hyperlink"/>
            <w:lang w:val="en-AU"/>
          </w:rPr>
          <w:t>Patient presenting with persistent debilitating symptoms - diagnosis of specific disease(s) is established</w:t>
        </w:r>
        <w:r w:rsidR="00C71C61">
          <w:rPr>
            <w:webHidden/>
          </w:rPr>
          <w:tab/>
        </w:r>
        <w:r w:rsidR="00C71C61">
          <w:rPr>
            <w:webHidden/>
          </w:rPr>
          <w:fldChar w:fldCharType="begin"/>
        </w:r>
        <w:r w:rsidR="00C71C61">
          <w:rPr>
            <w:webHidden/>
          </w:rPr>
          <w:instrText xml:space="preserve"> PAGEREF _Toc55464803 \h </w:instrText>
        </w:r>
        <w:r w:rsidR="00C71C61">
          <w:rPr>
            <w:webHidden/>
          </w:rPr>
        </w:r>
        <w:r w:rsidR="00C71C61">
          <w:rPr>
            <w:webHidden/>
          </w:rPr>
          <w:fldChar w:fldCharType="separate"/>
        </w:r>
        <w:r w:rsidR="00822580">
          <w:rPr>
            <w:webHidden/>
          </w:rPr>
          <w:t>29</w:t>
        </w:r>
        <w:r w:rsidR="00C71C61">
          <w:rPr>
            <w:webHidden/>
          </w:rPr>
          <w:fldChar w:fldCharType="end"/>
        </w:r>
      </w:hyperlink>
    </w:p>
    <w:p w14:paraId="08E6BF23" w14:textId="15AEA902" w:rsidR="00C71C61" w:rsidRPr="004D3350" w:rsidRDefault="009B2AE3">
      <w:pPr>
        <w:pStyle w:val="TOC2"/>
        <w:rPr>
          <w:rFonts w:ascii="Cambria" w:eastAsia="MS Mincho" w:hAnsi="Cambria"/>
          <w:lang w:val="en-AU" w:eastAsia="en-AU"/>
        </w:rPr>
      </w:pPr>
      <w:hyperlink w:anchor="_Toc55464804" w:history="1">
        <w:r w:rsidR="00C71C61" w:rsidRPr="00BD05CB">
          <w:rPr>
            <w:rStyle w:val="Hyperlink"/>
            <w:lang w:val="en-AU"/>
          </w:rPr>
          <w:t>5.4.</w:t>
        </w:r>
        <w:r w:rsidR="00C71C61" w:rsidRPr="004D3350">
          <w:rPr>
            <w:rFonts w:ascii="Cambria" w:eastAsia="MS Mincho" w:hAnsi="Cambria"/>
            <w:lang w:val="en-AU" w:eastAsia="en-AU"/>
          </w:rPr>
          <w:tab/>
        </w:r>
        <w:r w:rsidR="00C71C61" w:rsidRPr="00BD05CB">
          <w:rPr>
            <w:rStyle w:val="Hyperlink"/>
            <w:lang w:val="en-AU"/>
          </w:rPr>
          <w:t>Patient presenting with persistent debilitating symptoms - no diagnosis is established and medically unexplained symptoms persist</w:t>
        </w:r>
        <w:r w:rsidR="00C71C61">
          <w:rPr>
            <w:webHidden/>
          </w:rPr>
          <w:tab/>
        </w:r>
        <w:r w:rsidR="00C71C61">
          <w:rPr>
            <w:webHidden/>
          </w:rPr>
          <w:fldChar w:fldCharType="begin"/>
        </w:r>
        <w:r w:rsidR="00C71C61">
          <w:rPr>
            <w:webHidden/>
          </w:rPr>
          <w:instrText xml:space="preserve"> PAGEREF _Toc55464804 \h </w:instrText>
        </w:r>
        <w:r w:rsidR="00C71C61">
          <w:rPr>
            <w:webHidden/>
          </w:rPr>
        </w:r>
        <w:r w:rsidR="00C71C61">
          <w:rPr>
            <w:webHidden/>
          </w:rPr>
          <w:fldChar w:fldCharType="separate"/>
        </w:r>
        <w:r w:rsidR="00822580">
          <w:rPr>
            <w:webHidden/>
          </w:rPr>
          <w:t>29</w:t>
        </w:r>
        <w:r w:rsidR="00C71C61">
          <w:rPr>
            <w:webHidden/>
          </w:rPr>
          <w:fldChar w:fldCharType="end"/>
        </w:r>
      </w:hyperlink>
    </w:p>
    <w:p w14:paraId="173F51BF" w14:textId="6B6D9C4E" w:rsidR="00C71C61" w:rsidRPr="004D3350" w:rsidRDefault="009B2AE3">
      <w:pPr>
        <w:pStyle w:val="TOC1"/>
        <w:rPr>
          <w:rFonts w:ascii="Cambria" w:eastAsia="MS Mincho" w:hAnsi="Cambria"/>
          <w:b w:val="0"/>
          <w:caps w:val="0"/>
          <w:lang w:val="en-AU" w:eastAsia="en-AU"/>
        </w:rPr>
      </w:pPr>
      <w:hyperlink w:anchor="_Toc55464805" w:history="1">
        <w:r w:rsidR="00C71C61" w:rsidRPr="00BD05CB">
          <w:rPr>
            <w:rStyle w:val="Hyperlink"/>
            <w:lang w:val="en-AU"/>
          </w:rPr>
          <w:t>6.</w:t>
        </w:r>
        <w:r w:rsidR="00C71C61" w:rsidRPr="004D3350">
          <w:rPr>
            <w:rFonts w:ascii="Cambria" w:eastAsia="MS Mincho" w:hAnsi="Cambria"/>
            <w:b w:val="0"/>
            <w:caps w:val="0"/>
            <w:lang w:val="en-AU" w:eastAsia="en-AU"/>
          </w:rPr>
          <w:tab/>
        </w:r>
        <w:r w:rsidR="00C71C61" w:rsidRPr="00BD05CB">
          <w:rPr>
            <w:rStyle w:val="Hyperlink"/>
            <w:lang w:val="en-AU"/>
          </w:rPr>
          <w:t>Initial management</w:t>
        </w:r>
        <w:r w:rsidR="00C71C61">
          <w:rPr>
            <w:webHidden/>
          </w:rPr>
          <w:tab/>
        </w:r>
        <w:r w:rsidR="00C71C61">
          <w:rPr>
            <w:webHidden/>
          </w:rPr>
          <w:fldChar w:fldCharType="begin"/>
        </w:r>
        <w:r w:rsidR="00C71C61">
          <w:rPr>
            <w:webHidden/>
          </w:rPr>
          <w:instrText xml:space="preserve"> PAGEREF _Toc55464805 \h </w:instrText>
        </w:r>
        <w:r w:rsidR="00C71C61">
          <w:rPr>
            <w:webHidden/>
          </w:rPr>
        </w:r>
        <w:r w:rsidR="00C71C61">
          <w:rPr>
            <w:webHidden/>
          </w:rPr>
          <w:fldChar w:fldCharType="separate"/>
        </w:r>
        <w:r w:rsidR="00822580">
          <w:rPr>
            <w:webHidden/>
          </w:rPr>
          <w:t>30</w:t>
        </w:r>
        <w:r w:rsidR="00C71C61">
          <w:rPr>
            <w:webHidden/>
          </w:rPr>
          <w:fldChar w:fldCharType="end"/>
        </w:r>
      </w:hyperlink>
    </w:p>
    <w:p w14:paraId="732FD06B" w14:textId="420E1E93" w:rsidR="00C71C61" w:rsidRPr="004D3350" w:rsidRDefault="009B2AE3">
      <w:pPr>
        <w:pStyle w:val="TOC2"/>
        <w:rPr>
          <w:rFonts w:ascii="Cambria" w:eastAsia="MS Mincho" w:hAnsi="Cambria"/>
          <w:lang w:val="en-AU" w:eastAsia="en-AU"/>
        </w:rPr>
      </w:pPr>
      <w:hyperlink w:anchor="_Toc55464806" w:history="1">
        <w:r w:rsidR="00C71C61" w:rsidRPr="00BD05CB">
          <w:rPr>
            <w:rStyle w:val="Hyperlink"/>
            <w:lang w:val="en-AU"/>
          </w:rPr>
          <w:t>6.1.</w:t>
        </w:r>
        <w:r w:rsidR="00C71C61" w:rsidRPr="004D3350">
          <w:rPr>
            <w:rFonts w:ascii="Cambria" w:eastAsia="MS Mincho" w:hAnsi="Cambria"/>
            <w:lang w:val="en-AU" w:eastAsia="en-AU"/>
          </w:rPr>
          <w:tab/>
        </w:r>
        <w:r w:rsidR="00C71C61" w:rsidRPr="00BD05CB">
          <w:rPr>
            <w:rStyle w:val="Hyperlink"/>
            <w:lang w:val="en-AU"/>
          </w:rPr>
          <w:t>Lyme disease</w:t>
        </w:r>
        <w:r w:rsidR="00C71C61">
          <w:rPr>
            <w:webHidden/>
          </w:rPr>
          <w:tab/>
        </w:r>
        <w:r w:rsidR="00C71C61">
          <w:rPr>
            <w:webHidden/>
          </w:rPr>
          <w:fldChar w:fldCharType="begin"/>
        </w:r>
        <w:r w:rsidR="00C71C61">
          <w:rPr>
            <w:webHidden/>
          </w:rPr>
          <w:instrText xml:space="preserve"> PAGEREF _Toc55464806 \h </w:instrText>
        </w:r>
        <w:r w:rsidR="00C71C61">
          <w:rPr>
            <w:webHidden/>
          </w:rPr>
        </w:r>
        <w:r w:rsidR="00C71C61">
          <w:rPr>
            <w:webHidden/>
          </w:rPr>
          <w:fldChar w:fldCharType="separate"/>
        </w:r>
        <w:r w:rsidR="00822580">
          <w:rPr>
            <w:webHidden/>
          </w:rPr>
          <w:t>30</w:t>
        </w:r>
        <w:r w:rsidR="00C71C61">
          <w:rPr>
            <w:webHidden/>
          </w:rPr>
          <w:fldChar w:fldCharType="end"/>
        </w:r>
      </w:hyperlink>
    </w:p>
    <w:p w14:paraId="0C5B9661" w14:textId="50FE74B3" w:rsidR="00C71C61" w:rsidRPr="004D3350" w:rsidRDefault="009B2AE3">
      <w:pPr>
        <w:pStyle w:val="TOC3"/>
        <w:tabs>
          <w:tab w:val="left" w:pos="2268"/>
        </w:tabs>
        <w:rPr>
          <w:rFonts w:ascii="Cambria" w:eastAsia="MS Mincho" w:hAnsi="Cambria"/>
          <w:sz w:val="22"/>
          <w:lang w:val="en-AU" w:eastAsia="en-AU"/>
        </w:rPr>
      </w:pPr>
      <w:hyperlink w:anchor="_Toc55464807" w:history="1">
        <w:r w:rsidR="00C71C61" w:rsidRPr="00BD05CB">
          <w:rPr>
            <w:rStyle w:val="Hyperlink"/>
            <w:lang w:val="en-AU"/>
          </w:rPr>
          <w:t>6.1.1.</w:t>
        </w:r>
        <w:r w:rsidR="00C71C61" w:rsidRPr="004D3350">
          <w:rPr>
            <w:rFonts w:ascii="Cambria" w:eastAsia="MS Mincho" w:hAnsi="Cambria"/>
            <w:sz w:val="22"/>
            <w:lang w:val="en-AU" w:eastAsia="en-AU"/>
          </w:rPr>
          <w:tab/>
        </w:r>
        <w:r w:rsidR="00C71C61" w:rsidRPr="00BD05CB">
          <w:rPr>
            <w:rStyle w:val="Hyperlink"/>
            <w:lang w:val="en-AU"/>
          </w:rPr>
          <w:t>International guidelines for the treatment of Lyme disease</w:t>
        </w:r>
        <w:r w:rsidR="00C71C61">
          <w:rPr>
            <w:webHidden/>
          </w:rPr>
          <w:tab/>
        </w:r>
        <w:r w:rsidR="00C71C61">
          <w:rPr>
            <w:webHidden/>
          </w:rPr>
          <w:fldChar w:fldCharType="begin"/>
        </w:r>
        <w:r w:rsidR="00C71C61">
          <w:rPr>
            <w:webHidden/>
          </w:rPr>
          <w:instrText xml:space="preserve"> PAGEREF _Toc55464807 \h </w:instrText>
        </w:r>
        <w:r w:rsidR="00C71C61">
          <w:rPr>
            <w:webHidden/>
          </w:rPr>
        </w:r>
        <w:r w:rsidR="00C71C61">
          <w:rPr>
            <w:webHidden/>
          </w:rPr>
          <w:fldChar w:fldCharType="separate"/>
        </w:r>
        <w:r w:rsidR="00822580">
          <w:rPr>
            <w:webHidden/>
          </w:rPr>
          <w:t>30</w:t>
        </w:r>
        <w:r w:rsidR="00C71C61">
          <w:rPr>
            <w:webHidden/>
          </w:rPr>
          <w:fldChar w:fldCharType="end"/>
        </w:r>
      </w:hyperlink>
    </w:p>
    <w:p w14:paraId="30A4C44E" w14:textId="5F275CCE" w:rsidR="00C71C61" w:rsidRPr="004D3350" w:rsidRDefault="009B2AE3">
      <w:pPr>
        <w:pStyle w:val="TOC3"/>
        <w:tabs>
          <w:tab w:val="left" w:pos="2268"/>
        </w:tabs>
        <w:rPr>
          <w:rFonts w:ascii="Cambria" w:eastAsia="MS Mincho" w:hAnsi="Cambria"/>
          <w:sz w:val="22"/>
          <w:lang w:val="en-AU" w:eastAsia="en-AU"/>
        </w:rPr>
      </w:pPr>
      <w:hyperlink w:anchor="_Toc55464808" w:history="1">
        <w:r w:rsidR="00C71C61" w:rsidRPr="00BD05CB">
          <w:rPr>
            <w:rStyle w:val="Hyperlink"/>
            <w:lang w:val="en-AU"/>
          </w:rPr>
          <w:t>6.1.2.</w:t>
        </w:r>
        <w:r w:rsidR="00C71C61" w:rsidRPr="004D3350">
          <w:rPr>
            <w:rFonts w:ascii="Cambria" w:eastAsia="MS Mincho" w:hAnsi="Cambria"/>
            <w:sz w:val="22"/>
            <w:lang w:val="en-AU" w:eastAsia="en-AU"/>
          </w:rPr>
          <w:tab/>
        </w:r>
        <w:r w:rsidR="00C71C61" w:rsidRPr="00BD05CB">
          <w:rPr>
            <w:rStyle w:val="Hyperlink"/>
            <w:lang w:val="en-AU"/>
          </w:rPr>
          <w:t>Relevance of international guidelines to the Australian setting</w:t>
        </w:r>
        <w:r w:rsidR="00C71C61">
          <w:rPr>
            <w:webHidden/>
          </w:rPr>
          <w:tab/>
        </w:r>
        <w:r w:rsidR="00C71C61">
          <w:rPr>
            <w:webHidden/>
          </w:rPr>
          <w:fldChar w:fldCharType="begin"/>
        </w:r>
        <w:r w:rsidR="00C71C61">
          <w:rPr>
            <w:webHidden/>
          </w:rPr>
          <w:instrText xml:space="preserve"> PAGEREF _Toc55464808 \h </w:instrText>
        </w:r>
        <w:r w:rsidR="00C71C61">
          <w:rPr>
            <w:webHidden/>
          </w:rPr>
        </w:r>
        <w:r w:rsidR="00C71C61">
          <w:rPr>
            <w:webHidden/>
          </w:rPr>
          <w:fldChar w:fldCharType="separate"/>
        </w:r>
        <w:r w:rsidR="00822580">
          <w:rPr>
            <w:webHidden/>
          </w:rPr>
          <w:t>31</w:t>
        </w:r>
        <w:r w:rsidR="00C71C61">
          <w:rPr>
            <w:webHidden/>
          </w:rPr>
          <w:fldChar w:fldCharType="end"/>
        </w:r>
      </w:hyperlink>
    </w:p>
    <w:p w14:paraId="3C0BBF99" w14:textId="63145106" w:rsidR="00C71C61" w:rsidRPr="004D3350" w:rsidRDefault="009B2AE3">
      <w:pPr>
        <w:pStyle w:val="TOC3"/>
        <w:tabs>
          <w:tab w:val="left" w:pos="2268"/>
        </w:tabs>
        <w:rPr>
          <w:rFonts w:ascii="Cambria" w:eastAsia="MS Mincho" w:hAnsi="Cambria"/>
          <w:sz w:val="22"/>
          <w:lang w:val="en-AU" w:eastAsia="en-AU"/>
        </w:rPr>
      </w:pPr>
      <w:hyperlink w:anchor="_Toc55464809" w:history="1">
        <w:r w:rsidR="00C71C61" w:rsidRPr="00BD05CB">
          <w:rPr>
            <w:rStyle w:val="Hyperlink"/>
            <w:bCs/>
            <w:lang w:val="en-AU"/>
          </w:rPr>
          <w:t>6.1.3.</w:t>
        </w:r>
        <w:r w:rsidR="00C71C61" w:rsidRPr="004D3350">
          <w:rPr>
            <w:rFonts w:ascii="Cambria" w:eastAsia="MS Mincho" w:hAnsi="Cambria"/>
            <w:sz w:val="22"/>
            <w:lang w:val="en-AU" w:eastAsia="en-AU"/>
          </w:rPr>
          <w:tab/>
        </w:r>
        <w:r w:rsidR="00C71C61" w:rsidRPr="00BD05CB">
          <w:rPr>
            <w:rStyle w:val="Hyperlink"/>
            <w:lang w:val="en-AU"/>
          </w:rPr>
          <w:t>Therapeutic modalities not recommended for treatment of patients with any manifestation of Lyme disease</w:t>
        </w:r>
        <w:r w:rsidR="00C71C61">
          <w:rPr>
            <w:webHidden/>
          </w:rPr>
          <w:tab/>
        </w:r>
        <w:r w:rsidR="00C71C61">
          <w:rPr>
            <w:webHidden/>
          </w:rPr>
          <w:fldChar w:fldCharType="begin"/>
        </w:r>
        <w:r w:rsidR="00C71C61">
          <w:rPr>
            <w:webHidden/>
          </w:rPr>
          <w:instrText xml:space="preserve"> PAGEREF _Toc55464809 \h </w:instrText>
        </w:r>
        <w:r w:rsidR="00C71C61">
          <w:rPr>
            <w:webHidden/>
          </w:rPr>
        </w:r>
        <w:r w:rsidR="00C71C61">
          <w:rPr>
            <w:webHidden/>
          </w:rPr>
          <w:fldChar w:fldCharType="separate"/>
        </w:r>
        <w:r w:rsidR="00822580">
          <w:rPr>
            <w:webHidden/>
          </w:rPr>
          <w:t>31</w:t>
        </w:r>
        <w:r w:rsidR="00C71C61">
          <w:rPr>
            <w:webHidden/>
          </w:rPr>
          <w:fldChar w:fldCharType="end"/>
        </w:r>
      </w:hyperlink>
    </w:p>
    <w:p w14:paraId="29C23390" w14:textId="34413F7F" w:rsidR="00C71C61" w:rsidRPr="004D3350" w:rsidRDefault="009B2AE3">
      <w:pPr>
        <w:pStyle w:val="TOC2"/>
        <w:rPr>
          <w:rFonts w:ascii="Cambria" w:eastAsia="MS Mincho" w:hAnsi="Cambria"/>
          <w:lang w:val="en-AU" w:eastAsia="en-AU"/>
        </w:rPr>
      </w:pPr>
      <w:hyperlink w:anchor="_Toc55464810" w:history="1">
        <w:r w:rsidR="00C71C61" w:rsidRPr="00BD05CB">
          <w:rPr>
            <w:rStyle w:val="Hyperlink"/>
            <w:lang w:val="en-AU"/>
          </w:rPr>
          <w:t>6.2.</w:t>
        </w:r>
        <w:r w:rsidR="00C71C61" w:rsidRPr="004D3350">
          <w:rPr>
            <w:rFonts w:ascii="Cambria" w:eastAsia="MS Mincho" w:hAnsi="Cambria"/>
            <w:lang w:val="en-AU" w:eastAsia="en-AU"/>
          </w:rPr>
          <w:tab/>
        </w:r>
        <w:r w:rsidR="00C71C61" w:rsidRPr="00BD05CB">
          <w:rPr>
            <w:rStyle w:val="Hyperlink"/>
            <w:lang w:val="en-AU"/>
          </w:rPr>
          <w:t>Tick-borne disease known to be acquired in Australia</w:t>
        </w:r>
        <w:r w:rsidR="00C71C61">
          <w:rPr>
            <w:webHidden/>
          </w:rPr>
          <w:tab/>
        </w:r>
        <w:r w:rsidR="00C71C61">
          <w:rPr>
            <w:webHidden/>
          </w:rPr>
          <w:fldChar w:fldCharType="begin"/>
        </w:r>
        <w:r w:rsidR="00C71C61">
          <w:rPr>
            <w:webHidden/>
          </w:rPr>
          <w:instrText xml:space="preserve"> PAGEREF _Toc55464810 \h </w:instrText>
        </w:r>
        <w:r w:rsidR="00C71C61">
          <w:rPr>
            <w:webHidden/>
          </w:rPr>
        </w:r>
        <w:r w:rsidR="00C71C61">
          <w:rPr>
            <w:webHidden/>
          </w:rPr>
          <w:fldChar w:fldCharType="separate"/>
        </w:r>
        <w:r w:rsidR="00822580">
          <w:rPr>
            <w:webHidden/>
          </w:rPr>
          <w:t>33</w:t>
        </w:r>
        <w:r w:rsidR="00C71C61">
          <w:rPr>
            <w:webHidden/>
          </w:rPr>
          <w:fldChar w:fldCharType="end"/>
        </w:r>
      </w:hyperlink>
    </w:p>
    <w:p w14:paraId="1A40F322" w14:textId="6418A5EE" w:rsidR="00C71C61" w:rsidRPr="004D3350" w:rsidRDefault="009B2AE3">
      <w:pPr>
        <w:pStyle w:val="TOC2"/>
        <w:rPr>
          <w:rFonts w:ascii="Cambria" w:eastAsia="MS Mincho" w:hAnsi="Cambria"/>
          <w:lang w:val="en-AU" w:eastAsia="en-AU"/>
        </w:rPr>
      </w:pPr>
      <w:hyperlink w:anchor="_Toc55464811" w:history="1">
        <w:r w:rsidR="00C71C61" w:rsidRPr="00BD05CB">
          <w:rPr>
            <w:rStyle w:val="Hyperlink"/>
            <w:lang w:val="en-AU"/>
          </w:rPr>
          <w:t>6.3.</w:t>
        </w:r>
        <w:r w:rsidR="00C71C61" w:rsidRPr="004D3350">
          <w:rPr>
            <w:rFonts w:ascii="Cambria" w:eastAsia="MS Mincho" w:hAnsi="Cambria"/>
            <w:lang w:val="en-AU" w:eastAsia="en-AU"/>
          </w:rPr>
          <w:tab/>
        </w:r>
        <w:r w:rsidR="00C71C61" w:rsidRPr="00BD05CB">
          <w:rPr>
            <w:rStyle w:val="Hyperlink"/>
            <w:lang w:val="en-AU"/>
          </w:rPr>
          <w:t>Management of patients with persistent symptoms and who remain undiagnosed</w:t>
        </w:r>
        <w:r w:rsidR="00C71C61">
          <w:rPr>
            <w:webHidden/>
          </w:rPr>
          <w:tab/>
        </w:r>
        <w:r w:rsidR="00C71C61">
          <w:rPr>
            <w:webHidden/>
          </w:rPr>
          <w:fldChar w:fldCharType="begin"/>
        </w:r>
        <w:r w:rsidR="00C71C61">
          <w:rPr>
            <w:webHidden/>
          </w:rPr>
          <w:instrText xml:space="preserve"> PAGEREF _Toc55464811 \h </w:instrText>
        </w:r>
        <w:r w:rsidR="00C71C61">
          <w:rPr>
            <w:webHidden/>
          </w:rPr>
        </w:r>
        <w:r w:rsidR="00C71C61">
          <w:rPr>
            <w:webHidden/>
          </w:rPr>
          <w:fldChar w:fldCharType="separate"/>
        </w:r>
        <w:r w:rsidR="00822580">
          <w:rPr>
            <w:webHidden/>
          </w:rPr>
          <w:t>33</w:t>
        </w:r>
        <w:r w:rsidR="00C71C61">
          <w:rPr>
            <w:webHidden/>
          </w:rPr>
          <w:fldChar w:fldCharType="end"/>
        </w:r>
      </w:hyperlink>
    </w:p>
    <w:p w14:paraId="48BC0E55" w14:textId="184085AF" w:rsidR="00C71C61" w:rsidRPr="004D3350" w:rsidRDefault="009B2AE3">
      <w:pPr>
        <w:pStyle w:val="TOC3"/>
        <w:tabs>
          <w:tab w:val="left" w:pos="2268"/>
        </w:tabs>
        <w:rPr>
          <w:rFonts w:ascii="Cambria" w:eastAsia="MS Mincho" w:hAnsi="Cambria"/>
          <w:sz w:val="22"/>
          <w:lang w:val="en-AU" w:eastAsia="en-AU"/>
        </w:rPr>
      </w:pPr>
      <w:hyperlink w:anchor="_Toc55464812" w:history="1">
        <w:r w:rsidR="00C71C61" w:rsidRPr="00BD05CB">
          <w:rPr>
            <w:rStyle w:val="Hyperlink"/>
            <w:lang w:val="en-AU"/>
          </w:rPr>
          <w:t>6.3.1.</w:t>
        </w:r>
        <w:r w:rsidR="00C71C61" w:rsidRPr="004D3350">
          <w:rPr>
            <w:rFonts w:ascii="Cambria" w:eastAsia="MS Mincho" w:hAnsi="Cambria"/>
            <w:sz w:val="22"/>
            <w:lang w:val="en-AU" w:eastAsia="en-AU"/>
          </w:rPr>
          <w:tab/>
        </w:r>
        <w:r w:rsidR="00C71C61" w:rsidRPr="00BD05CB">
          <w:rPr>
            <w:rStyle w:val="Hyperlink"/>
            <w:lang w:val="en-AU"/>
          </w:rPr>
          <w:t>Medically Unexplained Symptoms</w:t>
        </w:r>
        <w:r w:rsidR="00C71C61">
          <w:rPr>
            <w:webHidden/>
          </w:rPr>
          <w:tab/>
        </w:r>
        <w:r w:rsidR="00C71C61">
          <w:rPr>
            <w:webHidden/>
          </w:rPr>
          <w:fldChar w:fldCharType="begin"/>
        </w:r>
        <w:r w:rsidR="00C71C61">
          <w:rPr>
            <w:webHidden/>
          </w:rPr>
          <w:instrText xml:space="preserve"> PAGEREF _Toc55464812 \h </w:instrText>
        </w:r>
        <w:r w:rsidR="00C71C61">
          <w:rPr>
            <w:webHidden/>
          </w:rPr>
        </w:r>
        <w:r w:rsidR="00C71C61">
          <w:rPr>
            <w:webHidden/>
          </w:rPr>
          <w:fldChar w:fldCharType="separate"/>
        </w:r>
        <w:r w:rsidR="00822580">
          <w:rPr>
            <w:webHidden/>
          </w:rPr>
          <w:t>34</w:t>
        </w:r>
        <w:r w:rsidR="00C71C61">
          <w:rPr>
            <w:webHidden/>
          </w:rPr>
          <w:fldChar w:fldCharType="end"/>
        </w:r>
      </w:hyperlink>
    </w:p>
    <w:p w14:paraId="717EA872" w14:textId="2925D448" w:rsidR="00C71C61" w:rsidRPr="004D3350" w:rsidRDefault="009B2AE3">
      <w:pPr>
        <w:pStyle w:val="TOC3"/>
        <w:tabs>
          <w:tab w:val="left" w:pos="2268"/>
        </w:tabs>
        <w:rPr>
          <w:rFonts w:ascii="Cambria" w:eastAsia="MS Mincho" w:hAnsi="Cambria"/>
          <w:sz w:val="22"/>
          <w:lang w:val="en-AU" w:eastAsia="en-AU"/>
        </w:rPr>
      </w:pPr>
      <w:hyperlink w:anchor="_Toc55464813" w:history="1">
        <w:r w:rsidR="00C71C61" w:rsidRPr="00BD05CB">
          <w:rPr>
            <w:rStyle w:val="Hyperlink"/>
            <w:lang w:val="en-AU" w:eastAsia="en-GB"/>
          </w:rPr>
          <w:t>6.3.2.</w:t>
        </w:r>
        <w:r w:rsidR="00C71C61" w:rsidRPr="004D3350">
          <w:rPr>
            <w:rFonts w:ascii="Cambria" w:eastAsia="MS Mincho" w:hAnsi="Cambria"/>
            <w:sz w:val="22"/>
            <w:lang w:val="en-AU" w:eastAsia="en-AU"/>
          </w:rPr>
          <w:tab/>
        </w:r>
        <w:r w:rsidR="00C71C61" w:rsidRPr="00BD05CB">
          <w:rPr>
            <w:rStyle w:val="Hyperlink"/>
            <w:lang w:val="en-AU" w:eastAsia="en-GB"/>
          </w:rPr>
          <w:t>Practice Harm Minimisation</w:t>
        </w:r>
        <w:r w:rsidR="00C71C61">
          <w:rPr>
            <w:webHidden/>
          </w:rPr>
          <w:tab/>
        </w:r>
        <w:r w:rsidR="00C71C61">
          <w:rPr>
            <w:webHidden/>
          </w:rPr>
          <w:fldChar w:fldCharType="begin"/>
        </w:r>
        <w:r w:rsidR="00C71C61">
          <w:rPr>
            <w:webHidden/>
          </w:rPr>
          <w:instrText xml:space="preserve"> PAGEREF _Toc55464813 \h </w:instrText>
        </w:r>
        <w:r w:rsidR="00C71C61">
          <w:rPr>
            <w:webHidden/>
          </w:rPr>
        </w:r>
        <w:r w:rsidR="00C71C61">
          <w:rPr>
            <w:webHidden/>
          </w:rPr>
          <w:fldChar w:fldCharType="separate"/>
        </w:r>
        <w:r w:rsidR="00822580">
          <w:rPr>
            <w:webHidden/>
          </w:rPr>
          <w:t>35</w:t>
        </w:r>
        <w:r w:rsidR="00C71C61">
          <w:rPr>
            <w:webHidden/>
          </w:rPr>
          <w:fldChar w:fldCharType="end"/>
        </w:r>
      </w:hyperlink>
    </w:p>
    <w:p w14:paraId="231107E4" w14:textId="5B050C65" w:rsidR="00C71C61" w:rsidRPr="004D3350" w:rsidRDefault="009B2AE3">
      <w:pPr>
        <w:pStyle w:val="TOC3"/>
        <w:tabs>
          <w:tab w:val="left" w:pos="2268"/>
        </w:tabs>
        <w:rPr>
          <w:rFonts w:ascii="Cambria" w:eastAsia="MS Mincho" w:hAnsi="Cambria"/>
          <w:sz w:val="22"/>
          <w:lang w:val="en-AU" w:eastAsia="en-AU"/>
        </w:rPr>
      </w:pPr>
      <w:hyperlink w:anchor="_Toc55464814" w:history="1">
        <w:r w:rsidR="00C71C61" w:rsidRPr="00BD05CB">
          <w:rPr>
            <w:rStyle w:val="Hyperlink"/>
            <w:lang w:val="en-AU"/>
          </w:rPr>
          <w:t>6.3.3.</w:t>
        </w:r>
        <w:r w:rsidR="00C71C61" w:rsidRPr="004D3350">
          <w:rPr>
            <w:rFonts w:ascii="Cambria" w:eastAsia="MS Mincho" w:hAnsi="Cambria"/>
            <w:sz w:val="22"/>
            <w:lang w:val="en-AU" w:eastAsia="en-AU"/>
          </w:rPr>
          <w:tab/>
        </w:r>
        <w:r w:rsidR="00C71C61" w:rsidRPr="00BD05CB">
          <w:rPr>
            <w:rStyle w:val="Hyperlink"/>
            <w:lang w:val="en-AU"/>
          </w:rPr>
          <w:t>The Stepped Care Model</w:t>
        </w:r>
        <w:r w:rsidR="00C71C61">
          <w:rPr>
            <w:webHidden/>
          </w:rPr>
          <w:tab/>
        </w:r>
        <w:r w:rsidR="00C71C61">
          <w:rPr>
            <w:webHidden/>
          </w:rPr>
          <w:fldChar w:fldCharType="begin"/>
        </w:r>
        <w:r w:rsidR="00C71C61">
          <w:rPr>
            <w:webHidden/>
          </w:rPr>
          <w:instrText xml:space="preserve"> PAGEREF _Toc55464814 \h </w:instrText>
        </w:r>
        <w:r w:rsidR="00C71C61">
          <w:rPr>
            <w:webHidden/>
          </w:rPr>
        </w:r>
        <w:r w:rsidR="00C71C61">
          <w:rPr>
            <w:webHidden/>
          </w:rPr>
          <w:fldChar w:fldCharType="separate"/>
        </w:r>
        <w:r w:rsidR="00822580">
          <w:rPr>
            <w:webHidden/>
          </w:rPr>
          <w:t>39</w:t>
        </w:r>
        <w:r w:rsidR="00C71C61">
          <w:rPr>
            <w:webHidden/>
          </w:rPr>
          <w:fldChar w:fldCharType="end"/>
        </w:r>
      </w:hyperlink>
    </w:p>
    <w:p w14:paraId="5F686DA6" w14:textId="4548F43E" w:rsidR="00C71C61" w:rsidRPr="004D3350" w:rsidRDefault="009B2AE3">
      <w:pPr>
        <w:pStyle w:val="TOC1"/>
        <w:rPr>
          <w:rFonts w:ascii="Cambria" w:eastAsia="MS Mincho" w:hAnsi="Cambria"/>
          <w:b w:val="0"/>
          <w:caps w:val="0"/>
          <w:lang w:val="en-AU" w:eastAsia="en-AU"/>
        </w:rPr>
      </w:pPr>
      <w:hyperlink w:anchor="_Toc55464815" w:history="1">
        <w:r w:rsidR="00C71C61" w:rsidRPr="00BD05CB">
          <w:rPr>
            <w:rStyle w:val="Hyperlink"/>
            <w:lang w:val="en-AU"/>
          </w:rPr>
          <w:t>7.</w:t>
        </w:r>
        <w:r w:rsidR="00C71C61" w:rsidRPr="004D3350">
          <w:rPr>
            <w:rFonts w:ascii="Cambria" w:eastAsia="MS Mincho" w:hAnsi="Cambria"/>
            <w:b w:val="0"/>
            <w:caps w:val="0"/>
            <w:lang w:val="en-AU" w:eastAsia="en-AU"/>
          </w:rPr>
          <w:tab/>
        </w:r>
        <w:r w:rsidR="00C71C61" w:rsidRPr="00BD05CB">
          <w:rPr>
            <w:rStyle w:val="Hyperlink"/>
            <w:lang w:val="en-AU"/>
          </w:rPr>
          <w:t>Ongoing management</w:t>
        </w:r>
        <w:r w:rsidR="00C71C61">
          <w:rPr>
            <w:webHidden/>
          </w:rPr>
          <w:tab/>
        </w:r>
        <w:r w:rsidR="00C71C61">
          <w:rPr>
            <w:webHidden/>
          </w:rPr>
          <w:fldChar w:fldCharType="begin"/>
        </w:r>
        <w:r w:rsidR="00C71C61">
          <w:rPr>
            <w:webHidden/>
          </w:rPr>
          <w:instrText xml:space="preserve"> PAGEREF _Toc55464815 \h </w:instrText>
        </w:r>
        <w:r w:rsidR="00C71C61">
          <w:rPr>
            <w:webHidden/>
          </w:rPr>
        </w:r>
        <w:r w:rsidR="00C71C61">
          <w:rPr>
            <w:webHidden/>
          </w:rPr>
          <w:fldChar w:fldCharType="separate"/>
        </w:r>
        <w:r w:rsidR="00822580">
          <w:rPr>
            <w:webHidden/>
          </w:rPr>
          <w:t>42</w:t>
        </w:r>
        <w:r w:rsidR="00C71C61">
          <w:rPr>
            <w:webHidden/>
          </w:rPr>
          <w:fldChar w:fldCharType="end"/>
        </w:r>
      </w:hyperlink>
    </w:p>
    <w:p w14:paraId="44435F82" w14:textId="0C78CBF9" w:rsidR="00C71C61" w:rsidRPr="004D3350" w:rsidRDefault="009B2AE3">
      <w:pPr>
        <w:pStyle w:val="TOC2"/>
        <w:rPr>
          <w:rFonts w:ascii="Cambria" w:eastAsia="MS Mincho" w:hAnsi="Cambria"/>
          <w:lang w:val="en-AU" w:eastAsia="en-AU"/>
        </w:rPr>
      </w:pPr>
      <w:hyperlink w:anchor="_Toc55464816" w:history="1">
        <w:r w:rsidR="00C71C61" w:rsidRPr="00BD05CB">
          <w:rPr>
            <w:rStyle w:val="Hyperlink"/>
            <w:lang w:val="en-AU"/>
          </w:rPr>
          <w:t>7.1.</w:t>
        </w:r>
        <w:r w:rsidR="00C71C61" w:rsidRPr="004D3350">
          <w:rPr>
            <w:rFonts w:ascii="Cambria" w:eastAsia="MS Mincho" w:hAnsi="Cambria"/>
            <w:lang w:val="en-AU" w:eastAsia="en-AU"/>
          </w:rPr>
          <w:tab/>
        </w:r>
        <w:r w:rsidR="00C71C61" w:rsidRPr="00BD05CB">
          <w:rPr>
            <w:rStyle w:val="Hyperlink"/>
            <w:lang w:val="en-AU"/>
          </w:rPr>
          <w:t>Lyme disease</w:t>
        </w:r>
        <w:r w:rsidR="00C71C61">
          <w:rPr>
            <w:webHidden/>
          </w:rPr>
          <w:tab/>
        </w:r>
        <w:r w:rsidR="00C71C61">
          <w:rPr>
            <w:webHidden/>
          </w:rPr>
          <w:fldChar w:fldCharType="begin"/>
        </w:r>
        <w:r w:rsidR="00C71C61">
          <w:rPr>
            <w:webHidden/>
          </w:rPr>
          <w:instrText xml:space="preserve"> PAGEREF _Toc55464816 \h </w:instrText>
        </w:r>
        <w:r w:rsidR="00C71C61">
          <w:rPr>
            <w:webHidden/>
          </w:rPr>
        </w:r>
        <w:r w:rsidR="00C71C61">
          <w:rPr>
            <w:webHidden/>
          </w:rPr>
          <w:fldChar w:fldCharType="separate"/>
        </w:r>
        <w:r w:rsidR="00822580">
          <w:rPr>
            <w:webHidden/>
          </w:rPr>
          <w:t>42</w:t>
        </w:r>
        <w:r w:rsidR="00C71C61">
          <w:rPr>
            <w:webHidden/>
          </w:rPr>
          <w:fldChar w:fldCharType="end"/>
        </w:r>
      </w:hyperlink>
    </w:p>
    <w:p w14:paraId="67B3CEC6" w14:textId="595E3BA5" w:rsidR="00C71C61" w:rsidRPr="004D3350" w:rsidRDefault="009B2AE3">
      <w:pPr>
        <w:pStyle w:val="TOC2"/>
        <w:rPr>
          <w:rFonts w:ascii="Cambria" w:eastAsia="MS Mincho" w:hAnsi="Cambria"/>
          <w:lang w:val="en-AU" w:eastAsia="en-AU"/>
        </w:rPr>
      </w:pPr>
      <w:hyperlink w:anchor="_Toc55464817" w:history="1">
        <w:r w:rsidR="00C71C61" w:rsidRPr="00BD05CB">
          <w:rPr>
            <w:rStyle w:val="Hyperlink"/>
            <w:bCs/>
            <w:lang w:val="en-AU"/>
          </w:rPr>
          <w:t>7.2.</w:t>
        </w:r>
        <w:r w:rsidR="00C71C61" w:rsidRPr="004D3350">
          <w:rPr>
            <w:rFonts w:ascii="Cambria" w:eastAsia="MS Mincho" w:hAnsi="Cambria"/>
            <w:lang w:val="en-AU" w:eastAsia="en-AU"/>
          </w:rPr>
          <w:tab/>
        </w:r>
        <w:r w:rsidR="00C71C61" w:rsidRPr="00BD05CB">
          <w:rPr>
            <w:rStyle w:val="Hyperlink"/>
            <w:lang w:val="en-AU"/>
          </w:rPr>
          <w:t>Tick-borne disease known to be acquired in Australia</w:t>
        </w:r>
        <w:r w:rsidR="00C71C61">
          <w:rPr>
            <w:webHidden/>
          </w:rPr>
          <w:tab/>
        </w:r>
        <w:r w:rsidR="00C71C61">
          <w:rPr>
            <w:webHidden/>
          </w:rPr>
          <w:fldChar w:fldCharType="begin"/>
        </w:r>
        <w:r w:rsidR="00C71C61">
          <w:rPr>
            <w:webHidden/>
          </w:rPr>
          <w:instrText xml:space="preserve"> PAGEREF _Toc55464817 \h </w:instrText>
        </w:r>
        <w:r w:rsidR="00C71C61">
          <w:rPr>
            <w:webHidden/>
          </w:rPr>
        </w:r>
        <w:r w:rsidR="00C71C61">
          <w:rPr>
            <w:webHidden/>
          </w:rPr>
          <w:fldChar w:fldCharType="separate"/>
        </w:r>
        <w:r w:rsidR="00822580">
          <w:rPr>
            <w:webHidden/>
          </w:rPr>
          <w:t>43</w:t>
        </w:r>
        <w:r w:rsidR="00C71C61">
          <w:rPr>
            <w:webHidden/>
          </w:rPr>
          <w:fldChar w:fldCharType="end"/>
        </w:r>
      </w:hyperlink>
    </w:p>
    <w:p w14:paraId="781065E2" w14:textId="513955C5" w:rsidR="00C71C61" w:rsidRPr="004D3350" w:rsidRDefault="009B2AE3">
      <w:pPr>
        <w:pStyle w:val="TOC2"/>
        <w:rPr>
          <w:rFonts w:ascii="Cambria" w:eastAsia="MS Mincho" w:hAnsi="Cambria"/>
          <w:lang w:val="en-AU" w:eastAsia="en-AU"/>
        </w:rPr>
      </w:pPr>
      <w:hyperlink w:anchor="_Toc55464818" w:history="1">
        <w:r w:rsidR="00C71C61" w:rsidRPr="00BD05CB">
          <w:rPr>
            <w:rStyle w:val="Hyperlink"/>
            <w:lang w:val="en-AU"/>
          </w:rPr>
          <w:t>7.3.</w:t>
        </w:r>
        <w:r w:rsidR="00C71C61" w:rsidRPr="004D3350">
          <w:rPr>
            <w:rFonts w:ascii="Cambria" w:eastAsia="MS Mincho" w:hAnsi="Cambria"/>
            <w:lang w:val="en-AU" w:eastAsia="en-AU"/>
          </w:rPr>
          <w:tab/>
        </w:r>
        <w:r w:rsidR="00C71C61" w:rsidRPr="00BD05CB">
          <w:rPr>
            <w:rStyle w:val="Hyperlink"/>
            <w:lang w:val="en-AU"/>
          </w:rPr>
          <w:t>Management of patients with persistent symptoms and who remain undiagnosed</w:t>
        </w:r>
        <w:r w:rsidR="00C71C61">
          <w:rPr>
            <w:webHidden/>
          </w:rPr>
          <w:tab/>
        </w:r>
        <w:r w:rsidR="00C71C61">
          <w:rPr>
            <w:webHidden/>
          </w:rPr>
          <w:fldChar w:fldCharType="begin"/>
        </w:r>
        <w:r w:rsidR="00C71C61">
          <w:rPr>
            <w:webHidden/>
          </w:rPr>
          <w:instrText xml:space="preserve"> PAGEREF _Toc55464818 \h </w:instrText>
        </w:r>
        <w:r w:rsidR="00C71C61">
          <w:rPr>
            <w:webHidden/>
          </w:rPr>
        </w:r>
        <w:r w:rsidR="00C71C61">
          <w:rPr>
            <w:webHidden/>
          </w:rPr>
          <w:fldChar w:fldCharType="separate"/>
        </w:r>
        <w:r w:rsidR="00822580">
          <w:rPr>
            <w:webHidden/>
          </w:rPr>
          <w:t>44</w:t>
        </w:r>
        <w:r w:rsidR="00C71C61">
          <w:rPr>
            <w:webHidden/>
          </w:rPr>
          <w:fldChar w:fldCharType="end"/>
        </w:r>
      </w:hyperlink>
    </w:p>
    <w:p w14:paraId="282174C8" w14:textId="4A315281" w:rsidR="00C71C61" w:rsidRPr="004D3350" w:rsidRDefault="009B2AE3">
      <w:pPr>
        <w:pStyle w:val="TOC1"/>
        <w:rPr>
          <w:rFonts w:ascii="Cambria" w:eastAsia="MS Mincho" w:hAnsi="Cambria"/>
          <w:b w:val="0"/>
          <w:caps w:val="0"/>
          <w:lang w:val="en-AU" w:eastAsia="en-AU"/>
        </w:rPr>
      </w:pPr>
      <w:hyperlink w:anchor="_Toc55464819" w:history="1">
        <w:r w:rsidR="00C71C61" w:rsidRPr="00BD05CB">
          <w:rPr>
            <w:rStyle w:val="Hyperlink"/>
            <w:lang w:val="en-AU"/>
          </w:rPr>
          <w:t>Appendix A: Case studies</w:t>
        </w:r>
        <w:r w:rsidR="00C71C61">
          <w:rPr>
            <w:webHidden/>
          </w:rPr>
          <w:tab/>
        </w:r>
        <w:r w:rsidR="00C71C61">
          <w:rPr>
            <w:webHidden/>
          </w:rPr>
          <w:fldChar w:fldCharType="begin"/>
        </w:r>
        <w:r w:rsidR="00C71C61">
          <w:rPr>
            <w:webHidden/>
          </w:rPr>
          <w:instrText xml:space="preserve"> PAGEREF _Toc55464819 \h </w:instrText>
        </w:r>
        <w:r w:rsidR="00C71C61">
          <w:rPr>
            <w:webHidden/>
          </w:rPr>
        </w:r>
        <w:r w:rsidR="00C71C61">
          <w:rPr>
            <w:webHidden/>
          </w:rPr>
          <w:fldChar w:fldCharType="separate"/>
        </w:r>
        <w:r w:rsidR="00822580">
          <w:rPr>
            <w:webHidden/>
          </w:rPr>
          <w:t>45</w:t>
        </w:r>
        <w:r w:rsidR="00C71C61">
          <w:rPr>
            <w:webHidden/>
          </w:rPr>
          <w:fldChar w:fldCharType="end"/>
        </w:r>
      </w:hyperlink>
    </w:p>
    <w:p w14:paraId="2689E2DE" w14:textId="128E7E7C" w:rsidR="00C71C61" w:rsidRPr="004D3350" w:rsidRDefault="009B2AE3">
      <w:pPr>
        <w:pStyle w:val="TOC3"/>
        <w:rPr>
          <w:rFonts w:ascii="Cambria" w:eastAsia="MS Mincho" w:hAnsi="Cambria"/>
          <w:sz w:val="22"/>
          <w:lang w:val="en-AU" w:eastAsia="en-AU"/>
        </w:rPr>
      </w:pPr>
      <w:hyperlink w:anchor="_Toc55464820" w:history="1">
        <w:r w:rsidR="00C71C61" w:rsidRPr="00BD05CB">
          <w:rPr>
            <w:rStyle w:val="Hyperlink"/>
            <w:lang w:val="en-AU"/>
          </w:rPr>
          <w:t>Case Study 1 – Rickettsiae infection</w:t>
        </w:r>
        <w:r w:rsidR="00C71C61">
          <w:rPr>
            <w:webHidden/>
          </w:rPr>
          <w:tab/>
        </w:r>
        <w:r w:rsidR="00C71C61">
          <w:rPr>
            <w:webHidden/>
          </w:rPr>
          <w:fldChar w:fldCharType="begin"/>
        </w:r>
        <w:r w:rsidR="00C71C61">
          <w:rPr>
            <w:webHidden/>
          </w:rPr>
          <w:instrText xml:space="preserve"> PAGEREF _Toc55464820 \h </w:instrText>
        </w:r>
        <w:r w:rsidR="00C71C61">
          <w:rPr>
            <w:webHidden/>
          </w:rPr>
        </w:r>
        <w:r w:rsidR="00C71C61">
          <w:rPr>
            <w:webHidden/>
          </w:rPr>
          <w:fldChar w:fldCharType="separate"/>
        </w:r>
        <w:r w:rsidR="00822580">
          <w:rPr>
            <w:webHidden/>
          </w:rPr>
          <w:t>45</w:t>
        </w:r>
        <w:r w:rsidR="00C71C61">
          <w:rPr>
            <w:webHidden/>
          </w:rPr>
          <w:fldChar w:fldCharType="end"/>
        </w:r>
      </w:hyperlink>
    </w:p>
    <w:p w14:paraId="12D119B2" w14:textId="5FB64C21" w:rsidR="00C71C61" w:rsidRPr="004D3350" w:rsidRDefault="009B2AE3">
      <w:pPr>
        <w:pStyle w:val="TOC3"/>
        <w:rPr>
          <w:rFonts w:ascii="Cambria" w:eastAsia="MS Mincho" w:hAnsi="Cambria"/>
          <w:sz w:val="22"/>
          <w:lang w:val="en-AU" w:eastAsia="en-AU"/>
        </w:rPr>
      </w:pPr>
      <w:hyperlink w:anchor="_Toc55464821" w:history="1">
        <w:r w:rsidR="00C71C61" w:rsidRPr="00BD05CB">
          <w:rPr>
            <w:rStyle w:val="Hyperlink"/>
            <w:lang w:val="en-AU"/>
          </w:rPr>
          <w:t>Case Study 2</w:t>
        </w:r>
        <w:r w:rsidR="00C71C61">
          <w:rPr>
            <w:webHidden/>
          </w:rPr>
          <w:tab/>
        </w:r>
        <w:r w:rsidR="00C71C61">
          <w:rPr>
            <w:webHidden/>
          </w:rPr>
          <w:fldChar w:fldCharType="begin"/>
        </w:r>
        <w:r w:rsidR="00C71C61">
          <w:rPr>
            <w:webHidden/>
          </w:rPr>
          <w:instrText xml:space="preserve"> PAGEREF _Toc55464821 \h </w:instrText>
        </w:r>
        <w:r w:rsidR="00C71C61">
          <w:rPr>
            <w:webHidden/>
          </w:rPr>
        </w:r>
        <w:r w:rsidR="00C71C61">
          <w:rPr>
            <w:webHidden/>
          </w:rPr>
          <w:fldChar w:fldCharType="separate"/>
        </w:r>
        <w:r w:rsidR="00822580">
          <w:rPr>
            <w:webHidden/>
          </w:rPr>
          <w:t>45</w:t>
        </w:r>
        <w:r w:rsidR="00C71C61">
          <w:rPr>
            <w:webHidden/>
          </w:rPr>
          <w:fldChar w:fldCharType="end"/>
        </w:r>
      </w:hyperlink>
    </w:p>
    <w:p w14:paraId="7AD37A3B" w14:textId="058CFB7C" w:rsidR="00C71C61" w:rsidRPr="004D3350" w:rsidRDefault="009B2AE3">
      <w:pPr>
        <w:pStyle w:val="TOC1"/>
        <w:rPr>
          <w:rFonts w:ascii="Cambria" w:eastAsia="MS Mincho" w:hAnsi="Cambria"/>
          <w:b w:val="0"/>
          <w:caps w:val="0"/>
          <w:lang w:val="en-AU" w:eastAsia="en-AU"/>
        </w:rPr>
      </w:pPr>
      <w:hyperlink w:anchor="_Toc55464822" w:history="1">
        <w:r w:rsidR="00C71C61" w:rsidRPr="00BD05CB">
          <w:rPr>
            <w:rStyle w:val="Hyperlink"/>
            <w:lang w:val="en-AU"/>
          </w:rPr>
          <w:t>Appendix B: Bibliography</w:t>
        </w:r>
        <w:r w:rsidR="00C71C61">
          <w:rPr>
            <w:webHidden/>
          </w:rPr>
          <w:tab/>
        </w:r>
        <w:r w:rsidR="00C71C61">
          <w:rPr>
            <w:webHidden/>
          </w:rPr>
          <w:fldChar w:fldCharType="begin"/>
        </w:r>
        <w:r w:rsidR="00C71C61">
          <w:rPr>
            <w:webHidden/>
          </w:rPr>
          <w:instrText xml:space="preserve"> PAGEREF _Toc55464822 \h </w:instrText>
        </w:r>
        <w:r w:rsidR="00C71C61">
          <w:rPr>
            <w:webHidden/>
          </w:rPr>
        </w:r>
        <w:r w:rsidR="00C71C61">
          <w:rPr>
            <w:webHidden/>
          </w:rPr>
          <w:fldChar w:fldCharType="separate"/>
        </w:r>
        <w:r w:rsidR="00822580">
          <w:rPr>
            <w:webHidden/>
          </w:rPr>
          <w:t>46</w:t>
        </w:r>
        <w:r w:rsidR="00C71C61">
          <w:rPr>
            <w:webHidden/>
          </w:rPr>
          <w:fldChar w:fldCharType="end"/>
        </w:r>
      </w:hyperlink>
    </w:p>
    <w:p w14:paraId="1E052EF5" w14:textId="77777777" w:rsidR="00F25988" w:rsidRPr="00F2704A" w:rsidRDefault="00F25988" w:rsidP="00513E2F">
      <w:pPr>
        <w:tabs>
          <w:tab w:val="left" w:pos="709"/>
          <w:tab w:val="left" w:pos="851"/>
        </w:tabs>
        <w:rPr>
          <w:lang w:val="en-AU"/>
        </w:rPr>
      </w:pPr>
      <w:r w:rsidRPr="004D3350">
        <w:rPr>
          <w:rFonts w:ascii="Calibri" w:hAnsi="Calibri"/>
          <w:b/>
          <w:sz w:val="24"/>
          <w:lang w:val="en-AU"/>
        </w:rPr>
        <w:fldChar w:fldCharType="end"/>
      </w:r>
    </w:p>
    <w:p w14:paraId="47E73ADB" w14:textId="77777777" w:rsidR="003D459D" w:rsidRPr="004D3350" w:rsidRDefault="003D459D">
      <w:pPr>
        <w:rPr>
          <w:rFonts w:ascii="Calibri" w:hAnsi="Calibri"/>
          <w:b/>
          <w:caps/>
          <w:color w:val="36424A"/>
          <w:sz w:val="28"/>
          <w:lang w:val="en-AU"/>
        </w:rPr>
      </w:pPr>
      <w:r w:rsidRPr="00661245">
        <w:rPr>
          <w:lang w:val="en-AU"/>
        </w:rPr>
        <w:br w:type="page"/>
      </w:r>
    </w:p>
    <w:p w14:paraId="0CC9B2D6" w14:textId="77777777" w:rsidR="00507D7C" w:rsidRPr="00CF74AD" w:rsidRDefault="00507D7C" w:rsidP="00507D7C">
      <w:pPr>
        <w:pStyle w:val="Heading1-NOTinTOC"/>
        <w:rPr>
          <w:lang w:val="en-AU"/>
        </w:rPr>
      </w:pPr>
      <w:r w:rsidRPr="00CF74AD">
        <w:rPr>
          <w:lang w:val="en-AU"/>
        </w:rPr>
        <w:lastRenderedPageBreak/>
        <w:t>tables</w:t>
      </w:r>
    </w:p>
    <w:p w14:paraId="30DE75F6" w14:textId="7FCF0FEA" w:rsidR="00FE14B0" w:rsidRPr="004D3350" w:rsidRDefault="00507D7C">
      <w:pPr>
        <w:pStyle w:val="TableofFigures"/>
        <w:rPr>
          <w:rFonts w:ascii="Cambria" w:eastAsia="MS Mincho" w:hAnsi="Cambria"/>
          <w:noProof/>
          <w:lang w:val="en-AU" w:eastAsia="en-AU"/>
        </w:rPr>
      </w:pPr>
      <w:r w:rsidRPr="004D3350">
        <w:rPr>
          <w:rFonts w:cs="Calibri"/>
          <w:lang w:val="en-AU"/>
        </w:rPr>
        <w:fldChar w:fldCharType="begin"/>
      </w:r>
      <w:r w:rsidRPr="004D3350">
        <w:rPr>
          <w:rFonts w:cs="Calibri"/>
          <w:lang w:val="en-AU"/>
        </w:rPr>
        <w:instrText xml:space="preserve"> TOC \h \z \c "Table" </w:instrText>
      </w:r>
      <w:r w:rsidRPr="004D3350">
        <w:rPr>
          <w:rFonts w:cs="Calibri"/>
          <w:lang w:val="en-AU"/>
        </w:rPr>
        <w:fldChar w:fldCharType="separate"/>
      </w:r>
      <w:hyperlink w:anchor="_Toc55460090" w:history="1">
        <w:r w:rsidR="00FE14B0" w:rsidRPr="00247494">
          <w:rPr>
            <w:rStyle w:val="Hyperlink"/>
            <w:noProof/>
            <w:lang w:val="en-AU"/>
          </w:rPr>
          <w:t>Table 1: Stages of Lyme disease in patients who have travelled to Lyme disease endemic countries</w:t>
        </w:r>
        <w:r w:rsidR="00FE14B0">
          <w:rPr>
            <w:noProof/>
            <w:webHidden/>
          </w:rPr>
          <w:tab/>
        </w:r>
        <w:r w:rsidR="00FE14B0">
          <w:rPr>
            <w:noProof/>
            <w:webHidden/>
          </w:rPr>
          <w:fldChar w:fldCharType="begin"/>
        </w:r>
        <w:r w:rsidR="00FE14B0">
          <w:rPr>
            <w:noProof/>
            <w:webHidden/>
          </w:rPr>
          <w:instrText xml:space="preserve"> PAGEREF _Toc55460090 \h </w:instrText>
        </w:r>
        <w:r w:rsidR="00FE14B0">
          <w:rPr>
            <w:noProof/>
            <w:webHidden/>
          </w:rPr>
        </w:r>
        <w:r w:rsidR="00FE14B0">
          <w:rPr>
            <w:noProof/>
            <w:webHidden/>
          </w:rPr>
          <w:fldChar w:fldCharType="separate"/>
        </w:r>
        <w:r w:rsidR="00822580">
          <w:rPr>
            <w:noProof/>
            <w:webHidden/>
          </w:rPr>
          <w:t>10</w:t>
        </w:r>
        <w:r w:rsidR="00FE14B0">
          <w:rPr>
            <w:noProof/>
            <w:webHidden/>
          </w:rPr>
          <w:fldChar w:fldCharType="end"/>
        </w:r>
      </w:hyperlink>
    </w:p>
    <w:p w14:paraId="61603D60" w14:textId="072F97F0" w:rsidR="00FE14B0" w:rsidRPr="004D3350" w:rsidRDefault="009B2AE3">
      <w:pPr>
        <w:pStyle w:val="TableofFigures"/>
        <w:rPr>
          <w:rFonts w:ascii="Cambria" w:eastAsia="MS Mincho" w:hAnsi="Cambria"/>
          <w:noProof/>
          <w:lang w:val="en-AU" w:eastAsia="en-AU"/>
        </w:rPr>
      </w:pPr>
      <w:hyperlink w:anchor="_Toc55460091" w:history="1">
        <w:r w:rsidR="00FE14B0" w:rsidRPr="00247494">
          <w:rPr>
            <w:rStyle w:val="Hyperlink"/>
            <w:noProof/>
            <w:lang w:val="en-AU"/>
          </w:rPr>
          <w:t>Table 2: Other signs and symptoms of Lyme disease</w:t>
        </w:r>
        <w:r w:rsidR="00FE14B0">
          <w:rPr>
            <w:noProof/>
            <w:webHidden/>
          </w:rPr>
          <w:tab/>
        </w:r>
        <w:r w:rsidR="00FE14B0">
          <w:rPr>
            <w:noProof/>
            <w:webHidden/>
          </w:rPr>
          <w:fldChar w:fldCharType="begin"/>
        </w:r>
        <w:r w:rsidR="00FE14B0">
          <w:rPr>
            <w:noProof/>
            <w:webHidden/>
          </w:rPr>
          <w:instrText xml:space="preserve"> PAGEREF _Toc55460091 \h </w:instrText>
        </w:r>
        <w:r w:rsidR="00FE14B0">
          <w:rPr>
            <w:noProof/>
            <w:webHidden/>
          </w:rPr>
        </w:r>
        <w:r w:rsidR="00FE14B0">
          <w:rPr>
            <w:noProof/>
            <w:webHidden/>
          </w:rPr>
          <w:fldChar w:fldCharType="separate"/>
        </w:r>
        <w:r w:rsidR="00822580">
          <w:rPr>
            <w:noProof/>
            <w:webHidden/>
          </w:rPr>
          <w:t>11</w:t>
        </w:r>
        <w:r w:rsidR="00FE14B0">
          <w:rPr>
            <w:noProof/>
            <w:webHidden/>
          </w:rPr>
          <w:fldChar w:fldCharType="end"/>
        </w:r>
      </w:hyperlink>
    </w:p>
    <w:p w14:paraId="441F7201" w14:textId="22F19310" w:rsidR="00FE14B0" w:rsidRPr="004D3350" w:rsidRDefault="009B2AE3">
      <w:pPr>
        <w:pStyle w:val="TableofFigures"/>
        <w:rPr>
          <w:rFonts w:ascii="Cambria" w:eastAsia="MS Mincho" w:hAnsi="Cambria"/>
          <w:noProof/>
          <w:lang w:val="en-AU" w:eastAsia="en-AU"/>
        </w:rPr>
      </w:pPr>
      <w:hyperlink w:anchor="_Toc55460092" w:history="1">
        <w:r w:rsidR="00FE14B0" w:rsidRPr="00247494">
          <w:rPr>
            <w:rStyle w:val="Hyperlink"/>
            <w:noProof/>
            <w:lang w:val="en-AU"/>
          </w:rPr>
          <w:t>Table 3: Initial treatment of Australian tick-borne diseases</w:t>
        </w:r>
        <w:r w:rsidR="00FE14B0">
          <w:rPr>
            <w:noProof/>
            <w:webHidden/>
          </w:rPr>
          <w:tab/>
        </w:r>
        <w:r w:rsidR="00FE14B0">
          <w:rPr>
            <w:noProof/>
            <w:webHidden/>
          </w:rPr>
          <w:fldChar w:fldCharType="begin"/>
        </w:r>
        <w:r w:rsidR="00FE14B0">
          <w:rPr>
            <w:noProof/>
            <w:webHidden/>
          </w:rPr>
          <w:instrText xml:space="preserve"> PAGEREF _Toc55460092 \h </w:instrText>
        </w:r>
        <w:r w:rsidR="00FE14B0">
          <w:rPr>
            <w:noProof/>
            <w:webHidden/>
          </w:rPr>
        </w:r>
        <w:r w:rsidR="00FE14B0">
          <w:rPr>
            <w:noProof/>
            <w:webHidden/>
          </w:rPr>
          <w:fldChar w:fldCharType="separate"/>
        </w:r>
        <w:r w:rsidR="00822580">
          <w:rPr>
            <w:noProof/>
            <w:webHidden/>
          </w:rPr>
          <w:t>33</w:t>
        </w:r>
        <w:r w:rsidR="00FE14B0">
          <w:rPr>
            <w:noProof/>
            <w:webHidden/>
          </w:rPr>
          <w:fldChar w:fldCharType="end"/>
        </w:r>
      </w:hyperlink>
    </w:p>
    <w:p w14:paraId="056559F2" w14:textId="2803D470" w:rsidR="00FE14B0" w:rsidRPr="004D3350" w:rsidRDefault="009B2AE3">
      <w:pPr>
        <w:pStyle w:val="TableofFigures"/>
        <w:rPr>
          <w:rFonts w:ascii="Cambria" w:eastAsia="MS Mincho" w:hAnsi="Cambria"/>
          <w:noProof/>
          <w:lang w:val="en-AU" w:eastAsia="en-AU"/>
        </w:rPr>
      </w:pPr>
      <w:hyperlink w:anchor="_Toc55460093" w:history="1">
        <w:r w:rsidR="00FE14B0" w:rsidRPr="00247494">
          <w:rPr>
            <w:rStyle w:val="Hyperlink"/>
            <w:noProof/>
          </w:rPr>
          <w:t>Table 4: Recommendations for managing medically unexplained symptoms</w:t>
        </w:r>
        <w:r w:rsidR="00FE14B0">
          <w:rPr>
            <w:noProof/>
            <w:webHidden/>
          </w:rPr>
          <w:tab/>
        </w:r>
        <w:r w:rsidR="00FE14B0">
          <w:rPr>
            <w:noProof/>
            <w:webHidden/>
          </w:rPr>
          <w:fldChar w:fldCharType="begin"/>
        </w:r>
        <w:r w:rsidR="00FE14B0">
          <w:rPr>
            <w:noProof/>
            <w:webHidden/>
          </w:rPr>
          <w:instrText xml:space="preserve"> PAGEREF _Toc55460093 \h </w:instrText>
        </w:r>
        <w:r w:rsidR="00FE14B0">
          <w:rPr>
            <w:noProof/>
            <w:webHidden/>
          </w:rPr>
        </w:r>
        <w:r w:rsidR="00FE14B0">
          <w:rPr>
            <w:noProof/>
            <w:webHidden/>
          </w:rPr>
          <w:fldChar w:fldCharType="separate"/>
        </w:r>
        <w:r w:rsidR="00822580">
          <w:rPr>
            <w:noProof/>
            <w:webHidden/>
          </w:rPr>
          <w:t>37</w:t>
        </w:r>
        <w:r w:rsidR="00FE14B0">
          <w:rPr>
            <w:noProof/>
            <w:webHidden/>
          </w:rPr>
          <w:fldChar w:fldCharType="end"/>
        </w:r>
      </w:hyperlink>
    </w:p>
    <w:p w14:paraId="1C385AA1" w14:textId="43B8CEC3" w:rsidR="00FE14B0" w:rsidRPr="004D3350" w:rsidRDefault="009B2AE3">
      <w:pPr>
        <w:pStyle w:val="TableofFigures"/>
        <w:rPr>
          <w:rFonts w:ascii="Cambria" w:eastAsia="MS Mincho" w:hAnsi="Cambria"/>
          <w:noProof/>
          <w:lang w:val="en-AU" w:eastAsia="en-AU"/>
        </w:rPr>
      </w:pPr>
      <w:hyperlink w:anchor="_Toc55460094" w:history="1">
        <w:r w:rsidR="00FE14B0" w:rsidRPr="00247494">
          <w:rPr>
            <w:rStyle w:val="Hyperlink"/>
            <w:noProof/>
          </w:rPr>
          <w:t>Table 5: Overview of Stepped Care approach to managing medically unexplained symptoms</w:t>
        </w:r>
        <w:r w:rsidR="00FE14B0">
          <w:rPr>
            <w:noProof/>
            <w:webHidden/>
          </w:rPr>
          <w:tab/>
        </w:r>
        <w:r w:rsidR="00FE14B0">
          <w:rPr>
            <w:noProof/>
            <w:webHidden/>
          </w:rPr>
          <w:fldChar w:fldCharType="begin"/>
        </w:r>
        <w:r w:rsidR="00FE14B0">
          <w:rPr>
            <w:noProof/>
            <w:webHidden/>
          </w:rPr>
          <w:instrText xml:space="preserve"> PAGEREF _Toc55460094 \h </w:instrText>
        </w:r>
        <w:r w:rsidR="00FE14B0">
          <w:rPr>
            <w:noProof/>
            <w:webHidden/>
          </w:rPr>
        </w:r>
        <w:r w:rsidR="00FE14B0">
          <w:rPr>
            <w:noProof/>
            <w:webHidden/>
          </w:rPr>
          <w:fldChar w:fldCharType="separate"/>
        </w:r>
        <w:r w:rsidR="00822580">
          <w:rPr>
            <w:noProof/>
            <w:webHidden/>
          </w:rPr>
          <w:t>41</w:t>
        </w:r>
        <w:r w:rsidR="00FE14B0">
          <w:rPr>
            <w:noProof/>
            <w:webHidden/>
          </w:rPr>
          <w:fldChar w:fldCharType="end"/>
        </w:r>
      </w:hyperlink>
    </w:p>
    <w:p w14:paraId="38F9916E" w14:textId="77777777" w:rsidR="002D1A24" w:rsidRPr="00F2704A" w:rsidRDefault="00507D7C">
      <w:pPr>
        <w:rPr>
          <w:lang w:val="en-AU"/>
        </w:rPr>
      </w:pPr>
      <w:r w:rsidRPr="004D3350">
        <w:rPr>
          <w:rFonts w:ascii="Calibri" w:hAnsi="Calibri" w:cs="Calibri"/>
          <w:lang w:val="en-AU"/>
        </w:rPr>
        <w:fldChar w:fldCharType="end"/>
      </w:r>
    </w:p>
    <w:p w14:paraId="594CF29D" w14:textId="77777777" w:rsidR="002D1A24" w:rsidRPr="00CF74AD" w:rsidRDefault="00780586" w:rsidP="002D1A24">
      <w:pPr>
        <w:pStyle w:val="Heading1"/>
        <w:rPr>
          <w:lang w:val="en-AU"/>
        </w:rPr>
      </w:pPr>
      <w:bookmarkStart w:id="1" w:name="_Toc55464757"/>
      <w:r w:rsidRPr="00CF74AD">
        <w:rPr>
          <w:lang w:val="en-AU"/>
        </w:rPr>
        <w:t>F</w:t>
      </w:r>
      <w:r w:rsidR="002D1A24" w:rsidRPr="00CF74AD">
        <w:rPr>
          <w:lang w:val="en-AU"/>
        </w:rPr>
        <w:t>igures</w:t>
      </w:r>
      <w:bookmarkEnd w:id="1"/>
    </w:p>
    <w:p w14:paraId="78046013" w14:textId="043764D0" w:rsidR="00FE14B0" w:rsidRPr="004D3350" w:rsidRDefault="00F06F9B">
      <w:pPr>
        <w:pStyle w:val="TableofFigures"/>
        <w:rPr>
          <w:rFonts w:ascii="Cambria" w:eastAsia="MS Mincho" w:hAnsi="Cambria"/>
          <w:noProof/>
          <w:lang w:val="en-AU" w:eastAsia="en-AU"/>
        </w:rPr>
      </w:pPr>
      <w:r w:rsidRPr="00661245">
        <w:rPr>
          <w:lang w:val="en-AU"/>
        </w:rPr>
        <w:fldChar w:fldCharType="begin"/>
      </w:r>
      <w:r w:rsidRPr="00F2704A">
        <w:rPr>
          <w:lang w:val="en-AU"/>
        </w:rPr>
        <w:instrText xml:space="preserve"> TOC \h \z \c "Figure" </w:instrText>
      </w:r>
      <w:r w:rsidRPr="00661245">
        <w:rPr>
          <w:lang w:val="en-AU"/>
        </w:rPr>
        <w:fldChar w:fldCharType="separate"/>
      </w:r>
      <w:hyperlink w:anchor="_Toc55460095" w:history="1">
        <w:r w:rsidR="00FE14B0" w:rsidRPr="00140280">
          <w:rPr>
            <w:rStyle w:val="Hyperlink"/>
            <w:noProof/>
            <w:lang w:val="en-AU"/>
          </w:rPr>
          <w:t>Figure 1: Distribution of Queensland Tick Typhus</w:t>
        </w:r>
        <w:r w:rsidR="00FE14B0">
          <w:rPr>
            <w:noProof/>
            <w:webHidden/>
          </w:rPr>
          <w:tab/>
        </w:r>
        <w:r w:rsidR="00FE14B0">
          <w:rPr>
            <w:noProof/>
            <w:webHidden/>
          </w:rPr>
          <w:fldChar w:fldCharType="begin"/>
        </w:r>
        <w:r w:rsidR="00FE14B0">
          <w:rPr>
            <w:noProof/>
            <w:webHidden/>
          </w:rPr>
          <w:instrText xml:space="preserve"> PAGEREF _Toc55460095 \h </w:instrText>
        </w:r>
        <w:r w:rsidR="00FE14B0">
          <w:rPr>
            <w:noProof/>
            <w:webHidden/>
          </w:rPr>
        </w:r>
        <w:r w:rsidR="00FE14B0">
          <w:rPr>
            <w:noProof/>
            <w:webHidden/>
          </w:rPr>
          <w:fldChar w:fldCharType="separate"/>
        </w:r>
        <w:r w:rsidR="00822580">
          <w:rPr>
            <w:noProof/>
            <w:webHidden/>
          </w:rPr>
          <w:t>15</w:t>
        </w:r>
        <w:r w:rsidR="00FE14B0">
          <w:rPr>
            <w:noProof/>
            <w:webHidden/>
          </w:rPr>
          <w:fldChar w:fldCharType="end"/>
        </w:r>
      </w:hyperlink>
    </w:p>
    <w:p w14:paraId="5AE6C072" w14:textId="4C9DC17D" w:rsidR="00FE14B0" w:rsidRPr="004D3350" w:rsidRDefault="009B2AE3">
      <w:pPr>
        <w:pStyle w:val="TableofFigures"/>
        <w:rPr>
          <w:rFonts w:ascii="Cambria" w:eastAsia="MS Mincho" w:hAnsi="Cambria"/>
          <w:noProof/>
          <w:lang w:val="en-AU" w:eastAsia="en-AU"/>
        </w:rPr>
      </w:pPr>
      <w:hyperlink w:anchor="_Toc55460096" w:history="1">
        <w:r w:rsidR="00FE14B0" w:rsidRPr="00140280">
          <w:rPr>
            <w:rStyle w:val="Hyperlink"/>
            <w:noProof/>
            <w:lang w:val="en-AU"/>
          </w:rPr>
          <w:t>Figure 2: Distribution of Australian Spotted Fever</w:t>
        </w:r>
        <w:r w:rsidR="00FE14B0">
          <w:rPr>
            <w:noProof/>
            <w:webHidden/>
          </w:rPr>
          <w:tab/>
        </w:r>
        <w:r w:rsidR="00FE14B0">
          <w:rPr>
            <w:noProof/>
            <w:webHidden/>
          </w:rPr>
          <w:fldChar w:fldCharType="begin"/>
        </w:r>
        <w:r w:rsidR="00FE14B0">
          <w:rPr>
            <w:noProof/>
            <w:webHidden/>
          </w:rPr>
          <w:instrText xml:space="preserve"> PAGEREF _Toc55460096 \h </w:instrText>
        </w:r>
        <w:r w:rsidR="00FE14B0">
          <w:rPr>
            <w:noProof/>
            <w:webHidden/>
          </w:rPr>
        </w:r>
        <w:r w:rsidR="00FE14B0">
          <w:rPr>
            <w:noProof/>
            <w:webHidden/>
          </w:rPr>
          <w:fldChar w:fldCharType="separate"/>
        </w:r>
        <w:r w:rsidR="00822580">
          <w:rPr>
            <w:noProof/>
            <w:webHidden/>
          </w:rPr>
          <w:t>17</w:t>
        </w:r>
        <w:r w:rsidR="00FE14B0">
          <w:rPr>
            <w:noProof/>
            <w:webHidden/>
          </w:rPr>
          <w:fldChar w:fldCharType="end"/>
        </w:r>
      </w:hyperlink>
    </w:p>
    <w:p w14:paraId="6171C5E1" w14:textId="41D0CC66" w:rsidR="00FE14B0" w:rsidRPr="004D3350" w:rsidRDefault="009B2AE3">
      <w:pPr>
        <w:pStyle w:val="TableofFigures"/>
        <w:rPr>
          <w:rFonts w:ascii="Cambria" w:eastAsia="MS Mincho" w:hAnsi="Cambria"/>
          <w:noProof/>
          <w:lang w:val="en-AU" w:eastAsia="en-AU"/>
        </w:rPr>
      </w:pPr>
      <w:hyperlink w:anchor="_Toc55460097" w:history="1">
        <w:r w:rsidR="00FE14B0" w:rsidRPr="00140280">
          <w:rPr>
            <w:rStyle w:val="Hyperlink"/>
            <w:noProof/>
            <w:lang w:val="en-AU"/>
          </w:rPr>
          <w:t>Figure 3: Distribution of Flinders Island Spotted Fever</w:t>
        </w:r>
        <w:r w:rsidR="00FE14B0">
          <w:rPr>
            <w:noProof/>
            <w:webHidden/>
          </w:rPr>
          <w:tab/>
        </w:r>
        <w:r w:rsidR="00FE14B0">
          <w:rPr>
            <w:noProof/>
            <w:webHidden/>
          </w:rPr>
          <w:fldChar w:fldCharType="begin"/>
        </w:r>
        <w:r w:rsidR="00FE14B0">
          <w:rPr>
            <w:noProof/>
            <w:webHidden/>
          </w:rPr>
          <w:instrText xml:space="preserve"> PAGEREF _Toc55460097 \h </w:instrText>
        </w:r>
        <w:r w:rsidR="00FE14B0">
          <w:rPr>
            <w:noProof/>
            <w:webHidden/>
          </w:rPr>
        </w:r>
        <w:r w:rsidR="00FE14B0">
          <w:rPr>
            <w:noProof/>
            <w:webHidden/>
          </w:rPr>
          <w:fldChar w:fldCharType="separate"/>
        </w:r>
        <w:r w:rsidR="00822580">
          <w:rPr>
            <w:noProof/>
            <w:webHidden/>
          </w:rPr>
          <w:t>18</w:t>
        </w:r>
        <w:r w:rsidR="00FE14B0">
          <w:rPr>
            <w:noProof/>
            <w:webHidden/>
          </w:rPr>
          <w:fldChar w:fldCharType="end"/>
        </w:r>
      </w:hyperlink>
    </w:p>
    <w:p w14:paraId="64C13B3A" w14:textId="77777777" w:rsidR="00A72ED1" w:rsidRPr="00CF74AD" w:rsidRDefault="00F06F9B" w:rsidP="00037698">
      <w:pPr>
        <w:pStyle w:val="Heading1"/>
        <w:rPr>
          <w:lang w:val="en-AU"/>
        </w:rPr>
      </w:pPr>
      <w:r w:rsidRPr="00661245">
        <w:rPr>
          <w:lang w:val="en-AU"/>
        </w:rPr>
        <w:fldChar w:fldCharType="end"/>
      </w:r>
      <w:r w:rsidR="00507D7C" w:rsidRPr="00F2704A">
        <w:rPr>
          <w:lang w:val="en-AU"/>
        </w:rPr>
        <w:br w:type="page"/>
      </w:r>
      <w:r w:rsidR="00154725">
        <w:rPr>
          <w:lang w:val="en-AU"/>
        </w:rPr>
        <w:lastRenderedPageBreak/>
        <w:t xml:space="preserve"> </w:t>
      </w:r>
      <w:bookmarkStart w:id="2" w:name="_Toc55464758"/>
      <w:r w:rsidR="00A72ED1" w:rsidRPr="00CF74AD">
        <w:rPr>
          <w:lang w:val="en-AU"/>
        </w:rPr>
        <w:t>Glossary</w:t>
      </w:r>
      <w:bookmarkEnd w:id="2"/>
    </w:p>
    <w:tbl>
      <w:tblPr>
        <w:tblW w:w="0" w:type="auto"/>
        <w:tblLook w:val="04A0" w:firstRow="1" w:lastRow="0" w:firstColumn="1" w:lastColumn="0" w:noHBand="0" w:noVBand="1"/>
      </w:tblPr>
      <w:tblGrid>
        <w:gridCol w:w="1444"/>
        <w:gridCol w:w="7627"/>
      </w:tblGrid>
      <w:tr w:rsidR="00A72ED1" w:rsidRPr="004D3350" w14:paraId="5E059B33" w14:textId="77777777" w:rsidTr="004D3350">
        <w:trPr>
          <w:tblHeader/>
        </w:trPr>
        <w:tc>
          <w:tcPr>
            <w:tcW w:w="988" w:type="dxa"/>
            <w:shd w:val="clear" w:color="auto" w:fill="auto"/>
          </w:tcPr>
          <w:p w14:paraId="640A0EE3" w14:textId="77777777" w:rsidR="00A72ED1" w:rsidRPr="004D3350" w:rsidRDefault="00224A03"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ASF</w:t>
            </w:r>
          </w:p>
        </w:tc>
        <w:tc>
          <w:tcPr>
            <w:tcW w:w="7867" w:type="dxa"/>
            <w:shd w:val="clear" w:color="auto" w:fill="auto"/>
          </w:tcPr>
          <w:p w14:paraId="70EA0D1A" w14:textId="77777777" w:rsidR="00A72ED1" w:rsidRPr="004D3350" w:rsidRDefault="00224A03"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Australian Spotted Fever</w:t>
            </w:r>
          </w:p>
        </w:tc>
      </w:tr>
      <w:tr w:rsidR="00A72ED1" w:rsidRPr="004D3350" w14:paraId="719D0567" w14:textId="77777777" w:rsidTr="004D3350">
        <w:tc>
          <w:tcPr>
            <w:tcW w:w="988" w:type="dxa"/>
            <w:shd w:val="clear" w:color="auto" w:fill="auto"/>
          </w:tcPr>
          <w:p w14:paraId="181FDE01" w14:textId="77777777" w:rsidR="00A72ED1" w:rsidRPr="004D3350" w:rsidRDefault="00A72ED1"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 xml:space="preserve">CBT </w:t>
            </w:r>
          </w:p>
        </w:tc>
        <w:tc>
          <w:tcPr>
            <w:tcW w:w="7867" w:type="dxa"/>
            <w:shd w:val="clear" w:color="auto" w:fill="auto"/>
          </w:tcPr>
          <w:p w14:paraId="1994841D" w14:textId="77777777" w:rsidR="00A72ED1" w:rsidRPr="004D3350" w:rsidRDefault="00A72ED1"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Cognitive behavioural therapy</w:t>
            </w:r>
          </w:p>
        </w:tc>
      </w:tr>
      <w:tr w:rsidR="00FE0FD1" w:rsidRPr="004D3350" w14:paraId="4A35E200" w14:textId="77777777" w:rsidTr="004D3350">
        <w:tc>
          <w:tcPr>
            <w:tcW w:w="988" w:type="dxa"/>
            <w:shd w:val="clear" w:color="auto" w:fill="auto"/>
          </w:tcPr>
          <w:p w14:paraId="2FE53B74" w14:textId="77777777" w:rsidR="00FE0FD1" w:rsidRPr="004D3350" w:rsidRDefault="00FE0FD1"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CDC</w:t>
            </w:r>
          </w:p>
        </w:tc>
        <w:tc>
          <w:tcPr>
            <w:tcW w:w="7867" w:type="dxa"/>
            <w:shd w:val="clear" w:color="auto" w:fill="auto"/>
          </w:tcPr>
          <w:p w14:paraId="08268E83" w14:textId="77777777" w:rsidR="00FE0FD1" w:rsidRPr="004D3350" w:rsidRDefault="002F1ACD"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Center</w:t>
            </w:r>
            <w:r w:rsidR="00112EDD" w:rsidRPr="004D3350">
              <w:rPr>
                <w:rFonts w:ascii="Calibri" w:hAnsi="Calibri" w:cs="Calibri"/>
                <w:sz w:val="20"/>
                <w:szCs w:val="20"/>
                <w:lang w:val="en-AU"/>
              </w:rPr>
              <w:t>s</w:t>
            </w:r>
            <w:r w:rsidRPr="004D3350">
              <w:rPr>
                <w:rFonts w:ascii="Calibri" w:hAnsi="Calibri" w:cs="Calibri"/>
                <w:sz w:val="20"/>
                <w:szCs w:val="20"/>
                <w:lang w:val="en-AU"/>
              </w:rPr>
              <w:t xml:space="preserve"> for Disease Control and Prevention</w:t>
            </w:r>
          </w:p>
        </w:tc>
      </w:tr>
      <w:tr w:rsidR="00A72ED1" w:rsidRPr="004D3350" w14:paraId="64D13265" w14:textId="77777777" w:rsidTr="004D3350">
        <w:tc>
          <w:tcPr>
            <w:tcW w:w="988" w:type="dxa"/>
            <w:shd w:val="clear" w:color="auto" w:fill="auto"/>
          </w:tcPr>
          <w:p w14:paraId="102BEC80" w14:textId="77777777" w:rsidR="00A72ED1" w:rsidRPr="004D3350" w:rsidRDefault="00A72ED1"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CDNA</w:t>
            </w:r>
          </w:p>
        </w:tc>
        <w:tc>
          <w:tcPr>
            <w:tcW w:w="7867" w:type="dxa"/>
            <w:shd w:val="clear" w:color="auto" w:fill="auto"/>
          </w:tcPr>
          <w:p w14:paraId="001C9D75" w14:textId="77777777" w:rsidR="00A72ED1" w:rsidRPr="004D3350" w:rsidRDefault="00A72ED1"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Communicable Diseases Network Australia</w:t>
            </w:r>
          </w:p>
        </w:tc>
      </w:tr>
      <w:tr w:rsidR="00A72ED1" w:rsidRPr="004D3350" w14:paraId="3B42E163" w14:textId="77777777" w:rsidTr="004D3350">
        <w:tc>
          <w:tcPr>
            <w:tcW w:w="988" w:type="dxa"/>
            <w:shd w:val="clear" w:color="auto" w:fill="auto"/>
          </w:tcPr>
          <w:p w14:paraId="488742EE" w14:textId="77777777" w:rsidR="00A72ED1" w:rsidRPr="004D3350" w:rsidRDefault="00A72ED1"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DEET</w:t>
            </w:r>
          </w:p>
        </w:tc>
        <w:tc>
          <w:tcPr>
            <w:tcW w:w="7867" w:type="dxa"/>
            <w:shd w:val="clear" w:color="auto" w:fill="auto"/>
          </w:tcPr>
          <w:p w14:paraId="081F7E74" w14:textId="77777777" w:rsidR="00A72ED1" w:rsidRPr="004D3350" w:rsidRDefault="00A72ED1"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Diethyl-meta-toluamide</w:t>
            </w:r>
          </w:p>
        </w:tc>
      </w:tr>
      <w:tr w:rsidR="00A72ED1" w:rsidRPr="004D3350" w14:paraId="233D154D" w14:textId="77777777" w:rsidTr="004D3350">
        <w:tc>
          <w:tcPr>
            <w:tcW w:w="988" w:type="dxa"/>
            <w:shd w:val="clear" w:color="auto" w:fill="auto"/>
          </w:tcPr>
          <w:p w14:paraId="0FCD641E" w14:textId="77777777" w:rsidR="00A72ED1" w:rsidRPr="004D3350" w:rsidRDefault="00A72ED1"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 xml:space="preserve">DSCATT </w:t>
            </w:r>
          </w:p>
        </w:tc>
        <w:tc>
          <w:tcPr>
            <w:tcW w:w="7867" w:type="dxa"/>
            <w:shd w:val="clear" w:color="auto" w:fill="auto"/>
          </w:tcPr>
          <w:p w14:paraId="55867B82" w14:textId="77777777" w:rsidR="00A72ED1" w:rsidRPr="004D3350" w:rsidRDefault="00A72ED1"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Debilitating Symptom Complexes Attributed to Ticks</w:t>
            </w:r>
          </w:p>
        </w:tc>
      </w:tr>
      <w:tr w:rsidR="00A72ED1" w:rsidRPr="004D3350" w14:paraId="4E1EA6A5" w14:textId="77777777" w:rsidTr="004D3350">
        <w:tc>
          <w:tcPr>
            <w:tcW w:w="988" w:type="dxa"/>
            <w:shd w:val="clear" w:color="auto" w:fill="auto"/>
          </w:tcPr>
          <w:p w14:paraId="7966F419" w14:textId="77777777" w:rsidR="00A72ED1" w:rsidRPr="004D3350" w:rsidRDefault="00A72ED1"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ELISA</w:t>
            </w:r>
          </w:p>
        </w:tc>
        <w:tc>
          <w:tcPr>
            <w:tcW w:w="7867" w:type="dxa"/>
            <w:shd w:val="clear" w:color="auto" w:fill="auto"/>
          </w:tcPr>
          <w:p w14:paraId="7DAF6E12" w14:textId="77777777" w:rsidR="00A72ED1" w:rsidRPr="004D3350" w:rsidRDefault="00A72ED1"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Enzyme-linked immunosorbent assay</w:t>
            </w:r>
          </w:p>
        </w:tc>
      </w:tr>
      <w:tr w:rsidR="00A72ED1" w:rsidRPr="004D3350" w14:paraId="5F229B86" w14:textId="77777777" w:rsidTr="004D3350">
        <w:tc>
          <w:tcPr>
            <w:tcW w:w="988" w:type="dxa"/>
            <w:shd w:val="clear" w:color="auto" w:fill="auto"/>
          </w:tcPr>
          <w:p w14:paraId="08EBD665" w14:textId="77777777" w:rsidR="00A72ED1" w:rsidRPr="004D3350" w:rsidRDefault="00A72ED1"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EM</w:t>
            </w:r>
          </w:p>
        </w:tc>
        <w:tc>
          <w:tcPr>
            <w:tcW w:w="7867" w:type="dxa"/>
            <w:shd w:val="clear" w:color="auto" w:fill="auto"/>
          </w:tcPr>
          <w:p w14:paraId="5A8C9AFC" w14:textId="77777777" w:rsidR="00A72ED1" w:rsidRPr="004D3350" w:rsidRDefault="00A72ED1"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Erythema Migrans. Bull</w:t>
            </w:r>
            <w:r w:rsidR="009C75F7" w:rsidRPr="004D3350">
              <w:rPr>
                <w:rFonts w:ascii="Calibri" w:hAnsi="Calibri" w:cs="Calibri"/>
                <w:sz w:val="20"/>
                <w:szCs w:val="20"/>
                <w:lang w:val="en-AU"/>
              </w:rPr>
              <w:t>’</w:t>
            </w:r>
            <w:r w:rsidRPr="004D3350">
              <w:rPr>
                <w:rFonts w:ascii="Calibri" w:hAnsi="Calibri" w:cs="Calibri"/>
                <w:sz w:val="20"/>
                <w:szCs w:val="20"/>
                <w:lang w:val="en-AU"/>
              </w:rPr>
              <w:t>s Eye Rash</w:t>
            </w:r>
          </w:p>
        </w:tc>
      </w:tr>
      <w:tr w:rsidR="00A72ED1" w:rsidRPr="004D3350" w14:paraId="1AC32162" w14:textId="77777777" w:rsidTr="004D3350">
        <w:tc>
          <w:tcPr>
            <w:tcW w:w="988" w:type="dxa"/>
            <w:shd w:val="clear" w:color="auto" w:fill="auto"/>
          </w:tcPr>
          <w:p w14:paraId="4DB545AF" w14:textId="77777777" w:rsidR="00A72ED1" w:rsidRPr="004D3350" w:rsidRDefault="005B4BF9"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FIS</w:t>
            </w:r>
            <w:r w:rsidR="00A72ED1" w:rsidRPr="004D3350">
              <w:rPr>
                <w:rFonts w:ascii="Calibri" w:hAnsi="Calibri" w:cs="Calibri"/>
                <w:sz w:val="20"/>
                <w:szCs w:val="20"/>
                <w:lang w:val="en-AU"/>
              </w:rPr>
              <w:t>F</w:t>
            </w:r>
          </w:p>
        </w:tc>
        <w:tc>
          <w:tcPr>
            <w:tcW w:w="7867" w:type="dxa"/>
            <w:shd w:val="clear" w:color="auto" w:fill="auto"/>
          </w:tcPr>
          <w:p w14:paraId="3E3F3AE4" w14:textId="77777777" w:rsidR="00A72ED1" w:rsidRPr="004D3350" w:rsidRDefault="00A72ED1"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Flinders Island Spotted Fever</w:t>
            </w:r>
          </w:p>
        </w:tc>
      </w:tr>
      <w:tr w:rsidR="00A72ED1" w:rsidRPr="004D3350" w14:paraId="504411EF" w14:textId="77777777" w:rsidTr="004D3350">
        <w:tc>
          <w:tcPr>
            <w:tcW w:w="988" w:type="dxa"/>
            <w:shd w:val="clear" w:color="auto" w:fill="auto"/>
          </w:tcPr>
          <w:p w14:paraId="4AE47D4D" w14:textId="77777777" w:rsidR="00A72ED1" w:rsidRPr="004D3350" w:rsidRDefault="00A72ED1"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 xml:space="preserve">GI </w:t>
            </w:r>
          </w:p>
        </w:tc>
        <w:tc>
          <w:tcPr>
            <w:tcW w:w="7867" w:type="dxa"/>
            <w:shd w:val="clear" w:color="auto" w:fill="auto"/>
          </w:tcPr>
          <w:p w14:paraId="3AA7BE80" w14:textId="77777777" w:rsidR="00A72ED1" w:rsidRPr="004D3350" w:rsidRDefault="00A72ED1"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Glycaemic Index</w:t>
            </w:r>
          </w:p>
        </w:tc>
      </w:tr>
      <w:tr w:rsidR="00A72ED1" w:rsidRPr="004D3350" w14:paraId="16B98509" w14:textId="77777777" w:rsidTr="004D3350">
        <w:tc>
          <w:tcPr>
            <w:tcW w:w="988" w:type="dxa"/>
            <w:shd w:val="clear" w:color="auto" w:fill="auto"/>
          </w:tcPr>
          <w:p w14:paraId="5E70EB11" w14:textId="77777777" w:rsidR="00A72ED1" w:rsidRPr="004D3350" w:rsidRDefault="00A72ED1"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GP</w:t>
            </w:r>
          </w:p>
        </w:tc>
        <w:tc>
          <w:tcPr>
            <w:tcW w:w="7867" w:type="dxa"/>
            <w:shd w:val="clear" w:color="auto" w:fill="auto"/>
          </w:tcPr>
          <w:p w14:paraId="2CF6E4F0" w14:textId="77777777" w:rsidR="00A72ED1" w:rsidRPr="004D3350" w:rsidRDefault="00A72ED1"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General Practitioner</w:t>
            </w:r>
          </w:p>
        </w:tc>
      </w:tr>
      <w:tr w:rsidR="00A72ED1" w:rsidRPr="004D3350" w14:paraId="29362628" w14:textId="77777777" w:rsidTr="004D3350">
        <w:tc>
          <w:tcPr>
            <w:tcW w:w="988" w:type="dxa"/>
            <w:shd w:val="clear" w:color="auto" w:fill="auto"/>
          </w:tcPr>
          <w:p w14:paraId="6631666F" w14:textId="77777777" w:rsidR="00A72ED1" w:rsidRPr="004D3350" w:rsidRDefault="00A72ED1"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ID</w:t>
            </w:r>
          </w:p>
        </w:tc>
        <w:tc>
          <w:tcPr>
            <w:tcW w:w="7867" w:type="dxa"/>
            <w:shd w:val="clear" w:color="auto" w:fill="auto"/>
          </w:tcPr>
          <w:p w14:paraId="1033AB0F" w14:textId="77777777" w:rsidR="00A72ED1" w:rsidRPr="004D3350" w:rsidRDefault="00A72ED1"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Infectious Disease</w:t>
            </w:r>
          </w:p>
        </w:tc>
      </w:tr>
      <w:tr w:rsidR="00A72ED1" w:rsidRPr="004D3350" w14:paraId="3F1053FA" w14:textId="77777777" w:rsidTr="004D3350">
        <w:tc>
          <w:tcPr>
            <w:tcW w:w="988" w:type="dxa"/>
            <w:shd w:val="clear" w:color="auto" w:fill="auto"/>
          </w:tcPr>
          <w:p w14:paraId="1D629FDB" w14:textId="77777777" w:rsidR="00A72ED1" w:rsidRPr="004D3350" w:rsidRDefault="00A72ED1"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IgG</w:t>
            </w:r>
          </w:p>
        </w:tc>
        <w:tc>
          <w:tcPr>
            <w:tcW w:w="7867" w:type="dxa"/>
            <w:shd w:val="clear" w:color="auto" w:fill="auto"/>
          </w:tcPr>
          <w:p w14:paraId="6B9B476F" w14:textId="77777777" w:rsidR="00A72ED1" w:rsidRPr="004D3350" w:rsidRDefault="00A72ED1"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Immunoglobulin G</w:t>
            </w:r>
          </w:p>
        </w:tc>
      </w:tr>
      <w:tr w:rsidR="00A72ED1" w:rsidRPr="004D3350" w14:paraId="793BD606" w14:textId="77777777" w:rsidTr="004D3350">
        <w:tc>
          <w:tcPr>
            <w:tcW w:w="988" w:type="dxa"/>
            <w:shd w:val="clear" w:color="auto" w:fill="auto"/>
          </w:tcPr>
          <w:p w14:paraId="707271F6" w14:textId="77777777" w:rsidR="00A72ED1" w:rsidRPr="004D3350" w:rsidRDefault="00A72ED1"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IgM</w:t>
            </w:r>
          </w:p>
        </w:tc>
        <w:tc>
          <w:tcPr>
            <w:tcW w:w="7867" w:type="dxa"/>
            <w:shd w:val="clear" w:color="auto" w:fill="auto"/>
          </w:tcPr>
          <w:p w14:paraId="718AE9E4" w14:textId="77777777" w:rsidR="00A72ED1" w:rsidRPr="004D3350" w:rsidRDefault="00A72ED1"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Immunoglobulin M</w:t>
            </w:r>
          </w:p>
        </w:tc>
      </w:tr>
      <w:tr w:rsidR="00A72ED1" w:rsidRPr="004D3350" w14:paraId="1DD39381" w14:textId="77777777" w:rsidTr="004D3350">
        <w:tc>
          <w:tcPr>
            <w:tcW w:w="988" w:type="dxa"/>
            <w:shd w:val="clear" w:color="auto" w:fill="auto"/>
          </w:tcPr>
          <w:p w14:paraId="078E8A50" w14:textId="77777777" w:rsidR="00A72ED1" w:rsidRPr="004D3350" w:rsidRDefault="00A72ED1"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IDSA</w:t>
            </w:r>
          </w:p>
          <w:p w14:paraId="025CC25C" w14:textId="77777777" w:rsidR="004C3958" w:rsidRPr="004D3350" w:rsidRDefault="004C3958"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IDSA</w:t>
            </w:r>
            <w:r w:rsidR="00903CAD" w:rsidRPr="004D3350">
              <w:rPr>
                <w:rFonts w:ascii="Calibri" w:hAnsi="Calibri" w:cs="Calibri"/>
                <w:sz w:val="20"/>
                <w:szCs w:val="20"/>
                <w:lang w:val="en-AU"/>
              </w:rPr>
              <w:t>/AAN/ACR</w:t>
            </w:r>
          </w:p>
        </w:tc>
        <w:tc>
          <w:tcPr>
            <w:tcW w:w="7867" w:type="dxa"/>
            <w:shd w:val="clear" w:color="auto" w:fill="auto"/>
          </w:tcPr>
          <w:p w14:paraId="3B98E5BD" w14:textId="77777777" w:rsidR="00A72ED1" w:rsidRPr="004D3350" w:rsidRDefault="00A72ED1"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Infectious Disease</w:t>
            </w:r>
            <w:r w:rsidR="00A33B6A" w:rsidRPr="004D3350">
              <w:rPr>
                <w:rFonts w:ascii="Calibri" w:hAnsi="Calibri" w:cs="Calibri"/>
                <w:sz w:val="20"/>
                <w:szCs w:val="20"/>
                <w:lang w:val="en-AU"/>
              </w:rPr>
              <w:t>s</w:t>
            </w:r>
            <w:r w:rsidRPr="004D3350">
              <w:rPr>
                <w:rFonts w:ascii="Calibri" w:hAnsi="Calibri" w:cs="Calibri"/>
                <w:sz w:val="20"/>
                <w:szCs w:val="20"/>
                <w:lang w:val="en-AU"/>
              </w:rPr>
              <w:t xml:space="preserve"> Society of America</w:t>
            </w:r>
          </w:p>
          <w:p w14:paraId="73B264D7" w14:textId="77777777" w:rsidR="00A33B6A" w:rsidRPr="004D3350" w:rsidRDefault="00903CAD"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Infectious Diseases Society of America (IDSA)/</w:t>
            </w:r>
            <w:r w:rsidR="00DE4231" w:rsidRPr="004D3350">
              <w:rPr>
                <w:rFonts w:ascii="Calibri" w:hAnsi="Calibri" w:cs="Calibri"/>
                <w:sz w:val="20"/>
                <w:szCs w:val="20"/>
                <w:lang w:val="en-AU"/>
              </w:rPr>
              <w:t xml:space="preserve">American </w:t>
            </w:r>
            <w:r w:rsidR="009B2075" w:rsidRPr="004D3350">
              <w:rPr>
                <w:rFonts w:ascii="Calibri" w:hAnsi="Calibri" w:cs="Calibri"/>
                <w:sz w:val="20"/>
                <w:szCs w:val="20"/>
                <w:lang w:val="en-AU"/>
              </w:rPr>
              <w:t>Academy of Neurology (</w:t>
            </w:r>
            <w:r w:rsidR="0048568A" w:rsidRPr="004D3350">
              <w:rPr>
                <w:rFonts w:ascii="Calibri" w:hAnsi="Calibri" w:cs="Calibri"/>
                <w:sz w:val="20"/>
                <w:szCs w:val="20"/>
                <w:lang w:val="en-AU"/>
              </w:rPr>
              <w:t>AAN)</w:t>
            </w:r>
            <w:r w:rsidR="00C35851" w:rsidRPr="004D3350">
              <w:rPr>
                <w:rFonts w:ascii="Calibri" w:hAnsi="Calibri" w:cs="Calibri"/>
                <w:sz w:val="20"/>
                <w:szCs w:val="20"/>
                <w:lang w:val="en-AU"/>
              </w:rPr>
              <w:t>/ American College of Rheumatology (ACR)</w:t>
            </w:r>
          </w:p>
        </w:tc>
      </w:tr>
      <w:tr w:rsidR="00A72ED1" w:rsidRPr="004D3350" w14:paraId="34EE2E80" w14:textId="77777777" w:rsidTr="004D3350">
        <w:tc>
          <w:tcPr>
            <w:tcW w:w="988" w:type="dxa"/>
            <w:shd w:val="clear" w:color="auto" w:fill="auto"/>
          </w:tcPr>
          <w:p w14:paraId="58CE7808" w14:textId="77777777" w:rsidR="00A72ED1" w:rsidRPr="004D3350" w:rsidRDefault="00A72ED1"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MBS</w:t>
            </w:r>
          </w:p>
        </w:tc>
        <w:tc>
          <w:tcPr>
            <w:tcW w:w="7867" w:type="dxa"/>
            <w:shd w:val="clear" w:color="auto" w:fill="auto"/>
          </w:tcPr>
          <w:p w14:paraId="03DF9F48" w14:textId="77777777" w:rsidR="00A72ED1" w:rsidRPr="004D3350" w:rsidRDefault="00A72ED1"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Medical Benefits Schedule</w:t>
            </w:r>
          </w:p>
        </w:tc>
      </w:tr>
      <w:tr w:rsidR="00A72ED1" w:rsidRPr="004D3350" w14:paraId="40B53DB2" w14:textId="77777777" w:rsidTr="004D3350">
        <w:tc>
          <w:tcPr>
            <w:tcW w:w="988" w:type="dxa"/>
            <w:shd w:val="clear" w:color="auto" w:fill="auto"/>
          </w:tcPr>
          <w:p w14:paraId="307AB7D2" w14:textId="77777777" w:rsidR="00A72ED1" w:rsidRPr="004D3350" w:rsidRDefault="00A72ED1"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MUS</w:t>
            </w:r>
          </w:p>
        </w:tc>
        <w:tc>
          <w:tcPr>
            <w:tcW w:w="7867" w:type="dxa"/>
            <w:shd w:val="clear" w:color="auto" w:fill="auto"/>
          </w:tcPr>
          <w:p w14:paraId="6EEACC87" w14:textId="77777777" w:rsidR="00A72ED1" w:rsidRPr="004D3350" w:rsidRDefault="00A72ED1"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Medically Unexplained Symptoms</w:t>
            </w:r>
          </w:p>
        </w:tc>
      </w:tr>
      <w:tr w:rsidR="00A72ED1" w:rsidRPr="004D3350" w14:paraId="1AB42679" w14:textId="77777777" w:rsidTr="004D3350">
        <w:tc>
          <w:tcPr>
            <w:tcW w:w="988" w:type="dxa"/>
            <w:shd w:val="clear" w:color="auto" w:fill="auto"/>
          </w:tcPr>
          <w:p w14:paraId="040CA9D0" w14:textId="77777777" w:rsidR="00A72ED1" w:rsidRPr="004D3350" w:rsidRDefault="00A72ED1"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NATA</w:t>
            </w:r>
          </w:p>
        </w:tc>
        <w:tc>
          <w:tcPr>
            <w:tcW w:w="7867" w:type="dxa"/>
            <w:shd w:val="clear" w:color="auto" w:fill="auto"/>
          </w:tcPr>
          <w:p w14:paraId="74DB435C" w14:textId="77777777" w:rsidR="00A72ED1" w:rsidRPr="004D3350" w:rsidRDefault="00A72ED1"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National Association of Testing Authorities, Australia</w:t>
            </w:r>
          </w:p>
        </w:tc>
      </w:tr>
      <w:tr w:rsidR="00A72ED1" w:rsidRPr="004D3350" w14:paraId="6895B86E" w14:textId="77777777" w:rsidTr="004D3350">
        <w:tc>
          <w:tcPr>
            <w:tcW w:w="988" w:type="dxa"/>
            <w:shd w:val="clear" w:color="auto" w:fill="auto"/>
          </w:tcPr>
          <w:p w14:paraId="0C34A1CA" w14:textId="77777777" w:rsidR="00A72ED1" w:rsidRPr="004D3350" w:rsidRDefault="00A72ED1"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NICE</w:t>
            </w:r>
          </w:p>
        </w:tc>
        <w:tc>
          <w:tcPr>
            <w:tcW w:w="7867" w:type="dxa"/>
            <w:shd w:val="clear" w:color="auto" w:fill="auto"/>
          </w:tcPr>
          <w:p w14:paraId="5A2F6DD7" w14:textId="77777777" w:rsidR="00A72ED1" w:rsidRPr="004D3350" w:rsidRDefault="009B3360"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 xml:space="preserve">National Institute for </w:t>
            </w:r>
            <w:r w:rsidR="00A72ED1" w:rsidRPr="004D3350">
              <w:rPr>
                <w:rFonts w:ascii="Calibri" w:hAnsi="Calibri" w:cs="Calibri"/>
                <w:sz w:val="20"/>
                <w:szCs w:val="20"/>
                <w:lang w:val="en-AU"/>
              </w:rPr>
              <w:t>Health and Care Excellence (UK)</w:t>
            </w:r>
          </w:p>
        </w:tc>
      </w:tr>
      <w:tr w:rsidR="009B3874" w:rsidRPr="004D3350" w14:paraId="5DC506D3" w14:textId="77777777" w:rsidTr="004D3350">
        <w:tc>
          <w:tcPr>
            <w:tcW w:w="988" w:type="dxa"/>
            <w:shd w:val="clear" w:color="auto" w:fill="auto"/>
          </w:tcPr>
          <w:p w14:paraId="52D1404E" w14:textId="77777777" w:rsidR="009B3874" w:rsidRPr="004D3350" w:rsidRDefault="009B3874"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NHMRC</w:t>
            </w:r>
          </w:p>
        </w:tc>
        <w:tc>
          <w:tcPr>
            <w:tcW w:w="7867" w:type="dxa"/>
            <w:shd w:val="clear" w:color="auto" w:fill="auto"/>
          </w:tcPr>
          <w:p w14:paraId="409CE334" w14:textId="77777777" w:rsidR="009B3874" w:rsidRPr="004D3350" w:rsidRDefault="009B3874"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National Health and Medical Research Council</w:t>
            </w:r>
          </w:p>
        </w:tc>
      </w:tr>
      <w:tr w:rsidR="00A72ED1" w:rsidRPr="004D3350" w14:paraId="2FA675AF" w14:textId="77777777" w:rsidTr="004D3350">
        <w:tc>
          <w:tcPr>
            <w:tcW w:w="988" w:type="dxa"/>
            <w:shd w:val="clear" w:color="auto" w:fill="auto"/>
          </w:tcPr>
          <w:p w14:paraId="6AA3AAAF" w14:textId="77777777" w:rsidR="00A72ED1" w:rsidRPr="004D3350" w:rsidRDefault="00A72ED1"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NRL</w:t>
            </w:r>
          </w:p>
        </w:tc>
        <w:tc>
          <w:tcPr>
            <w:tcW w:w="7867" w:type="dxa"/>
            <w:shd w:val="clear" w:color="auto" w:fill="auto"/>
          </w:tcPr>
          <w:p w14:paraId="23D7FA34" w14:textId="77777777" w:rsidR="00A72ED1" w:rsidRPr="004D3350" w:rsidRDefault="00A72ED1"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National Serology Reference Laboratory</w:t>
            </w:r>
          </w:p>
        </w:tc>
      </w:tr>
      <w:tr w:rsidR="00A72ED1" w:rsidRPr="004D3350" w14:paraId="4324426A" w14:textId="77777777" w:rsidTr="004D3350">
        <w:tc>
          <w:tcPr>
            <w:tcW w:w="988" w:type="dxa"/>
            <w:shd w:val="clear" w:color="auto" w:fill="auto"/>
          </w:tcPr>
          <w:p w14:paraId="1FFD776B" w14:textId="77777777" w:rsidR="00A72ED1" w:rsidRPr="004D3350" w:rsidRDefault="00A72ED1"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PCR</w:t>
            </w:r>
          </w:p>
        </w:tc>
        <w:tc>
          <w:tcPr>
            <w:tcW w:w="7867" w:type="dxa"/>
            <w:shd w:val="clear" w:color="auto" w:fill="auto"/>
          </w:tcPr>
          <w:p w14:paraId="59DB0A3A" w14:textId="77777777" w:rsidR="00A72ED1" w:rsidRPr="004D3350" w:rsidRDefault="00A72ED1"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Polymerised Chain Reaction</w:t>
            </w:r>
          </w:p>
        </w:tc>
      </w:tr>
      <w:tr w:rsidR="00617CD6" w:rsidRPr="004D3350" w14:paraId="0B910E59" w14:textId="77777777" w:rsidTr="004D3350">
        <w:tc>
          <w:tcPr>
            <w:tcW w:w="988" w:type="dxa"/>
            <w:shd w:val="clear" w:color="auto" w:fill="auto"/>
          </w:tcPr>
          <w:p w14:paraId="6114B333" w14:textId="77777777" w:rsidR="00617CD6" w:rsidRPr="004D3350" w:rsidRDefault="009B3874"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RACGP</w:t>
            </w:r>
          </w:p>
        </w:tc>
        <w:tc>
          <w:tcPr>
            <w:tcW w:w="7867" w:type="dxa"/>
            <w:shd w:val="clear" w:color="auto" w:fill="auto"/>
          </w:tcPr>
          <w:p w14:paraId="722B8B6F" w14:textId="77777777" w:rsidR="00617CD6" w:rsidRPr="004D3350" w:rsidRDefault="009B3874"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Royal Australian College of General Practitioners</w:t>
            </w:r>
          </w:p>
        </w:tc>
      </w:tr>
      <w:tr w:rsidR="00A72ED1" w:rsidRPr="004D3350" w14:paraId="5879F22D" w14:textId="77777777" w:rsidTr="004D3350">
        <w:tc>
          <w:tcPr>
            <w:tcW w:w="988" w:type="dxa"/>
            <w:shd w:val="clear" w:color="auto" w:fill="auto"/>
          </w:tcPr>
          <w:p w14:paraId="56E02AE5" w14:textId="77777777" w:rsidR="00A72ED1" w:rsidRPr="004D3350" w:rsidRDefault="00A72ED1"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RCPA</w:t>
            </w:r>
          </w:p>
          <w:p w14:paraId="70DA86BA" w14:textId="77777777" w:rsidR="00803F5C" w:rsidRPr="004D3350" w:rsidRDefault="00803F5C"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RCT</w:t>
            </w:r>
          </w:p>
        </w:tc>
        <w:tc>
          <w:tcPr>
            <w:tcW w:w="7867" w:type="dxa"/>
            <w:shd w:val="clear" w:color="auto" w:fill="auto"/>
          </w:tcPr>
          <w:p w14:paraId="0A6F9139" w14:textId="77777777" w:rsidR="00A72ED1" w:rsidRPr="004D3350" w:rsidRDefault="00A72ED1"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Royal College of Pathologists of Australasia</w:t>
            </w:r>
          </w:p>
          <w:p w14:paraId="7522F0B9" w14:textId="77777777" w:rsidR="00803F5C" w:rsidRPr="004D3350" w:rsidRDefault="00803F5C"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Randomised controlled trial</w:t>
            </w:r>
          </w:p>
        </w:tc>
      </w:tr>
      <w:tr w:rsidR="0011133F" w:rsidRPr="004D3350" w14:paraId="1E547A61" w14:textId="77777777" w:rsidTr="004D3350">
        <w:tc>
          <w:tcPr>
            <w:tcW w:w="988" w:type="dxa"/>
            <w:shd w:val="clear" w:color="auto" w:fill="auto"/>
          </w:tcPr>
          <w:p w14:paraId="594C83AF" w14:textId="77777777" w:rsidR="0011133F" w:rsidRPr="004D3350" w:rsidRDefault="0011133F"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TGA</w:t>
            </w:r>
          </w:p>
        </w:tc>
        <w:tc>
          <w:tcPr>
            <w:tcW w:w="7867" w:type="dxa"/>
            <w:shd w:val="clear" w:color="auto" w:fill="auto"/>
          </w:tcPr>
          <w:p w14:paraId="6764BA85" w14:textId="77777777" w:rsidR="0011133F" w:rsidRPr="004D3350" w:rsidRDefault="0011133F"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 xml:space="preserve">Therapeutic Goods </w:t>
            </w:r>
            <w:r w:rsidR="000C26E9" w:rsidRPr="004D3350">
              <w:rPr>
                <w:rFonts w:ascii="Calibri" w:hAnsi="Calibri" w:cs="Calibri"/>
                <w:sz w:val="20"/>
                <w:szCs w:val="20"/>
                <w:lang w:val="en-AU"/>
              </w:rPr>
              <w:t>Administration</w:t>
            </w:r>
          </w:p>
        </w:tc>
      </w:tr>
      <w:tr w:rsidR="00A72ED1" w:rsidRPr="004D3350" w14:paraId="0D68F593" w14:textId="77777777" w:rsidTr="004D3350">
        <w:tc>
          <w:tcPr>
            <w:tcW w:w="988" w:type="dxa"/>
            <w:shd w:val="clear" w:color="auto" w:fill="auto"/>
          </w:tcPr>
          <w:p w14:paraId="29E78A98" w14:textId="77777777" w:rsidR="00A72ED1" w:rsidRPr="004D3350" w:rsidRDefault="00A72ED1"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QFS</w:t>
            </w:r>
          </w:p>
        </w:tc>
        <w:tc>
          <w:tcPr>
            <w:tcW w:w="7867" w:type="dxa"/>
            <w:shd w:val="clear" w:color="auto" w:fill="auto"/>
          </w:tcPr>
          <w:p w14:paraId="32BCBB44" w14:textId="77777777" w:rsidR="00A72ED1" w:rsidRPr="004D3350" w:rsidRDefault="00A72ED1"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Q Fever Fatigue Syndrome</w:t>
            </w:r>
          </w:p>
        </w:tc>
      </w:tr>
      <w:tr w:rsidR="00A72ED1" w:rsidRPr="004D3350" w14:paraId="1EF31892" w14:textId="77777777" w:rsidTr="004D3350">
        <w:tc>
          <w:tcPr>
            <w:tcW w:w="988" w:type="dxa"/>
            <w:shd w:val="clear" w:color="auto" w:fill="auto"/>
          </w:tcPr>
          <w:p w14:paraId="0EA1C207" w14:textId="77777777" w:rsidR="00A72ED1" w:rsidRPr="004D3350" w:rsidRDefault="00A72ED1"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QTT</w:t>
            </w:r>
          </w:p>
        </w:tc>
        <w:tc>
          <w:tcPr>
            <w:tcW w:w="7867" w:type="dxa"/>
            <w:shd w:val="clear" w:color="auto" w:fill="auto"/>
          </w:tcPr>
          <w:p w14:paraId="6E9D2DCE" w14:textId="77777777" w:rsidR="00A72ED1" w:rsidRPr="004D3350" w:rsidRDefault="00A72ED1" w:rsidP="004D3350">
            <w:pPr>
              <w:spacing w:after="40" w:line="240" w:lineRule="auto"/>
              <w:jc w:val="both"/>
              <w:rPr>
                <w:rFonts w:ascii="Calibri" w:hAnsi="Calibri" w:cs="Calibri"/>
                <w:sz w:val="20"/>
                <w:szCs w:val="20"/>
                <w:lang w:val="en-AU"/>
              </w:rPr>
            </w:pPr>
            <w:r w:rsidRPr="004D3350">
              <w:rPr>
                <w:rFonts w:ascii="Calibri" w:hAnsi="Calibri" w:cs="Calibri"/>
                <w:sz w:val="20"/>
                <w:szCs w:val="20"/>
                <w:lang w:val="en-AU"/>
              </w:rPr>
              <w:t xml:space="preserve">Queensland </w:t>
            </w:r>
            <w:r w:rsidR="003867D6" w:rsidRPr="004D3350">
              <w:rPr>
                <w:rFonts w:ascii="Calibri" w:hAnsi="Calibri" w:cs="Calibri"/>
                <w:sz w:val="20"/>
                <w:szCs w:val="20"/>
                <w:lang w:val="en-AU"/>
              </w:rPr>
              <w:t>T</w:t>
            </w:r>
            <w:r w:rsidRPr="004D3350">
              <w:rPr>
                <w:rFonts w:ascii="Calibri" w:hAnsi="Calibri" w:cs="Calibri"/>
                <w:sz w:val="20"/>
                <w:szCs w:val="20"/>
                <w:lang w:val="en-AU"/>
              </w:rPr>
              <w:t xml:space="preserve">ick </w:t>
            </w:r>
            <w:r w:rsidR="003867D6" w:rsidRPr="004D3350">
              <w:rPr>
                <w:rFonts w:ascii="Calibri" w:hAnsi="Calibri" w:cs="Calibri"/>
                <w:sz w:val="20"/>
                <w:szCs w:val="20"/>
                <w:lang w:val="en-AU"/>
              </w:rPr>
              <w:t>T</w:t>
            </w:r>
            <w:r w:rsidRPr="004D3350">
              <w:rPr>
                <w:rFonts w:ascii="Calibri" w:hAnsi="Calibri" w:cs="Calibri"/>
                <w:sz w:val="20"/>
                <w:szCs w:val="20"/>
                <w:lang w:val="en-AU"/>
              </w:rPr>
              <w:t>yphus</w:t>
            </w:r>
          </w:p>
        </w:tc>
      </w:tr>
    </w:tbl>
    <w:p w14:paraId="6F025FB2" w14:textId="77777777" w:rsidR="008C0CB1" w:rsidRDefault="00D50321">
      <w:pPr>
        <w:rPr>
          <w:lang w:val="en-AU"/>
        </w:rPr>
        <w:sectPr w:rsidR="008C0CB1" w:rsidSect="00FE1D9C">
          <w:footerReference w:type="even" r:id="rId11"/>
          <w:footerReference w:type="default" r:id="rId12"/>
          <w:pgSz w:w="11907" w:h="16839" w:code="9"/>
          <w:pgMar w:top="851" w:right="1418" w:bottom="1418" w:left="1418" w:header="964" w:footer="964" w:gutter="0"/>
          <w:pgNumType w:fmt="lowerRoman"/>
          <w:cols w:space="708"/>
          <w:titlePg/>
          <w:docGrid w:linePitch="360"/>
        </w:sectPr>
      </w:pPr>
      <w:r w:rsidRPr="00E358D6">
        <w:rPr>
          <w:lang w:val="en-AU"/>
        </w:rPr>
        <w:br w:type="page"/>
      </w:r>
    </w:p>
    <w:p w14:paraId="491E1484" w14:textId="77777777" w:rsidR="00591078" w:rsidRPr="00F2704A" w:rsidRDefault="00780586" w:rsidP="00E754BD">
      <w:pPr>
        <w:pStyle w:val="NumberedHeading1"/>
        <w:spacing w:before="0"/>
        <w:rPr>
          <w:lang w:val="en-AU" w:eastAsia="en-AU"/>
        </w:rPr>
      </w:pPr>
      <w:bookmarkStart w:id="3" w:name="_Toc55464759"/>
      <w:r w:rsidRPr="00E358D6">
        <w:rPr>
          <w:lang w:val="en-AU"/>
        </w:rPr>
        <w:lastRenderedPageBreak/>
        <w:t>I</w:t>
      </w:r>
      <w:r w:rsidR="00DC728A" w:rsidRPr="00E358D6">
        <w:rPr>
          <w:lang w:val="en-AU"/>
        </w:rPr>
        <w:t>ntroduction</w:t>
      </w:r>
      <w:bookmarkEnd w:id="3"/>
    </w:p>
    <w:p w14:paraId="2205F8AD" w14:textId="77777777" w:rsidR="00591078" w:rsidRPr="00CF74AD" w:rsidRDefault="00591078" w:rsidP="00D50321">
      <w:pPr>
        <w:pStyle w:val="NumberedHeading2"/>
        <w:rPr>
          <w:lang w:val="en-AU" w:eastAsia="en-AU"/>
        </w:rPr>
      </w:pPr>
      <w:bookmarkStart w:id="4" w:name="_Toc55464760"/>
      <w:r w:rsidRPr="00CF74AD">
        <w:rPr>
          <w:lang w:val="en-AU" w:eastAsia="en-AU"/>
        </w:rPr>
        <w:t>Purpose of the Clinical Pathway</w:t>
      </w:r>
      <w:bookmarkEnd w:id="4"/>
    </w:p>
    <w:p w14:paraId="5A21CDD4" w14:textId="77777777" w:rsidR="00591078" w:rsidRPr="00CF74AD" w:rsidRDefault="00591078" w:rsidP="00591078">
      <w:pPr>
        <w:pStyle w:val="BodyText"/>
        <w:rPr>
          <w:lang w:val="en-AU"/>
        </w:rPr>
      </w:pPr>
      <w:r w:rsidRPr="00CF74AD">
        <w:rPr>
          <w:lang w:val="en-AU" w:eastAsia="en-AU"/>
        </w:rPr>
        <w:t xml:space="preserve">This evidence-based Clinical Pathway has been developed </w:t>
      </w:r>
      <w:r w:rsidRPr="00CF74AD">
        <w:rPr>
          <w:lang w:val="en-AU"/>
        </w:rPr>
        <w:t>to support decision-making on differential diagnosis and referral pathways for patients presenting with either new onset or unresolved debilitating symptoms with or without a history of tick bites and that cannot be attributed to another condition (acute or chronic</w:t>
      </w:r>
      <w:r w:rsidRPr="007754AE">
        <w:rPr>
          <w:lang w:val="en-AU"/>
        </w:rPr>
        <w:t xml:space="preserve">). </w:t>
      </w:r>
      <w:r w:rsidR="00520CD9" w:rsidRPr="007754AE">
        <w:rPr>
          <w:lang w:val="en-AU"/>
        </w:rPr>
        <w:t>The Clinical Pathway is not instructive; rather it is a tool/pathway to help structure assessments and management of patients with a wide variety of symptoms and severity of disability.</w:t>
      </w:r>
      <w:r w:rsidR="00836628" w:rsidRPr="004D3350">
        <w:rPr>
          <w:rFonts w:ascii="Calibri" w:hAnsi="Calibri" w:cs="Calibri"/>
          <w:sz w:val="20"/>
          <w:szCs w:val="20"/>
          <w:lang w:val="en-AU"/>
        </w:rPr>
        <w:t xml:space="preserve"> </w:t>
      </w:r>
      <w:r w:rsidRPr="00661245">
        <w:rPr>
          <w:lang w:val="en-AU"/>
        </w:rPr>
        <w:t>It has also been designed specifically for the Australian health care context in order for it to be generally accepted by the Australian medical and other health professions</w:t>
      </w:r>
      <w:r w:rsidRPr="00CF74AD">
        <w:rPr>
          <w:color w:val="1F497D"/>
          <w:lang w:val="en-AU"/>
        </w:rPr>
        <w:t xml:space="preserve"> </w:t>
      </w:r>
      <w:r w:rsidRPr="00CF74AD">
        <w:rPr>
          <w:lang w:val="en-AU"/>
        </w:rPr>
        <w:t>and patient groups as a</w:t>
      </w:r>
      <w:r w:rsidRPr="00CF74AD">
        <w:rPr>
          <w:color w:val="FF0000"/>
          <w:lang w:val="en-AU"/>
        </w:rPr>
        <w:t xml:space="preserve"> </w:t>
      </w:r>
      <w:r w:rsidRPr="00CF74AD">
        <w:rPr>
          <w:lang w:val="en-AU"/>
        </w:rPr>
        <w:t xml:space="preserve">part of their clinical management. </w:t>
      </w:r>
    </w:p>
    <w:p w14:paraId="5DE214B5" w14:textId="77777777" w:rsidR="00893ABE" w:rsidRPr="007754AE" w:rsidRDefault="00893ABE" w:rsidP="00504C00">
      <w:pPr>
        <w:pStyle w:val="BodyText"/>
        <w:rPr>
          <w:lang w:val="en-AU" w:eastAsia="en-AU"/>
        </w:rPr>
      </w:pPr>
      <w:r w:rsidRPr="007754AE">
        <w:rPr>
          <w:lang w:val="en-AU" w:eastAsia="en-AU"/>
        </w:rPr>
        <w:t xml:space="preserve">This DSCATT Clinical Pathway on Lyme disease, known Australian tick-borne diseases and the management of patients for whom a diagnosis cannot be established and who have persistent symptoms is informed by the current peer-reviewed evidence base and Australian and international authority guidance. </w:t>
      </w:r>
    </w:p>
    <w:p w14:paraId="454143AA" w14:textId="77777777" w:rsidR="002C01DD" w:rsidRPr="00AA1207" w:rsidRDefault="002C01DD" w:rsidP="00893FE5">
      <w:pPr>
        <w:pStyle w:val="Body"/>
        <w:rPr>
          <w:lang w:val="en-AU"/>
        </w:rPr>
      </w:pPr>
      <w:r w:rsidRPr="00F2704A">
        <w:rPr>
          <w:lang w:val="en-AU" w:eastAsia="en-AU"/>
        </w:rPr>
        <w:t>The information and recommendations on the diagnosis and management of Lyme disease in this Clinical Pathway include both Australian and international authority guidelines. The most recently published evidence-ba</w:t>
      </w:r>
      <w:r w:rsidRPr="00661245">
        <w:rPr>
          <w:lang w:val="en-AU" w:eastAsia="en-AU"/>
        </w:rPr>
        <w:t xml:space="preserve">sed international guidelines for the diagnosis and management of Lyme disease included in the Clinical Pathway are the 2018 </w:t>
      </w:r>
      <w:r w:rsidR="00E3439D" w:rsidRPr="001D5912">
        <w:t>National Institute for Health and Care Excellence</w:t>
      </w:r>
      <w:r w:rsidR="00E3439D">
        <w:rPr>
          <w:lang w:val="en-AU"/>
        </w:rPr>
        <w:t xml:space="preserve"> (</w:t>
      </w:r>
      <w:r w:rsidRPr="00661245">
        <w:rPr>
          <w:lang w:val="en-AU" w:eastAsia="en-AU"/>
        </w:rPr>
        <w:t>NICE</w:t>
      </w:r>
      <w:r w:rsidR="00E3439D">
        <w:rPr>
          <w:lang w:val="en-AU" w:eastAsia="en-AU"/>
        </w:rPr>
        <w:t>)</w:t>
      </w:r>
      <w:r w:rsidRPr="00661245">
        <w:rPr>
          <w:lang w:val="en-AU" w:eastAsia="en-AU"/>
        </w:rPr>
        <w:t xml:space="preserve"> Lyme disease guideline and the 2019 Draft </w:t>
      </w:r>
      <w:r w:rsidR="00E3439D">
        <w:t xml:space="preserve">Infectious Diseases Society of America (IDSA)/American Academy of Neurology (AAN)/American College of Rheumatology (ACR) </w:t>
      </w:r>
      <w:r w:rsidRPr="00661245">
        <w:rPr>
          <w:lang w:val="en-AU" w:eastAsia="en-AU"/>
        </w:rPr>
        <w:t>Lyme disease guideline, both of which are underpinned by evidence-base</w:t>
      </w:r>
      <w:r w:rsidRPr="00CF74AD">
        <w:rPr>
          <w:lang w:val="en-AU" w:eastAsia="en-AU"/>
        </w:rPr>
        <w:t>d reviews of the literature.</w:t>
      </w:r>
      <w:r w:rsidR="00F423EB" w:rsidRPr="00CF74AD">
        <w:rPr>
          <w:lang w:val="en-AU" w:eastAsia="en-AU"/>
        </w:rPr>
        <w:t xml:space="preserve"> </w:t>
      </w:r>
      <w:r w:rsidRPr="00CF74AD">
        <w:rPr>
          <w:lang w:val="en-AU" w:eastAsia="en-AU"/>
        </w:rPr>
        <w:t>The advice and recommendation</w:t>
      </w:r>
      <w:r w:rsidR="00CF71F3">
        <w:rPr>
          <w:lang w:val="en-AU" w:eastAsia="en-AU"/>
        </w:rPr>
        <w:t>s</w:t>
      </w:r>
      <w:r w:rsidRPr="00CF74AD">
        <w:rPr>
          <w:lang w:val="en-AU" w:eastAsia="en-AU"/>
        </w:rPr>
        <w:t xml:space="preserve"> from the 2019 IDSA/AAN/ACR Lyme disease guidelines are clearly marked ‘Draft’. If IDSA/AAN/ACR make any changes during finalisation of the guideline</w:t>
      </w:r>
      <w:r w:rsidR="00AA1207">
        <w:rPr>
          <w:lang w:val="en-AU" w:eastAsia="en-AU"/>
        </w:rPr>
        <w:t>s</w:t>
      </w:r>
      <w:r w:rsidRPr="00CF74AD">
        <w:rPr>
          <w:lang w:val="en-AU" w:eastAsia="en-AU"/>
        </w:rPr>
        <w:t xml:space="preserve">, any such changes will be made to this Clinical Pathway. </w:t>
      </w:r>
    </w:p>
    <w:p w14:paraId="73CD976A" w14:textId="77777777" w:rsidR="00AA1207" w:rsidRDefault="00475D17" w:rsidP="00893ABE">
      <w:pPr>
        <w:pStyle w:val="Body"/>
        <w:rPr>
          <w:lang w:val="en-AU"/>
        </w:rPr>
      </w:pPr>
      <w:r w:rsidRPr="00AA1207">
        <w:rPr>
          <w:rStyle w:val="BodyTextChar"/>
          <w:lang w:val="en-AU"/>
        </w:rPr>
        <w:t xml:space="preserve">There </w:t>
      </w:r>
      <w:r w:rsidR="007616F5">
        <w:rPr>
          <w:rStyle w:val="BodyTextChar"/>
          <w:lang w:val="en-AU"/>
        </w:rPr>
        <w:t>is</w:t>
      </w:r>
      <w:r w:rsidR="004E6676">
        <w:rPr>
          <w:rStyle w:val="BodyTextChar"/>
          <w:lang w:val="en-AU"/>
        </w:rPr>
        <w:t xml:space="preserve"> </w:t>
      </w:r>
      <w:r w:rsidRPr="00AA1207">
        <w:rPr>
          <w:rStyle w:val="BodyTextChar"/>
          <w:lang w:val="en-AU"/>
        </w:rPr>
        <w:t>a number of research projects currently in place to further understand the aetiology and pathophysiology of the symptom complex described as DSCATT so as to improve the diagnosis, treatment and management</w:t>
      </w:r>
      <w:r w:rsidRPr="004D3350">
        <w:rPr>
          <w:rFonts w:ascii="Calibri" w:hAnsi="Calibri" w:cs="Calibri"/>
          <w:sz w:val="20"/>
          <w:szCs w:val="20"/>
          <w:lang w:val="en-AU"/>
        </w:rPr>
        <w:t xml:space="preserve">. </w:t>
      </w:r>
      <w:r w:rsidR="00893ABE" w:rsidRPr="00AA1207">
        <w:rPr>
          <w:lang w:val="en-AU"/>
        </w:rPr>
        <w:t>The Australian Government acknowledged the need for targeted research to further understand the chronic symptoms experienced by many Australians</w:t>
      </w:r>
      <w:r w:rsidR="00F423EB" w:rsidRPr="00AA1207">
        <w:rPr>
          <w:lang w:val="en-AU"/>
        </w:rPr>
        <w:t xml:space="preserve"> </w:t>
      </w:r>
      <w:r w:rsidR="00893ABE" w:rsidRPr="00AA1207">
        <w:rPr>
          <w:lang w:val="en-AU"/>
        </w:rPr>
        <w:t>and which are associated with tick bites</w:t>
      </w:r>
      <w:r w:rsidR="00AA1207">
        <w:rPr>
          <w:lang w:val="en-AU"/>
        </w:rPr>
        <w:t>.</w:t>
      </w:r>
      <w:r w:rsidR="00893ABE" w:rsidRPr="00AA1207">
        <w:rPr>
          <w:lang w:val="en-AU"/>
        </w:rPr>
        <w:t xml:space="preserve"> </w:t>
      </w:r>
      <w:r w:rsidR="00AA1207">
        <w:rPr>
          <w:lang w:val="en-AU"/>
        </w:rPr>
        <w:t xml:space="preserve"> I</w:t>
      </w:r>
      <w:r w:rsidR="00893ABE" w:rsidRPr="00AA1207">
        <w:rPr>
          <w:lang w:val="en-AU"/>
        </w:rPr>
        <w:t xml:space="preserve">n January 2019, </w:t>
      </w:r>
      <w:r w:rsidR="00AA1207">
        <w:rPr>
          <w:lang w:val="en-AU"/>
        </w:rPr>
        <w:t xml:space="preserve">the Government </w:t>
      </w:r>
      <w:r w:rsidR="00893ABE" w:rsidRPr="00AA1207">
        <w:rPr>
          <w:lang w:val="en-AU"/>
        </w:rPr>
        <w:t>invested nearly $3</w:t>
      </w:r>
      <w:r w:rsidR="008D7E94" w:rsidRPr="00AA1207">
        <w:rPr>
          <w:lang w:val="en-AU"/>
        </w:rPr>
        <w:t xml:space="preserve"> million</w:t>
      </w:r>
      <w:r w:rsidR="00893ABE" w:rsidRPr="00AA1207">
        <w:rPr>
          <w:lang w:val="en-AU"/>
        </w:rPr>
        <w:t xml:space="preserve"> over five years for research to better understand the nature, prevalence and causes of these symptoms with the longer-term aim to obtain evidence to guide development of treatments</w:t>
      </w:r>
      <w:r w:rsidR="00AA1207">
        <w:rPr>
          <w:lang w:val="en-AU"/>
        </w:rPr>
        <w:t>:</w:t>
      </w:r>
      <w:r w:rsidR="00893ABE" w:rsidRPr="00AA1207">
        <w:rPr>
          <w:lang w:val="en-AU"/>
        </w:rPr>
        <w:t xml:space="preserve"> </w:t>
      </w:r>
    </w:p>
    <w:p w14:paraId="3136A25D" w14:textId="77777777" w:rsidR="00AA1207" w:rsidRDefault="00893ABE" w:rsidP="00193293">
      <w:pPr>
        <w:pStyle w:val="List-BulletLvl1"/>
        <w:spacing w:after="60"/>
        <w:rPr>
          <w:lang w:val="en-AU"/>
        </w:rPr>
      </w:pPr>
      <w:r w:rsidRPr="00AA1207">
        <w:rPr>
          <w:lang w:val="en-AU"/>
        </w:rPr>
        <w:t xml:space="preserve">Professor Peter Irwin </w:t>
      </w:r>
      <w:r w:rsidR="00AA1207">
        <w:rPr>
          <w:lang w:val="en-AU"/>
        </w:rPr>
        <w:t>of</w:t>
      </w:r>
      <w:r w:rsidRPr="00AA1207">
        <w:rPr>
          <w:lang w:val="en-AU"/>
        </w:rPr>
        <w:t xml:space="preserve"> Murdoch University received more than $1.9 million for research to determine the causes of DSCATT, including improved diagnostic outcomes for patients bitten by ticks through the provision of accurate and evidence-based information about their illness. </w:t>
      </w:r>
    </w:p>
    <w:p w14:paraId="17FF9025" w14:textId="77777777" w:rsidR="00893ABE" w:rsidRPr="00AA1207" w:rsidRDefault="00893ABE" w:rsidP="009A7E94">
      <w:pPr>
        <w:pStyle w:val="List-BulletLvl1"/>
        <w:rPr>
          <w:lang w:val="en-AU"/>
        </w:rPr>
      </w:pPr>
      <w:r w:rsidRPr="00AA1207">
        <w:rPr>
          <w:lang w:val="en-AU"/>
        </w:rPr>
        <w:t>Professor Richard Kanaan of the University of Melbourne received more than $1 million to develop a new treatment for DSCATT, including a case definition, adapt the treatment approach for unexplained syndromes to the specifics of DSCATT, and then pilot a randomised controlled trial to test the effectiveness of the new therapy</w:t>
      </w:r>
      <w:r w:rsidR="007168A8">
        <w:rPr>
          <w:lang w:val="en-AU"/>
        </w:rPr>
        <w:t>.</w:t>
      </w:r>
      <w:r w:rsidRPr="00A94846">
        <w:rPr>
          <w:rStyle w:val="FootnoteReference"/>
        </w:rPr>
        <w:footnoteReference w:id="2"/>
      </w:r>
      <w:r w:rsidRPr="00AA1207">
        <w:rPr>
          <w:lang w:val="en-AU"/>
        </w:rPr>
        <w:t xml:space="preserve"> </w:t>
      </w:r>
    </w:p>
    <w:p w14:paraId="4249A46C" w14:textId="77777777" w:rsidR="00893ABE" w:rsidRDefault="00893ABE" w:rsidP="00893ABE">
      <w:pPr>
        <w:pStyle w:val="Body"/>
        <w:rPr>
          <w:lang w:val="en-AU"/>
        </w:rPr>
      </w:pPr>
      <w:r w:rsidRPr="00AA1207">
        <w:rPr>
          <w:lang w:val="en-AU"/>
        </w:rPr>
        <w:t>Should the evidence base change significantly the Clinical Pathway may be reviewed.</w:t>
      </w:r>
    </w:p>
    <w:p w14:paraId="1E3599EE" w14:textId="77777777" w:rsidR="00F93665" w:rsidRPr="00AA1207" w:rsidRDefault="00F93665" w:rsidP="00893ABE">
      <w:pPr>
        <w:pStyle w:val="Body"/>
        <w:rPr>
          <w:lang w:val="en-AU"/>
        </w:rPr>
      </w:pPr>
    </w:p>
    <w:p w14:paraId="095EF902" w14:textId="77777777" w:rsidR="00591078" w:rsidRPr="00661245" w:rsidRDefault="00591078" w:rsidP="00D50321">
      <w:pPr>
        <w:pStyle w:val="NumberedHeading2"/>
        <w:rPr>
          <w:lang w:val="en-AU" w:eastAsia="en-AU"/>
        </w:rPr>
      </w:pPr>
      <w:bookmarkStart w:id="5" w:name="_Toc55464761"/>
      <w:r w:rsidRPr="00F2704A">
        <w:rPr>
          <w:lang w:val="en-AU" w:eastAsia="en-AU"/>
        </w:rPr>
        <w:lastRenderedPageBreak/>
        <w:t>Debilitating symptom complexes attributed to ticks (DSCATT)</w:t>
      </w:r>
      <w:bookmarkEnd w:id="5"/>
    </w:p>
    <w:p w14:paraId="1B838863" w14:textId="77777777" w:rsidR="00DC728A" w:rsidRPr="007754AE" w:rsidRDefault="00DC728A" w:rsidP="00DC728A">
      <w:pPr>
        <w:pStyle w:val="BodyText"/>
        <w:rPr>
          <w:lang w:val="en-AU"/>
        </w:rPr>
      </w:pPr>
      <w:r w:rsidRPr="00CF74AD">
        <w:rPr>
          <w:lang w:val="en-AU" w:eastAsia="en-AU"/>
        </w:rPr>
        <w:t>Debilitating symptom complexes attributed to ticks (DSCATT) is the term used by the Australian Government to describe the group of Australian patients suffering from the symptoms of a chronic debilitating illness, which many associate with a tick bite</w:t>
      </w:r>
      <w:r w:rsidR="007C73BB" w:rsidRPr="00CF74AD">
        <w:rPr>
          <w:lang w:val="en-AU" w:eastAsia="en-AU"/>
        </w:rPr>
        <w:t>,</w:t>
      </w:r>
      <w:r w:rsidR="001C4664">
        <w:rPr>
          <w:rFonts w:ascii="ZWAdobeF" w:hAnsi="ZWAdobeF" w:cs="ZWAdobeF"/>
          <w:sz w:val="2"/>
          <w:szCs w:val="2"/>
          <w:lang w:val="en-AU" w:eastAsia="en-AU"/>
        </w:rPr>
        <w:t>1F</w:t>
      </w:r>
      <w:r w:rsidRPr="00A94846">
        <w:rPr>
          <w:rStyle w:val="FootnoteReference"/>
        </w:rPr>
        <w:footnoteReference w:id="3"/>
      </w:r>
      <w:r w:rsidRPr="00F2704A">
        <w:rPr>
          <w:lang w:val="en-AU" w:eastAsia="en-AU"/>
        </w:rPr>
        <w:t xml:space="preserve"> to appropriately acknowledge this patient group and the multifaceted illness they are experiencing, and acknowled</w:t>
      </w:r>
      <w:r w:rsidRPr="00661245">
        <w:rPr>
          <w:lang w:val="en-AU" w:eastAsia="en-AU"/>
        </w:rPr>
        <w:t xml:space="preserve">ge </w:t>
      </w:r>
      <w:r w:rsidRPr="00CF74AD">
        <w:rPr>
          <w:lang w:val="en-AU"/>
        </w:rPr>
        <w:t>their illness is poorly understood. The Australian Government acknowledges that many of these patients experiencing debilitating symptom complexes are living in turmoil</w:t>
      </w:r>
      <w:r w:rsidR="00B8291D" w:rsidRPr="00CF74AD">
        <w:rPr>
          <w:lang w:val="en-AU"/>
        </w:rPr>
        <w:t xml:space="preserve"> because their illness cannot be easily diagnosed and treated</w:t>
      </w:r>
      <w:r w:rsidRPr="00CF74AD">
        <w:rPr>
          <w:lang w:val="en-AU"/>
        </w:rPr>
        <w:t xml:space="preserve">. With the causes of DSCATT </w:t>
      </w:r>
      <w:r w:rsidR="00AA1207">
        <w:rPr>
          <w:lang w:val="en-AU"/>
        </w:rPr>
        <w:t>remaining</w:t>
      </w:r>
      <w:r w:rsidRPr="00CF74AD">
        <w:rPr>
          <w:lang w:val="en-AU"/>
        </w:rPr>
        <w:t xml:space="preserve"> unknown, the Australian Government urges patients and health professionals to keep an open mind about the cause of a patient’s symptoms. </w:t>
      </w:r>
    </w:p>
    <w:p w14:paraId="2013FC75" w14:textId="77777777" w:rsidR="00DC728A" w:rsidRPr="00661245" w:rsidRDefault="00DC728A" w:rsidP="00DC728A">
      <w:pPr>
        <w:pStyle w:val="BodyText"/>
        <w:rPr>
          <w:lang w:val="en-AU"/>
        </w:rPr>
      </w:pPr>
      <w:r w:rsidRPr="00F2704A">
        <w:rPr>
          <w:lang w:val="en-AU"/>
        </w:rPr>
        <w:t xml:space="preserve">DSCATT was also proposed </w:t>
      </w:r>
      <w:r w:rsidRPr="00661245">
        <w:rPr>
          <w:lang w:val="en-AU"/>
        </w:rPr>
        <w:t xml:space="preserve">as a name </w:t>
      </w:r>
      <w:r w:rsidRPr="00CF74AD">
        <w:rPr>
          <w:lang w:val="en-AU"/>
        </w:rPr>
        <w:t>to move away from the stigma and controversy associated with the terms previously used to describe this patient</w:t>
      </w:r>
      <w:r w:rsidR="00AA1207">
        <w:rPr>
          <w:lang w:val="en-AU"/>
        </w:rPr>
        <w:t>’s</w:t>
      </w:r>
      <w:r w:rsidRPr="00CF74AD">
        <w:rPr>
          <w:lang w:val="en-AU"/>
        </w:rPr>
        <w:t xml:space="preserve"> group such as “</w:t>
      </w:r>
      <w:r w:rsidRPr="00CF74AD">
        <w:rPr>
          <w:i/>
          <w:iCs/>
          <w:lang w:val="en-AU"/>
        </w:rPr>
        <w:t>Lyme disease-like Illness</w:t>
      </w:r>
      <w:r w:rsidRPr="00CF74AD">
        <w:rPr>
          <w:lang w:val="en-AU"/>
        </w:rPr>
        <w:t>” and “</w:t>
      </w:r>
      <w:r w:rsidRPr="00CF74AD">
        <w:rPr>
          <w:i/>
          <w:iCs/>
          <w:lang w:val="en-AU"/>
        </w:rPr>
        <w:t>Chronic Lyme Disease</w:t>
      </w:r>
      <w:r w:rsidRPr="00CF74AD">
        <w:rPr>
          <w:lang w:val="en-AU"/>
        </w:rPr>
        <w:t>”</w:t>
      </w:r>
      <w:r w:rsidR="007168A8">
        <w:rPr>
          <w:lang w:val="en-AU"/>
        </w:rPr>
        <w:t>.</w:t>
      </w:r>
      <w:r w:rsidRPr="00A94846">
        <w:rPr>
          <w:rStyle w:val="FootnoteReference"/>
        </w:rPr>
        <w:footnoteReference w:id="4"/>
      </w:r>
      <w:r w:rsidRPr="00F2704A">
        <w:rPr>
          <w:lang w:val="en-AU"/>
        </w:rPr>
        <w:t xml:space="preserve"> </w:t>
      </w:r>
    </w:p>
    <w:p w14:paraId="39C8DAB6" w14:textId="77777777" w:rsidR="006C1F51" w:rsidRPr="007754AE" w:rsidRDefault="000A1D43" w:rsidP="00591078">
      <w:pPr>
        <w:pStyle w:val="BodyText"/>
        <w:rPr>
          <w:lang w:val="en-AU"/>
        </w:rPr>
      </w:pPr>
      <w:r w:rsidRPr="00CF74AD">
        <w:rPr>
          <w:lang w:val="en-AU"/>
        </w:rPr>
        <w:t xml:space="preserve">DSCATT is not </w:t>
      </w:r>
      <w:r w:rsidR="00F13BD0" w:rsidRPr="00CF74AD">
        <w:rPr>
          <w:lang w:val="en-AU"/>
        </w:rPr>
        <w:t xml:space="preserve">a </w:t>
      </w:r>
      <w:r w:rsidRPr="00CF74AD">
        <w:rPr>
          <w:lang w:val="en-AU"/>
        </w:rPr>
        <w:t xml:space="preserve">diagnosable disease </w:t>
      </w:r>
      <w:r w:rsidR="00F13BD0" w:rsidRPr="00CF74AD">
        <w:rPr>
          <w:lang w:val="en-AU"/>
        </w:rPr>
        <w:t xml:space="preserve">and </w:t>
      </w:r>
      <w:r w:rsidR="00F13BD0" w:rsidRPr="007754AE">
        <w:rPr>
          <w:b/>
          <w:bCs/>
          <w:lang w:val="en-AU"/>
        </w:rPr>
        <w:t xml:space="preserve">a patient </w:t>
      </w:r>
      <w:r w:rsidR="00F13BD0" w:rsidRPr="00CF74AD">
        <w:rPr>
          <w:b/>
          <w:lang w:val="en-AU"/>
        </w:rPr>
        <w:t xml:space="preserve">cannot be given a </w:t>
      </w:r>
      <w:r w:rsidR="00F13BD0" w:rsidRPr="00CF74AD">
        <w:rPr>
          <w:b/>
          <w:bCs/>
          <w:lang w:val="en-AU"/>
        </w:rPr>
        <w:t>diagnosis</w:t>
      </w:r>
      <w:r w:rsidR="00F13BD0" w:rsidRPr="007754AE">
        <w:rPr>
          <w:b/>
          <w:bCs/>
          <w:lang w:val="en-AU"/>
        </w:rPr>
        <w:t xml:space="preserve"> </w:t>
      </w:r>
      <w:r w:rsidR="00F13BD0" w:rsidRPr="007754AE">
        <w:rPr>
          <w:b/>
          <w:lang w:val="en-AU"/>
        </w:rPr>
        <w:t>of DSCATT</w:t>
      </w:r>
      <w:r w:rsidR="00F13BD0" w:rsidRPr="007754AE">
        <w:rPr>
          <w:lang w:val="en-AU"/>
        </w:rPr>
        <w:t xml:space="preserve">. </w:t>
      </w:r>
    </w:p>
    <w:p w14:paraId="697B5986" w14:textId="77777777" w:rsidR="0098024E" w:rsidRPr="00F2704A" w:rsidRDefault="00591078" w:rsidP="00591078">
      <w:pPr>
        <w:pStyle w:val="BodyText"/>
        <w:rPr>
          <w:lang w:val="en-AU"/>
        </w:rPr>
      </w:pPr>
      <w:r w:rsidRPr="00F2704A">
        <w:rPr>
          <w:lang w:val="en-AU"/>
        </w:rPr>
        <w:t xml:space="preserve">DSCATT is not clearly defined and is not formally reported. </w:t>
      </w:r>
      <w:r w:rsidR="009A3607" w:rsidRPr="00661245">
        <w:rPr>
          <w:lang w:val="en-AU"/>
        </w:rPr>
        <w:t xml:space="preserve">It has no diagnostic criteria, known cause or causes, no treatment and </w:t>
      </w:r>
      <w:r w:rsidR="00AC3FEB">
        <w:rPr>
          <w:lang w:val="en-AU"/>
        </w:rPr>
        <w:t>associated</w:t>
      </w:r>
      <w:r w:rsidR="009A3607" w:rsidRPr="00661245">
        <w:rPr>
          <w:lang w:val="en-AU"/>
        </w:rPr>
        <w:t xml:space="preserve"> symptoms may be the end point for several different disease processes. </w:t>
      </w:r>
      <w:r w:rsidR="008B24F5" w:rsidRPr="00CF74AD">
        <w:rPr>
          <w:lang w:val="en-AU"/>
        </w:rPr>
        <w:t>The</w:t>
      </w:r>
      <w:r w:rsidR="009A3607" w:rsidRPr="00CF74AD">
        <w:rPr>
          <w:lang w:val="en-AU"/>
        </w:rPr>
        <w:t xml:space="preserve"> </w:t>
      </w:r>
      <w:r w:rsidR="008B24F5" w:rsidRPr="00CF74AD">
        <w:rPr>
          <w:lang w:val="en-AU"/>
        </w:rPr>
        <w:t xml:space="preserve">symptom complexes to which the name DSCATT has been given incorporates a wide range of nonspecific </w:t>
      </w:r>
      <w:r w:rsidR="0098024E" w:rsidRPr="00CF74AD">
        <w:rPr>
          <w:lang w:val="en-AU"/>
        </w:rPr>
        <w:t>symptoms</w:t>
      </w:r>
      <w:r w:rsidR="008B24F5" w:rsidRPr="00CF74AD">
        <w:rPr>
          <w:lang w:val="en-AU"/>
        </w:rPr>
        <w:t xml:space="preserve">. </w:t>
      </w:r>
      <w:r w:rsidR="000178E9" w:rsidRPr="00CF74AD">
        <w:rPr>
          <w:lang w:val="en-AU"/>
        </w:rPr>
        <w:t xml:space="preserve">Symptoms and signs </w:t>
      </w:r>
      <w:r w:rsidR="00B16049" w:rsidRPr="00CF74AD">
        <w:rPr>
          <w:lang w:val="en-AU"/>
        </w:rPr>
        <w:t xml:space="preserve">associated with DSCATT are </w:t>
      </w:r>
      <w:r w:rsidR="001C7CE1" w:rsidRPr="00CF29E7">
        <w:rPr>
          <w:lang w:val="en-AU"/>
        </w:rPr>
        <w:t xml:space="preserve">detailed in </w:t>
      </w:r>
      <w:hyperlink w:anchor="Section_2" w:history="1">
        <w:r w:rsidR="009F4478" w:rsidRPr="009B0240">
          <w:rPr>
            <w:rStyle w:val="Hyperlink"/>
            <w:lang w:val="en-AU"/>
          </w:rPr>
          <w:t>S</w:t>
        </w:r>
        <w:r w:rsidR="001C7CE1" w:rsidRPr="009B0240">
          <w:rPr>
            <w:rStyle w:val="Hyperlink"/>
            <w:lang w:val="en-AU"/>
          </w:rPr>
          <w:t>ect</w:t>
        </w:r>
        <w:r w:rsidR="00EB0F7C" w:rsidRPr="009B0240">
          <w:rPr>
            <w:rStyle w:val="Hyperlink"/>
            <w:lang w:val="en-AU"/>
          </w:rPr>
          <w:t xml:space="preserve">ion </w:t>
        </w:r>
        <w:r w:rsidR="00A27539" w:rsidRPr="009B0240">
          <w:rPr>
            <w:rStyle w:val="Hyperlink"/>
            <w:lang w:val="en-AU"/>
          </w:rPr>
          <w:t>2</w:t>
        </w:r>
      </w:hyperlink>
      <w:r w:rsidR="009F4478">
        <w:rPr>
          <w:lang w:val="en-AU"/>
        </w:rPr>
        <w:t>,</w:t>
      </w:r>
      <w:r w:rsidR="00A27539" w:rsidRPr="00D621FF">
        <w:rPr>
          <w:lang w:val="en-AU"/>
        </w:rPr>
        <w:t xml:space="preserve"> Initial Assessment and Support. </w:t>
      </w:r>
      <w:r w:rsidR="008B24F5" w:rsidRPr="00FA6D54">
        <w:rPr>
          <w:lang w:val="en-AU"/>
        </w:rPr>
        <w:t>Some people may h</w:t>
      </w:r>
      <w:r w:rsidR="008B24F5" w:rsidRPr="00F2704A">
        <w:rPr>
          <w:lang w:val="en-AU"/>
        </w:rPr>
        <w:t xml:space="preserve">ave a diagnosis </w:t>
      </w:r>
      <w:r w:rsidR="0098024E" w:rsidRPr="00F2704A">
        <w:rPr>
          <w:lang w:val="en-AU"/>
        </w:rPr>
        <w:t xml:space="preserve">that has not yet been identified </w:t>
      </w:r>
      <w:r w:rsidR="008B24F5" w:rsidRPr="00F2704A">
        <w:rPr>
          <w:lang w:val="en-AU"/>
        </w:rPr>
        <w:t>that explains these symptoms while others may have a cluster of medically unexplained symptoms</w:t>
      </w:r>
      <w:r w:rsidR="0098024E" w:rsidRPr="00F2704A">
        <w:rPr>
          <w:lang w:val="en-AU"/>
        </w:rPr>
        <w:t xml:space="preserve"> that require management</w:t>
      </w:r>
      <w:r w:rsidR="008B24F5" w:rsidRPr="00F2704A">
        <w:rPr>
          <w:lang w:val="en-AU"/>
        </w:rPr>
        <w:t>.</w:t>
      </w:r>
      <w:r w:rsidR="0098024E" w:rsidRPr="00F2704A">
        <w:rPr>
          <w:lang w:val="en-AU"/>
        </w:rPr>
        <w:t xml:space="preserve"> </w:t>
      </w:r>
    </w:p>
    <w:p w14:paraId="3C26489D" w14:textId="77777777" w:rsidR="00BA7C74" w:rsidRPr="00F2704A" w:rsidRDefault="00BA7C74" w:rsidP="00BA7C74">
      <w:pPr>
        <w:pStyle w:val="BodyText"/>
        <w:rPr>
          <w:lang w:val="en-AU"/>
        </w:rPr>
      </w:pPr>
      <w:r w:rsidRPr="00F2704A">
        <w:rPr>
          <w:lang w:val="en-AU"/>
        </w:rPr>
        <w:t xml:space="preserve">People with medically unexplained symptoms </w:t>
      </w:r>
      <w:r w:rsidR="007F4598" w:rsidRPr="00F2704A" w:rsidDel="00D80BB2">
        <w:rPr>
          <w:lang w:val="en-AU"/>
        </w:rPr>
        <w:t xml:space="preserve">(MUS) </w:t>
      </w:r>
      <w:r w:rsidRPr="00F2704A">
        <w:rPr>
          <w:lang w:val="en-AU"/>
        </w:rPr>
        <w:t>may obtain a diagnosis over time as symptoms develop and guide to the origin of the illness. Others may find that symptoms resolve over time</w:t>
      </w:r>
      <w:r w:rsidR="00021DE0" w:rsidRPr="00F2704A">
        <w:rPr>
          <w:lang w:val="en-AU"/>
        </w:rPr>
        <w:t xml:space="preserve">, </w:t>
      </w:r>
      <w:r w:rsidRPr="00F2704A">
        <w:rPr>
          <w:lang w:val="en-AU"/>
        </w:rPr>
        <w:t xml:space="preserve">without ever identifying a cause. All people with medically unexplained symptoms, (including those </w:t>
      </w:r>
      <w:r w:rsidR="00CD3904">
        <w:rPr>
          <w:lang w:val="en-AU"/>
        </w:rPr>
        <w:t xml:space="preserve">experiencing the symptoms associated </w:t>
      </w:r>
      <w:r w:rsidR="0020258D">
        <w:rPr>
          <w:lang w:val="en-AU"/>
        </w:rPr>
        <w:t xml:space="preserve">with </w:t>
      </w:r>
      <w:r w:rsidRPr="00F2704A">
        <w:rPr>
          <w:lang w:val="en-AU"/>
        </w:rPr>
        <w:t>DSCATT) can be assisted to have an improved quality of life with good care in a partnership between patient and the health care team</w:t>
      </w:r>
      <w:r w:rsidR="006C690C" w:rsidRPr="00F2704A">
        <w:rPr>
          <w:lang w:val="en-AU"/>
        </w:rPr>
        <w:t>.</w:t>
      </w:r>
    </w:p>
    <w:p w14:paraId="23BC8E32" w14:textId="77777777" w:rsidR="00591078" w:rsidRPr="00F2704A" w:rsidRDefault="00591078" w:rsidP="00D50321">
      <w:pPr>
        <w:pStyle w:val="NumberedHeading2"/>
        <w:rPr>
          <w:lang w:val="en-AU"/>
        </w:rPr>
      </w:pPr>
      <w:bookmarkStart w:id="6" w:name="_Toc55464762"/>
      <w:r w:rsidRPr="00F2704A">
        <w:rPr>
          <w:lang w:val="en-AU"/>
        </w:rPr>
        <w:t xml:space="preserve">Consideration of </w:t>
      </w:r>
      <w:r w:rsidRPr="00F2704A">
        <w:rPr>
          <w:lang w:val="en-AU" w:eastAsia="en-AU"/>
        </w:rPr>
        <w:t>tick</w:t>
      </w:r>
      <w:r w:rsidRPr="00F2704A">
        <w:rPr>
          <w:lang w:val="en-AU"/>
        </w:rPr>
        <w:t>-borne diseases in the differential diagnosis</w:t>
      </w:r>
      <w:bookmarkEnd w:id="6"/>
    </w:p>
    <w:p w14:paraId="13A7E1DE" w14:textId="77777777" w:rsidR="00591078" w:rsidRPr="00F2704A" w:rsidRDefault="00591078" w:rsidP="00591078">
      <w:pPr>
        <w:pStyle w:val="BodyText"/>
        <w:rPr>
          <w:lang w:val="en-AU"/>
        </w:rPr>
      </w:pPr>
      <w:r w:rsidRPr="00F2704A">
        <w:rPr>
          <w:lang w:val="en-AU"/>
        </w:rPr>
        <w:t>Acknowledging the attribution to ticks in the term DSCATT, this Clinical Pathway includes the consideration of tick-borne diseases in the differential diagnosis (overseas-acquired Lyme disease</w:t>
      </w:r>
      <w:r w:rsidR="00D36DFC" w:rsidRPr="00F2704A">
        <w:rPr>
          <w:lang w:val="en-AU"/>
        </w:rPr>
        <w:t xml:space="preserve">, </w:t>
      </w:r>
      <w:r w:rsidRPr="00F2704A">
        <w:rPr>
          <w:lang w:val="en-AU"/>
        </w:rPr>
        <w:t>and known Australian tick-borne diseases) and considerations and referral pathways for patients for whom a diagnosis for their symptoms may not be established.</w:t>
      </w:r>
    </w:p>
    <w:p w14:paraId="2A90C2FD" w14:textId="77777777" w:rsidR="001D2792" w:rsidRPr="00F2704A" w:rsidRDefault="002F7D25" w:rsidP="00E47394">
      <w:pPr>
        <w:pStyle w:val="NumberedHeading2"/>
        <w:rPr>
          <w:lang w:val="en-AU"/>
        </w:rPr>
      </w:pPr>
      <w:bookmarkStart w:id="7" w:name="_Toc55464763"/>
      <w:r w:rsidRPr="00F2704A">
        <w:rPr>
          <w:lang w:val="en-AU"/>
        </w:rPr>
        <w:t>Lyme disease</w:t>
      </w:r>
      <w:bookmarkEnd w:id="7"/>
    </w:p>
    <w:p w14:paraId="0E952660" w14:textId="77777777" w:rsidR="005A4FE7" w:rsidRPr="00CF74AD" w:rsidRDefault="005A4FE7" w:rsidP="00C86301">
      <w:pPr>
        <w:pStyle w:val="BodyText"/>
        <w:rPr>
          <w:lang w:val="en-AU" w:eastAsia="en-AU"/>
        </w:rPr>
      </w:pPr>
      <w:r w:rsidRPr="00AC3FEB">
        <w:rPr>
          <w:lang w:val="en-AU" w:eastAsia="en-AU"/>
        </w:rPr>
        <w:t>Lyme disease is endemic in parts of the USA, Europe and Asia.</w:t>
      </w:r>
      <w:r w:rsidRPr="00F2704A">
        <w:rPr>
          <w:lang w:val="en-AU" w:eastAsia="en-AU"/>
        </w:rPr>
        <w:t xml:space="preserve"> </w:t>
      </w:r>
      <w:r w:rsidRPr="00661245">
        <w:rPr>
          <w:lang w:val="en-AU" w:eastAsia="en-AU"/>
        </w:rPr>
        <w:t>A person visiting a Lyme</w:t>
      </w:r>
      <w:r w:rsidR="00AC3FEB">
        <w:rPr>
          <w:lang w:val="en-AU" w:eastAsia="en-AU"/>
        </w:rPr>
        <w:t xml:space="preserve"> disease </w:t>
      </w:r>
      <w:r w:rsidRPr="00661245">
        <w:rPr>
          <w:lang w:val="en-AU" w:eastAsia="en-AU"/>
        </w:rPr>
        <w:t xml:space="preserve">endemic area may become infected with </w:t>
      </w:r>
      <w:r w:rsidRPr="00CF74AD">
        <w:rPr>
          <w:i/>
          <w:lang w:val="en-AU" w:eastAsia="en-AU"/>
        </w:rPr>
        <w:t>Borrelia burgdorferi</w:t>
      </w:r>
      <w:r w:rsidRPr="00CF74AD">
        <w:rPr>
          <w:lang w:val="en-AU" w:eastAsia="en-AU"/>
        </w:rPr>
        <w:t xml:space="preserve"> sensu lato through a tick bite and subsequently develop Lyme disease. Overseas travellers to Lyme</w:t>
      </w:r>
      <w:r w:rsidR="00AC3FEB">
        <w:rPr>
          <w:lang w:val="en-AU" w:eastAsia="en-AU"/>
        </w:rPr>
        <w:t xml:space="preserve"> disease </w:t>
      </w:r>
      <w:r w:rsidRPr="00CF74AD">
        <w:rPr>
          <w:lang w:val="en-AU" w:eastAsia="en-AU"/>
        </w:rPr>
        <w:t xml:space="preserve">endemic areas may return to their home country before becoming symptomatic and/or being diagnosed. </w:t>
      </w:r>
    </w:p>
    <w:p w14:paraId="0AEDE8C6" w14:textId="77777777" w:rsidR="005A4FE7" w:rsidRPr="00FA6D54" w:rsidRDefault="00BB3F53" w:rsidP="00C86301">
      <w:pPr>
        <w:pStyle w:val="BodyText"/>
        <w:rPr>
          <w:lang w:val="en-AU"/>
        </w:rPr>
      </w:pPr>
      <w:r w:rsidRPr="338D07BF">
        <w:rPr>
          <w:lang w:val="en-AU" w:eastAsia="en-AU"/>
        </w:rPr>
        <w:t>Despite multiple studies which have thoroughly searched for it in Australian ticks and patients, the organism</w:t>
      </w:r>
      <w:r w:rsidR="50271DBF" w:rsidRPr="338D07BF">
        <w:rPr>
          <w:lang w:val="en-AU" w:eastAsia="en-AU"/>
        </w:rPr>
        <w:t>s</w:t>
      </w:r>
      <w:r w:rsidRPr="338D07BF">
        <w:rPr>
          <w:lang w:val="en-AU" w:eastAsia="en-AU"/>
        </w:rPr>
        <w:t xml:space="preserve"> that cause Lyme disease ha</w:t>
      </w:r>
      <w:r w:rsidR="7B83D5BF" w:rsidRPr="338D07BF">
        <w:rPr>
          <w:lang w:val="en-AU" w:eastAsia="en-AU"/>
        </w:rPr>
        <w:t>ve</w:t>
      </w:r>
      <w:r w:rsidRPr="338D07BF">
        <w:rPr>
          <w:lang w:val="en-AU" w:eastAsia="en-AU"/>
        </w:rPr>
        <w:t xml:space="preserve"> not, to date, been identified in Australian ticks</w:t>
      </w:r>
      <w:r w:rsidR="00F27F91" w:rsidRPr="338D07BF">
        <w:rPr>
          <w:lang w:val="en-AU" w:eastAsia="en-AU"/>
        </w:rPr>
        <w:t xml:space="preserve"> </w:t>
      </w:r>
      <w:r w:rsidRPr="338D07BF">
        <w:rPr>
          <w:lang w:val="en-AU" w:eastAsia="en-AU"/>
        </w:rPr>
        <w:t xml:space="preserve">nor any other vector that could transmit the disease to humans. It is for this reason that the Australian </w:t>
      </w:r>
      <w:r w:rsidRPr="338D07BF">
        <w:rPr>
          <w:lang w:val="en-AU" w:eastAsia="en-AU"/>
        </w:rPr>
        <w:lastRenderedPageBreak/>
        <w:t xml:space="preserve">medical profession does not support the diagnosis of locally acquired Lyme disease in Australia. While </w:t>
      </w:r>
      <w:r w:rsidRPr="338D07BF">
        <w:rPr>
          <w:lang w:val="en-AU"/>
        </w:rPr>
        <w:t>some Australians and healthcare providers believe that a form of ‘chronic Lyme disease’ exists, globally, ‘chronic Lyme disease’ is a disputed diagnosis which lacks sufficient supporting evidence.</w:t>
      </w:r>
    </w:p>
    <w:p w14:paraId="6407BABC" w14:textId="77777777" w:rsidR="005F0B3D" w:rsidRPr="00F2704A" w:rsidRDefault="005F0B3D" w:rsidP="001B11F5">
      <w:pPr>
        <w:pStyle w:val="NumberedHeading2"/>
        <w:rPr>
          <w:lang w:val="en-AU"/>
        </w:rPr>
      </w:pPr>
      <w:bookmarkStart w:id="8" w:name="_Toc55464764"/>
      <w:r w:rsidRPr="00F2704A">
        <w:rPr>
          <w:lang w:val="en-AU"/>
        </w:rPr>
        <w:t>Know</w:t>
      </w:r>
      <w:r w:rsidR="008D3BEF" w:rsidRPr="00F2704A">
        <w:rPr>
          <w:lang w:val="en-AU"/>
        </w:rPr>
        <w:t>n</w:t>
      </w:r>
      <w:r w:rsidRPr="00F2704A">
        <w:rPr>
          <w:lang w:val="en-AU"/>
        </w:rPr>
        <w:t xml:space="preserve"> Australian </w:t>
      </w:r>
      <w:r w:rsidR="001A4DFB" w:rsidRPr="00F2704A">
        <w:rPr>
          <w:lang w:val="en-AU"/>
        </w:rPr>
        <w:t>tick-borne diseases</w:t>
      </w:r>
      <w:bookmarkEnd w:id="8"/>
    </w:p>
    <w:p w14:paraId="1793B117" w14:textId="77777777" w:rsidR="0069738E" w:rsidRPr="004D3350" w:rsidRDefault="00F422D3" w:rsidP="008D3BEF">
      <w:pPr>
        <w:pStyle w:val="Body"/>
        <w:rPr>
          <w:rFonts w:ascii="Calibri" w:hAnsi="Calibri"/>
          <w:sz w:val="20"/>
          <w:szCs w:val="20"/>
          <w:lang w:val="en-AU"/>
        </w:rPr>
      </w:pPr>
      <w:r w:rsidRPr="00F2704A">
        <w:rPr>
          <w:lang w:val="en-AU"/>
        </w:rPr>
        <w:t xml:space="preserve">Apart from the occasional local bacterial infection at the tick bite site (eschar) the only two systemic infections that are definitely known to be transmitted by tick bites in Australia are Rickettsial infections from infection with </w:t>
      </w:r>
      <w:r w:rsidRPr="00F2704A">
        <w:rPr>
          <w:i/>
          <w:lang w:val="en-AU"/>
        </w:rPr>
        <w:t>Rickettsia</w:t>
      </w:r>
      <w:r w:rsidRPr="00F2704A">
        <w:rPr>
          <w:lang w:val="en-AU"/>
        </w:rPr>
        <w:t xml:space="preserve"> spp. (Queensland </w:t>
      </w:r>
      <w:r w:rsidR="00EC3F11">
        <w:rPr>
          <w:lang w:val="en-AU"/>
        </w:rPr>
        <w:t>T</w:t>
      </w:r>
      <w:r w:rsidRPr="00F2704A">
        <w:rPr>
          <w:lang w:val="en-AU"/>
        </w:rPr>
        <w:t xml:space="preserve">ick </w:t>
      </w:r>
      <w:r w:rsidR="00EC3F11">
        <w:rPr>
          <w:lang w:val="en-AU"/>
        </w:rPr>
        <w:t>T</w:t>
      </w:r>
      <w:r w:rsidRPr="00F2704A">
        <w:rPr>
          <w:lang w:val="en-AU"/>
        </w:rPr>
        <w:t>yphus, Flinders Island Spotted Fever, Australian Spotted Fever) and Q fever (</w:t>
      </w:r>
      <w:r w:rsidRPr="00F2704A">
        <w:rPr>
          <w:i/>
          <w:lang w:val="en-AU"/>
        </w:rPr>
        <w:t>Coxiella burnetii</w:t>
      </w:r>
      <w:r w:rsidRPr="00F2704A">
        <w:rPr>
          <w:lang w:val="en-AU"/>
        </w:rPr>
        <w:t>).</w:t>
      </w:r>
    </w:p>
    <w:p w14:paraId="17FD7D53" w14:textId="77777777" w:rsidR="00AC3FEB" w:rsidRDefault="008D3BEF" w:rsidP="00C86301">
      <w:pPr>
        <w:pStyle w:val="Body"/>
        <w:rPr>
          <w:lang w:val="en-AU"/>
        </w:rPr>
      </w:pPr>
      <w:r w:rsidRPr="00F2704A">
        <w:rPr>
          <w:lang w:val="en-AU"/>
        </w:rPr>
        <w:t xml:space="preserve">The </w:t>
      </w:r>
      <w:r w:rsidR="00FE2EA6">
        <w:rPr>
          <w:lang w:val="en-AU"/>
        </w:rPr>
        <w:t xml:space="preserve">signs and </w:t>
      </w:r>
      <w:r w:rsidRPr="00F2704A">
        <w:rPr>
          <w:lang w:val="en-AU"/>
        </w:rPr>
        <w:t xml:space="preserve">symptoms of </w:t>
      </w:r>
      <w:r w:rsidR="00F66D1E">
        <w:rPr>
          <w:lang w:val="en-AU"/>
        </w:rPr>
        <w:t>R</w:t>
      </w:r>
      <w:r w:rsidRPr="00F2704A">
        <w:rPr>
          <w:lang w:val="en-AU"/>
        </w:rPr>
        <w:t xml:space="preserve">ickettsial infections in Australia include eschar, fatigue, fever, headache, myalgia and rash (macular, papular, vesicular) although the severity and duration of </w:t>
      </w:r>
      <w:r w:rsidR="00F66D1E" w:rsidRPr="00F2704A">
        <w:rPr>
          <w:lang w:val="en-AU"/>
        </w:rPr>
        <w:t>Rickettsi</w:t>
      </w:r>
      <w:r w:rsidR="00F66D1E" w:rsidRPr="00661245">
        <w:rPr>
          <w:lang w:val="en-AU"/>
        </w:rPr>
        <w:t>al</w:t>
      </w:r>
      <w:r w:rsidRPr="00661245">
        <w:rPr>
          <w:lang w:val="en-AU"/>
        </w:rPr>
        <w:t xml:space="preserve"> diseases vary considerably</w:t>
      </w:r>
      <w:r w:rsidRPr="00CF74AD">
        <w:rPr>
          <w:lang w:val="en-AU"/>
        </w:rPr>
        <w:t xml:space="preserve">. </w:t>
      </w:r>
      <w:r w:rsidR="0064362E" w:rsidRPr="0064362E">
        <w:rPr>
          <w:lang w:val="en-AU"/>
        </w:rPr>
        <w:t xml:space="preserve">Queensland </w:t>
      </w:r>
      <w:r w:rsidR="0079743B">
        <w:rPr>
          <w:lang w:val="en-AU"/>
        </w:rPr>
        <w:t>T</w:t>
      </w:r>
      <w:r w:rsidR="0064362E" w:rsidRPr="0064362E">
        <w:rPr>
          <w:lang w:val="en-AU"/>
        </w:rPr>
        <w:t xml:space="preserve">ick </w:t>
      </w:r>
      <w:r w:rsidR="0079743B">
        <w:rPr>
          <w:lang w:val="en-AU"/>
        </w:rPr>
        <w:t>T</w:t>
      </w:r>
      <w:r w:rsidR="0064362E" w:rsidRPr="0064362E">
        <w:rPr>
          <w:lang w:val="en-AU"/>
        </w:rPr>
        <w:t xml:space="preserve">yphus </w:t>
      </w:r>
      <w:r w:rsidR="0064362E">
        <w:rPr>
          <w:lang w:val="en-AU"/>
        </w:rPr>
        <w:t>(</w:t>
      </w:r>
      <w:r w:rsidRPr="00CF74AD">
        <w:rPr>
          <w:lang w:val="en-AU"/>
        </w:rPr>
        <w:t>QTT</w:t>
      </w:r>
      <w:r w:rsidR="0064362E">
        <w:rPr>
          <w:lang w:val="en-AU"/>
        </w:rPr>
        <w:t>)</w:t>
      </w:r>
      <w:r w:rsidRPr="00CF74AD">
        <w:rPr>
          <w:lang w:val="en-AU"/>
        </w:rPr>
        <w:t xml:space="preserve"> and </w:t>
      </w:r>
      <w:r w:rsidR="00224A03" w:rsidRPr="00224A03">
        <w:rPr>
          <w:lang w:val="en-AU"/>
        </w:rPr>
        <w:t xml:space="preserve">Australian Spotted Fever </w:t>
      </w:r>
      <w:r w:rsidR="00224A03">
        <w:rPr>
          <w:lang w:val="en-AU"/>
        </w:rPr>
        <w:t>(</w:t>
      </w:r>
      <w:r w:rsidRPr="00CF74AD">
        <w:rPr>
          <w:lang w:val="en-AU"/>
        </w:rPr>
        <w:t>ASF</w:t>
      </w:r>
      <w:r w:rsidR="00224A03">
        <w:rPr>
          <w:lang w:val="en-AU"/>
        </w:rPr>
        <w:t>)</w:t>
      </w:r>
      <w:r w:rsidRPr="00CF74AD">
        <w:rPr>
          <w:lang w:val="en-AU"/>
        </w:rPr>
        <w:t xml:space="preserve"> have similar core clinical manifestations with a range of other symptoms observed. Early clinical features are often non-specific, making diagnosis challenging. Additionally, symptoms may overlap with other infectious diseases including those that are transmitted by non-tick vectors as well as a number of chronic diseases. </w:t>
      </w:r>
    </w:p>
    <w:p w14:paraId="72BD94F1" w14:textId="77777777" w:rsidR="00F27F91" w:rsidRPr="00CF74AD" w:rsidRDefault="008D3BEF" w:rsidP="00C86301">
      <w:pPr>
        <w:pStyle w:val="Body"/>
        <w:rPr>
          <w:lang w:val="en-AU"/>
        </w:rPr>
      </w:pPr>
      <w:r w:rsidRPr="00CF74AD">
        <w:rPr>
          <w:lang w:val="en-AU"/>
        </w:rPr>
        <w:t>Seek further expert advice from appropriate experts in vector-borne diseases as necessary.</w:t>
      </w:r>
    </w:p>
    <w:p w14:paraId="6E07DFCD" w14:textId="77777777" w:rsidR="00D95A8A" w:rsidRPr="00CF29E7" w:rsidRDefault="00F76BAD" w:rsidP="00D50321">
      <w:pPr>
        <w:pStyle w:val="NumberedHeading2"/>
        <w:spacing w:line="240" w:lineRule="auto"/>
        <w:rPr>
          <w:lang w:val="en-AU"/>
        </w:rPr>
      </w:pPr>
      <w:bookmarkStart w:id="9" w:name="_Toc55464765"/>
      <w:r w:rsidRPr="00CF74AD">
        <w:rPr>
          <w:lang w:val="en-AU"/>
        </w:rPr>
        <w:t xml:space="preserve">Management of patients </w:t>
      </w:r>
      <w:r w:rsidR="00AF7FA0" w:rsidRPr="00CF74AD">
        <w:rPr>
          <w:lang w:val="en-AU"/>
        </w:rPr>
        <w:t>with</w:t>
      </w:r>
      <w:r w:rsidRPr="00CF74AD">
        <w:rPr>
          <w:lang w:val="en-AU"/>
        </w:rPr>
        <w:t xml:space="preserve"> persistent symptoms </w:t>
      </w:r>
      <w:r w:rsidR="009A3607" w:rsidRPr="00CF74AD">
        <w:rPr>
          <w:lang w:val="en-AU"/>
        </w:rPr>
        <w:t>or who</w:t>
      </w:r>
      <w:r w:rsidRPr="00CF29E7">
        <w:rPr>
          <w:lang w:val="en-AU"/>
        </w:rPr>
        <w:t xml:space="preserve"> remain undiagnosed</w:t>
      </w:r>
      <w:bookmarkEnd w:id="9"/>
    </w:p>
    <w:p w14:paraId="3F21BE39" w14:textId="77777777" w:rsidR="00591078" w:rsidRPr="00F2704A" w:rsidRDefault="00591078" w:rsidP="00591078">
      <w:pPr>
        <w:pStyle w:val="BodyText"/>
        <w:rPr>
          <w:lang w:val="en-AU"/>
        </w:rPr>
      </w:pPr>
      <w:r w:rsidRPr="00FA6D54">
        <w:rPr>
          <w:lang w:val="en-AU"/>
        </w:rPr>
        <w:t>The Clinical Pathway acknowledges that because of the imprecise nature of the symptom complexes some patients will remain undiagnosed</w:t>
      </w:r>
      <w:r w:rsidR="0044571E" w:rsidRPr="00F2704A">
        <w:rPr>
          <w:lang w:val="en-AU"/>
        </w:rPr>
        <w:t>.</w:t>
      </w:r>
      <w:r w:rsidR="00FF2669" w:rsidRPr="00F2704A">
        <w:rPr>
          <w:lang w:val="en-AU"/>
        </w:rPr>
        <w:t xml:space="preserve"> </w:t>
      </w:r>
      <w:r w:rsidR="0044571E" w:rsidRPr="00F2704A">
        <w:rPr>
          <w:lang w:val="en-AU"/>
        </w:rPr>
        <w:t>Therefore</w:t>
      </w:r>
      <w:r w:rsidR="00F13BD0" w:rsidRPr="00F2704A">
        <w:rPr>
          <w:lang w:val="en-AU"/>
        </w:rPr>
        <w:t>,</w:t>
      </w:r>
      <w:r w:rsidRPr="00F2704A">
        <w:rPr>
          <w:lang w:val="en-AU"/>
        </w:rPr>
        <w:t xml:space="preserve"> evidence-based ways to manage ongoing symptoms through a comprehensive patient-centred care plan has been included for patients </w:t>
      </w:r>
      <w:r w:rsidR="001F3A8F" w:rsidRPr="00F2704A">
        <w:rPr>
          <w:lang w:val="en-AU"/>
        </w:rPr>
        <w:t xml:space="preserve">for whom there is no diagnosis and </w:t>
      </w:r>
      <w:r w:rsidRPr="00F2704A">
        <w:rPr>
          <w:lang w:val="en-AU"/>
        </w:rPr>
        <w:t>who are considered to have medically unexplained symptoms or ‘</w:t>
      </w:r>
      <w:r w:rsidR="003D5E3B" w:rsidRPr="00F2704A">
        <w:rPr>
          <w:lang w:val="en-AU"/>
        </w:rPr>
        <w:t xml:space="preserve">undifferentiated </w:t>
      </w:r>
      <w:r w:rsidRPr="00F2704A">
        <w:rPr>
          <w:lang w:val="en-AU"/>
        </w:rPr>
        <w:t>illness’.</w:t>
      </w:r>
    </w:p>
    <w:p w14:paraId="0C8B6933" w14:textId="77777777" w:rsidR="00E664F1" w:rsidRPr="00F2704A" w:rsidRDefault="00451844" w:rsidP="00624287">
      <w:pPr>
        <w:pStyle w:val="Body"/>
        <w:rPr>
          <w:lang w:val="en-AU"/>
        </w:rPr>
      </w:pPr>
      <w:r w:rsidRPr="00F2704A">
        <w:rPr>
          <w:lang w:val="en-AU"/>
        </w:rPr>
        <w:t xml:space="preserve">Where there is no diagnosis, and the patient is experiencing symptoms that are medically unexplained, it is especially important to ensure that patient or person-centred care is provided </w:t>
      </w:r>
      <w:r w:rsidR="00AC3FEB">
        <w:rPr>
          <w:lang w:val="en-AU"/>
        </w:rPr>
        <w:t>to</w:t>
      </w:r>
      <w:r w:rsidRPr="00F2704A">
        <w:rPr>
          <w:lang w:val="en-AU"/>
        </w:rPr>
        <w:t xml:space="preserve"> validate, address and manage their symptoms as well as possible</w:t>
      </w:r>
      <w:r w:rsidR="00AC3FEB">
        <w:rPr>
          <w:lang w:val="en-AU"/>
        </w:rPr>
        <w:t>.</w:t>
      </w:r>
      <w:r w:rsidR="008544A4" w:rsidRPr="00F2704A">
        <w:rPr>
          <w:lang w:val="en-AU"/>
        </w:rPr>
        <w:t xml:space="preserve"> </w:t>
      </w:r>
      <w:r w:rsidR="00E664F1" w:rsidRPr="00F2704A">
        <w:rPr>
          <w:lang w:val="en-AU"/>
        </w:rPr>
        <w:t>Good communication and empathy are important. Take patients concerns seriously and acknowledge and alleviate their symptoms.</w:t>
      </w:r>
      <w:r w:rsidR="00742D2F">
        <w:rPr>
          <w:lang w:val="en-AU"/>
        </w:rPr>
        <w:t xml:space="preserve"> </w:t>
      </w:r>
      <w:r w:rsidR="00E75C7A">
        <w:rPr>
          <w:lang w:val="en-AU"/>
        </w:rPr>
        <w:t xml:space="preserve">Provide support to manage distressing symptoms and </w:t>
      </w:r>
      <w:r w:rsidR="00795B24">
        <w:rPr>
          <w:lang w:val="en-AU"/>
        </w:rPr>
        <w:t>any</w:t>
      </w:r>
      <w:r w:rsidR="00E75C7A">
        <w:rPr>
          <w:lang w:val="en-AU"/>
        </w:rPr>
        <w:t xml:space="preserve"> disability that comes with them. </w:t>
      </w:r>
    </w:p>
    <w:p w14:paraId="5B4F90DC" w14:textId="77777777" w:rsidR="00E664F1" w:rsidRPr="00F2704A" w:rsidRDefault="00E664F1" w:rsidP="00624287">
      <w:pPr>
        <w:pStyle w:val="Body"/>
        <w:rPr>
          <w:lang w:val="en-AU"/>
        </w:rPr>
      </w:pPr>
      <w:r w:rsidRPr="00F2704A">
        <w:rPr>
          <w:lang w:val="en-AU"/>
        </w:rPr>
        <w:t xml:space="preserve">The management plan for patients who have persistent symptoms or remain undiagnosed should be led by the patient’s </w:t>
      </w:r>
      <w:r w:rsidR="00370AFD">
        <w:rPr>
          <w:lang w:val="en-AU"/>
        </w:rPr>
        <w:t>general practitioner (</w:t>
      </w:r>
      <w:r w:rsidRPr="00F2704A">
        <w:rPr>
          <w:lang w:val="en-AU"/>
        </w:rPr>
        <w:t>GP</w:t>
      </w:r>
      <w:r w:rsidR="00370AFD">
        <w:rPr>
          <w:lang w:val="en-AU"/>
        </w:rPr>
        <w:t>)</w:t>
      </w:r>
      <w:r w:rsidRPr="00F2704A">
        <w:rPr>
          <w:lang w:val="en-AU"/>
        </w:rPr>
        <w:t>, in consultation with the patient so the patient can achieve their goals.</w:t>
      </w:r>
    </w:p>
    <w:p w14:paraId="16751EC4" w14:textId="77777777" w:rsidR="00780586" w:rsidRPr="00F2704A" w:rsidRDefault="00780586" w:rsidP="00780586">
      <w:pPr>
        <w:pStyle w:val="Body"/>
        <w:rPr>
          <w:lang w:val="en-AU"/>
        </w:rPr>
      </w:pPr>
      <w:r w:rsidRPr="00F2704A">
        <w:rPr>
          <w:lang w:val="en-AU"/>
        </w:rPr>
        <w:t xml:space="preserve">However, management of ongoing symptoms should involve a multidisciplinary approach, incorporating the teamwork of all colleges of physicians relevant to the individual patient’s care. Diagnosis is challenging, and it is important for GPs to seek opinions of experts in vector-borne diseases including specialist </w:t>
      </w:r>
      <w:r w:rsidR="00F13BD0" w:rsidRPr="00F2704A">
        <w:rPr>
          <w:lang w:val="en-AU"/>
        </w:rPr>
        <w:t>microbiologist</w:t>
      </w:r>
      <w:r w:rsidRPr="00F2704A">
        <w:rPr>
          <w:lang w:val="en-AU"/>
        </w:rPr>
        <w:t>s with diagnostic experience</w:t>
      </w:r>
      <w:r w:rsidR="00F13BD0" w:rsidRPr="00F2704A">
        <w:rPr>
          <w:lang w:val="en-AU"/>
        </w:rPr>
        <w:t xml:space="preserve"> and </w:t>
      </w:r>
      <w:r w:rsidR="008C5658">
        <w:rPr>
          <w:lang w:val="en-AU"/>
        </w:rPr>
        <w:t>infectious disease (</w:t>
      </w:r>
      <w:r w:rsidR="00F13BD0" w:rsidRPr="00F2704A">
        <w:rPr>
          <w:lang w:val="en-AU"/>
        </w:rPr>
        <w:t>ID</w:t>
      </w:r>
      <w:r w:rsidR="008C5658">
        <w:rPr>
          <w:lang w:val="en-AU"/>
        </w:rPr>
        <w:t>)</w:t>
      </w:r>
      <w:r w:rsidR="00F13BD0" w:rsidRPr="00F2704A">
        <w:rPr>
          <w:lang w:val="en-AU"/>
        </w:rPr>
        <w:t xml:space="preserve"> physicians</w:t>
      </w:r>
      <w:r w:rsidRPr="00F2704A">
        <w:rPr>
          <w:lang w:val="en-AU"/>
        </w:rPr>
        <w:t xml:space="preserve">. The management of patients must be a collaborative approach between GPs and specialists. Telehealth can also be used where appropriate. </w:t>
      </w:r>
    </w:p>
    <w:p w14:paraId="262A0CB0" w14:textId="77777777" w:rsidR="00780586" w:rsidRPr="00F2704A" w:rsidRDefault="00780586" w:rsidP="00780586">
      <w:pPr>
        <w:pStyle w:val="Body"/>
        <w:rPr>
          <w:lang w:val="en-AU"/>
        </w:rPr>
      </w:pPr>
      <w:r w:rsidRPr="00F2704A">
        <w:rPr>
          <w:lang w:val="en-AU"/>
        </w:rPr>
        <w:t xml:space="preserve">Consider referring patients who have </w:t>
      </w:r>
      <w:r w:rsidR="00EA36BA">
        <w:rPr>
          <w:lang w:val="en-AU"/>
        </w:rPr>
        <w:t>MUS</w:t>
      </w:r>
      <w:r w:rsidR="00B35D3E">
        <w:rPr>
          <w:lang w:val="en-AU"/>
        </w:rPr>
        <w:t xml:space="preserve"> </w:t>
      </w:r>
      <w:r w:rsidRPr="00F2704A">
        <w:rPr>
          <w:lang w:val="en-AU"/>
        </w:rPr>
        <w:t xml:space="preserve">to appropriate specialists based on best clinical practice and relevant evidence. </w:t>
      </w:r>
    </w:p>
    <w:p w14:paraId="36357A5B" w14:textId="77777777" w:rsidR="00780586" w:rsidRPr="00F2704A" w:rsidRDefault="00780586" w:rsidP="00451844">
      <w:pPr>
        <w:pStyle w:val="BodyText"/>
        <w:rPr>
          <w:lang w:val="en-AU"/>
        </w:rPr>
      </w:pPr>
    </w:p>
    <w:p w14:paraId="3CA3B44C" w14:textId="77777777" w:rsidR="00EB7646" w:rsidRPr="00F2704A" w:rsidRDefault="009A0EFB" w:rsidP="00E754BD">
      <w:pPr>
        <w:pStyle w:val="NumberedHeading1"/>
        <w:spacing w:before="0"/>
        <w:rPr>
          <w:lang w:val="en-AU"/>
        </w:rPr>
      </w:pPr>
      <w:bookmarkStart w:id="10" w:name="_Toc55464766"/>
      <w:r w:rsidRPr="00F2704A">
        <w:rPr>
          <w:lang w:val="en-AU"/>
        </w:rPr>
        <w:lastRenderedPageBreak/>
        <w:t>Initial a</w:t>
      </w:r>
      <w:r w:rsidR="00EB7646" w:rsidRPr="00F2704A">
        <w:rPr>
          <w:lang w:val="en-AU"/>
        </w:rPr>
        <w:t xml:space="preserve">ssessment </w:t>
      </w:r>
      <w:r w:rsidRPr="00F2704A">
        <w:rPr>
          <w:lang w:val="en-AU"/>
        </w:rPr>
        <w:t>and support</w:t>
      </w:r>
      <w:bookmarkStart w:id="11" w:name="Section_2"/>
      <w:bookmarkEnd w:id="10"/>
      <w:bookmarkEnd w:id="11"/>
    </w:p>
    <w:p w14:paraId="6F48AD22" w14:textId="77777777" w:rsidR="000B28FC" w:rsidRDefault="00C76F6E" w:rsidP="000B28FC">
      <w:pPr>
        <w:pStyle w:val="BodyText"/>
        <w:rPr>
          <w:lang w:val="en-AU"/>
        </w:rPr>
      </w:pPr>
      <w:r w:rsidRPr="00F2704A">
        <w:rPr>
          <w:lang w:val="en-AU"/>
        </w:rPr>
        <w:t xml:space="preserve">The initial assessment </w:t>
      </w:r>
      <w:r w:rsidR="00BB1BA6" w:rsidRPr="00F2704A">
        <w:rPr>
          <w:lang w:val="en-AU"/>
        </w:rPr>
        <w:t xml:space="preserve">and support for </w:t>
      </w:r>
      <w:r w:rsidR="00282A3B" w:rsidRPr="00F2704A">
        <w:rPr>
          <w:lang w:val="en-AU"/>
        </w:rPr>
        <w:t xml:space="preserve">a patient </w:t>
      </w:r>
      <w:r w:rsidR="006A187D" w:rsidRPr="00F2704A">
        <w:rPr>
          <w:lang w:val="en-AU"/>
        </w:rPr>
        <w:t xml:space="preserve">who presents </w:t>
      </w:r>
      <w:r w:rsidR="0044286B" w:rsidRPr="00F2704A">
        <w:rPr>
          <w:lang w:val="en-AU"/>
        </w:rPr>
        <w:t xml:space="preserve">at primary care </w:t>
      </w:r>
      <w:r w:rsidR="009803A5" w:rsidRPr="00F2704A">
        <w:rPr>
          <w:lang w:val="en-AU"/>
        </w:rPr>
        <w:t>with new onset</w:t>
      </w:r>
      <w:r w:rsidR="00576D80" w:rsidRPr="00F2704A">
        <w:rPr>
          <w:lang w:val="en-AU"/>
        </w:rPr>
        <w:t xml:space="preserve"> of fever or rash</w:t>
      </w:r>
      <w:r w:rsidR="009803A5" w:rsidRPr="00F2704A">
        <w:rPr>
          <w:lang w:val="en-AU"/>
        </w:rPr>
        <w:t xml:space="preserve"> or </w:t>
      </w:r>
      <w:r w:rsidR="00D162D2" w:rsidRPr="00F2704A">
        <w:rPr>
          <w:lang w:val="en-AU"/>
        </w:rPr>
        <w:t xml:space="preserve">persistent </w:t>
      </w:r>
      <w:r w:rsidR="009803A5" w:rsidRPr="00F2704A">
        <w:rPr>
          <w:lang w:val="en-AU"/>
        </w:rPr>
        <w:t xml:space="preserve">debilitating symptoms </w:t>
      </w:r>
      <w:r w:rsidR="00A32A85" w:rsidRPr="00F2704A">
        <w:rPr>
          <w:lang w:val="en-AU"/>
        </w:rPr>
        <w:t>(</w:t>
      </w:r>
      <w:r w:rsidR="00662DA7" w:rsidRPr="00F2704A">
        <w:rPr>
          <w:lang w:val="en-AU"/>
        </w:rPr>
        <w:t>with or without a history of tick bites</w:t>
      </w:r>
      <w:r w:rsidR="00A32A85" w:rsidRPr="00F2704A">
        <w:rPr>
          <w:lang w:val="en-AU"/>
        </w:rPr>
        <w:t>)</w:t>
      </w:r>
      <w:r w:rsidR="00662DA7" w:rsidRPr="00F2704A">
        <w:rPr>
          <w:lang w:val="en-AU"/>
        </w:rPr>
        <w:t xml:space="preserve"> </w:t>
      </w:r>
      <w:r w:rsidR="009F728F" w:rsidRPr="00F2704A">
        <w:rPr>
          <w:lang w:val="en-AU"/>
        </w:rPr>
        <w:t xml:space="preserve">should </w:t>
      </w:r>
      <w:r w:rsidR="00114E2E" w:rsidRPr="00F2704A">
        <w:rPr>
          <w:lang w:val="en-AU"/>
        </w:rPr>
        <w:t xml:space="preserve">follow </w:t>
      </w:r>
      <w:r w:rsidR="00D836DF" w:rsidRPr="00F2704A">
        <w:rPr>
          <w:lang w:val="en-AU"/>
        </w:rPr>
        <w:t xml:space="preserve">usual </w:t>
      </w:r>
      <w:r w:rsidR="00010B2A" w:rsidRPr="00F2704A">
        <w:rPr>
          <w:lang w:val="en-AU"/>
        </w:rPr>
        <w:t>clinical practice</w:t>
      </w:r>
      <w:r w:rsidR="00D836DF" w:rsidRPr="00F2704A">
        <w:rPr>
          <w:lang w:val="en-AU"/>
        </w:rPr>
        <w:t>.</w:t>
      </w:r>
      <w:r w:rsidR="00FF2669" w:rsidRPr="00F2704A">
        <w:rPr>
          <w:lang w:val="en-AU"/>
        </w:rPr>
        <w:t xml:space="preserve"> </w:t>
      </w:r>
      <w:r w:rsidR="00A411C8" w:rsidRPr="00F2704A">
        <w:rPr>
          <w:lang w:val="en-AU"/>
        </w:rPr>
        <w:t xml:space="preserve">The Clinical Pathway </w:t>
      </w:r>
      <w:r w:rsidR="00B905D1" w:rsidRPr="00F2704A">
        <w:rPr>
          <w:lang w:val="en-AU"/>
        </w:rPr>
        <w:t xml:space="preserve">is </w:t>
      </w:r>
      <w:r w:rsidR="006F598E" w:rsidRPr="00F2704A">
        <w:rPr>
          <w:lang w:val="en-AU"/>
        </w:rPr>
        <w:t>to assist GPs</w:t>
      </w:r>
      <w:r w:rsidR="00F26769" w:rsidRPr="00F2704A">
        <w:rPr>
          <w:lang w:val="en-AU"/>
        </w:rPr>
        <w:t xml:space="preserve"> with the diagnosis and management of</w:t>
      </w:r>
      <w:r w:rsidR="00B905D1" w:rsidRPr="00F2704A">
        <w:rPr>
          <w:lang w:val="en-AU"/>
        </w:rPr>
        <w:t xml:space="preserve"> </w:t>
      </w:r>
      <w:r w:rsidR="003A642D" w:rsidRPr="00F2704A">
        <w:rPr>
          <w:lang w:val="en-AU"/>
        </w:rPr>
        <w:t xml:space="preserve">patients who are assessed to be </w:t>
      </w:r>
      <w:r w:rsidR="00B905D1" w:rsidRPr="00F2704A">
        <w:rPr>
          <w:lang w:val="en-AU"/>
        </w:rPr>
        <w:t xml:space="preserve">clinically stable. </w:t>
      </w:r>
    </w:p>
    <w:p w14:paraId="5226F646" w14:textId="77777777" w:rsidR="006506D8" w:rsidRPr="00F2704A" w:rsidRDefault="00CE1093" w:rsidP="00F6135B">
      <w:pPr>
        <w:pStyle w:val="NumberedHeading2"/>
        <w:rPr>
          <w:lang w:val="en-AU"/>
        </w:rPr>
      </w:pPr>
      <w:bookmarkStart w:id="12" w:name="_Toc55464767"/>
      <w:r w:rsidRPr="00F2704A">
        <w:rPr>
          <w:lang w:val="en-AU"/>
        </w:rPr>
        <w:t>Follow usual clinical assessment practice including a travel history</w:t>
      </w:r>
      <w:bookmarkEnd w:id="12"/>
      <w:r w:rsidRPr="00F2704A">
        <w:rPr>
          <w:lang w:val="en-AU"/>
        </w:rPr>
        <w:t xml:space="preserve"> </w:t>
      </w:r>
    </w:p>
    <w:p w14:paraId="3BC2BE43" w14:textId="77777777" w:rsidR="003D7353" w:rsidRPr="00F2704A" w:rsidRDefault="00DD4AD6" w:rsidP="00EE18BE">
      <w:pPr>
        <w:pStyle w:val="BodyText"/>
        <w:spacing w:after="80"/>
        <w:rPr>
          <w:lang w:val="en-AU"/>
        </w:rPr>
      </w:pPr>
      <w:r w:rsidRPr="00F2704A">
        <w:rPr>
          <w:lang w:val="en-AU"/>
        </w:rPr>
        <w:t xml:space="preserve">Initial assessment and support </w:t>
      </w:r>
      <w:r w:rsidR="003D7353" w:rsidRPr="00F2704A">
        <w:rPr>
          <w:lang w:val="en-AU"/>
        </w:rPr>
        <w:t>should include</w:t>
      </w:r>
      <w:r w:rsidR="00EA36BA">
        <w:rPr>
          <w:lang w:val="en-AU"/>
        </w:rPr>
        <w:t xml:space="preserve"> the following</w:t>
      </w:r>
      <w:r w:rsidR="003D7353" w:rsidRPr="00F2704A">
        <w:rPr>
          <w:lang w:val="en-AU"/>
        </w:rPr>
        <w:t xml:space="preserve">: </w:t>
      </w:r>
    </w:p>
    <w:p w14:paraId="3909DA38" w14:textId="77777777" w:rsidR="00EF613E" w:rsidRPr="00252615" w:rsidRDefault="003D7353" w:rsidP="00193293">
      <w:pPr>
        <w:pStyle w:val="List-BulletLvl1"/>
        <w:spacing w:after="60"/>
        <w:rPr>
          <w:lang w:val="en-AU"/>
        </w:rPr>
      </w:pPr>
      <w:r w:rsidRPr="00252615">
        <w:rPr>
          <w:lang w:val="en-AU"/>
        </w:rPr>
        <w:t>i</w:t>
      </w:r>
      <w:r w:rsidR="00EF613E" w:rsidRPr="00252615">
        <w:rPr>
          <w:lang w:val="en-AU"/>
        </w:rPr>
        <w:t>n the clinical examination</w:t>
      </w:r>
      <w:r w:rsidR="000D3A93" w:rsidRPr="00252615">
        <w:rPr>
          <w:lang w:val="en-AU"/>
        </w:rPr>
        <w:t xml:space="preserve"> of an acute case</w:t>
      </w:r>
      <w:r w:rsidR="00EF613E" w:rsidRPr="00252615">
        <w:rPr>
          <w:lang w:val="en-AU"/>
        </w:rPr>
        <w:t>, specifically check fo</w:t>
      </w:r>
      <w:r w:rsidR="00E975C1" w:rsidRPr="00252615">
        <w:rPr>
          <w:lang w:val="en-AU"/>
        </w:rPr>
        <w:t>r the presence of tick bite or other rashes</w:t>
      </w:r>
    </w:p>
    <w:p w14:paraId="4A0573EE" w14:textId="77777777" w:rsidR="00E975C1" w:rsidRPr="00252615" w:rsidRDefault="00E74A88" w:rsidP="00193293">
      <w:pPr>
        <w:pStyle w:val="List-BulletLvl1"/>
        <w:spacing w:after="60"/>
        <w:rPr>
          <w:lang w:val="en-AU"/>
        </w:rPr>
      </w:pPr>
      <w:r w:rsidRPr="00252615">
        <w:rPr>
          <w:lang w:val="en-AU"/>
        </w:rPr>
        <w:t>f</w:t>
      </w:r>
      <w:r w:rsidR="00335BCC" w:rsidRPr="00252615">
        <w:rPr>
          <w:lang w:val="en-AU"/>
        </w:rPr>
        <w:t xml:space="preserve">rom the history and examination, </w:t>
      </w:r>
      <w:r w:rsidR="00AB1B5B" w:rsidRPr="00252615">
        <w:rPr>
          <w:lang w:val="en-AU"/>
        </w:rPr>
        <w:t>e</w:t>
      </w:r>
      <w:r w:rsidR="002D3DE7" w:rsidRPr="00252615">
        <w:rPr>
          <w:lang w:val="en-AU"/>
        </w:rPr>
        <w:t xml:space="preserve">xclude obvious acute </w:t>
      </w:r>
      <w:r w:rsidRPr="00252615">
        <w:rPr>
          <w:lang w:val="en-AU"/>
        </w:rPr>
        <w:t xml:space="preserve">illnesses </w:t>
      </w:r>
      <w:r w:rsidR="002D3DE7" w:rsidRPr="00252615">
        <w:rPr>
          <w:lang w:val="en-AU"/>
        </w:rPr>
        <w:t>or chronic diagnosable conditions</w:t>
      </w:r>
    </w:p>
    <w:p w14:paraId="4E3D4647" w14:textId="77777777" w:rsidR="002D3DE7" w:rsidRPr="00252615" w:rsidRDefault="00AB1B5B" w:rsidP="00193293">
      <w:pPr>
        <w:pStyle w:val="List-BulletLvl1"/>
        <w:spacing w:after="60"/>
        <w:rPr>
          <w:lang w:val="en-AU"/>
        </w:rPr>
      </w:pPr>
      <w:r w:rsidRPr="00252615">
        <w:rPr>
          <w:lang w:val="en-AU"/>
        </w:rPr>
        <w:t>t</w:t>
      </w:r>
      <w:r w:rsidR="002D3DE7" w:rsidRPr="00252615">
        <w:rPr>
          <w:lang w:val="en-AU"/>
        </w:rPr>
        <w:t>reat obvious diagnosable conditions</w:t>
      </w:r>
    </w:p>
    <w:p w14:paraId="1FBE0350" w14:textId="77777777" w:rsidR="002D3DE7" w:rsidRPr="00252615" w:rsidRDefault="00AB1B5B" w:rsidP="00193293">
      <w:pPr>
        <w:pStyle w:val="List-BulletLvl1"/>
        <w:spacing w:after="60"/>
        <w:rPr>
          <w:lang w:val="en-AU"/>
        </w:rPr>
      </w:pPr>
      <w:r w:rsidRPr="00252615">
        <w:rPr>
          <w:lang w:val="en-AU"/>
        </w:rPr>
        <w:t>p</w:t>
      </w:r>
      <w:r w:rsidR="002D3DE7" w:rsidRPr="00252615">
        <w:rPr>
          <w:lang w:val="en-AU"/>
        </w:rPr>
        <w:t>rovide clinical advice to assist patient with symptom management while investigating any differential diagnoses</w:t>
      </w:r>
      <w:r w:rsidR="0023424D" w:rsidRPr="00252615">
        <w:rPr>
          <w:lang w:val="en-AU"/>
        </w:rPr>
        <w:t>,</w:t>
      </w:r>
      <w:r w:rsidR="002D3DE7" w:rsidRPr="00252615">
        <w:rPr>
          <w:lang w:val="en-AU"/>
        </w:rPr>
        <w:t xml:space="preserve"> and</w:t>
      </w:r>
    </w:p>
    <w:p w14:paraId="5791CEA8" w14:textId="77777777" w:rsidR="002D3DE7" w:rsidRPr="00252615" w:rsidRDefault="00AB1B5B" w:rsidP="00CB6D82">
      <w:pPr>
        <w:pStyle w:val="List-BulletLvl1"/>
        <w:rPr>
          <w:lang w:val="en-AU"/>
        </w:rPr>
      </w:pPr>
      <w:r w:rsidRPr="00252615">
        <w:rPr>
          <w:lang w:val="en-AU"/>
        </w:rPr>
        <w:t>a</w:t>
      </w:r>
      <w:r w:rsidR="002D3DE7" w:rsidRPr="00252615">
        <w:rPr>
          <w:lang w:val="en-AU"/>
        </w:rPr>
        <w:t>rrange referral and follo</w:t>
      </w:r>
      <w:r w:rsidRPr="00252615">
        <w:rPr>
          <w:lang w:val="en-AU"/>
        </w:rPr>
        <w:t>w</w:t>
      </w:r>
      <w:r w:rsidR="002D3DE7" w:rsidRPr="00252615">
        <w:rPr>
          <w:lang w:val="en-AU"/>
        </w:rPr>
        <w:t>-up and/or other care as required</w:t>
      </w:r>
      <w:r w:rsidR="006E097D" w:rsidRPr="00252615">
        <w:rPr>
          <w:lang w:val="en-AU"/>
        </w:rPr>
        <w:t>.</w:t>
      </w:r>
    </w:p>
    <w:p w14:paraId="0FB1DE86" w14:textId="77777777" w:rsidR="00302E38" w:rsidRPr="00661245" w:rsidRDefault="003A6C43" w:rsidP="00302E38">
      <w:pPr>
        <w:pStyle w:val="BodyText"/>
        <w:rPr>
          <w:lang w:val="en-AU"/>
        </w:rPr>
      </w:pPr>
      <w:r w:rsidRPr="00F2704A">
        <w:rPr>
          <w:lang w:val="en-AU"/>
        </w:rPr>
        <w:t>T</w:t>
      </w:r>
      <w:r w:rsidR="00CF7647" w:rsidRPr="00661245">
        <w:rPr>
          <w:lang w:val="en-AU"/>
        </w:rPr>
        <w:t xml:space="preserve">he inclusion of a travel history as part of the clinical history is important, </w:t>
      </w:r>
      <w:r w:rsidR="00761363" w:rsidRPr="00661245">
        <w:rPr>
          <w:lang w:val="en-AU"/>
        </w:rPr>
        <w:t xml:space="preserve">as </w:t>
      </w:r>
      <w:r w:rsidR="00C17E9C" w:rsidRPr="00661245">
        <w:rPr>
          <w:lang w:val="en-AU"/>
        </w:rPr>
        <w:t>despite multiple studies which have thoroughly searched for it in</w:t>
      </w:r>
      <w:r w:rsidR="00F423EB" w:rsidRPr="00CF74AD">
        <w:rPr>
          <w:lang w:val="en-AU"/>
        </w:rPr>
        <w:t xml:space="preserve"> </w:t>
      </w:r>
      <w:r w:rsidR="00C17E9C" w:rsidRPr="00CF74AD">
        <w:rPr>
          <w:lang w:val="en-AU"/>
        </w:rPr>
        <w:t xml:space="preserve">Australian ticks and patients, </w:t>
      </w:r>
      <w:r w:rsidR="00761363" w:rsidRPr="00CF74AD">
        <w:rPr>
          <w:lang w:val="en-AU"/>
        </w:rPr>
        <w:t>the organism</w:t>
      </w:r>
      <w:r w:rsidR="00CC5B3A">
        <w:rPr>
          <w:lang w:val="en-AU"/>
        </w:rPr>
        <w:t>s</w:t>
      </w:r>
      <w:r w:rsidR="00761363" w:rsidRPr="00CF74AD">
        <w:rPr>
          <w:lang w:val="en-AU"/>
        </w:rPr>
        <w:t xml:space="preserve"> that cause Lyme disease ha</w:t>
      </w:r>
      <w:r w:rsidR="00ED48C4">
        <w:rPr>
          <w:lang w:val="en-AU"/>
        </w:rPr>
        <w:t>ve</w:t>
      </w:r>
      <w:r w:rsidR="00761363" w:rsidRPr="00CF74AD">
        <w:rPr>
          <w:lang w:val="en-AU"/>
        </w:rPr>
        <w:t xml:space="preserve"> not</w:t>
      </w:r>
      <w:r w:rsidR="00C17E9C" w:rsidRPr="00CF74AD">
        <w:rPr>
          <w:lang w:val="en-AU"/>
        </w:rPr>
        <w:t>, to date,</w:t>
      </w:r>
      <w:r w:rsidR="00F423EB" w:rsidRPr="00D621FF">
        <w:rPr>
          <w:lang w:val="en-AU"/>
        </w:rPr>
        <w:t xml:space="preserve"> </w:t>
      </w:r>
      <w:r w:rsidR="00761363" w:rsidRPr="00D621FF">
        <w:rPr>
          <w:lang w:val="en-AU"/>
        </w:rPr>
        <w:t xml:space="preserve">been </w:t>
      </w:r>
      <w:r w:rsidR="0024270C" w:rsidRPr="00FA6D54">
        <w:rPr>
          <w:lang w:val="en-AU"/>
        </w:rPr>
        <w:t>i</w:t>
      </w:r>
      <w:r w:rsidR="00761363" w:rsidRPr="00F2704A">
        <w:rPr>
          <w:lang w:val="en-AU"/>
        </w:rPr>
        <w:t xml:space="preserve">dentified in </w:t>
      </w:r>
      <w:r w:rsidR="0024270C" w:rsidRPr="00F2704A">
        <w:rPr>
          <w:lang w:val="en-AU"/>
        </w:rPr>
        <w:t>A</w:t>
      </w:r>
      <w:r w:rsidR="00761363" w:rsidRPr="00F2704A">
        <w:rPr>
          <w:lang w:val="en-AU"/>
        </w:rPr>
        <w:t xml:space="preserve">ustralia, but </w:t>
      </w:r>
      <w:r w:rsidR="00E90265">
        <w:rPr>
          <w:lang w:val="en-AU"/>
        </w:rPr>
        <w:t>are</w:t>
      </w:r>
      <w:r w:rsidR="00761363" w:rsidRPr="00F2704A">
        <w:rPr>
          <w:lang w:val="en-AU"/>
        </w:rPr>
        <w:t xml:space="preserve"> endemic in </w:t>
      </w:r>
      <w:r w:rsidR="006A4975" w:rsidRPr="00F2704A">
        <w:rPr>
          <w:lang w:val="en-AU"/>
        </w:rPr>
        <w:t>parts</w:t>
      </w:r>
      <w:r w:rsidR="004D4989" w:rsidRPr="00F2704A">
        <w:rPr>
          <w:lang w:val="en-AU"/>
        </w:rPr>
        <w:t xml:space="preserve"> of the USA, Europe and Asia. </w:t>
      </w:r>
      <w:r w:rsidR="001A0632" w:rsidRPr="00F2704A">
        <w:rPr>
          <w:lang w:val="en-AU"/>
        </w:rPr>
        <w:t>Not all persons with Lyme disease recall having had a tick bite or notice a tick bite, thus a history of travel or exposure in a known endemic area for Lyme disease should be sought from possible cases</w:t>
      </w:r>
      <w:r w:rsidR="004041BC">
        <w:rPr>
          <w:lang w:val="en-AU"/>
        </w:rPr>
        <w:t>.</w:t>
      </w:r>
      <w:r w:rsidR="001A0632" w:rsidRPr="00A94846">
        <w:rPr>
          <w:rStyle w:val="FootnoteReference"/>
        </w:rPr>
        <w:footnoteReference w:id="5"/>
      </w:r>
      <w:r w:rsidR="001A0632" w:rsidRPr="00F2704A">
        <w:rPr>
          <w:lang w:val="en-AU"/>
        </w:rPr>
        <w:t xml:space="preserve"> </w:t>
      </w:r>
      <w:r w:rsidR="00D7671D">
        <w:rPr>
          <w:lang w:val="en-AU"/>
        </w:rPr>
        <w:t xml:space="preserve">Lack of a tick bite </w:t>
      </w:r>
      <w:r w:rsidR="002066A7">
        <w:rPr>
          <w:lang w:val="en-AU"/>
        </w:rPr>
        <w:t xml:space="preserve">history was found to </w:t>
      </w:r>
      <w:r w:rsidR="007F7CE2">
        <w:rPr>
          <w:lang w:val="en-AU"/>
        </w:rPr>
        <w:t xml:space="preserve">not </w:t>
      </w:r>
      <w:r w:rsidR="002066A7">
        <w:rPr>
          <w:lang w:val="en-AU"/>
        </w:rPr>
        <w:t>reliably exclude Lyme disease i</w:t>
      </w:r>
      <w:r w:rsidR="00D35D80">
        <w:rPr>
          <w:lang w:val="en-AU"/>
        </w:rPr>
        <w:t>n a very</w:t>
      </w:r>
      <w:r w:rsidR="00D5349B">
        <w:rPr>
          <w:lang w:val="en-AU"/>
        </w:rPr>
        <w:t xml:space="preserve"> recent prospective study </w:t>
      </w:r>
      <w:r w:rsidR="00F659EB">
        <w:rPr>
          <w:lang w:val="en-AU"/>
        </w:rPr>
        <w:t xml:space="preserve">involving children </w:t>
      </w:r>
      <w:r w:rsidR="00D5349B">
        <w:rPr>
          <w:lang w:val="en-AU"/>
        </w:rPr>
        <w:t xml:space="preserve">in the United States </w:t>
      </w:r>
      <w:r w:rsidR="00E0691F">
        <w:rPr>
          <w:lang w:val="en-AU"/>
        </w:rPr>
        <w:t>(a Lyme disease endemic area)</w:t>
      </w:r>
      <w:r w:rsidR="00246BAA">
        <w:rPr>
          <w:lang w:val="en-AU"/>
        </w:rPr>
        <w:t xml:space="preserve">; </w:t>
      </w:r>
      <w:r w:rsidR="00596654">
        <w:rPr>
          <w:lang w:val="en-AU"/>
        </w:rPr>
        <w:t xml:space="preserve">only a minority (18.5 per cent) of </w:t>
      </w:r>
      <w:r w:rsidR="00246BAA">
        <w:rPr>
          <w:lang w:val="en-AU"/>
        </w:rPr>
        <w:t xml:space="preserve">children </w:t>
      </w:r>
      <w:r w:rsidR="00596654">
        <w:rPr>
          <w:lang w:val="en-AU"/>
        </w:rPr>
        <w:t xml:space="preserve">diagnosed with Lyme disease </w:t>
      </w:r>
      <w:r w:rsidR="00846803">
        <w:rPr>
          <w:lang w:val="en-AU"/>
        </w:rPr>
        <w:t xml:space="preserve">had </w:t>
      </w:r>
      <w:r w:rsidR="00882669">
        <w:rPr>
          <w:lang w:val="en-AU"/>
        </w:rPr>
        <w:t>a recognised tick bite</w:t>
      </w:r>
      <w:r w:rsidR="0035009C">
        <w:rPr>
          <w:lang w:val="en-AU"/>
        </w:rPr>
        <w:t xml:space="preserve"> </w:t>
      </w:r>
      <w:r w:rsidR="00AC0F80">
        <w:rPr>
          <w:lang w:val="en-AU"/>
        </w:rPr>
        <w:t>as</w:t>
      </w:r>
      <w:r w:rsidR="00846803">
        <w:rPr>
          <w:lang w:val="en-AU"/>
        </w:rPr>
        <w:t xml:space="preserve"> recalled </w:t>
      </w:r>
      <w:r w:rsidR="00AC0F80">
        <w:rPr>
          <w:lang w:val="en-AU"/>
        </w:rPr>
        <w:t xml:space="preserve">by the child or their parents </w:t>
      </w:r>
      <w:r w:rsidR="00B82E05">
        <w:rPr>
          <w:lang w:val="en-AU"/>
        </w:rPr>
        <w:t xml:space="preserve">within the year prior to </w:t>
      </w:r>
      <w:r w:rsidR="00AC0F80">
        <w:rPr>
          <w:lang w:val="en-AU"/>
        </w:rPr>
        <w:t xml:space="preserve">the child’s </w:t>
      </w:r>
      <w:r w:rsidR="00B82E05">
        <w:rPr>
          <w:lang w:val="en-AU"/>
        </w:rPr>
        <w:t xml:space="preserve">emergency department </w:t>
      </w:r>
      <w:r w:rsidR="0035009C">
        <w:rPr>
          <w:lang w:val="en-AU"/>
        </w:rPr>
        <w:t>evaluation for Lyme diseas</w:t>
      </w:r>
      <w:r w:rsidR="004041BC">
        <w:rPr>
          <w:lang w:val="en-AU"/>
        </w:rPr>
        <w:t>e.</w:t>
      </w:r>
      <w:r w:rsidR="00E4677F" w:rsidRPr="00A94846">
        <w:rPr>
          <w:rStyle w:val="FootnoteReference"/>
        </w:rPr>
        <w:footnoteReference w:id="6"/>
      </w:r>
      <w:r w:rsidR="00882669">
        <w:rPr>
          <w:lang w:val="en-AU"/>
        </w:rPr>
        <w:t xml:space="preserve"> </w:t>
      </w:r>
      <w:r w:rsidR="001A0632" w:rsidRPr="00F2704A">
        <w:rPr>
          <w:lang w:val="en-AU"/>
        </w:rPr>
        <w:t>If a person presents with symptoms that suggest the possibility of Lym</w:t>
      </w:r>
      <w:r w:rsidR="001A0632" w:rsidRPr="00CF74AD">
        <w:rPr>
          <w:lang w:val="en-AU"/>
        </w:rPr>
        <w:t>e disease, explore how long the person has had the symptoms and their history of possible tick exposure, and ask about activities that might have exposed them to ticks, and travel to areas where Lyme disease is known to be highly prevalent</w:t>
      </w:r>
      <w:r w:rsidR="007168A8">
        <w:rPr>
          <w:lang w:val="en-AU"/>
        </w:rPr>
        <w:t>.</w:t>
      </w:r>
      <w:r w:rsidR="001A0632" w:rsidRPr="00A94846">
        <w:rPr>
          <w:rStyle w:val="FootnoteReference"/>
        </w:rPr>
        <w:footnoteReference w:id="7"/>
      </w:r>
      <w:r w:rsidR="002B5C58" w:rsidRPr="00F2704A">
        <w:rPr>
          <w:lang w:val="en-AU"/>
        </w:rPr>
        <w:t xml:space="preserve"> </w:t>
      </w:r>
    </w:p>
    <w:p w14:paraId="35B265D7" w14:textId="77777777" w:rsidR="00681741" w:rsidRPr="00F2704A" w:rsidRDefault="007245A6" w:rsidP="00302E38">
      <w:pPr>
        <w:pStyle w:val="BodyText"/>
        <w:rPr>
          <w:lang w:val="en-AU"/>
        </w:rPr>
      </w:pPr>
      <w:r w:rsidRPr="00CF74AD">
        <w:rPr>
          <w:lang w:val="en-AU"/>
        </w:rPr>
        <w:t>In p</w:t>
      </w:r>
      <w:r w:rsidR="00911F8C" w:rsidRPr="00CF74AD">
        <w:rPr>
          <w:lang w:val="en-AU"/>
        </w:rPr>
        <w:t>atients who have not travelled internationally and present with symptoms suspicious for an Australian tick-borne disease, knowledge of where the patient has travelled in Australia will assist with differential diagnosis</w:t>
      </w:r>
      <w:r w:rsidR="000D3A93" w:rsidRPr="00CF74AD">
        <w:rPr>
          <w:lang w:val="en-AU"/>
        </w:rPr>
        <w:t>.</w:t>
      </w:r>
      <w:r w:rsidR="00460B01" w:rsidRPr="00CF74AD">
        <w:rPr>
          <w:lang w:val="en-AU"/>
        </w:rPr>
        <w:t xml:space="preserve"> </w:t>
      </w:r>
      <w:r w:rsidR="0029147D" w:rsidRPr="00CF74AD">
        <w:rPr>
          <w:lang w:val="en-AU"/>
        </w:rPr>
        <w:t>Mosquito-borne diseases may present in the acute phase very similarly and a person who is at risk of tick bites</w:t>
      </w:r>
      <w:r w:rsidRPr="00CF74AD">
        <w:rPr>
          <w:lang w:val="en-AU"/>
        </w:rPr>
        <w:t xml:space="preserve"> is</w:t>
      </w:r>
      <w:r w:rsidR="0029147D" w:rsidRPr="00CF74AD">
        <w:rPr>
          <w:lang w:val="en-AU"/>
        </w:rPr>
        <w:t xml:space="preserve"> also likely to be at risk of </w:t>
      </w:r>
      <w:r w:rsidR="0029147D" w:rsidRPr="00CF29E7">
        <w:rPr>
          <w:lang w:val="en-AU"/>
        </w:rPr>
        <w:t xml:space="preserve">mosquito bites which can appear very similar if the tick is not actually stuck on the skin, particularly if the wound is inflamed and scratched. </w:t>
      </w:r>
      <w:r w:rsidRPr="00CF29E7">
        <w:rPr>
          <w:lang w:val="en-AU"/>
        </w:rPr>
        <w:t>I</w:t>
      </w:r>
      <w:r w:rsidR="00343273" w:rsidRPr="00D621FF">
        <w:rPr>
          <w:lang w:val="en-AU"/>
        </w:rPr>
        <w:t xml:space="preserve">t is recommended that </w:t>
      </w:r>
      <w:r w:rsidR="00D23F1E" w:rsidRPr="00D621FF">
        <w:rPr>
          <w:lang w:val="en-AU"/>
        </w:rPr>
        <w:t xml:space="preserve">medical practitioners keep an open mind </w:t>
      </w:r>
      <w:r w:rsidR="00E15BEC" w:rsidRPr="00FA6D54">
        <w:rPr>
          <w:lang w:val="en-AU"/>
        </w:rPr>
        <w:t xml:space="preserve">when patients </w:t>
      </w:r>
      <w:r w:rsidR="00A06951" w:rsidRPr="00F2704A">
        <w:rPr>
          <w:lang w:val="en-AU"/>
        </w:rPr>
        <w:t xml:space="preserve">speak of symptoms associated with tick </w:t>
      </w:r>
      <w:r w:rsidR="00911F8C" w:rsidRPr="00F2704A">
        <w:rPr>
          <w:lang w:val="en-AU"/>
        </w:rPr>
        <w:t xml:space="preserve">bites </w:t>
      </w:r>
      <w:r w:rsidR="00CF397A" w:rsidRPr="00F2704A">
        <w:rPr>
          <w:lang w:val="en-AU"/>
        </w:rPr>
        <w:t xml:space="preserve">as while the patient may </w:t>
      </w:r>
      <w:r w:rsidR="003141ED" w:rsidRPr="00F2704A">
        <w:rPr>
          <w:lang w:val="en-AU"/>
        </w:rPr>
        <w:t xml:space="preserve">have other underlying medical issues brought to light </w:t>
      </w:r>
      <w:r w:rsidR="00461D82" w:rsidRPr="00F2704A">
        <w:rPr>
          <w:lang w:val="en-AU"/>
        </w:rPr>
        <w:t xml:space="preserve">at the time of </w:t>
      </w:r>
      <w:r w:rsidR="003141ED" w:rsidRPr="00F2704A">
        <w:rPr>
          <w:lang w:val="en-AU"/>
        </w:rPr>
        <w:t>the tick bite, a considered investigation of the whole clinical history is indicated</w:t>
      </w:r>
      <w:r w:rsidR="000A6DE3" w:rsidRPr="00F2704A">
        <w:rPr>
          <w:lang w:val="en-AU"/>
        </w:rPr>
        <w:t>.</w:t>
      </w:r>
      <w:r w:rsidR="00343273" w:rsidRPr="00A94846">
        <w:rPr>
          <w:rStyle w:val="FootnoteReference"/>
        </w:rPr>
        <w:footnoteReference w:id="8"/>
      </w:r>
    </w:p>
    <w:p w14:paraId="17F9B490" w14:textId="77777777" w:rsidR="00B320D0" w:rsidRPr="000959A1" w:rsidRDefault="00B641BF" w:rsidP="00302E38">
      <w:pPr>
        <w:pStyle w:val="BodyText"/>
        <w:rPr>
          <w:lang w:val="en-AU"/>
        </w:rPr>
      </w:pPr>
      <w:r w:rsidRPr="00CF74AD">
        <w:rPr>
          <w:lang w:val="en-AU"/>
        </w:rPr>
        <w:t>Consult with appropriate</w:t>
      </w:r>
      <w:r w:rsidR="00E5321D" w:rsidRPr="00CF74AD">
        <w:rPr>
          <w:lang w:val="en-AU"/>
        </w:rPr>
        <w:t xml:space="preserve"> experts including</w:t>
      </w:r>
      <w:r w:rsidR="00B320D0" w:rsidRPr="00CF74AD">
        <w:rPr>
          <w:lang w:val="en-AU"/>
        </w:rPr>
        <w:t xml:space="preserve"> specialist microbiologist</w:t>
      </w:r>
      <w:r w:rsidR="00E5321D" w:rsidRPr="00CF74AD">
        <w:rPr>
          <w:lang w:val="en-AU"/>
        </w:rPr>
        <w:t>s</w:t>
      </w:r>
      <w:r w:rsidR="00B320D0" w:rsidRPr="00CF74AD">
        <w:rPr>
          <w:lang w:val="en-AU"/>
        </w:rPr>
        <w:t xml:space="preserve"> or ID physician</w:t>
      </w:r>
      <w:r w:rsidR="00F13BD0" w:rsidRPr="00CF74AD">
        <w:rPr>
          <w:lang w:val="en-AU"/>
        </w:rPr>
        <w:t>s</w:t>
      </w:r>
      <w:r w:rsidR="00B320D0" w:rsidRPr="00CF74AD">
        <w:rPr>
          <w:lang w:val="en-AU"/>
        </w:rPr>
        <w:t xml:space="preserve"> </w:t>
      </w:r>
      <w:r w:rsidR="00E3526C" w:rsidRPr="00CF29E7">
        <w:rPr>
          <w:lang w:val="en-AU"/>
        </w:rPr>
        <w:t>in regard to</w:t>
      </w:r>
      <w:r w:rsidR="00B320D0" w:rsidRPr="00CF29E7">
        <w:rPr>
          <w:lang w:val="en-AU"/>
        </w:rPr>
        <w:t xml:space="preserve"> clinical management, especially consideration of prophylactic antibiotics, for patients </w:t>
      </w:r>
      <w:r w:rsidR="00B320D0" w:rsidRPr="00CF29E7">
        <w:rPr>
          <w:lang w:val="en-AU"/>
        </w:rPr>
        <w:lastRenderedPageBreak/>
        <w:t xml:space="preserve">presenting with tick bite or possible </w:t>
      </w:r>
      <w:r w:rsidR="001D660E">
        <w:rPr>
          <w:lang w:val="en-AU"/>
        </w:rPr>
        <w:t>e</w:t>
      </w:r>
      <w:r w:rsidR="001D660E" w:rsidRPr="001D660E">
        <w:rPr>
          <w:lang w:val="en-AU"/>
        </w:rPr>
        <w:t xml:space="preserve">rythema </w:t>
      </w:r>
      <w:r w:rsidR="001D660E">
        <w:rPr>
          <w:lang w:val="en-AU"/>
        </w:rPr>
        <w:t>m</w:t>
      </w:r>
      <w:r w:rsidR="001D660E" w:rsidRPr="001D660E">
        <w:rPr>
          <w:lang w:val="en-AU"/>
        </w:rPr>
        <w:t xml:space="preserve">igrans </w:t>
      </w:r>
      <w:r w:rsidR="001D660E">
        <w:rPr>
          <w:lang w:val="en-AU"/>
        </w:rPr>
        <w:t>(</w:t>
      </w:r>
      <w:r w:rsidR="00B320D0" w:rsidRPr="00CF29E7">
        <w:rPr>
          <w:lang w:val="en-AU"/>
        </w:rPr>
        <w:t>EM</w:t>
      </w:r>
      <w:r w:rsidR="001D660E">
        <w:rPr>
          <w:lang w:val="en-AU"/>
        </w:rPr>
        <w:t>)</w:t>
      </w:r>
      <w:r w:rsidR="00B320D0" w:rsidRPr="00CF29E7">
        <w:rPr>
          <w:lang w:val="en-AU"/>
        </w:rPr>
        <w:t>.</w:t>
      </w:r>
      <w:r w:rsidR="00B420BC" w:rsidRPr="00CF29E7">
        <w:rPr>
          <w:lang w:val="en-AU"/>
        </w:rPr>
        <w:t xml:space="preserve"> </w:t>
      </w:r>
      <w:r w:rsidR="00B420BC" w:rsidRPr="000959A1">
        <w:rPr>
          <w:lang w:val="en-AU"/>
        </w:rPr>
        <w:t>Prescribing of antibiotic treatments must be based on best practice and appropriate use of antibiotic treatments.</w:t>
      </w:r>
    </w:p>
    <w:p w14:paraId="6190A86A" w14:textId="77777777" w:rsidR="00A03128" w:rsidRPr="00F2704A" w:rsidRDefault="00A03128" w:rsidP="00302E38">
      <w:pPr>
        <w:pStyle w:val="BodyText"/>
        <w:rPr>
          <w:lang w:val="en-AU"/>
        </w:rPr>
      </w:pPr>
      <w:r w:rsidRPr="00F2704A">
        <w:rPr>
          <w:lang w:val="en-AU"/>
        </w:rPr>
        <w:t>Note that to minimise antibiotic resistance, Australian guidelines recommend that an a</w:t>
      </w:r>
      <w:r w:rsidR="00666158" w:rsidRPr="00661245">
        <w:rPr>
          <w:lang w:val="en-AU"/>
        </w:rPr>
        <w:t>ntibiotic should only be prescribed</w:t>
      </w:r>
      <w:r w:rsidR="00CF6F9B">
        <w:rPr>
          <w:lang w:val="en-AU"/>
        </w:rPr>
        <w:t>:</w:t>
      </w:r>
      <w:r w:rsidR="00666158" w:rsidRPr="00A94846">
        <w:rPr>
          <w:rStyle w:val="FootnoteReference"/>
        </w:rPr>
        <w:footnoteReference w:id="9"/>
      </w:r>
    </w:p>
    <w:p w14:paraId="0599DBE1" w14:textId="77777777" w:rsidR="00666158" w:rsidRPr="000959A1" w:rsidRDefault="00666158" w:rsidP="00193293">
      <w:pPr>
        <w:pStyle w:val="List-BulletLvl1"/>
        <w:spacing w:after="60"/>
        <w:rPr>
          <w:lang w:val="en-AU"/>
        </w:rPr>
      </w:pPr>
      <w:r w:rsidRPr="000959A1">
        <w:rPr>
          <w:lang w:val="en-AU"/>
        </w:rPr>
        <w:t>when benefits to the patient are likely to be substantial</w:t>
      </w:r>
    </w:p>
    <w:p w14:paraId="7A94F364" w14:textId="77777777" w:rsidR="00666158" w:rsidRPr="00B43084" w:rsidRDefault="00666158" w:rsidP="00193293">
      <w:pPr>
        <w:pStyle w:val="List-BulletLvl1"/>
        <w:spacing w:after="60"/>
        <w:rPr>
          <w:lang w:val="en-AU"/>
        </w:rPr>
      </w:pPr>
      <w:r w:rsidRPr="000959A1">
        <w:rPr>
          <w:lang w:val="en-AU"/>
        </w:rPr>
        <w:t xml:space="preserve">with the narrowest spectrum to treat the likely </w:t>
      </w:r>
      <w:r w:rsidRPr="00B43084">
        <w:rPr>
          <w:lang w:val="en-AU"/>
        </w:rPr>
        <w:t>pathogen</w:t>
      </w:r>
      <w:r w:rsidR="0023424D" w:rsidRPr="00B43084">
        <w:rPr>
          <w:lang w:val="en-AU"/>
        </w:rPr>
        <w:t>,</w:t>
      </w:r>
      <w:r w:rsidRPr="00B43084">
        <w:rPr>
          <w:lang w:val="en-AU"/>
        </w:rPr>
        <w:t xml:space="preserve"> and</w:t>
      </w:r>
    </w:p>
    <w:p w14:paraId="3F4A4D6C" w14:textId="77777777" w:rsidR="00666158" w:rsidRPr="00B43084" w:rsidRDefault="00666158" w:rsidP="00C62F1F">
      <w:pPr>
        <w:pStyle w:val="List-BulletLvl1"/>
        <w:rPr>
          <w:lang w:val="en-AU"/>
        </w:rPr>
      </w:pPr>
      <w:r w:rsidRPr="00B43084">
        <w:rPr>
          <w:lang w:val="en-AU"/>
        </w:rPr>
        <w:t>at the appropriate dose and for the appropriate duration.</w:t>
      </w:r>
    </w:p>
    <w:p w14:paraId="2088F916" w14:textId="77777777" w:rsidR="00606FD8" w:rsidRPr="00661245" w:rsidRDefault="00606FD8" w:rsidP="00F6135B">
      <w:pPr>
        <w:pStyle w:val="NumberedHeading2"/>
        <w:rPr>
          <w:lang w:val="en-AU"/>
        </w:rPr>
      </w:pPr>
      <w:bookmarkStart w:id="13" w:name="_Toc55464768"/>
      <w:r w:rsidRPr="00F2704A">
        <w:rPr>
          <w:lang w:val="en-AU"/>
        </w:rPr>
        <w:t>Consult with</w:t>
      </w:r>
      <w:r w:rsidR="00532DD5" w:rsidRPr="00661245">
        <w:rPr>
          <w:lang w:val="en-AU"/>
        </w:rPr>
        <w:t xml:space="preserve"> appropriate </w:t>
      </w:r>
      <w:r w:rsidR="00144E7E" w:rsidRPr="00661245">
        <w:rPr>
          <w:lang w:val="en-AU"/>
        </w:rPr>
        <w:t xml:space="preserve">experts in </w:t>
      </w:r>
      <w:r w:rsidR="00532DD5" w:rsidRPr="00661245">
        <w:rPr>
          <w:lang w:val="en-AU"/>
        </w:rPr>
        <w:t>vector-borne disease</w:t>
      </w:r>
      <w:bookmarkEnd w:id="13"/>
      <w:r w:rsidR="00532DD5" w:rsidRPr="00661245">
        <w:rPr>
          <w:lang w:val="en-AU"/>
        </w:rPr>
        <w:t xml:space="preserve"> </w:t>
      </w:r>
    </w:p>
    <w:p w14:paraId="41C87418" w14:textId="77777777" w:rsidR="001E4356" w:rsidRPr="004D3350" w:rsidRDefault="00144E7E" w:rsidP="00F80E25">
      <w:pPr>
        <w:pStyle w:val="Body"/>
        <w:rPr>
          <w:lang w:val="en-AU"/>
        </w:rPr>
      </w:pPr>
      <w:r w:rsidRPr="004D3350">
        <w:rPr>
          <w:lang w:val="en-AU"/>
        </w:rPr>
        <w:t xml:space="preserve">Tick bite diagnoses are challenging as clinical features can be similar to many other diseases (infectious and non-infectious). Consult with appropriate experts in vector-borne diseases including specialist </w:t>
      </w:r>
      <w:r w:rsidR="00B856B1" w:rsidRPr="004D3350">
        <w:rPr>
          <w:lang w:val="en-AU"/>
        </w:rPr>
        <w:t xml:space="preserve">microbiologists </w:t>
      </w:r>
      <w:r w:rsidRPr="004D3350">
        <w:rPr>
          <w:lang w:val="en-AU"/>
        </w:rPr>
        <w:t xml:space="preserve">with diagnostic experience and </w:t>
      </w:r>
      <w:r w:rsidR="00B641BF" w:rsidRPr="004D3350">
        <w:rPr>
          <w:lang w:val="en-AU"/>
        </w:rPr>
        <w:t>ID</w:t>
      </w:r>
      <w:r w:rsidRPr="004D3350">
        <w:rPr>
          <w:lang w:val="en-AU"/>
        </w:rPr>
        <w:t xml:space="preserve"> physicians for treatment of diagnosed vector-borne diseases</w:t>
      </w:r>
      <w:r w:rsidR="00552E93" w:rsidRPr="004D3350">
        <w:rPr>
          <w:lang w:val="en-AU"/>
        </w:rPr>
        <w:t>.</w:t>
      </w:r>
      <w:r w:rsidR="00F423EB" w:rsidRPr="004D3350">
        <w:rPr>
          <w:lang w:val="en-AU"/>
        </w:rPr>
        <w:t xml:space="preserve"> </w:t>
      </w:r>
    </w:p>
    <w:p w14:paraId="421A91EA" w14:textId="77777777" w:rsidR="00D36DFC" w:rsidRPr="00FA6D54" w:rsidRDefault="00D36DFC" w:rsidP="00F6135B">
      <w:pPr>
        <w:pStyle w:val="NumberedHeading2"/>
        <w:rPr>
          <w:lang w:val="en-AU"/>
        </w:rPr>
      </w:pPr>
      <w:bookmarkStart w:id="14" w:name="_Toc55464769"/>
      <w:r w:rsidRPr="00FA6D54">
        <w:rPr>
          <w:lang w:val="en-AU"/>
        </w:rPr>
        <w:t>Signs and symptoms associated with DSCATT</w:t>
      </w:r>
      <w:bookmarkEnd w:id="14"/>
    </w:p>
    <w:p w14:paraId="105C85A4" w14:textId="77777777" w:rsidR="00D36DFC" w:rsidRPr="00661245" w:rsidRDefault="00D36DFC" w:rsidP="00D36DFC">
      <w:pPr>
        <w:pStyle w:val="BodyText"/>
        <w:rPr>
          <w:lang w:val="en-AU"/>
        </w:rPr>
      </w:pPr>
      <w:r w:rsidRPr="00F2704A">
        <w:rPr>
          <w:lang w:val="en-AU"/>
        </w:rPr>
        <w:t>There are no peer-reviewed published epidemiological or clinical studies about patients experiencing DSCATT. The only relevant information available is self-reported and anecdotal. Patients have told of the symptoms they have experienced and attribute to DSCATT to the Senate Community Affairs References Committee</w:t>
      </w:r>
      <w:r w:rsidR="005758B6">
        <w:rPr>
          <w:lang w:val="en-AU"/>
        </w:rPr>
        <w:t>,</w:t>
      </w:r>
      <w:r w:rsidRPr="00A94846">
        <w:rPr>
          <w:rStyle w:val="FootnoteReference"/>
        </w:rPr>
        <w:footnoteReference w:id="10"/>
      </w:r>
      <w:r w:rsidRPr="00F2704A">
        <w:rPr>
          <w:vertAlign w:val="superscript"/>
          <w:lang w:val="en-AU"/>
        </w:rPr>
        <w:t>,</w:t>
      </w:r>
      <w:r w:rsidR="00767A8D">
        <w:rPr>
          <w:vertAlign w:val="superscript"/>
          <w:lang w:val="en-AU"/>
        </w:rPr>
        <w:t xml:space="preserve"> </w:t>
      </w:r>
      <w:r w:rsidRPr="00A94846">
        <w:rPr>
          <w:rStyle w:val="FootnoteReference"/>
        </w:rPr>
        <w:footnoteReference w:id="11"/>
      </w:r>
      <w:r w:rsidRPr="00F2704A">
        <w:rPr>
          <w:lang w:val="en-AU"/>
        </w:rPr>
        <w:t xml:space="preserve"> DSCATT Patient Foru</w:t>
      </w:r>
      <w:r w:rsidR="00CF6F9B">
        <w:rPr>
          <w:lang w:val="en-AU"/>
        </w:rPr>
        <w:t>m</w:t>
      </w:r>
      <w:r w:rsidRPr="00A94846">
        <w:rPr>
          <w:rStyle w:val="FootnoteReference"/>
        </w:rPr>
        <w:footnoteReference w:id="12"/>
      </w:r>
      <w:r w:rsidRPr="00F2704A">
        <w:rPr>
          <w:lang w:val="en-AU"/>
        </w:rPr>
        <w:t xml:space="preserve"> and Think Tank</w:t>
      </w:r>
      <w:r w:rsidRPr="00661245">
        <w:rPr>
          <w:lang w:val="en-AU"/>
        </w:rPr>
        <w:t>.</w:t>
      </w:r>
      <w:r w:rsidRPr="00A94846">
        <w:rPr>
          <w:rStyle w:val="FootnoteReference"/>
        </w:rPr>
        <w:footnoteReference w:id="13"/>
      </w:r>
      <w:r w:rsidRPr="00F2704A">
        <w:rPr>
          <w:lang w:val="en-AU"/>
        </w:rPr>
        <w:t xml:space="preserve"> The most common symptoms described by patients wi</w:t>
      </w:r>
      <w:r w:rsidRPr="00661245">
        <w:rPr>
          <w:lang w:val="en-AU"/>
        </w:rPr>
        <w:t xml:space="preserve">th DSCATT to the Senate Forum were: fatigue (62.6 </w:t>
      </w:r>
      <w:r w:rsidR="00CF74AD">
        <w:rPr>
          <w:lang w:val="en-AU"/>
        </w:rPr>
        <w:t>per cent</w:t>
      </w:r>
      <w:r w:rsidRPr="00CF74AD">
        <w:rPr>
          <w:lang w:val="en-AU"/>
        </w:rPr>
        <w:t xml:space="preserve">); disordered thinking (51.9 </w:t>
      </w:r>
      <w:r w:rsidR="00CF74AD">
        <w:rPr>
          <w:lang w:val="en-AU"/>
        </w:rPr>
        <w:t>per cent</w:t>
      </w:r>
      <w:r w:rsidRPr="00CF74AD">
        <w:rPr>
          <w:lang w:val="en-AU"/>
        </w:rPr>
        <w:t xml:space="preserve">); sensory disturbance (46.1 </w:t>
      </w:r>
      <w:r w:rsidR="00CF74AD">
        <w:rPr>
          <w:lang w:val="en-AU"/>
        </w:rPr>
        <w:t>per cent</w:t>
      </w:r>
      <w:r w:rsidRPr="00CF74AD">
        <w:rPr>
          <w:lang w:val="en-AU"/>
        </w:rPr>
        <w:t xml:space="preserve">); arthralgia (45.6 </w:t>
      </w:r>
      <w:r w:rsidR="00CF74AD">
        <w:rPr>
          <w:lang w:val="en-AU"/>
        </w:rPr>
        <w:t>per cent</w:t>
      </w:r>
      <w:r w:rsidRPr="00CF74AD">
        <w:rPr>
          <w:lang w:val="en-AU"/>
        </w:rPr>
        <w:t xml:space="preserve">); headache (44.5 </w:t>
      </w:r>
      <w:r w:rsidR="00CF74AD">
        <w:rPr>
          <w:lang w:val="en-AU"/>
        </w:rPr>
        <w:t>per cent</w:t>
      </w:r>
      <w:r w:rsidRPr="00CF74AD">
        <w:rPr>
          <w:lang w:val="en-AU"/>
        </w:rPr>
        <w:t>); followed by myalgia; rash; mood disturbance; visual disturbance; dizziness; pain; fever; nausea; palpitations; insomnia; seizures; diarrhoea; tremor; and personality change</w:t>
      </w:r>
      <w:r w:rsidR="00767A8D">
        <w:rPr>
          <w:lang w:val="en-AU"/>
        </w:rPr>
        <w:t>.</w:t>
      </w:r>
      <w:r w:rsidRPr="00A94846">
        <w:rPr>
          <w:rStyle w:val="FootnoteReference"/>
        </w:rPr>
        <w:footnoteReference w:id="14"/>
      </w:r>
      <w:r w:rsidRPr="00F2704A">
        <w:rPr>
          <w:lang w:val="en-AU"/>
        </w:rPr>
        <w:t xml:space="preserve"> Patients reported having experienced symptoms for a median of 10 years and had seen a median of 13 doctors for diagnosis and treatment of their illness. </w:t>
      </w:r>
      <w:r w:rsidRPr="00661245">
        <w:rPr>
          <w:lang w:val="en-AU"/>
        </w:rPr>
        <w:t xml:space="preserve">An analysis of the Senate submissions </w:t>
      </w:r>
      <w:r w:rsidRPr="00CF74AD">
        <w:rPr>
          <w:lang w:val="en-AU"/>
        </w:rPr>
        <w:t>noted the unquestionable real and debilitating physical and social harm from illness reported in the submissions. Of relevance to the attribution of symptoms to ticks, over half of the submissions analysed did not comment on tick bite but of those that did, a majority (89.5</w:t>
      </w:r>
      <w:r w:rsidR="009569B4">
        <w:rPr>
          <w:lang w:val="en-AU"/>
        </w:rPr>
        <w:t xml:space="preserve"> </w:t>
      </w:r>
      <w:r w:rsidR="00CF74AD">
        <w:rPr>
          <w:lang w:val="en-AU"/>
        </w:rPr>
        <w:t>per cent</w:t>
      </w:r>
      <w:r w:rsidRPr="00CF74AD">
        <w:rPr>
          <w:lang w:val="en-AU"/>
        </w:rPr>
        <w:t>) reported a positive history. The author’s conclusion suggested that patients who identified as having DSCATT displayed a symptomology similar to ‘medically unexplained physical symptoms’ syndromes, and also experience social and financial harms and are at risk of nosocomial harms. They may also have sought alternative and potentially non-evidence-based diagnoses and treatments.</w:t>
      </w:r>
      <w:r w:rsidRPr="00A94846">
        <w:rPr>
          <w:rStyle w:val="FootnoteReference"/>
        </w:rPr>
        <w:footnoteReference w:id="15"/>
      </w:r>
      <w:r w:rsidRPr="00F2704A">
        <w:rPr>
          <w:lang w:val="en-AU"/>
        </w:rPr>
        <w:t xml:space="preserve"> </w:t>
      </w:r>
    </w:p>
    <w:p w14:paraId="487FB0EE" w14:textId="77777777" w:rsidR="00AA1F57" w:rsidRDefault="00D36DFC" w:rsidP="00193293">
      <w:pPr>
        <w:pStyle w:val="BodyText"/>
        <w:rPr>
          <w:lang w:val="en-AU"/>
        </w:rPr>
      </w:pPr>
      <w:r w:rsidRPr="00CF74AD">
        <w:rPr>
          <w:lang w:val="en-AU"/>
        </w:rPr>
        <w:t>Similarly, multiple symptoms and signs being attributed to DSCATT were identified by stakeholders who attended the Think Tank in May 2019, with neurological symptoms (including brain fog, cognitive dysfunction, memory loss, fine motor impairment and reduced verbal fluency) and chronic fatigue being the most commonly identified symptoms and signs.</w:t>
      </w:r>
      <w:r w:rsidRPr="00A94846">
        <w:rPr>
          <w:rStyle w:val="FootnoteReference"/>
        </w:rPr>
        <w:footnoteReference w:id="16"/>
      </w:r>
    </w:p>
    <w:p w14:paraId="65B377D2" w14:textId="77777777" w:rsidR="00DC2DF6" w:rsidRPr="00193293" w:rsidRDefault="00DC2DF6" w:rsidP="00193293">
      <w:pPr>
        <w:pStyle w:val="BodyText"/>
        <w:rPr>
          <w:lang w:val="en-AU"/>
        </w:rPr>
      </w:pPr>
    </w:p>
    <w:p w14:paraId="31089991" w14:textId="77777777" w:rsidR="00F04DC0" w:rsidRPr="00CF74AD" w:rsidRDefault="00F04DC0" w:rsidP="009707CE">
      <w:pPr>
        <w:pStyle w:val="NumberedHeading1"/>
        <w:spacing w:before="0"/>
        <w:rPr>
          <w:lang w:val="en-AU"/>
        </w:rPr>
      </w:pPr>
      <w:bookmarkStart w:id="15" w:name="_Toc55464770"/>
      <w:r w:rsidRPr="00CF74AD">
        <w:rPr>
          <w:lang w:val="en-AU"/>
        </w:rPr>
        <w:t>Differential diagnosis</w:t>
      </w:r>
      <w:bookmarkEnd w:id="15"/>
    </w:p>
    <w:p w14:paraId="31F82731" w14:textId="77777777" w:rsidR="00D93E6F" w:rsidRPr="00CF74AD" w:rsidRDefault="00D93E6F" w:rsidP="00635B0F">
      <w:pPr>
        <w:pStyle w:val="NumberedHeading2"/>
        <w:rPr>
          <w:lang w:val="en-AU"/>
        </w:rPr>
      </w:pPr>
      <w:bookmarkStart w:id="16" w:name="_Toc55464771"/>
      <w:r w:rsidRPr="00CF74AD">
        <w:rPr>
          <w:lang w:val="en-AU"/>
        </w:rPr>
        <w:t>Lyme disease</w:t>
      </w:r>
      <w:bookmarkEnd w:id="16"/>
    </w:p>
    <w:p w14:paraId="180462A3" w14:textId="77777777" w:rsidR="00DD7778" w:rsidRPr="00661245" w:rsidRDefault="00CA2C4F" w:rsidP="001332A0">
      <w:pPr>
        <w:pStyle w:val="BodyText"/>
        <w:rPr>
          <w:lang w:val="en-AU" w:eastAsia="en-AU"/>
        </w:rPr>
      </w:pPr>
      <w:r w:rsidRPr="00CF74AD">
        <w:rPr>
          <w:lang w:val="en-AU" w:eastAsia="en-AU"/>
        </w:rPr>
        <w:t>In Australia, Lyme disease should be considered in patients presenting with a travel history to Lyme</w:t>
      </w:r>
      <w:r w:rsidR="00E85086" w:rsidRPr="00CF74AD">
        <w:rPr>
          <w:lang w:val="en-AU" w:eastAsia="en-AU"/>
        </w:rPr>
        <w:t xml:space="preserve"> disease</w:t>
      </w:r>
      <w:r w:rsidR="00C63288">
        <w:rPr>
          <w:lang w:val="en-AU" w:eastAsia="en-AU"/>
        </w:rPr>
        <w:t xml:space="preserve"> </w:t>
      </w:r>
      <w:r w:rsidRPr="00CF74AD">
        <w:rPr>
          <w:lang w:val="en-AU" w:eastAsia="en-AU"/>
        </w:rPr>
        <w:t>endemic areas along with supporting symptoms</w:t>
      </w:r>
      <w:r w:rsidR="00426C31" w:rsidRPr="00CF29E7">
        <w:rPr>
          <w:lang w:val="en-AU" w:eastAsia="en-AU"/>
        </w:rPr>
        <w:t xml:space="preserve"> </w:t>
      </w:r>
      <w:r w:rsidRPr="00CF29E7">
        <w:rPr>
          <w:lang w:val="en-AU" w:eastAsia="en-AU"/>
        </w:rPr>
        <w:t>and/or a known tick bite</w:t>
      </w:r>
      <w:r w:rsidR="006A5A30">
        <w:rPr>
          <w:lang w:val="en-AU" w:eastAsia="en-AU"/>
        </w:rPr>
        <w:t>.</w:t>
      </w:r>
      <w:r w:rsidRPr="00A94846">
        <w:rPr>
          <w:rStyle w:val="FootnoteReference"/>
        </w:rPr>
        <w:footnoteReference w:id="17"/>
      </w:r>
      <w:r w:rsidR="00210AE6" w:rsidRPr="00F2704A">
        <w:rPr>
          <w:lang w:val="en-AU" w:eastAsia="en-AU"/>
        </w:rPr>
        <w:t xml:space="preserve"> </w:t>
      </w:r>
    </w:p>
    <w:p w14:paraId="7B48C6E7" w14:textId="77777777" w:rsidR="00F35C19" w:rsidRPr="00F2704A" w:rsidRDefault="008E6AB5" w:rsidP="001332A0">
      <w:pPr>
        <w:pStyle w:val="BodyText"/>
        <w:rPr>
          <w:lang w:val="en-AU" w:eastAsia="en-AU"/>
        </w:rPr>
      </w:pPr>
      <w:r w:rsidRPr="00CF74AD">
        <w:rPr>
          <w:lang w:val="en-AU" w:eastAsia="en-AU"/>
        </w:rPr>
        <w:t>T</w:t>
      </w:r>
      <w:r w:rsidR="00C25B7F" w:rsidRPr="00CF74AD">
        <w:rPr>
          <w:lang w:val="en-AU" w:eastAsia="en-AU"/>
        </w:rPr>
        <w:t>h</w:t>
      </w:r>
      <w:r w:rsidR="00A218C6" w:rsidRPr="00CF74AD">
        <w:rPr>
          <w:lang w:val="en-AU" w:eastAsia="en-AU"/>
        </w:rPr>
        <w:t xml:space="preserve">e information and recommendations </w:t>
      </w:r>
      <w:r w:rsidR="00151764" w:rsidRPr="00CF74AD">
        <w:rPr>
          <w:lang w:val="en-AU" w:eastAsia="en-AU"/>
        </w:rPr>
        <w:t xml:space="preserve">on </w:t>
      </w:r>
      <w:r w:rsidR="00EA3888" w:rsidRPr="00CF74AD">
        <w:rPr>
          <w:lang w:val="en-AU" w:eastAsia="en-AU"/>
        </w:rPr>
        <w:t xml:space="preserve">the diagnosis and management of </w:t>
      </w:r>
      <w:r w:rsidR="00151764" w:rsidRPr="00CF74AD">
        <w:rPr>
          <w:lang w:val="en-AU" w:eastAsia="en-AU"/>
        </w:rPr>
        <w:t xml:space="preserve">Lyme disease in this </w:t>
      </w:r>
      <w:r w:rsidR="0074035D" w:rsidRPr="00CF74AD">
        <w:rPr>
          <w:lang w:val="en-AU" w:eastAsia="en-AU"/>
        </w:rPr>
        <w:t>Clinical Pathway</w:t>
      </w:r>
      <w:r w:rsidRPr="00CF74AD">
        <w:rPr>
          <w:lang w:val="en-AU" w:eastAsia="en-AU"/>
        </w:rPr>
        <w:t xml:space="preserve"> </w:t>
      </w:r>
      <w:r w:rsidR="00151764" w:rsidRPr="00CF74AD">
        <w:rPr>
          <w:lang w:val="en-AU" w:eastAsia="en-AU"/>
        </w:rPr>
        <w:t>incl</w:t>
      </w:r>
      <w:r w:rsidR="006C76BE" w:rsidRPr="00CF74AD">
        <w:rPr>
          <w:lang w:val="en-AU" w:eastAsia="en-AU"/>
        </w:rPr>
        <w:t xml:space="preserve">ude </w:t>
      </w:r>
      <w:r w:rsidR="00EA3888" w:rsidRPr="00CF74AD">
        <w:rPr>
          <w:lang w:val="en-AU" w:eastAsia="en-AU"/>
        </w:rPr>
        <w:t xml:space="preserve">both Australian and international </w:t>
      </w:r>
      <w:r w:rsidR="00EB521A" w:rsidRPr="00CF29E7">
        <w:rPr>
          <w:lang w:val="en-AU" w:eastAsia="en-AU"/>
        </w:rPr>
        <w:t>literature and guid</w:t>
      </w:r>
      <w:r w:rsidR="0021246C" w:rsidRPr="00CF29E7">
        <w:rPr>
          <w:lang w:val="en-AU" w:eastAsia="en-AU"/>
        </w:rPr>
        <w:t xml:space="preserve">elines. The </w:t>
      </w:r>
      <w:r w:rsidRPr="00D621FF">
        <w:rPr>
          <w:lang w:val="en-AU" w:eastAsia="en-AU"/>
        </w:rPr>
        <w:t>most recent</w:t>
      </w:r>
      <w:r w:rsidR="00E5380F" w:rsidRPr="00FA6D54">
        <w:rPr>
          <w:lang w:val="en-AU" w:eastAsia="en-AU"/>
        </w:rPr>
        <w:t xml:space="preserve">ly published </w:t>
      </w:r>
      <w:r w:rsidR="009C0846" w:rsidRPr="00F2704A">
        <w:rPr>
          <w:lang w:val="en-AU" w:eastAsia="en-AU"/>
        </w:rPr>
        <w:t xml:space="preserve">evidence-based international guidelines </w:t>
      </w:r>
      <w:r w:rsidR="0068062D" w:rsidRPr="00F2704A">
        <w:rPr>
          <w:lang w:val="en-AU" w:eastAsia="en-AU"/>
        </w:rPr>
        <w:t>for the diagnosis</w:t>
      </w:r>
      <w:r w:rsidR="00C80093" w:rsidRPr="00F2704A">
        <w:rPr>
          <w:lang w:val="en-AU" w:eastAsia="en-AU"/>
        </w:rPr>
        <w:t xml:space="preserve"> and management of Lyme disease</w:t>
      </w:r>
      <w:r w:rsidR="00E5380F" w:rsidRPr="00F2704A">
        <w:rPr>
          <w:lang w:val="en-AU" w:eastAsia="en-AU"/>
        </w:rPr>
        <w:t xml:space="preserve"> include</w:t>
      </w:r>
      <w:r w:rsidR="004D171A" w:rsidRPr="00F2704A">
        <w:rPr>
          <w:lang w:val="en-AU" w:eastAsia="en-AU"/>
        </w:rPr>
        <w:t xml:space="preserve">d in the Clinical Pathway are </w:t>
      </w:r>
      <w:r w:rsidR="00C80093" w:rsidRPr="00F2704A">
        <w:rPr>
          <w:lang w:val="en-AU" w:eastAsia="en-AU"/>
        </w:rPr>
        <w:t xml:space="preserve">the 2018 NICE Lyme disease guidelines and the 2019 Draft IDSA/AAN/ACR </w:t>
      </w:r>
      <w:r w:rsidR="00554003" w:rsidRPr="00F2704A">
        <w:rPr>
          <w:lang w:val="en-AU" w:eastAsia="en-AU"/>
        </w:rPr>
        <w:t>Lyme disease guidelines</w:t>
      </w:r>
      <w:r w:rsidR="00E5380F" w:rsidRPr="00F2704A">
        <w:rPr>
          <w:lang w:val="en-AU" w:eastAsia="en-AU"/>
        </w:rPr>
        <w:t xml:space="preserve">, both </w:t>
      </w:r>
      <w:r w:rsidR="00D8360B" w:rsidRPr="00F2704A">
        <w:rPr>
          <w:lang w:val="en-AU" w:eastAsia="en-AU"/>
        </w:rPr>
        <w:t>of which are underpinned by evidence-based reviews of the literature.</w:t>
      </w:r>
      <w:r w:rsidR="00F423EB" w:rsidRPr="00F2704A">
        <w:rPr>
          <w:lang w:val="en-AU" w:eastAsia="en-AU"/>
        </w:rPr>
        <w:t xml:space="preserve"> </w:t>
      </w:r>
      <w:r w:rsidR="00B6146F" w:rsidRPr="00F2704A">
        <w:rPr>
          <w:lang w:val="en-AU" w:eastAsia="en-AU"/>
        </w:rPr>
        <w:t xml:space="preserve">The </w:t>
      </w:r>
      <w:r w:rsidR="002E2385" w:rsidRPr="00F2704A">
        <w:rPr>
          <w:lang w:val="en-AU" w:eastAsia="en-AU"/>
        </w:rPr>
        <w:t xml:space="preserve">advice and recommendation from the </w:t>
      </w:r>
      <w:r w:rsidR="00925959" w:rsidRPr="00F2704A">
        <w:rPr>
          <w:lang w:val="en-AU" w:eastAsia="en-AU"/>
        </w:rPr>
        <w:t xml:space="preserve">2019 IDSA/AAN/ACR </w:t>
      </w:r>
      <w:r w:rsidR="00867579" w:rsidRPr="00F2704A">
        <w:rPr>
          <w:lang w:val="en-AU" w:eastAsia="en-AU"/>
        </w:rPr>
        <w:t xml:space="preserve">Lyme disease guidelines are clearly marked ‘Draft’. </w:t>
      </w:r>
      <w:r w:rsidR="004119CB" w:rsidRPr="00F2704A">
        <w:rPr>
          <w:lang w:val="en-AU" w:eastAsia="en-AU"/>
        </w:rPr>
        <w:t xml:space="preserve">If </w:t>
      </w:r>
      <w:r w:rsidR="00E32CAB" w:rsidRPr="00F2704A">
        <w:rPr>
          <w:lang w:val="en-AU" w:eastAsia="en-AU"/>
        </w:rPr>
        <w:t xml:space="preserve">IDSA/AAN/ACR make any changes </w:t>
      </w:r>
      <w:r w:rsidR="0086491E" w:rsidRPr="00F2704A">
        <w:rPr>
          <w:lang w:val="en-AU" w:eastAsia="en-AU"/>
        </w:rPr>
        <w:t>during finalisation of the guideline</w:t>
      </w:r>
      <w:r w:rsidR="005758B6">
        <w:rPr>
          <w:lang w:val="en-AU" w:eastAsia="en-AU"/>
        </w:rPr>
        <w:t>s</w:t>
      </w:r>
      <w:r w:rsidR="0086491E" w:rsidRPr="00F2704A">
        <w:rPr>
          <w:lang w:val="en-AU" w:eastAsia="en-AU"/>
        </w:rPr>
        <w:t xml:space="preserve">, any such changes will be made to this </w:t>
      </w:r>
      <w:r w:rsidR="00133444" w:rsidRPr="00F2704A">
        <w:rPr>
          <w:lang w:val="en-AU" w:eastAsia="en-AU"/>
        </w:rPr>
        <w:t xml:space="preserve">Clinical Pathway. </w:t>
      </w:r>
    </w:p>
    <w:p w14:paraId="320374E5" w14:textId="77777777" w:rsidR="00DD7778" w:rsidRPr="00661245" w:rsidRDefault="00DD7778" w:rsidP="00DD7778">
      <w:pPr>
        <w:pStyle w:val="Body"/>
        <w:rPr>
          <w:lang w:val="en-AU"/>
        </w:rPr>
      </w:pPr>
      <w:r w:rsidRPr="006D1165">
        <w:rPr>
          <w:rStyle w:val="BodyTextChar"/>
          <w:lang w:val="en-AU"/>
        </w:rPr>
        <w:t>While there are good overseas guidelines on Lyme disease, they may not all be applicable to the Australian context</w:t>
      </w:r>
      <w:r w:rsidR="00E53D4A" w:rsidRPr="006D1165">
        <w:rPr>
          <w:rStyle w:val="BodyTextChar"/>
          <w:lang w:val="en-AU"/>
        </w:rPr>
        <w:t xml:space="preserve">. </w:t>
      </w:r>
      <w:r w:rsidR="00A73A1E" w:rsidRPr="00F2704A">
        <w:rPr>
          <w:lang w:val="en-AU" w:eastAsia="en-AU"/>
        </w:rPr>
        <w:t xml:space="preserve">If Lyme disease is suspected, consult with appropriate experts such as a consultant physician practising in his or her speciality of infectious disease or a specialist </w:t>
      </w:r>
      <w:r w:rsidR="00581535" w:rsidRPr="00661245">
        <w:rPr>
          <w:lang w:val="en-AU" w:eastAsia="en-AU"/>
        </w:rPr>
        <w:t>microbiologist</w:t>
      </w:r>
      <w:r w:rsidR="00A73A1E" w:rsidRPr="00661245">
        <w:rPr>
          <w:lang w:val="en-AU" w:eastAsia="en-AU"/>
        </w:rPr>
        <w:t>.</w:t>
      </w:r>
      <w:r w:rsidR="00F423EB" w:rsidRPr="00F2704A">
        <w:rPr>
          <w:lang w:val="en-AU" w:eastAsia="en-AU"/>
        </w:rPr>
        <w:t xml:space="preserve"> </w:t>
      </w:r>
      <w:r w:rsidRPr="006D1165">
        <w:rPr>
          <w:rStyle w:val="BodyTextChar"/>
          <w:lang w:val="en-AU"/>
        </w:rPr>
        <w:t xml:space="preserve">The recommendation to seek advice from an ID </w:t>
      </w:r>
      <w:r w:rsidR="00F13BD0" w:rsidRPr="006D1165">
        <w:rPr>
          <w:rStyle w:val="BodyTextChar"/>
          <w:lang w:val="en-AU"/>
        </w:rPr>
        <w:t xml:space="preserve">physician </w:t>
      </w:r>
      <w:r w:rsidRPr="006D1165">
        <w:rPr>
          <w:rStyle w:val="BodyTextChar"/>
          <w:lang w:val="en-AU"/>
        </w:rPr>
        <w:t>in Australia</w:t>
      </w:r>
      <w:r w:rsidR="006C7DD4" w:rsidRPr="006D1165">
        <w:rPr>
          <w:rStyle w:val="BodyTextChar"/>
          <w:lang w:val="en-AU"/>
        </w:rPr>
        <w:t>,</w:t>
      </w:r>
      <w:r w:rsidR="0001206B">
        <w:rPr>
          <w:rStyle w:val="BodyTextChar"/>
          <w:lang w:val="en-AU"/>
        </w:rPr>
        <w:t xml:space="preserve"> where cases of overseas-</w:t>
      </w:r>
      <w:r w:rsidRPr="006D1165">
        <w:rPr>
          <w:rStyle w:val="BodyTextChar"/>
          <w:lang w:val="en-AU"/>
        </w:rPr>
        <w:t>acquired Lyme disease</w:t>
      </w:r>
      <w:r w:rsidRPr="00F2704A">
        <w:rPr>
          <w:lang w:val="en-AU"/>
        </w:rPr>
        <w:t xml:space="preserve"> are very rare</w:t>
      </w:r>
      <w:r w:rsidR="006C7DD4" w:rsidRPr="00661245">
        <w:rPr>
          <w:lang w:val="en-AU"/>
        </w:rPr>
        <w:t>,</w:t>
      </w:r>
      <w:r w:rsidRPr="00661245">
        <w:rPr>
          <w:lang w:val="en-AU"/>
        </w:rPr>
        <w:t xml:space="preserve"> is important</w:t>
      </w:r>
      <w:r w:rsidR="003A4DC9" w:rsidRPr="00661245">
        <w:rPr>
          <w:lang w:val="en-AU"/>
        </w:rPr>
        <w:t>.</w:t>
      </w:r>
      <w:r w:rsidR="00F423EB" w:rsidRPr="00661245">
        <w:rPr>
          <w:lang w:val="en-AU"/>
        </w:rPr>
        <w:t xml:space="preserve"> </w:t>
      </w:r>
      <w:r w:rsidR="003A4DC9" w:rsidRPr="00CF74AD">
        <w:rPr>
          <w:lang w:val="en-AU"/>
        </w:rPr>
        <w:t>T</w:t>
      </w:r>
      <w:r w:rsidRPr="00CF74AD">
        <w:rPr>
          <w:lang w:val="en-AU"/>
        </w:rPr>
        <w:t>he difficulty in diagnosing Lyme disease</w:t>
      </w:r>
      <w:r w:rsidR="003A4DC9" w:rsidRPr="00CF74AD">
        <w:rPr>
          <w:lang w:val="en-AU"/>
        </w:rPr>
        <w:t>,</w:t>
      </w:r>
      <w:r w:rsidRPr="00CF74AD">
        <w:rPr>
          <w:lang w:val="en-AU"/>
        </w:rPr>
        <w:t xml:space="preserve"> even in Lyme disease endemic areas</w:t>
      </w:r>
      <w:r w:rsidR="003A4DC9" w:rsidRPr="00CF74AD">
        <w:rPr>
          <w:lang w:val="en-AU"/>
        </w:rPr>
        <w:t>,</w:t>
      </w:r>
      <w:r w:rsidRPr="00CF74AD">
        <w:rPr>
          <w:lang w:val="en-AU"/>
        </w:rPr>
        <w:t xml:space="preserve"> was highlighted in a systematic review that found</w:t>
      </w:r>
      <w:r w:rsidR="00871B76" w:rsidRPr="00CF74AD">
        <w:rPr>
          <w:lang w:val="en-AU"/>
        </w:rPr>
        <w:t xml:space="preserve"> that</w:t>
      </w:r>
      <w:r w:rsidRPr="00CF74AD">
        <w:rPr>
          <w:lang w:val="en-AU"/>
        </w:rPr>
        <w:t xml:space="preserve"> clinicians find it challenging to diagnose accurately due to the wide variation in symptom</w:t>
      </w:r>
      <w:r w:rsidR="00F13BD0" w:rsidRPr="00CF29E7">
        <w:rPr>
          <w:lang w:val="en-AU"/>
        </w:rPr>
        <w:t>s</w:t>
      </w:r>
      <w:r w:rsidR="00871B76" w:rsidRPr="00CF29E7">
        <w:rPr>
          <w:lang w:val="en-AU"/>
        </w:rPr>
        <w:t>;</w:t>
      </w:r>
      <w:r w:rsidRPr="00D621FF">
        <w:rPr>
          <w:lang w:val="en-AU"/>
        </w:rPr>
        <w:t xml:space="preserve"> the infrequency with which they see the disease in practice</w:t>
      </w:r>
      <w:r w:rsidR="00871B76" w:rsidRPr="00FA6D54">
        <w:rPr>
          <w:lang w:val="en-AU"/>
        </w:rPr>
        <w:t>;</w:t>
      </w:r>
      <w:r w:rsidRPr="00F2704A">
        <w:rPr>
          <w:lang w:val="en-AU"/>
        </w:rPr>
        <w:t xml:space="preserve"> their level of confidence about being able to diagnose correctly</w:t>
      </w:r>
      <w:r w:rsidR="00871B76" w:rsidRPr="00F2704A">
        <w:rPr>
          <w:lang w:val="en-AU"/>
        </w:rPr>
        <w:t>;</w:t>
      </w:r>
      <w:r w:rsidRPr="00F2704A">
        <w:rPr>
          <w:lang w:val="en-AU"/>
        </w:rPr>
        <w:t xml:space="preserve"> the ambiguity they experience about diagnostic tools</w:t>
      </w:r>
      <w:r w:rsidR="00871B76" w:rsidRPr="00F2704A">
        <w:rPr>
          <w:lang w:val="en-AU"/>
        </w:rPr>
        <w:t>;</w:t>
      </w:r>
      <w:r w:rsidRPr="00F2704A">
        <w:rPr>
          <w:lang w:val="en-AU"/>
        </w:rPr>
        <w:t xml:space="preserve"> and their beliefs and behaviour relating to atypical or recurring symptoms</w:t>
      </w:r>
      <w:r w:rsidR="00767A8D">
        <w:rPr>
          <w:lang w:val="en-AU"/>
        </w:rPr>
        <w:t>.</w:t>
      </w:r>
      <w:r w:rsidRPr="00A94846">
        <w:rPr>
          <w:rStyle w:val="FootnoteReference"/>
        </w:rPr>
        <w:footnoteReference w:id="18"/>
      </w:r>
      <w:r w:rsidRPr="00F2704A">
        <w:rPr>
          <w:lang w:val="en-AU"/>
        </w:rPr>
        <w:t xml:space="preserve"> </w:t>
      </w:r>
    </w:p>
    <w:p w14:paraId="49A83B19" w14:textId="77777777" w:rsidR="001332A0" w:rsidRPr="00FA6D54" w:rsidRDefault="00D178A3" w:rsidP="001332A0">
      <w:pPr>
        <w:pStyle w:val="BodyText"/>
        <w:rPr>
          <w:lang w:val="en-AU" w:eastAsia="en-AU"/>
        </w:rPr>
      </w:pPr>
      <w:r w:rsidRPr="00CF74AD">
        <w:rPr>
          <w:lang w:val="en-AU" w:eastAsia="en-AU"/>
        </w:rPr>
        <w:t xml:space="preserve">Areas where Lyme disease is endemic internationally, clinical presentation of Lyme disease and </w:t>
      </w:r>
      <w:r w:rsidR="0039098C" w:rsidRPr="00CF74AD">
        <w:rPr>
          <w:lang w:val="en-AU" w:eastAsia="en-AU"/>
        </w:rPr>
        <w:t xml:space="preserve">special recommendations </w:t>
      </w:r>
      <w:r w:rsidR="0081494A" w:rsidRPr="00CF74AD">
        <w:rPr>
          <w:lang w:val="en-AU" w:eastAsia="en-AU"/>
        </w:rPr>
        <w:t xml:space="preserve">when </w:t>
      </w:r>
      <w:r w:rsidR="0039098C" w:rsidRPr="00CF74AD">
        <w:rPr>
          <w:lang w:val="en-AU" w:eastAsia="en-AU"/>
        </w:rPr>
        <w:t xml:space="preserve">considering a differential diagnosis of Lyme disease </w:t>
      </w:r>
      <w:r w:rsidR="0081494A" w:rsidRPr="00CF74AD">
        <w:rPr>
          <w:lang w:val="en-AU" w:eastAsia="en-AU"/>
        </w:rPr>
        <w:t xml:space="preserve">in a patient in Australia are covered </w:t>
      </w:r>
      <w:bookmarkStart w:id="17" w:name="_Toc20221071"/>
      <w:r w:rsidR="001332A0" w:rsidRPr="00CF74AD">
        <w:rPr>
          <w:lang w:val="en-AU" w:eastAsia="en-AU"/>
        </w:rPr>
        <w:t xml:space="preserve">in </w:t>
      </w:r>
      <w:hyperlink w:anchor="Section_311" w:history="1">
        <w:r w:rsidR="00923C1D" w:rsidRPr="000751AF">
          <w:rPr>
            <w:rStyle w:val="Hyperlink"/>
            <w:lang w:val="en-AU" w:eastAsia="en-AU"/>
          </w:rPr>
          <w:t>S</w:t>
        </w:r>
        <w:r w:rsidR="001332A0" w:rsidRPr="000751AF">
          <w:rPr>
            <w:rStyle w:val="Hyperlink"/>
            <w:lang w:val="en-AU" w:eastAsia="en-AU"/>
          </w:rPr>
          <w:t>ection</w:t>
        </w:r>
        <w:r w:rsidR="002E477F" w:rsidRPr="000751AF">
          <w:rPr>
            <w:rStyle w:val="Hyperlink"/>
            <w:lang w:val="en-AU" w:eastAsia="en-AU"/>
          </w:rPr>
          <w:t>s</w:t>
        </w:r>
        <w:r w:rsidR="001332A0" w:rsidRPr="000751AF">
          <w:rPr>
            <w:rStyle w:val="Hyperlink"/>
            <w:lang w:val="en-AU" w:eastAsia="en-AU"/>
          </w:rPr>
          <w:t xml:space="preserve"> 3.1.1</w:t>
        </w:r>
      </w:hyperlink>
      <w:r w:rsidR="001332A0" w:rsidRPr="00CF29E7">
        <w:rPr>
          <w:lang w:val="en-AU" w:eastAsia="en-AU"/>
        </w:rPr>
        <w:t xml:space="preserve"> to </w:t>
      </w:r>
      <w:hyperlink w:anchor="Section_315" w:history="1">
        <w:r w:rsidR="001332A0" w:rsidRPr="000751AF">
          <w:rPr>
            <w:rStyle w:val="Hyperlink"/>
            <w:lang w:val="en-AU" w:eastAsia="en-AU"/>
          </w:rPr>
          <w:t>3.</w:t>
        </w:r>
        <w:r w:rsidR="006F368B" w:rsidRPr="000751AF">
          <w:rPr>
            <w:rStyle w:val="Hyperlink"/>
            <w:lang w:val="en-AU" w:eastAsia="en-AU"/>
          </w:rPr>
          <w:t>1.</w:t>
        </w:r>
        <w:r w:rsidR="006C690C" w:rsidRPr="000751AF">
          <w:rPr>
            <w:rStyle w:val="Hyperlink"/>
            <w:lang w:val="en-AU" w:eastAsia="en-AU"/>
          </w:rPr>
          <w:t>5</w:t>
        </w:r>
      </w:hyperlink>
      <w:r w:rsidR="006F368B" w:rsidRPr="00D621FF">
        <w:rPr>
          <w:lang w:val="en-AU" w:eastAsia="en-AU"/>
        </w:rPr>
        <w:t xml:space="preserve">. </w:t>
      </w:r>
    </w:p>
    <w:p w14:paraId="55F019FA" w14:textId="77777777" w:rsidR="00E043EF" w:rsidRPr="00661245" w:rsidRDefault="00E043EF" w:rsidP="00E043EF">
      <w:pPr>
        <w:pStyle w:val="BodyText"/>
        <w:rPr>
          <w:lang w:val="en-AU"/>
        </w:rPr>
      </w:pPr>
      <w:r w:rsidRPr="00F2704A">
        <w:rPr>
          <w:lang w:val="en-AU"/>
        </w:rPr>
        <w:t>Follow usual clinical practice to manage symptoms, such as analgesia for headaches or muscle pain, in patients being assessed for Lyme disease</w:t>
      </w:r>
      <w:r w:rsidR="006A5A30">
        <w:rPr>
          <w:lang w:val="en-AU"/>
        </w:rPr>
        <w:t>.</w:t>
      </w:r>
      <w:r w:rsidRPr="00A94846">
        <w:rPr>
          <w:rStyle w:val="FootnoteReference"/>
        </w:rPr>
        <w:footnoteReference w:id="19"/>
      </w:r>
      <w:r w:rsidRPr="00F2704A">
        <w:rPr>
          <w:lang w:val="en-AU"/>
        </w:rPr>
        <w:t xml:space="preserve"> </w:t>
      </w:r>
    </w:p>
    <w:p w14:paraId="77217B3C" w14:textId="77777777" w:rsidR="00447FCC" w:rsidRPr="00CF74AD" w:rsidRDefault="00BE09CB" w:rsidP="001332A0">
      <w:pPr>
        <w:pStyle w:val="NumberedHeading3"/>
        <w:rPr>
          <w:lang w:val="en-AU" w:eastAsia="en-AU"/>
        </w:rPr>
      </w:pPr>
      <w:bookmarkStart w:id="18" w:name="_Toc55464772"/>
      <w:r w:rsidRPr="00CF74AD">
        <w:rPr>
          <w:lang w:val="en-AU" w:eastAsia="en-AU"/>
        </w:rPr>
        <w:t>Transmission and geographical distribution of Lyme disease</w:t>
      </w:r>
      <w:bookmarkStart w:id="19" w:name="Section_311"/>
      <w:bookmarkEnd w:id="17"/>
      <w:bookmarkEnd w:id="18"/>
      <w:bookmarkEnd w:id="19"/>
    </w:p>
    <w:p w14:paraId="5A81B0D2" w14:textId="77777777" w:rsidR="00447FCC" w:rsidRPr="00CF74AD" w:rsidRDefault="006C690C" w:rsidP="00447FCC">
      <w:pPr>
        <w:pStyle w:val="BodyText"/>
        <w:rPr>
          <w:lang w:val="en-AU" w:eastAsia="en-AU"/>
        </w:rPr>
      </w:pPr>
      <w:r w:rsidRPr="009569B4">
        <w:rPr>
          <w:lang w:val="en-AU" w:eastAsia="en-AU"/>
        </w:rPr>
        <w:t>Lyme disease is endemic in parts of the USA, Europe and Asia.</w:t>
      </w:r>
      <w:r w:rsidRPr="00F2704A">
        <w:rPr>
          <w:lang w:val="en-AU" w:eastAsia="en-AU"/>
        </w:rPr>
        <w:t xml:space="preserve"> </w:t>
      </w:r>
      <w:r w:rsidR="00447FCC" w:rsidRPr="00661245">
        <w:rPr>
          <w:lang w:val="en-AU" w:eastAsia="en-AU"/>
        </w:rPr>
        <w:t>A person visiting a Lyme</w:t>
      </w:r>
      <w:r w:rsidR="005758B6">
        <w:rPr>
          <w:lang w:val="en-AU" w:eastAsia="en-AU"/>
        </w:rPr>
        <w:t xml:space="preserve"> disease </w:t>
      </w:r>
      <w:r w:rsidR="00447FCC" w:rsidRPr="00661245">
        <w:rPr>
          <w:lang w:val="en-AU" w:eastAsia="en-AU"/>
        </w:rPr>
        <w:t xml:space="preserve">endemic area may become infected with </w:t>
      </w:r>
      <w:r w:rsidR="00447FCC" w:rsidRPr="00CF74AD">
        <w:rPr>
          <w:i/>
          <w:lang w:val="en-AU" w:eastAsia="en-AU"/>
        </w:rPr>
        <w:t>Borrelia burgdorferi</w:t>
      </w:r>
      <w:r w:rsidR="00447FCC" w:rsidRPr="00CF74AD">
        <w:rPr>
          <w:lang w:val="en-AU" w:eastAsia="en-AU"/>
        </w:rPr>
        <w:t xml:space="preserve"> sensu lato through a tick bite and subsequently develop Lyme disease. Overseas travellers to Lyme</w:t>
      </w:r>
      <w:r w:rsidR="005758B6">
        <w:rPr>
          <w:lang w:val="en-AU" w:eastAsia="en-AU"/>
        </w:rPr>
        <w:t xml:space="preserve"> disease </w:t>
      </w:r>
      <w:r w:rsidR="00447FCC" w:rsidRPr="00CF74AD">
        <w:rPr>
          <w:lang w:val="en-AU" w:eastAsia="en-AU"/>
        </w:rPr>
        <w:t xml:space="preserve">endemic areas may return to their home country before becoming symptomatic and/or being diagnosed. </w:t>
      </w:r>
    </w:p>
    <w:p w14:paraId="3C69443A" w14:textId="77777777" w:rsidR="00447FCC" w:rsidRPr="00F2704A" w:rsidRDefault="00447FCC" w:rsidP="00447FCC">
      <w:pPr>
        <w:pStyle w:val="BodyText"/>
        <w:rPr>
          <w:lang w:val="en-AU" w:eastAsia="en-AU"/>
        </w:rPr>
      </w:pPr>
      <w:r w:rsidRPr="00CF74AD">
        <w:rPr>
          <w:lang w:val="en-AU" w:eastAsia="en-AU"/>
        </w:rPr>
        <w:t xml:space="preserve">Lyme disease is an infectious disease that can be transmitted to humans </w:t>
      </w:r>
      <w:r w:rsidR="003C5B4D" w:rsidRPr="00CF74AD">
        <w:rPr>
          <w:lang w:val="en-AU" w:eastAsia="en-AU"/>
        </w:rPr>
        <w:t>who are</w:t>
      </w:r>
      <w:r w:rsidRPr="00CF74AD">
        <w:rPr>
          <w:lang w:val="en-AU" w:eastAsia="en-AU"/>
        </w:rPr>
        <w:t xml:space="preserve"> bitten by a tick carrying </w:t>
      </w:r>
      <w:r w:rsidRPr="00CF74AD">
        <w:rPr>
          <w:lang w:val="en-AU"/>
        </w:rPr>
        <w:t xml:space="preserve">different species of </w:t>
      </w:r>
      <w:r w:rsidRPr="00CF74AD">
        <w:rPr>
          <w:i/>
          <w:iCs/>
          <w:lang w:val="en-AU"/>
        </w:rPr>
        <w:t xml:space="preserve">Borrelia </w:t>
      </w:r>
      <w:r w:rsidRPr="00CF74AD">
        <w:rPr>
          <w:lang w:val="en-AU"/>
        </w:rPr>
        <w:t xml:space="preserve">bacteria (spirochaetes) collectively known as </w:t>
      </w:r>
      <w:r w:rsidRPr="00CF29E7">
        <w:rPr>
          <w:i/>
          <w:lang w:val="en-AU" w:eastAsia="en-AU"/>
        </w:rPr>
        <w:t>Borrelia burgdorferi</w:t>
      </w:r>
      <w:r w:rsidRPr="00CF29E7">
        <w:rPr>
          <w:lang w:val="en-AU" w:eastAsia="en-AU"/>
        </w:rPr>
        <w:t xml:space="preserve"> sensu lato</w:t>
      </w:r>
      <w:r w:rsidR="006A5A30">
        <w:rPr>
          <w:lang w:val="en-AU" w:eastAsia="en-AU"/>
        </w:rPr>
        <w:t>.</w:t>
      </w:r>
      <w:r w:rsidRPr="00A94846">
        <w:rPr>
          <w:rStyle w:val="FootnoteReference"/>
        </w:rPr>
        <w:footnoteReference w:id="20"/>
      </w:r>
      <w:r w:rsidRPr="00F2704A">
        <w:rPr>
          <w:vertAlign w:val="superscript"/>
          <w:lang w:val="en-AU" w:eastAsia="en-AU"/>
        </w:rPr>
        <w:t>,</w:t>
      </w:r>
      <w:r w:rsidR="006A5A30">
        <w:rPr>
          <w:vertAlign w:val="superscript"/>
          <w:lang w:val="en-AU" w:eastAsia="en-AU"/>
        </w:rPr>
        <w:t xml:space="preserve"> </w:t>
      </w:r>
      <w:r w:rsidRPr="00A94846">
        <w:rPr>
          <w:rStyle w:val="FootnoteReference"/>
        </w:rPr>
        <w:footnoteReference w:id="21"/>
      </w:r>
      <w:r w:rsidRPr="00F2704A">
        <w:rPr>
          <w:vertAlign w:val="superscript"/>
          <w:lang w:val="en-AU" w:eastAsia="en-AU"/>
        </w:rPr>
        <w:t>,</w:t>
      </w:r>
      <w:r w:rsidR="006A5A30">
        <w:rPr>
          <w:vertAlign w:val="superscript"/>
          <w:lang w:val="en-AU" w:eastAsia="en-AU"/>
        </w:rPr>
        <w:t xml:space="preserve"> </w:t>
      </w:r>
      <w:r w:rsidRPr="00A94846">
        <w:rPr>
          <w:rStyle w:val="FootnoteReference"/>
        </w:rPr>
        <w:footnoteReference w:id="22"/>
      </w:r>
      <w:r w:rsidRPr="00F2704A">
        <w:rPr>
          <w:vertAlign w:val="superscript"/>
          <w:lang w:val="en-AU" w:eastAsia="en-AU"/>
        </w:rPr>
        <w:t>,</w:t>
      </w:r>
      <w:r w:rsidR="006A5A30">
        <w:rPr>
          <w:vertAlign w:val="superscript"/>
          <w:lang w:val="en-AU" w:eastAsia="en-AU"/>
        </w:rPr>
        <w:t xml:space="preserve"> </w:t>
      </w:r>
      <w:r w:rsidRPr="00A94846">
        <w:rPr>
          <w:rStyle w:val="FootnoteReference"/>
        </w:rPr>
        <w:footnoteReference w:id="23"/>
      </w:r>
      <w:r w:rsidRPr="00F2704A">
        <w:rPr>
          <w:lang w:val="en-AU" w:eastAsia="en-AU"/>
        </w:rPr>
        <w:t xml:space="preserve"> </w:t>
      </w:r>
      <w:r w:rsidR="003C56A3" w:rsidRPr="00661245">
        <w:rPr>
          <w:lang w:val="en-AU" w:eastAsia="en-AU"/>
        </w:rPr>
        <w:t xml:space="preserve">In Lyme disease </w:t>
      </w:r>
      <w:r w:rsidR="00E65018" w:rsidRPr="00661245">
        <w:rPr>
          <w:lang w:val="en-AU" w:eastAsia="en-AU"/>
        </w:rPr>
        <w:t>endemic areas</w:t>
      </w:r>
      <w:r w:rsidR="003C5B4D" w:rsidRPr="00CF74AD">
        <w:rPr>
          <w:lang w:val="en-AU" w:eastAsia="en-AU"/>
        </w:rPr>
        <w:t>,</w:t>
      </w:r>
      <w:r w:rsidR="00E65018" w:rsidRPr="00CF74AD">
        <w:rPr>
          <w:lang w:val="en-AU" w:eastAsia="en-AU"/>
        </w:rPr>
        <w:t xml:space="preserve"> the risk of </w:t>
      </w:r>
      <w:r w:rsidR="00E65018" w:rsidRPr="00CF74AD">
        <w:rPr>
          <w:i/>
          <w:iCs/>
          <w:lang w:val="en-AU" w:eastAsia="en-AU"/>
        </w:rPr>
        <w:t>Borrelia</w:t>
      </w:r>
      <w:r w:rsidR="00E65018" w:rsidRPr="00CF74AD">
        <w:rPr>
          <w:lang w:val="en-AU" w:eastAsia="en-AU"/>
        </w:rPr>
        <w:t xml:space="preserve"> infection </w:t>
      </w:r>
      <w:r w:rsidR="002E0C55" w:rsidRPr="00CF74AD">
        <w:rPr>
          <w:lang w:val="en-AU" w:eastAsia="en-AU"/>
        </w:rPr>
        <w:t xml:space="preserve">after </w:t>
      </w:r>
      <w:r w:rsidR="002E0C55" w:rsidRPr="00CF74AD">
        <w:rPr>
          <w:lang w:val="en-AU" w:eastAsia="en-AU"/>
        </w:rPr>
        <w:lastRenderedPageBreak/>
        <w:t>the bite of an infected tick is low at only 1</w:t>
      </w:r>
      <w:r w:rsidR="009D35EB" w:rsidRPr="00CF74AD">
        <w:rPr>
          <w:lang w:val="en-AU" w:eastAsia="en-AU"/>
        </w:rPr>
        <w:t xml:space="preserve"> </w:t>
      </w:r>
      <w:r w:rsidR="00CF74AD">
        <w:rPr>
          <w:lang w:val="en-AU" w:eastAsia="en-AU"/>
        </w:rPr>
        <w:t>per cent</w:t>
      </w:r>
      <w:r w:rsidR="002E0C55" w:rsidRPr="00CF74AD">
        <w:rPr>
          <w:lang w:val="en-AU" w:eastAsia="en-AU"/>
        </w:rPr>
        <w:t xml:space="preserve"> and 3</w:t>
      </w:r>
      <w:r w:rsidR="009D35EB" w:rsidRPr="00CF74AD">
        <w:rPr>
          <w:lang w:val="en-AU" w:eastAsia="en-AU"/>
        </w:rPr>
        <w:t xml:space="preserve"> </w:t>
      </w:r>
      <w:r w:rsidR="00CF74AD">
        <w:rPr>
          <w:lang w:val="en-AU" w:eastAsia="en-AU"/>
        </w:rPr>
        <w:t>per cent</w:t>
      </w:r>
      <w:r w:rsidR="002E0C55" w:rsidRPr="00CF74AD">
        <w:rPr>
          <w:lang w:val="en-AU" w:eastAsia="en-AU"/>
        </w:rPr>
        <w:t xml:space="preserve"> in </w:t>
      </w:r>
      <w:r w:rsidR="00635115" w:rsidRPr="00CF74AD">
        <w:rPr>
          <w:lang w:val="en-AU" w:eastAsia="en-AU"/>
        </w:rPr>
        <w:t>the United States and 3-12</w:t>
      </w:r>
      <w:r w:rsidR="009D35EB" w:rsidRPr="00CF74AD">
        <w:rPr>
          <w:lang w:val="en-AU" w:eastAsia="en-AU"/>
        </w:rPr>
        <w:t xml:space="preserve"> </w:t>
      </w:r>
      <w:r w:rsidR="00CF74AD">
        <w:rPr>
          <w:lang w:val="en-AU" w:eastAsia="en-AU"/>
        </w:rPr>
        <w:t>per cent</w:t>
      </w:r>
      <w:r w:rsidR="00635115" w:rsidRPr="00CF74AD">
        <w:rPr>
          <w:lang w:val="en-AU" w:eastAsia="en-AU"/>
        </w:rPr>
        <w:t xml:space="preserve"> in Europe</w:t>
      </w:r>
      <w:r w:rsidR="006A5A30">
        <w:rPr>
          <w:lang w:val="en-AU" w:eastAsia="en-AU"/>
        </w:rPr>
        <w:t>.</w:t>
      </w:r>
      <w:r w:rsidR="00635115" w:rsidRPr="00A94846">
        <w:rPr>
          <w:rStyle w:val="FootnoteReference"/>
        </w:rPr>
        <w:footnoteReference w:id="24"/>
      </w:r>
      <w:r w:rsidR="00635115" w:rsidRPr="00F2704A">
        <w:rPr>
          <w:lang w:val="en-AU" w:eastAsia="en-AU"/>
        </w:rPr>
        <w:t xml:space="preserve"> </w:t>
      </w:r>
      <w:r w:rsidR="00687874" w:rsidRPr="00661245">
        <w:rPr>
          <w:lang w:val="en-AU" w:eastAsia="en-AU"/>
        </w:rPr>
        <w:t>The duration of tick attachment is one of the most important predictors of subsequent Lyme disease</w:t>
      </w:r>
      <w:r w:rsidR="005758B6">
        <w:rPr>
          <w:lang w:val="en-AU" w:eastAsia="en-AU"/>
        </w:rPr>
        <w:t>,</w:t>
      </w:r>
      <w:r w:rsidR="00687874" w:rsidRPr="00661245">
        <w:rPr>
          <w:lang w:val="en-AU" w:eastAsia="en-AU"/>
        </w:rPr>
        <w:t xml:space="preserve"> </w:t>
      </w:r>
      <w:r w:rsidR="001E6283" w:rsidRPr="00661245">
        <w:rPr>
          <w:lang w:val="en-AU" w:eastAsia="en-AU"/>
        </w:rPr>
        <w:t xml:space="preserve">with </w:t>
      </w:r>
      <w:r w:rsidR="005758B6">
        <w:rPr>
          <w:lang w:val="en-AU" w:eastAsia="en-AU"/>
        </w:rPr>
        <w:t xml:space="preserve">the risk of  </w:t>
      </w:r>
      <w:r w:rsidR="001E6283" w:rsidRPr="00661245">
        <w:rPr>
          <w:lang w:val="en-AU" w:eastAsia="en-AU"/>
        </w:rPr>
        <w:t>i</w:t>
      </w:r>
      <w:r w:rsidRPr="00CF74AD">
        <w:rPr>
          <w:lang w:val="en-AU" w:eastAsia="en-AU"/>
        </w:rPr>
        <w:t xml:space="preserve">nfection </w:t>
      </w:r>
      <w:r w:rsidR="005758B6">
        <w:rPr>
          <w:lang w:val="en-AU" w:eastAsia="en-AU"/>
        </w:rPr>
        <w:t xml:space="preserve">increasing </w:t>
      </w:r>
      <w:r w:rsidRPr="00CF74AD">
        <w:rPr>
          <w:lang w:val="en-AU" w:eastAsia="en-AU"/>
        </w:rPr>
        <w:t xml:space="preserve"> the longer a tick is attached to the skin</w:t>
      </w:r>
      <w:r w:rsidR="00095860" w:rsidRPr="00CF74AD">
        <w:rPr>
          <w:lang w:val="en-AU" w:eastAsia="en-AU"/>
        </w:rPr>
        <w:t>.</w:t>
      </w:r>
      <w:r w:rsidRPr="00A94846">
        <w:rPr>
          <w:rStyle w:val="FootnoteReference"/>
        </w:rPr>
        <w:footnoteReference w:id="25"/>
      </w:r>
      <w:r w:rsidR="00CE75AB" w:rsidRPr="00F2704A">
        <w:rPr>
          <w:vertAlign w:val="superscript"/>
          <w:lang w:val="en-AU" w:eastAsia="en-AU"/>
        </w:rPr>
        <w:t>,</w:t>
      </w:r>
      <w:r w:rsidR="006A5A30">
        <w:rPr>
          <w:vertAlign w:val="superscript"/>
          <w:lang w:val="en-AU" w:eastAsia="en-AU"/>
        </w:rPr>
        <w:t xml:space="preserve"> </w:t>
      </w:r>
      <w:r w:rsidR="00CE75AB" w:rsidRPr="00A94846">
        <w:rPr>
          <w:rStyle w:val="FootnoteReference"/>
        </w:rPr>
        <w:footnoteReference w:id="26"/>
      </w:r>
      <w:r w:rsidR="001238F2" w:rsidRPr="00F2704A">
        <w:rPr>
          <w:vertAlign w:val="superscript"/>
          <w:lang w:val="en-AU" w:eastAsia="en-AU"/>
        </w:rPr>
        <w:t>,</w:t>
      </w:r>
      <w:r w:rsidR="006A5A30">
        <w:rPr>
          <w:vertAlign w:val="superscript"/>
          <w:lang w:val="en-AU" w:eastAsia="en-AU"/>
        </w:rPr>
        <w:t xml:space="preserve"> </w:t>
      </w:r>
      <w:r w:rsidR="001238F2" w:rsidRPr="00A94846">
        <w:rPr>
          <w:rStyle w:val="FootnoteReference"/>
        </w:rPr>
        <w:footnoteReference w:id="27"/>
      </w:r>
      <w:r w:rsidR="001238F2" w:rsidRPr="00F2704A">
        <w:rPr>
          <w:vertAlign w:val="superscript"/>
          <w:lang w:val="en-AU" w:eastAsia="en-AU"/>
        </w:rPr>
        <w:t>,</w:t>
      </w:r>
      <w:r w:rsidR="006A5A30">
        <w:rPr>
          <w:vertAlign w:val="superscript"/>
          <w:lang w:val="en-AU" w:eastAsia="en-AU"/>
        </w:rPr>
        <w:t xml:space="preserve"> </w:t>
      </w:r>
      <w:r w:rsidR="001238F2" w:rsidRPr="00A94846">
        <w:rPr>
          <w:rStyle w:val="FootnoteReference"/>
        </w:rPr>
        <w:footnoteReference w:id="28"/>
      </w:r>
      <w:r w:rsidRPr="00F2704A">
        <w:rPr>
          <w:lang w:val="en-AU" w:eastAsia="en-AU"/>
        </w:rPr>
        <w:t xml:space="preserve"> The incubation period is typically seven to fourteen days, but may be shorter, or longer (up to 30 days)</w:t>
      </w:r>
      <w:r w:rsidR="00095860" w:rsidRPr="00661245">
        <w:rPr>
          <w:lang w:val="en-AU" w:eastAsia="en-AU"/>
        </w:rPr>
        <w:t>.</w:t>
      </w:r>
      <w:r w:rsidRPr="00A94846">
        <w:rPr>
          <w:rStyle w:val="FootnoteReference"/>
        </w:rPr>
        <w:footnoteReference w:id="29"/>
      </w:r>
    </w:p>
    <w:p w14:paraId="2D6B3A0A" w14:textId="77777777" w:rsidR="00447FCC" w:rsidRPr="00F2704A" w:rsidRDefault="00447FCC" w:rsidP="00447FCC">
      <w:pPr>
        <w:pStyle w:val="BodyText"/>
        <w:rPr>
          <w:lang w:val="en-AU" w:eastAsia="en-AU"/>
        </w:rPr>
      </w:pPr>
      <w:r w:rsidRPr="00CF74AD">
        <w:rPr>
          <w:lang w:val="en-AU" w:eastAsia="en-AU"/>
        </w:rPr>
        <w:t xml:space="preserve">More than 18 spirochaete species comprise the </w:t>
      </w:r>
      <w:r w:rsidRPr="00CF74AD">
        <w:rPr>
          <w:i/>
          <w:iCs/>
          <w:lang w:val="en-AU" w:eastAsia="en-AU"/>
        </w:rPr>
        <w:t xml:space="preserve">B. burgdorferi </w:t>
      </w:r>
      <w:r w:rsidRPr="009569B4">
        <w:rPr>
          <w:iCs/>
          <w:lang w:val="en-AU" w:eastAsia="en-AU"/>
        </w:rPr>
        <w:t>s.l.</w:t>
      </w:r>
      <w:r w:rsidRPr="00CF74AD">
        <w:rPr>
          <w:i/>
          <w:iCs/>
          <w:lang w:val="en-AU" w:eastAsia="en-AU"/>
        </w:rPr>
        <w:t xml:space="preserve"> </w:t>
      </w:r>
      <w:r w:rsidRPr="00CF74AD">
        <w:rPr>
          <w:lang w:val="en-AU" w:eastAsia="en-AU"/>
        </w:rPr>
        <w:t>complex. Four species are found only in North America, eleven species occur in and are restricted to Eurasia and three species occur in North America and Europe</w:t>
      </w:r>
      <w:r w:rsidR="00095860" w:rsidRPr="00CF74AD">
        <w:rPr>
          <w:lang w:val="en-AU" w:eastAsia="en-AU"/>
        </w:rPr>
        <w:t>.</w:t>
      </w:r>
      <w:r w:rsidRPr="00A94846">
        <w:rPr>
          <w:rStyle w:val="FootnoteReference"/>
        </w:rPr>
        <w:footnoteReference w:id="30"/>
      </w:r>
    </w:p>
    <w:p w14:paraId="059E6ABA" w14:textId="77777777" w:rsidR="00447FCC" w:rsidRPr="00661245" w:rsidRDefault="00447FCC" w:rsidP="00447FCC">
      <w:pPr>
        <w:pStyle w:val="BodyText"/>
        <w:spacing w:after="80"/>
        <w:rPr>
          <w:lang w:val="en-AU"/>
        </w:rPr>
      </w:pPr>
      <w:r w:rsidRPr="00661245">
        <w:rPr>
          <w:lang w:val="en-AU"/>
        </w:rPr>
        <w:t>The main species within this group include:</w:t>
      </w:r>
      <w:r w:rsidR="00F13BD0" w:rsidRPr="00A94846">
        <w:rPr>
          <w:rStyle w:val="FootnoteReference"/>
        </w:rPr>
        <w:footnoteReference w:id="31"/>
      </w:r>
      <w:r w:rsidR="00F13BD0" w:rsidRPr="00F2704A">
        <w:rPr>
          <w:vertAlign w:val="superscript"/>
          <w:lang w:val="en-AU"/>
        </w:rPr>
        <w:t>,</w:t>
      </w:r>
      <w:r w:rsidR="006A5A30">
        <w:rPr>
          <w:vertAlign w:val="superscript"/>
          <w:lang w:val="en-AU"/>
        </w:rPr>
        <w:t xml:space="preserve"> </w:t>
      </w:r>
      <w:r w:rsidR="00F13BD0" w:rsidRPr="00A94846">
        <w:rPr>
          <w:rStyle w:val="FootnoteReference"/>
        </w:rPr>
        <w:footnoteReference w:id="32"/>
      </w:r>
      <w:r w:rsidRPr="00F2704A">
        <w:rPr>
          <w:lang w:val="en-AU"/>
        </w:rPr>
        <w:t xml:space="preserve"> </w:t>
      </w:r>
    </w:p>
    <w:p w14:paraId="297113ED" w14:textId="77777777" w:rsidR="00447FCC" w:rsidRPr="00CF74AD" w:rsidRDefault="00447FCC" w:rsidP="00193293">
      <w:pPr>
        <w:pStyle w:val="List-BulletLvl1"/>
        <w:spacing w:after="60"/>
        <w:rPr>
          <w:lang w:val="en-AU"/>
        </w:rPr>
      </w:pPr>
      <w:r w:rsidRPr="00CF74AD">
        <w:rPr>
          <w:i/>
          <w:iCs/>
          <w:lang w:val="en-AU"/>
        </w:rPr>
        <w:t xml:space="preserve">Borrelia burgdorferi </w:t>
      </w:r>
      <w:r w:rsidRPr="00CF74AD">
        <w:rPr>
          <w:iCs/>
          <w:lang w:val="en-AU"/>
        </w:rPr>
        <w:t>sensu stricto</w:t>
      </w:r>
      <w:r w:rsidRPr="00CF74AD">
        <w:rPr>
          <w:i/>
          <w:iCs/>
          <w:lang w:val="en-AU"/>
        </w:rPr>
        <w:t xml:space="preserve"> </w:t>
      </w:r>
      <w:r w:rsidRPr="00CF74AD">
        <w:rPr>
          <w:lang w:val="en-AU"/>
        </w:rPr>
        <w:t>(North America, Europe)</w:t>
      </w:r>
    </w:p>
    <w:p w14:paraId="721620F8" w14:textId="77777777" w:rsidR="00447FCC" w:rsidRPr="00CF74AD" w:rsidRDefault="00447FCC" w:rsidP="00193293">
      <w:pPr>
        <w:pStyle w:val="List-BulletLvl1"/>
        <w:spacing w:after="60"/>
        <w:rPr>
          <w:lang w:val="en-AU"/>
        </w:rPr>
      </w:pPr>
      <w:r w:rsidRPr="00CF74AD">
        <w:rPr>
          <w:i/>
          <w:iCs/>
          <w:lang w:val="en-AU"/>
        </w:rPr>
        <w:t>Borrelia afzelii</w:t>
      </w:r>
      <w:r w:rsidRPr="00CF74AD">
        <w:rPr>
          <w:lang w:val="en-AU"/>
        </w:rPr>
        <w:t xml:space="preserve"> (in Europe, China)</w:t>
      </w:r>
      <w:r w:rsidR="0023424D" w:rsidRPr="00CF74AD">
        <w:rPr>
          <w:lang w:val="en-AU"/>
        </w:rPr>
        <w:t>,</w:t>
      </w:r>
      <w:r w:rsidRPr="00CF74AD">
        <w:rPr>
          <w:lang w:val="en-AU"/>
        </w:rPr>
        <w:t xml:space="preserve"> and </w:t>
      </w:r>
    </w:p>
    <w:p w14:paraId="55FBBAEF" w14:textId="77777777" w:rsidR="00447FCC" w:rsidRPr="00CF74AD" w:rsidRDefault="00447FCC" w:rsidP="00447FCC">
      <w:pPr>
        <w:pStyle w:val="List-BulletLvl1"/>
        <w:rPr>
          <w:lang w:val="en-AU"/>
        </w:rPr>
      </w:pPr>
      <w:r w:rsidRPr="00CF74AD">
        <w:rPr>
          <w:i/>
          <w:iCs/>
          <w:lang w:val="en-AU"/>
        </w:rPr>
        <w:t>Borrelia garinii</w:t>
      </w:r>
      <w:r w:rsidRPr="00CF74AD">
        <w:rPr>
          <w:lang w:val="en-AU"/>
        </w:rPr>
        <w:t xml:space="preserve"> (in Europe, Asia)</w:t>
      </w:r>
      <w:r w:rsidR="00095860" w:rsidRPr="00CF74AD">
        <w:rPr>
          <w:lang w:val="en-AU"/>
        </w:rPr>
        <w:t>.</w:t>
      </w:r>
    </w:p>
    <w:p w14:paraId="353F51F2" w14:textId="77777777" w:rsidR="00447FCC" w:rsidRPr="00661245" w:rsidRDefault="00447FCC" w:rsidP="00447FCC">
      <w:pPr>
        <w:pStyle w:val="BodyText"/>
        <w:rPr>
          <w:lang w:val="en-AU" w:eastAsia="en-AU"/>
        </w:rPr>
      </w:pPr>
      <w:r w:rsidRPr="00CF74AD">
        <w:rPr>
          <w:lang w:val="en-AU"/>
        </w:rPr>
        <w:t>Of the three main genospecies</w:t>
      </w:r>
      <w:r w:rsidR="006C0AFA">
        <w:rPr>
          <w:lang w:val="en-AU"/>
        </w:rPr>
        <w:t>,</w:t>
      </w:r>
      <w:r w:rsidRPr="00CF74AD">
        <w:rPr>
          <w:lang w:val="en-AU"/>
        </w:rPr>
        <w:t xml:space="preserve"> </w:t>
      </w:r>
      <w:r w:rsidRPr="00CF74AD">
        <w:rPr>
          <w:i/>
          <w:iCs/>
          <w:lang w:val="en-AU"/>
        </w:rPr>
        <w:t xml:space="preserve">B. garinii </w:t>
      </w:r>
      <w:r w:rsidRPr="00CF74AD">
        <w:rPr>
          <w:lang w:val="en-AU"/>
        </w:rPr>
        <w:t xml:space="preserve">and </w:t>
      </w:r>
      <w:r w:rsidRPr="00CF29E7">
        <w:rPr>
          <w:i/>
          <w:iCs/>
          <w:lang w:val="en-AU"/>
        </w:rPr>
        <w:t xml:space="preserve">B. afzelii </w:t>
      </w:r>
      <w:r w:rsidRPr="00CF29E7">
        <w:rPr>
          <w:lang w:val="en-AU"/>
        </w:rPr>
        <w:t xml:space="preserve">are antigenically distinct from </w:t>
      </w:r>
      <w:r w:rsidRPr="00D621FF">
        <w:rPr>
          <w:i/>
          <w:iCs/>
          <w:lang w:val="en-AU"/>
        </w:rPr>
        <w:t>B. burgdorferi</w:t>
      </w:r>
      <w:r w:rsidRPr="00FA6D54">
        <w:rPr>
          <w:iCs/>
          <w:lang w:val="en-AU"/>
        </w:rPr>
        <w:t xml:space="preserve"> s.s.</w:t>
      </w:r>
      <w:r w:rsidRPr="00F2704A">
        <w:rPr>
          <w:i/>
          <w:iCs/>
          <w:lang w:val="en-AU"/>
        </w:rPr>
        <w:t xml:space="preserve"> </w:t>
      </w:r>
      <w:r w:rsidRPr="00F2704A">
        <w:rPr>
          <w:lang w:val="en-AU"/>
        </w:rPr>
        <w:t>which may account for the variation in clinical presentation in different geographic regions</w:t>
      </w:r>
      <w:r w:rsidR="00095860" w:rsidRPr="00F2704A">
        <w:rPr>
          <w:lang w:val="en-AU"/>
        </w:rPr>
        <w:t>.</w:t>
      </w:r>
      <w:r w:rsidRPr="00A94846">
        <w:rPr>
          <w:rStyle w:val="FootnoteReference"/>
        </w:rPr>
        <w:footnoteReference w:id="33"/>
      </w:r>
      <w:r w:rsidRPr="00F2704A">
        <w:rPr>
          <w:lang w:val="en-AU"/>
        </w:rPr>
        <w:t xml:space="preserve"> </w:t>
      </w:r>
    </w:p>
    <w:p w14:paraId="593772B3" w14:textId="77777777" w:rsidR="00447FCC" w:rsidRPr="00661245" w:rsidRDefault="00447FCC" w:rsidP="00447FCC">
      <w:pPr>
        <w:pStyle w:val="BodyText"/>
        <w:rPr>
          <w:lang w:val="en-AU"/>
        </w:rPr>
      </w:pPr>
      <w:r w:rsidRPr="00CF74AD">
        <w:rPr>
          <w:lang w:val="en-AU"/>
        </w:rPr>
        <w:t xml:space="preserve">Less common species known to cause Lyme borreliosis include </w:t>
      </w:r>
      <w:r w:rsidRPr="00CF74AD">
        <w:rPr>
          <w:i/>
          <w:iCs/>
          <w:lang w:val="en-AU"/>
        </w:rPr>
        <w:t>B. bavariensis</w:t>
      </w:r>
      <w:r w:rsidRPr="00CF74AD">
        <w:rPr>
          <w:lang w:val="en-AU"/>
        </w:rPr>
        <w:t xml:space="preserve"> (in Europe), </w:t>
      </w:r>
      <w:r w:rsidRPr="00CF74AD">
        <w:rPr>
          <w:i/>
          <w:iCs/>
          <w:lang w:val="en-AU"/>
        </w:rPr>
        <w:t xml:space="preserve">B. bissetiae </w:t>
      </w:r>
      <w:r w:rsidRPr="00CF74AD">
        <w:rPr>
          <w:lang w:val="en-AU"/>
        </w:rPr>
        <w:t xml:space="preserve">(United States, Europe), </w:t>
      </w:r>
      <w:r w:rsidRPr="00CF74AD">
        <w:rPr>
          <w:i/>
          <w:iCs/>
          <w:lang w:val="en-AU"/>
        </w:rPr>
        <w:t>B. lusitaniae</w:t>
      </w:r>
      <w:r w:rsidRPr="00CF74AD">
        <w:rPr>
          <w:lang w:val="en-AU"/>
        </w:rPr>
        <w:t xml:space="preserve"> (Europe), </w:t>
      </w:r>
      <w:r w:rsidRPr="00CF74AD">
        <w:rPr>
          <w:i/>
          <w:iCs/>
          <w:lang w:val="en-AU"/>
        </w:rPr>
        <w:t>B. mayonii</w:t>
      </w:r>
      <w:r w:rsidRPr="00CF74AD">
        <w:rPr>
          <w:lang w:val="en-AU"/>
        </w:rPr>
        <w:t xml:space="preserve"> (in mid-west USA), </w:t>
      </w:r>
      <w:r w:rsidRPr="00CF74AD">
        <w:rPr>
          <w:i/>
          <w:iCs/>
          <w:lang w:val="en-AU"/>
        </w:rPr>
        <w:t>B.</w:t>
      </w:r>
      <w:r w:rsidRPr="00CF74AD">
        <w:rPr>
          <w:lang w:val="en-AU"/>
        </w:rPr>
        <w:t xml:space="preserve"> </w:t>
      </w:r>
      <w:r w:rsidRPr="00CF74AD">
        <w:rPr>
          <w:i/>
          <w:iCs/>
          <w:lang w:val="en-AU"/>
        </w:rPr>
        <w:t xml:space="preserve">spielmanii </w:t>
      </w:r>
      <w:r w:rsidRPr="00CF74AD">
        <w:rPr>
          <w:lang w:val="en-AU"/>
        </w:rPr>
        <w:t xml:space="preserve">(Europe), </w:t>
      </w:r>
      <w:r w:rsidRPr="00CF74AD">
        <w:rPr>
          <w:i/>
          <w:iCs/>
          <w:lang w:val="en-AU"/>
        </w:rPr>
        <w:t>B. valaisiana</w:t>
      </w:r>
      <w:r w:rsidRPr="00CF74AD">
        <w:rPr>
          <w:lang w:val="en-AU"/>
        </w:rPr>
        <w:t xml:space="preserve"> (Europe, Asia)</w:t>
      </w:r>
      <w:r w:rsidR="007F33A7" w:rsidRPr="00CF74AD">
        <w:rPr>
          <w:lang w:val="en-AU"/>
        </w:rPr>
        <w:t>.</w:t>
      </w:r>
      <w:r w:rsidRPr="00A94846">
        <w:rPr>
          <w:rStyle w:val="FootnoteReference"/>
        </w:rPr>
        <w:footnoteReference w:id="34"/>
      </w:r>
      <w:r w:rsidRPr="00F2704A">
        <w:rPr>
          <w:lang w:val="en-AU"/>
        </w:rPr>
        <w:t xml:space="preserve"> </w:t>
      </w:r>
    </w:p>
    <w:p w14:paraId="3F38294D" w14:textId="77777777" w:rsidR="00447FCC" w:rsidRPr="00F15D96" w:rsidRDefault="006C690C" w:rsidP="00447FCC">
      <w:pPr>
        <w:pStyle w:val="BodyText"/>
        <w:rPr>
          <w:lang w:val="en-AU" w:eastAsia="en-AU"/>
        </w:rPr>
      </w:pPr>
      <w:r w:rsidRPr="00CF74AD">
        <w:rPr>
          <w:lang w:val="en-AU" w:eastAsia="en-AU"/>
        </w:rPr>
        <w:t>Lyme disease is found in high rates in endemic areas, mainly the north east of the USA, some areas of Europe including the U</w:t>
      </w:r>
      <w:r w:rsidR="006C0AFA">
        <w:rPr>
          <w:lang w:val="en-AU" w:eastAsia="en-AU"/>
        </w:rPr>
        <w:t>nited Kingdom (U</w:t>
      </w:r>
      <w:r w:rsidRPr="00CF74AD">
        <w:rPr>
          <w:lang w:val="en-AU" w:eastAsia="en-AU"/>
        </w:rPr>
        <w:t>K</w:t>
      </w:r>
      <w:r w:rsidR="006C0AFA">
        <w:rPr>
          <w:lang w:val="en-AU" w:eastAsia="en-AU"/>
        </w:rPr>
        <w:t>)</w:t>
      </w:r>
      <w:r w:rsidRPr="00CF74AD">
        <w:rPr>
          <w:lang w:val="en-AU" w:eastAsia="en-AU"/>
        </w:rPr>
        <w:t xml:space="preserve"> and some parts of Asia</w:t>
      </w:r>
      <w:r w:rsidR="007F33A7" w:rsidRPr="00CF74AD">
        <w:rPr>
          <w:lang w:val="en-AU" w:eastAsia="en-AU"/>
        </w:rPr>
        <w:t>.</w:t>
      </w:r>
      <w:r w:rsidRPr="00A94846">
        <w:rPr>
          <w:rStyle w:val="FootnoteReference"/>
        </w:rPr>
        <w:footnoteReference w:id="35"/>
      </w:r>
      <w:r w:rsidR="00F423EB" w:rsidRPr="00F2704A">
        <w:rPr>
          <w:lang w:val="en-AU" w:eastAsia="en-AU"/>
        </w:rPr>
        <w:t xml:space="preserve"> </w:t>
      </w:r>
      <w:r w:rsidR="00447FCC" w:rsidRPr="00661245">
        <w:rPr>
          <w:lang w:val="en-AU"/>
        </w:rPr>
        <w:t>Almost all confirmed cases of Lyme disease have occurred in the Northern Hemisphere</w:t>
      </w:r>
      <w:r w:rsidR="007F33A7" w:rsidRPr="00661245">
        <w:rPr>
          <w:lang w:val="en-AU"/>
        </w:rPr>
        <w:t>.</w:t>
      </w:r>
      <w:r w:rsidR="00447FCC" w:rsidRPr="00A94846">
        <w:rPr>
          <w:rStyle w:val="FootnoteReference"/>
        </w:rPr>
        <w:footnoteReference w:id="36"/>
      </w:r>
      <w:r w:rsidR="00447FCC" w:rsidRPr="00F2704A">
        <w:rPr>
          <w:lang w:val="en-AU"/>
        </w:rPr>
        <w:t xml:space="preserve"> The majority of cases come from the United States and Europe (including the European part of Russia), with far fewer cases from Asia and some from North Africa</w:t>
      </w:r>
      <w:r w:rsidR="007F33A7" w:rsidRPr="00661245">
        <w:rPr>
          <w:lang w:val="en-AU"/>
        </w:rPr>
        <w:t>.</w:t>
      </w:r>
      <w:r w:rsidR="001A2D42" w:rsidRPr="00A94846">
        <w:rPr>
          <w:rStyle w:val="FootnoteReference"/>
        </w:rPr>
        <w:footnoteReference w:id="37"/>
      </w:r>
      <w:r w:rsidR="00F423EB" w:rsidRPr="00661245">
        <w:rPr>
          <w:lang w:val="en-AU"/>
        </w:rPr>
        <w:t xml:space="preserve"> </w:t>
      </w:r>
    </w:p>
    <w:p w14:paraId="68953481" w14:textId="77777777" w:rsidR="00447FCC" w:rsidRPr="00661245" w:rsidRDefault="00447FCC" w:rsidP="00447FCC">
      <w:pPr>
        <w:pStyle w:val="BodyText"/>
        <w:rPr>
          <w:lang w:val="en-AU"/>
        </w:rPr>
      </w:pPr>
      <w:r w:rsidRPr="00F2704A">
        <w:rPr>
          <w:lang w:val="en-AU"/>
        </w:rPr>
        <w:t xml:space="preserve">In the </w:t>
      </w:r>
      <w:r w:rsidRPr="00661245">
        <w:rPr>
          <w:b/>
          <w:bCs/>
          <w:lang w:val="en-AU"/>
        </w:rPr>
        <w:t>United States</w:t>
      </w:r>
      <w:r w:rsidRPr="00661245">
        <w:rPr>
          <w:lang w:val="en-AU"/>
        </w:rPr>
        <w:t>, the Northeast,</w:t>
      </w:r>
      <w:r w:rsidR="00B15834" w:rsidRPr="00CF74AD">
        <w:rPr>
          <w:lang w:val="en-AU"/>
        </w:rPr>
        <w:t xml:space="preserve"> the</w:t>
      </w:r>
      <w:r w:rsidRPr="00CF74AD">
        <w:rPr>
          <w:lang w:val="en-AU"/>
        </w:rPr>
        <w:t xml:space="preserve"> mid-Atlantic region and </w:t>
      </w:r>
      <w:r w:rsidR="00B15834" w:rsidRPr="00CF74AD">
        <w:rPr>
          <w:lang w:val="en-AU"/>
        </w:rPr>
        <w:t xml:space="preserve">the </w:t>
      </w:r>
      <w:r w:rsidRPr="00CF74AD">
        <w:rPr>
          <w:lang w:val="en-AU"/>
        </w:rPr>
        <w:t xml:space="preserve">upper Midwest are the prime areas of endemicity and ten states (Connecticut, Delaware, </w:t>
      </w:r>
      <w:r w:rsidR="005F606B" w:rsidRPr="00CF74AD">
        <w:rPr>
          <w:lang w:val="en-AU"/>
        </w:rPr>
        <w:t xml:space="preserve">Maryland, </w:t>
      </w:r>
      <w:r w:rsidRPr="00CF74AD">
        <w:rPr>
          <w:lang w:val="en-AU"/>
        </w:rPr>
        <w:t xml:space="preserve">Massachusetts, Minnesota, New Jersey, New York, Pennsylvania, Rhode Island and Wisconsin) account for ≥93 </w:t>
      </w:r>
      <w:r w:rsidR="00CF74AD">
        <w:rPr>
          <w:lang w:val="en-AU"/>
        </w:rPr>
        <w:t>per cent</w:t>
      </w:r>
      <w:r w:rsidRPr="00CF74AD">
        <w:rPr>
          <w:lang w:val="en-AU"/>
        </w:rPr>
        <w:t xml:space="preserve"> of annual cases</w:t>
      </w:r>
      <w:r w:rsidR="007F33A7" w:rsidRPr="00CF74AD">
        <w:rPr>
          <w:lang w:val="en-AU"/>
        </w:rPr>
        <w:t>.</w:t>
      </w:r>
      <w:r w:rsidR="00551AB6" w:rsidRPr="00A94846">
        <w:rPr>
          <w:rStyle w:val="FootnoteReference"/>
        </w:rPr>
        <w:footnoteReference w:id="38"/>
      </w:r>
      <w:r w:rsidRPr="00F2704A">
        <w:rPr>
          <w:lang w:val="en-AU"/>
        </w:rPr>
        <w:t xml:space="preserve"> </w:t>
      </w:r>
      <w:r w:rsidR="005F606B">
        <w:rPr>
          <w:lang w:val="en-AU"/>
        </w:rPr>
        <w:t xml:space="preserve"> </w:t>
      </w:r>
    </w:p>
    <w:p w14:paraId="3F0C2848" w14:textId="77777777" w:rsidR="00D86995" w:rsidRPr="00F2704A" w:rsidRDefault="00447FCC" w:rsidP="00447FCC">
      <w:pPr>
        <w:pStyle w:val="BodyText"/>
        <w:rPr>
          <w:lang w:val="en-AU"/>
        </w:rPr>
      </w:pPr>
      <w:r w:rsidRPr="00CF74AD">
        <w:rPr>
          <w:lang w:val="en-AU"/>
        </w:rPr>
        <w:t xml:space="preserve">In most of </w:t>
      </w:r>
      <w:r w:rsidRPr="00CF74AD">
        <w:rPr>
          <w:b/>
          <w:bCs/>
          <w:lang w:val="en-AU"/>
        </w:rPr>
        <w:t>Europe</w:t>
      </w:r>
      <w:r w:rsidR="00C64D01">
        <w:rPr>
          <w:b/>
          <w:bCs/>
          <w:lang w:val="en-AU"/>
        </w:rPr>
        <w:t>,</w:t>
      </w:r>
      <w:r w:rsidRPr="00CF74AD">
        <w:rPr>
          <w:lang w:val="en-AU"/>
        </w:rPr>
        <w:t xml:space="preserve"> while Lyme disease is not a reportable disease and available data are less reliable, Lyme disease is highly endemic in much of Europe</w:t>
      </w:r>
      <w:r w:rsidR="006C690C" w:rsidRPr="00CF74AD">
        <w:rPr>
          <w:lang w:val="en-AU"/>
        </w:rPr>
        <w:t>. T</w:t>
      </w:r>
      <w:r w:rsidRPr="00CF74AD">
        <w:rPr>
          <w:lang w:val="en-AU"/>
        </w:rPr>
        <w:t xml:space="preserve">he highest incidence </w:t>
      </w:r>
      <w:r w:rsidR="006C690C" w:rsidRPr="00CF74AD">
        <w:rPr>
          <w:lang w:val="en-AU"/>
        </w:rPr>
        <w:t xml:space="preserve">is </w:t>
      </w:r>
      <w:r w:rsidRPr="00CF74AD">
        <w:rPr>
          <w:lang w:val="en-AU"/>
        </w:rPr>
        <w:t>reported from southern Sweden, Lithuania, Germany, Austria, and Slovenia with the total number of annual cases in Europe estimated to be about three-fold higher than the number of cases reported to the C</w:t>
      </w:r>
      <w:r w:rsidR="00D46C1D" w:rsidRPr="00CF74AD">
        <w:rPr>
          <w:lang w:val="en-AU"/>
        </w:rPr>
        <w:t>enter</w:t>
      </w:r>
      <w:r w:rsidR="00291065">
        <w:rPr>
          <w:lang w:val="en-AU"/>
        </w:rPr>
        <w:t>s</w:t>
      </w:r>
      <w:r w:rsidR="00D46C1D" w:rsidRPr="00CF74AD">
        <w:rPr>
          <w:lang w:val="en-AU"/>
        </w:rPr>
        <w:t xml:space="preserve"> for Disease Control and Prevention (C</w:t>
      </w:r>
      <w:r w:rsidRPr="00CF74AD">
        <w:rPr>
          <w:lang w:val="en-AU"/>
        </w:rPr>
        <w:t>DC</w:t>
      </w:r>
      <w:r w:rsidR="00D46C1D" w:rsidRPr="00CF74AD">
        <w:rPr>
          <w:lang w:val="en-AU"/>
        </w:rPr>
        <w:t>)</w:t>
      </w:r>
      <w:r w:rsidR="007F33A7" w:rsidRPr="00CF74AD">
        <w:rPr>
          <w:lang w:val="en-AU"/>
        </w:rPr>
        <w:t>.</w:t>
      </w:r>
      <w:r w:rsidRPr="00A94846">
        <w:rPr>
          <w:rStyle w:val="FootnoteReference"/>
        </w:rPr>
        <w:footnoteReference w:id="39"/>
      </w:r>
      <w:r w:rsidRPr="00F2704A">
        <w:rPr>
          <w:lang w:val="en-AU"/>
        </w:rPr>
        <w:t xml:space="preserve"> Infected ticks are found throughout the UK </w:t>
      </w:r>
      <w:r w:rsidRPr="00F2704A">
        <w:rPr>
          <w:lang w:val="en-AU"/>
        </w:rPr>
        <w:lastRenderedPageBreak/>
        <w:t>and Ireland, with particularly high</w:t>
      </w:r>
      <w:r w:rsidR="006C690C" w:rsidRPr="00661245">
        <w:rPr>
          <w:lang w:val="en-AU"/>
        </w:rPr>
        <w:t xml:space="preserve"> </w:t>
      </w:r>
      <w:r w:rsidRPr="00CF74AD">
        <w:rPr>
          <w:lang w:val="en-AU"/>
        </w:rPr>
        <w:t>risk areas being the South of England and the Scottish highlands</w:t>
      </w:r>
      <w:r w:rsidR="007F33A7" w:rsidRPr="00CF74AD">
        <w:rPr>
          <w:lang w:val="en-AU"/>
        </w:rPr>
        <w:t>.</w:t>
      </w:r>
      <w:r w:rsidRPr="00A94846">
        <w:rPr>
          <w:rStyle w:val="FootnoteReference"/>
        </w:rPr>
        <w:footnoteReference w:id="40"/>
      </w:r>
    </w:p>
    <w:p w14:paraId="50722FD1" w14:textId="77777777" w:rsidR="00447FCC" w:rsidRPr="00CF74AD" w:rsidRDefault="00447FCC" w:rsidP="00447FCC">
      <w:pPr>
        <w:pStyle w:val="BodyText"/>
        <w:rPr>
          <w:b/>
          <w:bCs/>
          <w:i/>
          <w:iCs/>
          <w:lang w:val="en-AU"/>
        </w:rPr>
      </w:pPr>
      <w:r w:rsidRPr="00CF74AD">
        <w:rPr>
          <w:b/>
          <w:bCs/>
          <w:i/>
          <w:iCs/>
          <w:lang w:val="en-AU"/>
        </w:rPr>
        <w:t>Transmission in pregnancy, sexual contact or blood products</w:t>
      </w:r>
    </w:p>
    <w:p w14:paraId="47A140B6" w14:textId="77777777" w:rsidR="00B3725F" w:rsidRDefault="00B3725F" w:rsidP="00447FCC">
      <w:pPr>
        <w:pStyle w:val="BodyText"/>
        <w:rPr>
          <w:lang w:val="en-AU"/>
        </w:rPr>
      </w:pPr>
      <w:r w:rsidRPr="00B3725F">
        <w:rPr>
          <w:lang w:val="en-AU"/>
        </w:rPr>
        <w:t>The Australian Government Department of Health advises that because there is no person-to-person transmission of classical Lyme disease, the risk to Australia and Australians is low.</w:t>
      </w:r>
      <w:r w:rsidR="005B00B1" w:rsidRPr="00A94846">
        <w:rPr>
          <w:rStyle w:val="FootnoteReference"/>
        </w:rPr>
        <w:footnoteReference w:id="41"/>
      </w:r>
    </w:p>
    <w:p w14:paraId="103C7384" w14:textId="77777777" w:rsidR="00BF692C" w:rsidRPr="00661245" w:rsidRDefault="00447FCC" w:rsidP="00447FCC">
      <w:pPr>
        <w:pStyle w:val="BodyText"/>
        <w:rPr>
          <w:b/>
          <w:bCs/>
          <w:lang w:val="en-AU"/>
        </w:rPr>
      </w:pPr>
      <w:r w:rsidRPr="00CF74AD">
        <w:rPr>
          <w:lang w:val="en-AU"/>
        </w:rPr>
        <w:t xml:space="preserve">An evidence-based review of person-to-person transmission of Lyme disease to inform the 2018 NICE </w:t>
      </w:r>
      <w:r w:rsidR="0049254E" w:rsidRPr="00CF74AD">
        <w:rPr>
          <w:lang w:val="en-AU"/>
        </w:rPr>
        <w:t xml:space="preserve">Lyme disease </w:t>
      </w:r>
      <w:r w:rsidRPr="00CF74AD">
        <w:rPr>
          <w:lang w:val="en-AU"/>
        </w:rPr>
        <w:t>guideline acknowledged that mother-to-baby transmission of Lyme disease is possible in theory. However, while there was an absence of evidence, the risk appears to be very low</w:t>
      </w:r>
      <w:r w:rsidR="007F33A7" w:rsidRPr="00CF74AD">
        <w:rPr>
          <w:lang w:val="en-AU"/>
        </w:rPr>
        <w:t>.</w:t>
      </w:r>
      <w:r w:rsidRPr="00A94846">
        <w:rPr>
          <w:rStyle w:val="FootnoteReference"/>
        </w:rPr>
        <w:footnoteReference w:id="42"/>
      </w:r>
      <w:r w:rsidRPr="00F2704A">
        <w:rPr>
          <w:lang w:val="en-AU"/>
        </w:rPr>
        <w:t xml:space="preserve"> </w:t>
      </w:r>
      <w:r w:rsidR="001D5B2C" w:rsidRPr="00661245">
        <w:rPr>
          <w:lang w:val="en-AU"/>
        </w:rPr>
        <w:t xml:space="preserve">The review included eight cohort studies, </w:t>
      </w:r>
      <w:r w:rsidR="0016548F" w:rsidRPr="00CF74AD">
        <w:rPr>
          <w:lang w:val="en-AU"/>
        </w:rPr>
        <w:t xml:space="preserve">two case-control studies and two case series that reported outcomes related to vertical transmission (transmission of the pathogen directly from the mother to an embryo, fetus or baby during pregnancy or childbirth). Overall, the NICE guideline committee considered the evidence inconclusive in terms of </w:t>
      </w:r>
      <w:r w:rsidR="00D50D8F" w:rsidRPr="00CF74AD">
        <w:rPr>
          <w:lang w:val="en-AU"/>
        </w:rPr>
        <w:t>identifying</w:t>
      </w:r>
      <w:r w:rsidR="0016548F" w:rsidRPr="00CF74AD">
        <w:rPr>
          <w:lang w:val="en-AU"/>
        </w:rPr>
        <w:t xml:space="preserve"> the risk of vertical transmission of Lyme disease and emphasised that there is a lack of good quality evidence in the area, but the risk appears to be very low. While the committee considered that vertical transmission is not impossible, </w:t>
      </w:r>
      <w:r w:rsidR="0016548F" w:rsidRPr="00CF74AD">
        <w:rPr>
          <w:b/>
          <w:bCs/>
          <w:lang w:val="en-AU"/>
        </w:rPr>
        <w:t>no strong causal link between a maternal Lyme disease infection and adverse pregnancy outcomes could be found.</w:t>
      </w:r>
      <w:r w:rsidR="00CF5F66" w:rsidRPr="00CF74AD">
        <w:rPr>
          <w:b/>
          <w:bCs/>
          <w:lang w:val="en-AU"/>
        </w:rPr>
        <w:t xml:space="preserve"> </w:t>
      </w:r>
      <w:r w:rsidR="00CF5F66" w:rsidRPr="00CF74AD">
        <w:rPr>
          <w:lang w:val="en-AU"/>
        </w:rPr>
        <w:t>As such, the guideline committee recommended that women</w:t>
      </w:r>
      <w:r w:rsidR="00010C36" w:rsidRPr="00CF74AD">
        <w:rPr>
          <w:lang w:val="en-AU"/>
        </w:rPr>
        <w:t xml:space="preserve"> diagnosed with Lyme disease during pregnancy follow the same clinical pathway as the r</w:t>
      </w:r>
      <w:r w:rsidR="001C483B" w:rsidRPr="00CF74AD">
        <w:rPr>
          <w:lang w:val="en-AU"/>
        </w:rPr>
        <w:t>e</w:t>
      </w:r>
      <w:r w:rsidR="00010C36" w:rsidRPr="00CF74AD">
        <w:rPr>
          <w:lang w:val="en-AU"/>
        </w:rPr>
        <w:t xml:space="preserve">st of the population, except for choice of </w:t>
      </w:r>
      <w:r w:rsidR="00D50D8F" w:rsidRPr="00CF74AD">
        <w:rPr>
          <w:lang w:val="en-AU"/>
        </w:rPr>
        <w:t>antibiotic</w:t>
      </w:r>
      <w:r w:rsidR="00010C36" w:rsidRPr="00CF74AD">
        <w:rPr>
          <w:lang w:val="en-AU"/>
        </w:rPr>
        <w:t xml:space="preserve"> treatment (using amoxicillin as first line rather than doxycycline) and an individual discussion about the potential risk of vertical transmission.</w:t>
      </w:r>
      <w:r w:rsidR="00BF692C" w:rsidRPr="00A94846">
        <w:rPr>
          <w:rStyle w:val="FootnoteReference"/>
        </w:rPr>
        <w:footnoteReference w:id="43"/>
      </w:r>
      <w:r w:rsidR="0016548F" w:rsidRPr="00F2704A">
        <w:rPr>
          <w:lang w:val="en-AU"/>
        </w:rPr>
        <w:t xml:space="preserve"> </w:t>
      </w:r>
    </w:p>
    <w:p w14:paraId="7A2849EB" w14:textId="77777777" w:rsidR="00447FCC" w:rsidRPr="00F2704A" w:rsidRDefault="00BF692C" w:rsidP="00447FCC">
      <w:pPr>
        <w:pStyle w:val="BodyText"/>
        <w:rPr>
          <w:lang w:val="en-AU"/>
        </w:rPr>
      </w:pPr>
      <w:r w:rsidRPr="00CF74AD">
        <w:rPr>
          <w:lang w:val="en-AU"/>
        </w:rPr>
        <w:t>Additionally,</w:t>
      </w:r>
      <w:r w:rsidRPr="00CF74AD">
        <w:rPr>
          <w:b/>
          <w:bCs/>
          <w:lang w:val="en-AU"/>
        </w:rPr>
        <w:t xml:space="preserve"> </w:t>
      </w:r>
      <w:r w:rsidR="00447FCC" w:rsidRPr="00CF74AD">
        <w:rPr>
          <w:lang w:val="en-AU"/>
        </w:rPr>
        <w:t>NICE found no evidence for transmission of Lyme disease through sexual contact or blood products</w:t>
      </w:r>
      <w:r w:rsidRPr="00CF74AD">
        <w:rPr>
          <w:lang w:val="en-AU"/>
        </w:rPr>
        <w:t>.</w:t>
      </w:r>
      <w:r w:rsidR="00447FCC" w:rsidRPr="00A94846">
        <w:rPr>
          <w:rStyle w:val="FootnoteReference"/>
        </w:rPr>
        <w:footnoteReference w:id="44"/>
      </w:r>
    </w:p>
    <w:p w14:paraId="76A8BAB2" w14:textId="77777777" w:rsidR="00B846FA" w:rsidRPr="00CF74AD" w:rsidRDefault="00B846FA" w:rsidP="001E13B8">
      <w:pPr>
        <w:pStyle w:val="NumberedHeading3"/>
        <w:rPr>
          <w:lang w:val="en-AU"/>
        </w:rPr>
      </w:pPr>
      <w:bookmarkStart w:id="20" w:name="_Toc20086246"/>
      <w:bookmarkStart w:id="21" w:name="_Toc16786162"/>
      <w:bookmarkStart w:id="22" w:name="_Toc16863012"/>
      <w:bookmarkStart w:id="23" w:name="_Toc16869518"/>
      <w:bookmarkStart w:id="24" w:name="_Toc20047265"/>
      <w:bookmarkStart w:id="25" w:name="_Toc20056680"/>
      <w:bookmarkStart w:id="26" w:name="_Toc20063038"/>
      <w:bookmarkStart w:id="27" w:name="_Toc20086247"/>
      <w:bookmarkStart w:id="28" w:name="_Toc20137575"/>
      <w:bookmarkStart w:id="29" w:name="_Toc20221072"/>
      <w:bookmarkStart w:id="30" w:name="_Toc55464773"/>
      <w:bookmarkEnd w:id="20"/>
      <w:r w:rsidRPr="00CF74AD">
        <w:rPr>
          <w:lang w:val="en-AU"/>
        </w:rPr>
        <w:t>Clinical presentation of Lyme disease</w:t>
      </w:r>
      <w:bookmarkEnd w:id="21"/>
      <w:bookmarkEnd w:id="22"/>
      <w:bookmarkEnd w:id="23"/>
      <w:bookmarkEnd w:id="24"/>
      <w:bookmarkEnd w:id="25"/>
      <w:bookmarkEnd w:id="26"/>
      <w:bookmarkEnd w:id="27"/>
      <w:bookmarkEnd w:id="28"/>
      <w:bookmarkEnd w:id="29"/>
      <w:bookmarkEnd w:id="30"/>
      <w:r w:rsidRPr="00CF74AD">
        <w:rPr>
          <w:lang w:val="en-AU"/>
        </w:rPr>
        <w:t xml:space="preserve"> </w:t>
      </w:r>
    </w:p>
    <w:p w14:paraId="420F4875" w14:textId="77777777" w:rsidR="003A02D9" w:rsidRPr="00CF74AD" w:rsidRDefault="007C5D97" w:rsidP="00A50E21">
      <w:pPr>
        <w:pStyle w:val="BodyText"/>
        <w:rPr>
          <w:lang w:val="en-AU"/>
        </w:rPr>
      </w:pPr>
      <w:r w:rsidRPr="00CF74AD">
        <w:rPr>
          <w:lang w:val="en-AU"/>
        </w:rPr>
        <w:t xml:space="preserve">Many people may not notice or remember a tick bite. </w:t>
      </w:r>
      <w:r w:rsidR="00247557" w:rsidRPr="00CF74AD">
        <w:rPr>
          <w:lang w:val="en-AU"/>
        </w:rPr>
        <w:t xml:space="preserve">Infection with </w:t>
      </w:r>
      <w:r w:rsidR="00890926" w:rsidRPr="00CF74AD">
        <w:rPr>
          <w:i/>
          <w:iCs/>
          <w:lang w:val="en-AU"/>
        </w:rPr>
        <w:t xml:space="preserve">B. burgdorferi </w:t>
      </w:r>
      <w:r w:rsidR="00CF74AD" w:rsidRPr="00CF74AD">
        <w:rPr>
          <w:iCs/>
          <w:lang w:val="en-AU"/>
        </w:rPr>
        <w:t>s.l.</w:t>
      </w:r>
      <w:r w:rsidR="00FF2669" w:rsidRPr="00CF74AD">
        <w:rPr>
          <w:i/>
          <w:iCs/>
          <w:lang w:val="en-AU"/>
        </w:rPr>
        <w:t xml:space="preserve"> </w:t>
      </w:r>
      <w:r w:rsidR="00890926" w:rsidRPr="00CF74AD">
        <w:rPr>
          <w:lang w:val="en-AU"/>
        </w:rPr>
        <w:t>can sometimes go unremarked, with mild symptoms that are ignored by the person</w:t>
      </w:r>
      <w:r w:rsidRPr="00CF74AD">
        <w:rPr>
          <w:lang w:val="en-AU"/>
        </w:rPr>
        <w:t>.</w:t>
      </w:r>
      <w:r w:rsidR="00F423EB" w:rsidRPr="00CF74AD">
        <w:rPr>
          <w:lang w:val="en-AU"/>
        </w:rPr>
        <w:t xml:space="preserve"> </w:t>
      </w:r>
      <w:r w:rsidR="00C94675" w:rsidRPr="00CF74AD">
        <w:rPr>
          <w:lang w:val="en-AU"/>
        </w:rPr>
        <w:t xml:space="preserve">When symptoms occur, this is called Lyme disease. </w:t>
      </w:r>
    </w:p>
    <w:p w14:paraId="5F5B8BD7" w14:textId="77777777" w:rsidR="00327809" w:rsidRPr="009569B4" w:rsidRDefault="000E444D" w:rsidP="00A50E21">
      <w:pPr>
        <w:pStyle w:val="BodyText"/>
        <w:rPr>
          <w:lang w:val="en-AU"/>
        </w:rPr>
      </w:pPr>
      <w:r w:rsidRPr="00CF74AD">
        <w:rPr>
          <w:lang w:val="en-AU"/>
        </w:rPr>
        <w:t xml:space="preserve">A </w:t>
      </w:r>
      <w:r w:rsidR="00421DA8" w:rsidRPr="00CF74AD">
        <w:rPr>
          <w:lang w:val="en-AU"/>
        </w:rPr>
        <w:t xml:space="preserve">tick </w:t>
      </w:r>
      <w:r w:rsidRPr="00CF74AD">
        <w:rPr>
          <w:lang w:val="en-AU"/>
        </w:rPr>
        <w:t>bite can be followed by an ‘erythema migrans’ rash</w:t>
      </w:r>
      <w:r w:rsidR="00E71877" w:rsidRPr="00CF74AD">
        <w:rPr>
          <w:lang w:val="en-AU"/>
        </w:rPr>
        <w:t xml:space="preserve"> (EM)</w:t>
      </w:r>
      <w:r w:rsidR="0001657F" w:rsidRPr="00CF74AD">
        <w:rPr>
          <w:lang w:val="en-AU"/>
        </w:rPr>
        <w:t>, a circular target</w:t>
      </w:r>
      <w:r w:rsidR="0082562F" w:rsidRPr="00CF74AD">
        <w:rPr>
          <w:lang w:val="en-AU"/>
        </w:rPr>
        <w:t xml:space="preserve">-like rash </w:t>
      </w:r>
      <w:r w:rsidR="00BD03C8" w:rsidRPr="00CF74AD">
        <w:rPr>
          <w:lang w:val="en-AU"/>
        </w:rPr>
        <w:t xml:space="preserve">which </w:t>
      </w:r>
      <w:r w:rsidR="006731AC" w:rsidRPr="00CF29E7">
        <w:rPr>
          <w:lang w:val="en-AU" w:eastAsia="en-AU"/>
        </w:rPr>
        <w:t>is considered pathognomonic for Lyme disease</w:t>
      </w:r>
      <w:r w:rsidR="00421DA8" w:rsidRPr="00CF29E7">
        <w:rPr>
          <w:lang w:val="en-AU" w:eastAsia="en-AU"/>
        </w:rPr>
        <w:t xml:space="preserve"> but </w:t>
      </w:r>
      <w:r w:rsidR="00BD03C8" w:rsidRPr="00CF29E7">
        <w:rPr>
          <w:lang w:val="en-AU"/>
        </w:rPr>
        <w:t>can sometimes be mistaken for cellulitis or ringworm</w:t>
      </w:r>
      <w:r w:rsidR="00583CF5" w:rsidRPr="00D621FF">
        <w:rPr>
          <w:lang w:val="en-AU"/>
        </w:rPr>
        <w:t>, delaying effective treatment.</w:t>
      </w:r>
      <w:r w:rsidR="003A02D9" w:rsidRPr="00FA6D54">
        <w:rPr>
          <w:lang w:val="en-AU"/>
        </w:rPr>
        <w:t xml:space="preserve"> </w:t>
      </w:r>
      <w:r w:rsidR="0083356E" w:rsidRPr="00B35D3E">
        <w:rPr>
          <w:lang w:val="en-AU"/>
        </w:rPr>
        <w:t xml:space="preserve">While the prevalence of EM is seen in about 70 </w:t>
      </w:r>
      <w:r w:rsidR="00CF74AD">
        <w:rPr>
          <w:lang w:val="en-AU"/>
        </w:rPr>
        <w:t>per cent</w:t>
      </w:r>
      <w:r w:rsidR="0083356E" w:rsidRPr="00DD4987">
        <w:rPr>
          <w:lang w:val="en-AU"/>
        </w:rPr>
        <w:t xml:space="preserve"> of the cases reported to the CDC, ≥90 </w:t>
      </w:r>
      <w:r w:rsidR="00CF74AD">
        <w:rPr>
          <w:lang w:val="en-AU"/>
        </w:rPr>
        <w:t>per cent</w:t>
      </w:r>
      <w:r w:rsidR="0083356E" w:rsidRPr="00DD4987">
        <w:rPr>
          <w:lang w:val="en-AU"/>
        </w:rPr>
        <w:t xml:space="preserve"> in cohorts of paediatric and adult US patients and in 70</w:t>
      </w:r>
      <w:r w:rsidR="00CF74AD">
        <w:rPr>
          <w:lang w:val="en-AU"/>
        </w:rPr>
        <w:t>–</w:t>
      </w:r>
      <w:r w:rsidR="0083356E" w:rsidRPr="00DD4987">
        <w:rPr>
          <w:lang w:val="en-AU"/>
        </w:rPr>
        <w:t xml:space="preserve">95 </w:t>
      </w:r>
      <w:r w:rsidR="00CF74AD">
        <w:rPr>
          <w:lang w:val="en-AU"/>
        </w:rPr>
        <w:t>per cent</w:t>
      </w:r>
      <w:r w:rsidR="0083356E" w:rsidRPr="00DD4987">
        <w:rPr>
          <w:lang w:val="en-AU"/>
        </w:rPr>
        <w:t xml:space="preserve"> in European epidemiological studies, central clearing of EM is seen only in 19 </w:t>
      </w:r>
      <w:r w:rsidR="00CF74AD">
        <w:rPr>
          <w:lang w:val="en-AU"/>
        </w:rPr>
        <w:t>per cent</w:t>
      </w:r>
      <w:r w:rsidR="0083356E" w:rsidRPr="00DD4987">
        <w:rPr>
          <w:lang w:val="en-AU"/>
        </w:rPr>
        <w:t xml:space="preserve"> of US patients compared to almost 80 </w:t>
      </w:r>
      <w:r w:rsidR="00CF74AD">
        <w:rPr>
          <w:lang w:val="en-AU"/>
        </w:rPr>
        <w:t>per cent</w:t>
      </w:r>
      <w:r w:rsidR="0083356E" w:rsidRPr="00DD4987">
        <w:rPr>
          <w:lang w:val="en-AU"/>
        </w:rPr>
        <w:t xml:space="preserve"> of European </w:t>
      </w:r>
      <w:r w:rsidR="0083356E" w:rsidRPr="009569B4">
        <w:rPr>
          <w:lang w:val="en-AU"/>
        </w:rPr>
        <w:t>patients</w:t>
      </w:r>
      <w:r w:rsidR="00F13BD0" w:rsidRPr="009569B4">
        <w:rPr>
          <w:lang w:val="en-AU"/>
        </w:rPr>
        <w:t>,</w:t>
      </w:r>
      <w:r w:rsidR="00AE08E8" w:rsidRPr="00A94846">
        <w:rPr>
          <w:rStyle w:val="FootnoteReference"/>
        </w:rPr>
        <w:footnoteReference w:id="45"/>
      </w:r>
      <w:r w:rsidR="0083356E" w:rsidRPr="009569B4">
        <w:rPr>
          <w:lang w:val="en-AU"/>
        </w:rPr>
        <w:t xml:space="preserve"> thus illustrating the variation in clinical manifestation according to where the infection was acquired and, therefore the need to take a travel history. </w:t>
      </w:r>
    </w:p>
    <w:p w14:paraId="5610A10E" w14:textId="77777777" w:rsidR="00685C96" w:rsidRPr="00F2704A" w:rsidRDefault="00583CF5" w:rsidP="00A50E21">
      <w:pPr>
        <w:pStyle w:val="BodyText"/>
        <w:rPr>
          <w:lang w:val="en-AU"/>
        </w:rPr>
      </w:pPr>
      <w:r w:rsidRPr="00F2704A">
        <w:rPr>
          <w:lang w:val="en-AU"/>
        </w:rPr>
        <w:t xml:space="preserve">If there is no </w:t>
      </w:r>
      <w:r w:rsidR="006C690C" w:rsidRPr="00661245">
        <w:rPr>
          <w:lang w:val="en-AU"/>
        </w:rPr>
        <w:t xml:space="preserve">EM </w:t>
      </w:r>
      <w:r w:rsidRPr="00CF74AD">
        <w:rPr>
          <w:lang w:val="en-AU"/>
        </w:rPr>
        <w:t xml:space="preserve">rash or it is unnoticed, diagnosis can be difficult </w:t>
      </w:r>
      <w:r w:rsidR="00A05725" w:rsidRPr="00CF74AD">
        <w:rPr>
          <w:lang w:val="en-AU"/>
        </w:rPr>
        <w:t>as the same symptoms may be caused by many other conditions as well as Lyme disease</w:t>
      </w:r>
      <w:r w:rsidR="007F33A7" w:rsidRPr="00CF74AD">
        <w:rPr>
          <w:lang w:val="en-AU"/>
        </w:rPr>
        <w:t>.</w:t>
      </w:r>
      <w:r w:rsidR="006E6C76" w:rsidRPr="00A94846">
        <w:rPr>
          <w:rStyle w:val="FootnoteReference"/>
        </w:rPr>
        <w:footnoteReference w:id="46"/>
      </w:r>
    </w:p>
    <w:p w14:paraId="56FF69C8" w14:textId="77777777" w:rsidR="00F06F9B" w:rsidRPr="00661245" w:rsidRDefault="00D24755" w:rsidP="00F06F9B">
      <w:pPr>
        <w:pStyle w:val="Body"/>
        <w:rPr>
          <w:lang w:val="en-AU"/>
        </w:rPr>
      </w:pPr>
      <w:r w:rsidRPr="00B35D3E">
        <w:rPr>
          <w:rStyle w:val="BodyChar"/>
          <w:lang w:val="en-AU"/>
        </w:rPr>
        <w:t xml:space="preserve">Lyme disease is customarily divided into three stages, with clinical manifestations varying in their occurrence and incidence depending on the infecting species and whether the infection was </w:t>
      </w:r>
      <w:r w:rsidRPr="00B35D3E">
        <w:rPr>
          <w:rStyle w:val="BodyChar"/>
          <w:lang w:val="en-AU"/>
        </w:rPr>
        <w:lastRenderedPageBreak/>
        <w:t>acquired in Eurasia or North America</w:t>
      </w:r>
      <w:r w:rsidR="007F33A7" w:rsidRPr="00B35D3E">
        <w:rPr>
          <w:rStyle w:val="BodyChar"/>
          <w:lang w:val="en-AU"/>
        </w:rPr>
        <w:t>.</w:t>
      </w:r>
      <w:r w:rsidRPr="00A94846">
        <w:rPr>
          <w:rStyle w:val="FootnoteReference"/>
        </w:rPr>
        <w:footnoteReference w:id="47"/>
      </w:r>
      <w:r w:rsidRPr="00B35D3E">
        <w:rPr>
          <w:rStyle w:val="BodyChar"/>
          <w:vertAlign w:val="superscript"/>
          <w:lang w:val="en-AU"/>
        </w:rPr>
        <w:t xml:space="preserve"> </w:t>
      </w:r>
      <w:r w:rsidR="006731AC" w:rsidRPr="00B35D3E">
        <w:rPr>
          <w:rStyle w:val="BodyChar"/>
          <w:lang w:val="en-AU"/>
        </w:rPr>
        <w:t>Approximately 4</w:t>
      </w:r>
      <w:r w:rsidR="00CF74AD">
        <w:rPr>
          <w:rStyle w:val="BodyChar"/>
          <w:lang w:val="en-AU"/>
        </w:rPr>
        <w:t>–</w:t>
      </w:r>
      <w:r w:rsidR="006731AC" w:rsidRPr="005F4DCB">
        <w:rPr>
          <w:rStyle w:val="BodyChar"/>
          <w:lang w:val="en-AU"/>
        </w:rPr>
        <w:t xml:space="preserve">8 </w:t>
      </w:r>
      <w:r w:rsidR="00CF74AD">
        <w:rPr>
          <w:rStyle w:val="BodyChar"/>
          <w:lang w:val="en-AU"/>
        </w:rPr>
        <w:t>per cent</w:t>
      </w:r>
      <w:r w:rsidR="006731AC" w:rsidRPr="005F4DCB">
        <w:rPr>
          <w:rStyle w:val="BodyChar"/>
          <w:lang w:val="en-AU"/>
        </w:rPr>
        <w:t xml:space="preserve"> of patients develop cardiac findings, 11 </w:t>
      </w:r>
      <w:r w:rsidR="00CF74AD">
        <w:rPr>
          <w:rStyle w:val="BodyChar"/>
          <w:lang w:val="en-AU"/>
        </w:rPr>
        <w:t>per cent</w:t>
      </w:r>
      <w:r w:rsidR="006731AC" w:rsidRPr="00B35D3E">
        <w:rPr>
          <w:rStyle w:val="BodyChar"/>
          <w:lang w:val="en-AU"/>
        </w:rPr>
        <w:t xml:space="preserve"> develop neurologic findings and 40</w:t>
      </w:r>
      <w:r w:rsidR="00BF0A9B" w:rsidRPr="00B35D3E">
        <w:rPr>
          <w:rStyle w:val="BodyChar"/>
          <w:lang w:val="en-AU"/>
        </w:rPr>
        <w:t>–</w:t>
      </w:r>
      <w:r w:rsidR="006731AC" w:rsidRPr="00B35D3E">
        <w:rPr>
          <w:rStyle w:val="BodyChar"/>
          <w:lang w:val="en-AU"/>
        </w:rPr>
        <w:t xml:space="preserve">60 </w:t>
      </w:r>
      <w:r w:rsidR="00CF74AD">
        <w:rPr>
          <w:rStyle w:val="BodyChar"/>
          <w:lang w:val="en-AU"/>
        </w:rPr>
        <w:t>per cent</w:t>
      </w:r>
      <w:r w:rsidR="006731AC" w:rsidRPr="00B35D3E">
        <w:rPr>
          <w:rStyle w:val="BodyChar"/>
          <w:lang w:val="en-AU"/>
        </w:rPr>
        <w:t xml:space="preserve"> of patients</w:t>
      </w:r>
      <w:r w:rsidR="007C5D97" w:rsidRPr="00B35D3E">
        <w:rPr>
          <w:rStyle w:val="BodyChar"/>
          <w:lang w:val="en-AU"/>
        </w:rPr>
        <w:t xml:space="preserve"> </w:t>
      </w:r>
      <w:r w:rsidR="006731AC" w:rsidRPr="00B35D3E">
        <w:rPr>
          <w:rStyle w:val="BodyChar"/>
          <w:lang w:val="en-AU"/>
        </w:rPr>
        <w:t>manifest arthritis</w:t>
      </w:r>
      <w:r w:rsidR="00D50D8F" w:rsidRPr="00B35D3E">
        <w:rPr>
          <w:rStyle w:val="BodyChar"/>
          <w:lang w:val="en-AU"/>
        </w:rPr>
        <w:t>,</w:t>
      </w:r>
      <w:r w:rsidR="006731AC" w:rsidRPr="00A94846">
        <w:rPr>
          <w:rStyle w:val="FootnoteReference"/>
        </w:rPr>
        <w:footnoteReference w:id="48"/>
      </w:r>
      <w:r w:rsidR="006F368B" w:rsidRPr="005F4DCB">
        <w:rPr>
          <w:rStyle w:val="BodyChar"/>
          <w:lang w:val="en-AU"/>
        </w:rPr>
        <w:t xml:space="preserve"> although </w:t>
      </w:r>
      <w:r w:rsidR="00107FA3" w:rsidRPr="005F4DCB">
        <w:rPr>
          <w:rStyle w:val="BodyChar"/>
          <w:lang w:val="en-AU"/>
        </w:rPr>
        <w:t xml:space="preserve">surveillance data over the past 15 years </w:t>
      </w:r>
      <w:r w:rsidR="0020006A" w:rsidRPr="005F4DCB">
        <w:rPr>
          <w:rStyle w:val="BodyChar"/>
          <w:lang w:val="en-AU"/>
        </w:rPr>
        <w:t>documents a much lower annual in</w:t>
      </w:r>
      <w:r w:rsidR="008B07DD" w:rsidRPr="005F4DCB">
        <w:rPr>
          <w:rStyle w:val="BodyChar"/>
          <w:lang w:val="en-AU"/>
        </w:rPr>
        <w:t>cidence</w:t>
      </w:r>
      <w:r w:rsidR="0020006A" w:rsidRPr="005F4DCB">
        <w:rPr>
          <w:rStyle w:val="BodyChar"/>
          <w:lang w:val="en-AU"/>
        </w:rPr>
        <w:t xml:space="preserve"> of 30 </w:t>
      </w:r>
      <w:r w:rsidR="00CF74AD">
        <w:rPr>
          <w:rStyle w:val="BodyChar"/>
          <w:lang w:val="en-AU"/>
        </w:rPr>
        <w:t>per cent</w:t>
      </w:r>
      <w:r w:rsidR="0020006A" w:rsidRPr="00B35D3E">
        <w:rPr>
          <w:rStyle w:val="BodyChar"/>
          <w:lang w:val="en-AU"/>
        </w:rPr>
        <w:t xml:space="preserve"> for Lyme arthritis in patients with untreated EM</w:t>
      </w:r>
      <w:r w:rsidR="00D50D8F" w:rsidRPr="00B35D3E">
        <w:rPr>
          <w:rStyle w:val="BodyChar"/>
          <w:lang w:val="en-AU"/>
        </w:rPr>
        <w:t>.</w:t>
      </w:r>
      <w:r w:rsidR="0020006A" w:rsidRPr="00A94846">
        <w:rPr>
          <w:rStyle w:val="FootnoteReference"/>
        </w:rPr>
        <w:footnoteReference w:id="49"/>
      </w:r>
      <w:r w:rsidR="004D613F" w:rsidRPr="00F2704A">
        <w:rPr>
          <w:lang w:val="en-AU"/>
        </w:rPr>
        <w:t xml:space="preserve"> </w:t>
      </w:r>
    </w:p>
    <w:p w14:paraId="1F89F360" w14:textId="77777777" w:rsidR="005962C6" w:rsidRDefault="005962C6" w:rsidP="0053016F">
      <w:pPr>
        <w:pStyle w:val="Caption"/>
        <w:rPr>
          <w:lang w:val="en-AU"/>
        </w:rPr>
      </w:pPr>
      <w:r>
        <w:rPr>
          <w:lang w:val="en-AU"/>
        </w:rPr>
        <w:br w:type="page"/>
      </w:r>
    </w:p>
    <w:p w14:paraId="0A4A7BED" w14:textId="4E17AD71" w:rsidR="001E13B8" w:rsidRPr="00CF74AD" w:rsidRDefault="00AF7FA0" w:rsidP="0053016F">
      <w:pPr>
        <w:pStyle w:val="Caption"/>
        <w:rPr>
          <w:lang w:val="en-AU"/>
        </w:rPr>
      </w:pPr>
      <w:bookmarkStart w:id="31" w:name="_Toc55460090"/>
      <w:r w:rsidRPr="00CF74AD">
        <w:rPr>
          <w:lang w:val="en-AU"/>
        </w:rPr>
        <w:lastRenderedPageBreak/>
        <w:t xml:space="preserve">Table </w:t>
      </w:r>
      <w:r w:rsidRPr="00661245">
        <w:rPr>
          <w:lang w:val="en-AU"/>
        </w:rPr>
        <w:fldChar w:fldCharType="begin"/>
      </w:r>
      <w:r w:rsidRPr="00F2704A">
        <w:rPr>
          <w:lang w:val="en-AU"/>
        </w:rPr>
        <w:instrText xml:space="preserve"> SEQ Table \* ARABIC </w:instrText>
      </w:r>
      <w:r w:rsidRPr="00661245">
        <w:rPr>
          <w:lang w:val="en-AU"/>
        </w:rPr>
        <w:fldChar w:fldCharType="separate"/>
      </w:r>
      <w:r w:rsidR="00822580">
        <w:rPr>
          <w:noProof/>
          <w:lang w:val="en-AU"/>
        </w:rPr>
        <w:t>1</w:t>
      </w:r>
      <w:r w:rsidRPr="00661245">
        <w:rPr>
          <w:lang w:val="en-AU"/>
        </w:rPr>
        <w:fldChar w:fldCharType="end"/>
      </w:r>
      <w:r w:rsidRPr="00F2704A">
        <w:rPr>
          <w:lang w:val="en-AU"/>
        </w:rPr>
        <w:t xml:space="preserve">: </w:t>
      </w:r>
      <w:r w:rsidR="002765D3" w:rsidRPr="00661245">
        <w:rPr>
          <w:lang w:val="en-AU"/>
        </w:rPr>
        <w:t xml:space="preserve">Stages of </w:t>
      </w:r>
      <w:r w:rsidR="00485810" w:rsidRPr="00CF74AD">
        <w:rPr>
          <w:lang w:val="en-AU"/>
        </w:rPr>
        <w:t>Lyme disease in patients who have travelled to Lyme</w:t>
      </w:r>
      <w:r w:rsidR="000325D5" w:rsidRPr="00CF74AD">
        <w:rPr>
          <w:lang w:val="en-AU"/>
        </w:rPr>
        <w:t xml:space="preserve"> disease endemic countries</w:t>
      </w:r>
      <w:bookmarkEnd w:id="31"/>
    </w:p>
    <w:tbl>
      <w:tblPr>
        <w:tblW w:w="0" w:type="auto"/>
        <w:tblBorders>
          <w:bottom w:val="single" w:sz="4" w:space="0" w:color="77B800"/>
        </w:tblBorders>
        <w:tblLook w:val="04A0" w:firstRow="1" w:lastRow="0" w:firstColumn="1" w:lastColumn="0" w:noHBand="0" w:noVBand="1"/>
      </w:tblPr>
      <w:tblGrid>
        <w:gridCol w:w="9061"/>
      </w:tblGrid>
      <w:tr w:rsidR="00D30F82" w:rsidRPr="004D3350" w14:paraId="79820DED" w14:textId="77777777" w:rsidTr="004D3350">
        <w:trPr>
          <w:tblHeader/>
        </w:trPr>
        <w:tc>
          <w:tcPr>
            <w:tcW w:w="9061" w:type="dxa"/>
            <w:shd w:val="clear" w:color="auto" w:fill="77B800"/>
          </w:tcPr>
          <w:p w14:paraId="6680E29A" w14:textId="77777777" w:rsidR="00D30F82" w:rsidRPr="004D3350" w:rsidRDefault="00D30F82" w:rsidP="004D3350">
            <w:pPr>
              <w:spacing w:before="60" w:after="60" w:line="240" w:lineRule="auto"/>
              <w:rPr>
                <w:rFonts w:ascii="Calibri" w:hAnsi="Calibri"/>
                <w:color w:val="FFFFFF"/>
                <w:lang w:val="en-AU"/>
              </w:rPr>
            </w:pPr>
            <w:r w:rsidRPr="004D3350">
              <w:rPr>
                <w:rFonts w:ascii="Calibri" w:hAnsi="Calibri"/>
                <w:b/>
                <w:bCs/>
                <w:color w:val="FFFFFF"/>
                <w:lang w:val="en-AU"/>
              </w:rPr>
              <w:t>Early stage (</w:t>
            </w:r>
            <w:r w:rsidR="00B50748" w:rsidRPr="004D3350">
              <w:rPr>
                <w:rFonts w:ascii="Calibri" w:hAnsi="Calibri"/>
                <w:b/>
                <w:bCs/>
                <w:color w:val="FFFFFF"/>
                <w:lang w:val="en-AU"/>
              </w:rPr>
              <w:t>S</w:t>
            </w:r>
            <w:r w:rsidRPr="004D3350">
              <w:rPr>
                <w:rFonts w:ascii="Calibri" w:hAnsi="Calibri"/>
                <w:b/>
                <w:bCs/>
                <w:color w:val="FFFFFF"/>
                <w:lang w:val="en-AU"/>
              </w:rPr>
              <w:t>tage I)</w:t>
            </w:r>
          </w:p>
        </w:tc>
      </w:tr>
      <w:tr w:rsidR="00D30F82" w:rsidRPr="004D3350" w14:paraId="09D9B4C6" w14:textId="77777777" w:rsidTr="004D3350">
        <w:tc>
          <w:tcPr>
            <w:tcW w:w="9061" w:type="dxa"/>
            <w:shd w:val="clear" w:color="auto" w:fill="FFFFFF"/>
          </w:tcPr>
          <w:p w14:paraId="0D5D3117" w14:textId="77777777" w:rsidR="00D30F82" w:rsidRPr="004D3350" w:rsidRDefault="00D30F82" w:rsidP="004D3350">
            <w:pPr>
              <w:pStyle w:val="BodyText"/>
              <w:numPr>
                <w:ilvl w:val="0"/>
                <w:numId w:val="19"/>
              </w:numPr>
              <w:spacing w:before="60" w:after="60" w:line="240" w:lineRule="auto"/>
              <w:ind w:left="417"/>
              <w:rPr>
                <w:rFonts w:ascii="Calibri" w:hAnsi="Calibri"/>
                <w:sz w:val="20"/>
                <w:szCs w:val="20"/>
                <w:lang w:val="en-AU"/>
              </w:rPr>
            </w:pPr>
            <w:r w:rsidRPr="004D3350">
              <w:rPr>
                <w:rFonts w:ascii="Calibri" w:hAnsi="Calibri"/>
                <w:sz w:val="20"/>
                <w:szCs w:val="20"/>
                <w:lang w:val="en-AU"/>
              </w:rPr>
              <w:t>Constitutional (flu-like) signs and symptoms including headache, myalgia, arthralgia and fever may be present</w:t>
            </w:r>
            <w:r w:rsidR="007C5D97" w:rsidRPr="004D3350">
              <w:rPr>
                <w:rFonts w:ascii="Calibri" w:hAnsi="Calibri"/>
                <w:sz w:val="20"/>
                <w:szCs w:val="20"/>
                <w:lang w:val="en-AU"/>
              </w:rPr>
              <w:t>.</w:t>
            </w:r>
            <w:r w:rsidRPr="004D3350">
              <w:rPr>
                <w:rStyle w:val="FootnoteReference"/>
              </w:rPr>
              <w:footnoteReference w:id="50"/>
            </w:r>
          </w:p>
          <w:p w14:paraId="4B30F9B9" w14:textId="77777777" w:rsidR="00D30F82" w:rsidRPr="004D3350" w:rsidRDefault="00D30F82" w:rsidP="004D3350">
            <w:pPr>
              <w:pStyle w:val="BodyText"/>
              <w:numPr>
                <w:ilvl w:val="0"/>
                <w:numId w:val="19"/>
              </w:numPr>
              <w:spacing w:before="60" w:after="60" w:line="240" w:lineRule="auto"/>
              <w:ind w:left="417"/>
              <w:rPr>
                <w:rFonts w:ascii="Calibri" w:hAnsi="Calibri"/>
                <w:sz w:val="20"/>
                <w:szCs w:val="20"/>
                <w:lang w:val="en-AU"/>
              </w:rPr>
            </w:pPr>
            <w:r w:rsidRPr="004D3350">
              <w:rPr>
                <w:rFonts w:ascii="Calibri" w:hAnsi="Calibri"/>
                <w:sz w:val="20"/>
                <w:szCs w:val="20"/>
                <w:lang w:val="en-AU"/>
              </w:rPr>
              <w:t>E</w:t>
            </w:r>
            <w:r w:rsidR="00AF1CCD" w:rsidRPr="004D3350">
              <w:rPr>
                <w:rFonts w:ascii="Calibri" w:hAnsi="Calibri"/>
                <w:sz w:val="20"/>
                <w:szCs w:val="20"/>
                <w:lang w:val="en-AU"/>
              </w:rPr>
              <w:t>M</w:t>
            </w:r>
            <w:r w:rsidRPr="004D3350">
              <w:rPr>
                <w:rFonts w:ascii="Calibri" w:hAnsi="Calibri"/>
                <w:sz w:val="20"/>
                <w:szCs w:val="20"/>
                <w:lang w:val="en-AU"/>
              </w:rPr>
              <w:t xml:space="preserve"> (usually around 7-14 days post-infected tick bite) either as a single expanding area, or a central spot surrounded by clear skin that is in turn encircled by an expanding red rash (‘bull's-eye’) which is centred on the tick bite is the characteristic sign of early infection in </w:t>
            </w:r>
            <w:r w:rsidR="00CF29E7" w:rsidRPr="004D3350">
              <w:rPr>
                <w:rFonts w:ascii="Calibri" w:hAnsi="Calibri"/>
                <w:sz w:val="20"/>
                <w:szCs w:val="20"/>
                <w:lang w:val="en-AU"/>
              </w:rPr>
              <w:t>≈</w:t>
            </w:r>
            <w:r w:rsidRPr="004D3350">
              <w:rPr>
                <w:rFonts w:ascii="Calibri" w:hAnsi="Calibri"/>
                <w:sz w:val="20"/>
                <w:szCs w:val="20"/>
                <w:lang w:val="en-AU"/>
              </w:rPr>
              <w:t>80</w:t>
            </w:r>
            <w:r w:rsidR="00F13BD0" w:rsidRPr="004D3350">
              <w:rPr>
                <w:rFonts w:ascii="Calibri" w:hAnsi="Calibri"/>
                <w:sz w:val="20"/>
                <w:szCs w:val="20"/>
                <w:lang w:val="en-AU"/>
              </w:rPr>
              <w:t xml:space="preserve"> </w:t>
            </w:r>
            <w:r w:rsidR="00CF74AD" w:rsidRPr="004D3350">
              <w:rPr>
                <w:rFonts w:ascii="Calibri" w:hAnsi="Calibri"/>
                <w:sz w:val="20"/>
                <w:szCs w:val="20"/>
                <w:lang w:val="en-AU"/>
              </w:rPr>
              <w:t>per cent</w:t>
            </w:r>
            <w:r w:rsidRPr="004D3350">
              <w:rPr>
                <w:rFonts w:ascii="Calibri" w:hAnsi="Calibri"/>
                <w:sz w:val="20"/>
                <w:szCs w:val="20"/>
                <w:lang w:val="en-AU"/>
              </w:rPr>
              <w:t xml:space="preserve"> of patients</w:t>
            </w:r>
            <w:r w:rsidR="007C5D97" w:rsidRPr="004D3350">
              <w:rPr>
                <w:rFonts w:ascii="Calibri" w:hAnsi="Calibri"/>
                <w:sz w:val="20"/>
                <w:szCs w:val="20"/>
                <w:lang w:val="en-AU"/>
              </w:rPr>
              <w:t>.</w:t>
            </w:r>
            <w:r w:rsidR="00A77394" w:rsidRPr="004D3350">
              <w:rPr>
                <w:rStyle w:val="FootnoteReference"/>
              </w:rPr>
              <w:footnoteReference w:id="51"/>
            </w:r>
          </w:p>
          <w:p w14:paraId="30E91B27" w14:textId="77777777" w:rsidR="00D30F82" w:rsidRPr="004D3350" w:rsidRDefault="007C5D97" w:rsidP="004D3350">
            <w:pPr>
              <w:pStyle w:val="BodyText"/>
              <w:numPr>
                <w:ilvl w:val="0"/>
                <w:numId w:val="19"/>
              </w:numPr>
              <w:spacing w:before="60" w:after="60" w:line="240" w:lineRule="auto"/>
              <w:ind w:left="414" w:hanging="357"/>
              <w:rPr>
                <w:rFonts w:ascii="Calibri" w:hAnsi="Calibri"/>
                <w:sz w:val="20"/>
                <w:szCs w:val="20"/>
                <w:lang w:val="en-AU"/>
              </w:rPr>
            </w:pPr>
            <w:r w:rsidRPr="004D3350">
              <w:rPr>
                <w:rFonts w:ascii="Calibri" w:hAnsi="Calibri"/>
                <w:sz w:val="20"/>
                <w:szCs w:val="20"/>
                <w:lang w:val="en-AU"/>
              </w:rPr>
              <w:t>A</w:t>
            </w:r>
            <w:r w:rsidR="00D30F82" w:rsidRPr="004D3350">
              <w:rPr>
                <w:rFonts w:ascii="Calibri" w:hAnsi="Calibri"/>
                <w:sz w:val="20"/>
                <w:szCs w:val="20"/>
                <w:lang w:val="en-AU"/>
              </w:rPr>
              <w:t xml:space="preserve"> rash, which is not </w:t>
            </w:r>
            <w:r w:rsidR="00AF1CCD" w:rsidRPr="004D3350">
              <w:rPr>
                <w:rFonts w:ascii="Calibri" w:hAnsi="Calibri"/>
                <w:sz w:val="20"/>
                <w:szCs w:val="20"/>
                <w:lang w:val="en-AU"/>
              </w:rPr>
              <w:t>EM</w:t>
            </w:r>
            <w:r w:rsidR="00D30F82" w:rsidRPr="004D3350">
              <w:rPr>
                <w:rFonts w:ascii="Calibri" w:hAnsi="Calibri"/>
                <w:sz w:val="20"/>
                <w:szCs w:val="20"/>
                <w:lang w:val="en-AU"/>
              </w:rPr>
              <w:t>, can develop as a reaction to a tick bite.</w:t>
            </w:r>
            <w:r w:rsidRPr="004D3350">
              <w:rPr>
                <w:rStyle w:val="FootnoteReference"/>
              </w:rPr>
              <w:footnoteReference w:id="52"/>
            </w:r>
            <w:r w:rsidR="00D30F82" w:rsidRPr="004D3350">
              <w:rPr>
                <w:rFonts w:ascii="Calibri" w:hAnsi="Calibri"/>
                <w:sz w:val="20"/>
                <w:szCs w:val="20"/>
                <w:lang w:val="en-AU"/>
              </w:rPr>
              <w:t xml:space="preserve"> This rash</w:t>
            </w:r>
            <w:r w:rsidR="005D1CDB" w:rsidRPr="004D3350">
              <w:rPr>
                <w:rFonts w:ascii="Calibri" w:hAnsi="Calibri"/>
                <w:sz w:val="20"/>
                <w:szCs w:val="20"/>
                <w:lang w:val="en-AU"/>
              </w:rPr>
              <w:t>:</w:t>
            </w:r>
            <w:r w:rsidR="00D30F82" w:rsidRPr="004D3350">
              <w:rPr>
                <w:rFonts w:ascii="Calibri" w:hAnsi="Calibri"/>
                <w:sz w:val="20"/>
                <w:szCs w:val="20"/>
                <w:lang w:val="en-AU"/>
              </w:rPr>
              <w:t xml:space="preserve"> </w:t>
            </w:r>
          </w:p>
          <w:p w14:paraId="79C3850D" w14:textId="77777777" w:rsidR="00D30F82" w:rsidRPr="004D3350" w:rsidRDefault="00D30F82" w:rsidP="004D3350">
            <w:pPr>
              <w:pStyle w:val="BodyText"/>
              <w:numPr>
                <w:ilvl w:val="0"/>
                <w:numId w:val="10"/>
              </w:numPr>
              <w:spacing w:before="60" w:after="60" w:line="240" w:lineRule="auto"/>
              <w:ind w:left="870"/>
              <w:rPr>
                <w:rFonts w:ascii="Calibri" w:hAnsi="Calibri"/>
                <w:sz w:val="20"/>
                <w:szCs w:val="20"/>
                <w:lang w:val="en-AU"/>
              </w:rPr>
            </w:pPr>
            <w:r w:rsidRPr="004D3350">
              <w:rPr>
                <w:rFonts w:ascii="Calibri" w:hAnsi="Calibri"/>
                <w:sz w:val="20"/>
                <w:szCs w:val="20"/>
                <w:lang w:val="en-AU"/>
              </w:rPr>
              <w:t xml:space="preserve">usually develops and recedes during 48 hours from the time of the tick bite </w:t>
            </w:r>
          </w:p>
          <w:p w14:paraId="5CD4346A" w14:textId="77777777" w:rsidR="00D30F82" w:rsidRPr="004D3350" w:rsidRDefault="00D30F82" w:rsidP="004D3350">
            <w:pPr>
              <w:pStyle w:val="BodyText"/>
              <w:numPr>
                <w:ilvl w:val="0"/>
                <w:numId w:val="10"/>
              </w:numPr>
              <w:spacing w:before="60" w:after="60" w:line="240" w:lineRule="auto"/>
              <w:ind w:left="870"/>
              <w:rPr>
                <w:rFonts w:ascii="Calibri" w:hAnsi="Calibri"/>
                <w:sz w:val="20"/>
                <w:szCs w:val="20"/>
                <w:lang w:val="en-AU"/>
              </w:rPr>
            </w:pPr>
            <w:r w:rsidRPr="004D3350">
              <w:rPr>
                <w:rFonts w:ascii="Calibri" w:hAnsi="Calibri"/>
                <w:sz w:val="20"/>
                <w:szCs w:val="20"/>
                <w:lang w:val="en-AU"/>
              </w:rPr>
              <w:t xml:space="preserve">is more likely than </w:t>
            </w:r>
            <w:r w:rsidR="00AF1CCD" w:rsidRPr="004D3350">
              <w:rPr>
                <w:rFonts w:ascii="Calibri" w:hAnsi="Calibri"/>
                <w:sz w:val="20"/>
                <w:szCs w:val="20"/>
                <w:lang w:val="en-AU"/>
              </w:rPr>
              <w:t>EM</w:t>
            </w:r>
            <w:r w:rsidRPr="004D3350">
              <w:rPr>
                <w:rFonts w:ascii="Calibri" w:hAnsi="Calibri"/>
                <w:sz w:val="20"/>
                <w:szCs w:val="20"/>
                <w:lang w:val="en-AU"/>
              </w:rPr>
              <w:t xml:space="preserve"> to be hot, itchy or painful</w:t>
            </w:r>
            <w:r w:rsidR="00F8161D" w:rsidRPr="004D3350">
              <w:rPr>
                <w:rFonts w:ascii="Calibri" w:hAnsi="Calibri"/>
                <w:sz w:val="20"/>
                <w:szCs w:val="20"/>
                <w:lang w:val="en-AU"/>
              </w:rPr>
              <w:t>, and</w:t>
            </w:r>
          </w:p>
          <w:p w14:paraId="53EBA78A" w14:textId="77777777" w:rsidR="00D30F82" w:rsidRPr="004D3350" w:rsidRDefault="00D30F82" w:rsidP="004D3350">
            <w:pPr>
              <w:pStyle w:val="BodyText"/>
              <w:numPr>
                <w:ilvl w:val="0"/>
                <w:numId w:val="10"/>
              </w:numPr>
              <w:spacing w:before="60" w:after="60" w:line="240" w:lineRule="auto"/>
              <w:ind w:left="870"/>
              <w:rPr>
                <w:rFonts w:ascii="Calibri" w:hAnsi="Calibri"/>
                <w:sz w:val="20"/>
                <w:szCs w:val="20"/>
                <w:lang w:val="en-AU"/>
              </w:rPr>
            </w:pPr>
            <w:r w:rsidRPr="004D3350">
              <w:rPr>
                <w:rFonts w:ascii="Calibri" w:hAnsi="Calibri"/>
                <w:sz w:val="20"/>
                <w:szCs w:val="20"/>
                <w:lang w:val="en-AU"/>
              </w:rPr>
              <w:t>may be caused by an inflammatory reaction, or infection with a common skin pathogen.</w:t>
            </w:r>
          </w:p>
          <w:p w14:paraId="12873B97" w14:textId="77777777" w:rsidR="00D30F82" w:rsidRPr="004D3350" w:rsidRDefault="00D30F82" w:rsidP="004D3350">
            <w:pPr>
              <w:pStyle w:val="BodyText"/>
              <w:spacing w:before="60" w:after="60" w:line="240" w:lineRule="auto"/>
              <w:rPr>
                <w:rFonts w:ascii="Calibri" w:hAnsi="Calibri"/>
                <w:sz w:val="20"/>
                <w:szCs w:val="20"/>
                <w:lang w:val="en-AU" w:eastAsia="en-NZ"/>
              </w:rPr>
            </w:pPr>
            <w:r w:rsidRPr="004D3350">
              <w:rPr>
                <w:rFonts w:ascii="Calibri" w:hAnsi="Calibri"/>
                <w:sz w:val="20"/>
                <w:szCs w:val="20"/>
                <w:lang w:val="en-AU" w:eastAsia="en-NZ"/>
              </w:rPr>
              <w:t xml:space="preserve">Other common causes of rashes that can be mistaken for </w:t>
            </w:r>
            <w:r w:rsidR="00AF1CCD" w:rsidRPr="004D3350">
              <w:rPr>
                <w:rFonts w:ascii="Calibri" w:hAnsi="Calibri"/>
                <w:sz w:val="20"/>
                <w:szCs w:val="20"/>
                <w:lang w:val="en-AU" w:eastAsia="en-NZ"/>
              </w:rPr>
              <w:t>EM</w:t>
            </w:r>
            <w:r w:rsidRPr="004D3350">
              <w:rPr>
                <w:rFonts w:ascii="Calibri" w:hAnsi="Calibri"/>
                <w:sz w:val="20"/>
                <w:szCs w:val="20"/>
                <w:lang w:val="en-AU" w:eastAsia="en-NZ"/>
              </w:rPr>
              <w:t xml:space="preserve"> include:</w:t>
            </w:r>
          </w:p>
          <w:p w14:paraId="6905DD41" w14:textId="77777777" w:rsidR="00D30F82" w:rsidRPr="004D3350" w:rsidRDefault="00D30F82" w:rsidP="004D3350">
            <w:pPr>
              <w:pStyle w:val="BodyText"/>
              <w:numPr>
                <w:ilvl w:val="0"/>
                <w:numId w:val="9"/>
              </w:numPr>
              <w:spacing w:before="60" w:after="60" w:line="240" w:lineRule="auto"/>
              <w:ind w:left="867" w:hanging="357"/>
              <w:rPr>
                <w:rFonts w:ascii="Calibri" w:hAnsi="Calibri"/>
                <w:sz w:val="20"/>
                <w:szCs w:val="20"/>
                <w:lang w:val="en-AU" w:eastAsia="en-NZ"/>
              </w:rPr>
            </w:pPr>
            <w:r w:rsidRPr="004D3350">
              <w:rPr>
                <w:rFonts w:ascii="Calibri" w:hAnsi="Calibri"/>
                <w:sz w:val="20"/>
                <w:szCs w:val="20"/>
                <w:lang w:val="en-AU" w:eastAsia="en-NZ"/>
              </w:rPr>
              <w:t>reaction to an insect bite</w:t>
            </w:r>
          </w:p>
          <w:p w14:paraId="2105F8CE" w14:textId="77777777" w:rsidR="00D30F82" w:rsidRPr="004D3350" w:rsidRDefault="00D30F82" w:rsidP="004D3350">
            <w:pPr>
              <w:pStyle w:val="BodyText"/>
              <w:numPr>
                <w:ilvl w:val="0"/>
                <w:numId w:val="9"/>
              </w:numPr>
              <w:spacing w:before="60" w:after="60" w:line="240" w:lineRule="auto"/>
              <w:ind w:left="867" w:hanging="357"/>
              <w:rPr>
                <w:rFonts w:ascii="Calibri" w:hAnsi="Calibri"/>
                <w:sz w:val="20"/>
                <w:szCs w:val="20"/>
                <w:lang w:val="en-AU" w:eastAsia="en-NZ"/>
              </w:rPr>
            </w:pPr>
            <w:r w:rsidRPr="004D3350">
              <w:rPr>
                <w:rFonts w:ascii="Calibri" w:hAnsi="Calibri"/>
                <w:sz w:val="20"/>
                <w:szCs w:val="20"/>
                <w:lang w:val="en-AU" w:eastAsia="en-NZ"/>
              </w:rPr>
              <w:t>cellulitis</w:t>
            </w:r>
          </w:p>
          <w:p w14:paraId="7D26C9C7" w14:textId="77777777" w:rsidR="00D30F82" w:rsidRPr="004D3350" w:rsidRDefault="00D30F82" w:rsidP="004D3350">
            <w:pPr>
              <w:pStyle w:val="BodyText"/>
              <w:numPr>
                <w:ilvl w:val="0"/>
                <w:numId w:val="9"/>
              </w:numPr>
              <w:spacing w:before="60" w:after="60" w:line="240" w:lineRule="auto"/>
              <w:ind w:left="867" w:hanging="357"/>
              <w:rPr>
                <w:rFonts w:ascii="Calibri" w:hAnsi="Calibri"/>
                <w:sz w:val="20"/>
                <w:szCs w:val="20"/>
                <w:lang w:val="en-AU" w:eastAsia="en-NZ"/>
              </w:rPr>
            </w:pPr>
            <w:r w:rsidRPr="004D3350">
              <w:rPr>
                <w:rFonts w:ascii="Calibri" w:hAnsi="Calibri"/>
                <w:sz w:val="20"/>
                <w:szCs w:val="20"/>
                <w:lang w:val="en-AU" w:eastAsia="en-NZ"/>
              </w:rPr>
              <w:t>tinea corporis (ringworm)</w:t>
            </w:r>
          </w:p>
          <w:p w14:paraId="5417DA6B" w14:textId="77777777" w:rsidR="00D30F82" w:rsidRPr="004D3350" w:rsidRDefault="00D30F82" w:rsidP="004D3350">
            <w:pPr>
              <w:pStyle w:val="BodyText"/>
              <w:numPr>
                <w:ilvl w:val="0"/>
                <w:numId w:val="9"/>
              </w:numPr>
              <w:spacing w:before="60" w:after="60" w:line="240" w:lineRule="auto"/>
              <w:ind w:left="867" w:hanging="357"/>
              <w:rPr>
                <w:rFonts w:ascii="Calibri" w:hAnsi="Calibri"/>
                <w:sz w:val="20"/>
                <w:szCs w:val="20"/>
                <w:lang w:val="en-AU" w:eastAsia="en-NZ"/>
              </w:rPr>
            </w:pPr>
            <w:r w:rsidRPr="004D3350">
              <w:rPr>
                <w:rFonts w:ascii="Calibri" w:hAnsi="Calibri"/>
                <w:sz w:val="20"/>
                <w:szCs w:val="20"/>
                <w:lang w:val="en-AU" w:eastAsia="en-NZ"/>
              </w:rPr>
              <w:t>granuloma annulare</w:t>
            </w:r>
          </w:p>
          <w:p w14:paraId="32230FEA" w14:textId="77777777" w:rsidR="00D30F82" w:rsidRPr="004D3350" w:rsidRDefault="00D30F82" w:rsidP="004D3350">
            <w:pPr>
              <w:pStyle w:val="BodyText"/>
              <w:numPr>
                <w:ilvl w:val="0"/>
                <w:numId w:val="9"/>
              </w:numPr>
              <w:spacing w:before="60" w:after="60" w:line="240" w:lineRule="auto"/>
              <w:ind w:left="867" w:hanging="357"/>
              <w:rPr>
                <w:rFonts w:ascii="Calibri" w:hAnsi="Calibri"/>
                <w:sz w:val="20"/>
                <w:szCs w:val="20"/>
                <w:lang w:val="en-AU" w:eastAsia="en-NZ"/>
              </w:rPr>
            </w:pPr>
            <w:r w:rsidRPr="004D3350">
              <w:rPr>
                <w:rFonts w:ascii="Calibri" w:hAnsi="Calibri"/>
                <w:sz w:val="20"/>
                <w:szCs w:val="20"/>
                <w:lang w:val="en-AU" w:eastAsia="en-NZ"/>
              </w:rPr>
              <w:t>erythema multiforme (if multiple lesions)</w:t>
            </w:r>
            <w:r w:rsidR="00F8161D" w:rsidRPr="004D3350">
              <w:rPr>
                <w:rFonts w:ascii="Calibri" w:hAnsi="Calibri"/>
                <w:sz w:val="20"/>
                <w:szCs w:val="20"/>
                <w:lang w:val="en-AU" w:eastAsia="en-NZ"/>
              </w:rPr>
              <w:t>, and</w:t>
            </w:r>
          </w:p>
          <w:p w14:paraId="06266412" w14:textId="77777777" w:rsidR="00D30F82" w:rsidRPr="004D3350" w:rsidRDefault="00D30F82" w:rsidP="004D3350">
            <w:pPr>
              <w:pStyle w:val="BodyText"/>
              <w:numPr>
                <w:ilvl w:val="0"/>
                <w:numId w:val="9"/>
              </w:numPr>
              <w:spacing w:before="60" w:after="60" w:line="240" w:lineRule="auto"/>
              <w:ind w:left="867" w:hanging="357"/>
              <w:rPr>
                <w:rFonts w:ascii="Calibri" w:hAnsi="Calibri"/>
                <w:sz w:val="20"/>
                <w:szCs w:val="20"/>
                <w:lang w:val="en-AU" w:eastAsia="en-NZ"/>
              </w:rPr>
            </w:pPr>
            <w:r w:rsidRPr="004D3350">
              <w:rPr>
                <w:rFonts w:ascii="Calibri" w:hAnsi="Calibri"/>
                <w:sz w:val="20"/>
                <w:szCs w:val="20"/>
                <w:lang w:val="en-AU" w:eastAsia="en-NZ"/>
              </w:rPr>
              <w:t>nummular eczema</w:t>
            </w:r>
            <w:r w:rsidR="0023424D" w:rsidRPr="004D3350">
              <w:rPr>
                <w:rFonts w:ascii="Calibri" w:hAnsi="Calibri"/>
                <w:sz w:val="20"/>
                <w:szCs w:val="20"/>
                <w:lang w:val="en-AU" w:eastAsia="en-NZ"/>
              </w:rPr>
              <w:t>.</w:t>
            </w:r>
            <w:r w:rsidRPr="004D3350">
              <w:rPr>
                <w:rStyle w:val="FootnoteReference"/>
              </w:rPr>
              <w:footnoteReference w:id="53"/>
            </w:r>
          </w:p>
        </w:tc>
      </w:tr>
      <w:tr w:rsidR="00A1184B" w:rsidRPr="004D3350" w14:paraId="05D799AC" w14:textId="77777777" w:rsidTr="004D3350">
        <w:tc>
          <w:tcPr>
            <w:tcW w:w="9061" w:type="dxa"/>
            <w:shd w:val="clear" w:color="auto" w:fill="77B800"/>
          </w:tcPr>
          <w:p w14:paraId="7FF8C62D" w14:textId="77777777" w:rsidR="00A1184B" w:rsidRPr="004D3350" w:rsidRDefault="00B00E15" w:rsidP="004D3350">
            <w:pPr>
              <w:pStyle w:val="BodyText"/>
              <w:spacing w:before="60" w:after="60"/>
              <w:rPr>
                <w:rFonts w:ascii="Calibri" w:hAnsi="Calibri"/>
                <w:b/>
                <w:bCs/>
                <w:color w:val="FFFFFF"/>
                <w:lang w:val="en-AU"/>
              </w:rPr>
            </w:pPr>
            <w:r w:rsidRPr="004D3350">
              <w:rPr>
                <w:rFonts w:ascii="Calibri" w:hAnsi="Calibri"/>
                <w:b/>
                <w:bCs/>
                <w:color w:val="FFFFFF"/>
                <w:lang w:val="en-AU"/>
              </w:rPr>
              <w:t>Early Dissemination (Stage II)</w:t>
            </w:r>
          </w:p>
        </w:tc>
      </w:tr>
      <w:tr w:rsidR="00D30F82" w:rsidRPr="004D3350" w14:paraId="1B4F8E00" w14:textId="77777777" w:rsidTr="004D3350">
        <w:tc>
          <w:tcPr>
            <w:tcW w:w="9061" w:type="dxa"/>
            <w:shd w:val="clear" w:color="auto" w:fill="auto"/>
          </w:tcPr>
          <w:p w14:paraId="3B2F0F8F" w14:textId="77777777" w:rsidR="00482ED6" w:rsidRPr="004D3350" w:rsidRDefault="00482ED6" w:rsidP="004D3350">
            <w:pPr>
              <w:pStyle w:val="BodyText"/>
              <w:numPr>
                <w:ilvl w:val="0"/>
                <w:numId w:val="20"/>
              </w:numPr>
              <w:spacing w:before="60" w:after="60" w:line="240" w:lineRule="auto"/>
              <w:ind w:left="414" w:hanging="357"/>
              <w:rPr>
                <w:rFonts w:ascii="Calibri" w:hAnsi="Calibri"/>
                <w:sz w:val="20"/>
                <w:szCs w:val="20"/>
                <w:lang w:val="en-AU"/>
              </w:rPr>
            </w:pPr>
            <w:r w:rsidRPr="004D3350">
              <w:rPr>
                <w:rFonts w:ascii="Calibri" w:hAnsi="Calibri"/>
                <w:sz w:val="20"/>
                <w:szCs w:val="20"/>
                <w:lang w:val="en-AU"/>
              </w:rPr>
              <w:t xml:space="preserve">Early haematogenous dissemination to other sites </w:t>
            </w:r>
          </w:p>
          <w:p w14:paraId="1774C402" w14:textId="77777777" w:rsidR="00482ED6" w:rsidRPr="004D3350" w:rsidRDefault="00482ED6" w:rsidP="004D3350">
            <w:pPr>
              <w:pStyle w:val="BodyText"/>
              <w:numPr>
                <w:ilvl w:val="0"/>
                <w:numId w:val="20"/>
              </w:numPr>
              <w:spacing w:before="60" w:after="60" w:line="240" w:lineRule="auto"/>
              <w:ind w:left="414" w:hanging="357"/>
              <w:rPr>
                <w:rFonts w:ascii="Calibri" w:hAnsi="Calibri"/>
                <w:sz w:val="20"/>
                <w:szCs w:val="20"/>
                <w:lang w:val="en-AU"/>
              </w:rPr>
            </w:pPr>
            <w:r w:rsidRPr="004D3350">
              <w:rPr>
                <w:rFonts w:ascii="Calibri" w:hAnsi="Calibri"/>
                <w:sz w:val="20"/>
                <w:szCs w:val="20"/>
                <w:lang w:val="en-AU"/>
              </w:rPr>
              <w:t xml:space="preserve">Multiple </w:t>
            </w:r>
            <w:r w:rsidR="00AF1CCD" w:rsidRPr="004D3350">
              <w:rPr>
                <w:rFonts w:ascii="Calibri" w:hAnsi="Calibri"/>
                <w:sz w:val="20"/>
                <w:szCs w:val="20"/>
                <w:lang w:val="en-AU"/>
              </w:rPr>
              <w:t>EM</w:t>
            </w:r>
            <w:r w:rsidR="00273B08" w:rsidRPr="004D3350">
              <w:rPr>
                <w:rFonts w:ascii="Calibri" w:hAnsi="Calibri"/>
                <w:sz w:val="20"/>
                <w:szCs w:val="20"/>
                <w:lang w:val="en-AU"/>
              </w:rPr>
              <w:t xml:space="preserve"> lesions</w:t>
            </w:r>
            <w:r w:rsidRPr="004D3350">
              <w:rPr>
                <w:rFonts w:ascii="Calibri" w:hAnsi="Calibri"/>
                <w:sz w:val="20"/>
                <w:szCs w:val="20"/>
                <w:lang w:val="en-AU"/>
              </w:rPr>
              <w:t xml:space="preserve"> (</w:t>
            </w:r>
            <w:r w:rsidR="00CF29E7" w:rsidRPr="004D3350">
              <w:rPr>
                <w:rFonts w:ascii="Calibri" w:hAnsi="Calibri"/>
                <w:sz w:val="20"/>
                <w:szCs w:val="20"/>
                <w:lang w:val="en-AU"/>
              </w:rPr>
              <w:t>≈</w:t>
            </w:r>
            <w:r w:rsidRPr="004D3350">
              <w:rPr>
                <w:rFonts w:ascii="Calibri" w:hAnsi="Calibri"/>
                <w:sz w:val="20"/>
                <w:szCs w:val="20"/>
                <w:lang w:val="en-AU"/>
              </w:rPr>
              <w:t>20</w:t>
            </w:r>
            <w:r w:rsidR="00F13BD0" w:rsidRPr="004D3350">
              <w:rPr>
                <w:rFonts w:ascii="Calibri" w:hAnsi="Calibri"/>
                <w:sz w:val="20"/>
                <w:szCs w:val="20"/>
                <w:lang w:val="en-AU"/>
              </w:rPr>
              <w:t xml:space="preserve"> </w:t>
            </w:r>
            <w:r w:rsidR="00CF74AD" w:rsidRPr="004D3350">
              <w:rPr>
                <w:rFonts w:ascii="Calibri" w:hAnsi="Calibri"/>
                <w:sz w:val="20"/>
                <w:szCs w:val="20"/>
                <w:lang w:val="en-AU"/>
              </w:rPr>
              <w:t>per cent</w:t>
            </w:r>
            <w:r w:rsidRPr="004D3350">
              <w:rPr>
                <w:rFonts w:ascii="Calibri" w:hAnsi="Calibri"/>
                <w:sz w:val="20"/>
                <w:szCs w:val="20"/>
                <w:lang w:val="en-AU"/>
              </w:rPr>
              <w:t xml:space="preserve">) </w:t>
            </w:r>
          </w:p>
          <w:p w14:paraId="75903925" w14:textId="77777777" w:rsidR="00482ED6" w:rsidRPr="004D3350" w:rsidRDefault="00482ED6" w:rsidP="004D3350">
            <w:pPr>
              <w:pStyle w:val="BodyText"/>
              <w:numPr>
                <w:ilvl w:val="0"/>
                <w:numId w:val="20"/>
              </w:numPr>
              <w:spacing w:before="60" w:after="60" w:line="240" w:lineRule="auto"/>
              <w:ind w:left="414" w:hanging="357"/>
              <w:rPr>
                <w:rFonts w:ascii="Calibri" w:hAnsi="Calibri"/>
                <w:sz w:val="20"/>
                <w:szCs w:val="20"/>
                <w:lang w:val="en-AU"/>
              </w:rPr>
            </w:pPr>
            <w:r w:rsidRPr="004D3350">
              <w:rPr>
                <w:rFonts w:ascii="Calibri" w:hAnsi="Calibri"/>
                <w:sz w:val="20"/>
                <w:szCs w:val="20"/>
                <w:lang w:val="en-AU"/>
              </w:rPr>
              <w:t>Nervous system involvement (</w:t>
            </w:r>
            <w:r w:rsidR="00CF29E7" w:rsidRPr="004D3350">
              <w:rPr>
                <w:rFonts w:ascii="Calibri" w:hAnsi="Calibri"/>
                <w:sz w:val="20"/>
                <w:szCs w:val="20"/>
                <w:lang w:val="en-AU"/>
              </w:rPr>
              <w:t>≈</w:t>
            </w:r>
            <w:r w:rsidRPr="004D3350">
              <w:rPr>
                <w:rFonts w:ascii="Calibri" w:hAnsi="Calibri"/>
                <w:sz w:val="20"/>
                <w:szCs w:val="20"/>
                <w:lang w:val="en-AU"/>
              </w:rPr>
              <w:t>15</w:t>
            </w:r>
            <w:r w:rsidR="00F13BD0" w:rsidRPr="004D3350">
              <w:rPr>
                <w:rFonts w:ascii="Calibri" w:hAnsi="Calibri"/>
                <w:sz w:val="20"/>
                <w:szCs w:val="20"/>
                <w:lang w:val="en-AU"/>
              </w:rPr>
              <w:t xml:space="preserve"> </w:t>
            </w:r>
            <w:r w:rsidR="00CF74AD" w:rsidRPr="004D3350">
              <w:rPr>
                <w:rFonts w:ascii="Calibri" w:hAnsi="Calibri"/>
                <w:sz w:val="20"/>
                <w:szCs w:val="20"/>
                <w:lang w:val="en-AU"/>
              </w:rPr>
              <w:t>per cent</w:t>
            </w:r>
            <w:r w:rsidRPr="004D3350">
              <w:rPr>
                <w:rFonts w:ascii="Calibri" w:hAnsi="Calibri"/>
                <w:sz w:val="20"/>
                <w:szCs w:val="20"/>
                <w:lang w:val="en-AU"/>
              </w:rPr>
              <w:t xml:space="preserve">) - headache, lymphocytic meningitis, mild neck stiffness, facial palsy </w:t>
            </w:r>
          </w:p>
          <w:p w14:paraId="38ED3807" w14:textId="77777777" w:rsidR="00482ED6" w:rsidRPr="004D3350" w:rsidRDefault="00482ED6" w:rsidP="004D3350">
            <w:pPr>
              <w:pStyle w:val="BodyText"/>
              <w:numPr>
                <w:ilvl w:val="0"/>
                <w:numId w:val="20"/>
              </w:numPr>
              <w:spacing w:before="60" w:after="60" w:line="240" w:lineRule="auto"/>
              <w:ind w:left="414" w:hanging="357"/>
              <w:rPr>
                <w:rFonts w:ascii="Calibri" w:hAnsi="Calibri"/>
                <w:sz w:val="20"/>
                <w:szCs w:val="20"/>
                <w:lang w:val="en-AU"/>
              </w:rPr>
            </w:pPr>
            <w:r w:rsidRPr="004D3350">
              <w:rPr>
                <w:rFonts w:ascii="Calibri" w:hAnsi="Calibri"/>
                <w:sz w:val="20"/>
                <w:szCs w:val="20"/>
                <w:lang w:val="en-AU"/>
              </w:rPr>
              <w:t>Cardiac involvement (</w:t>
            </w:r>
            <w:r w:rsidR="00CF29E7" w:rsidRPr="004D3350">
              <w:rPr>
                <w:rFonts w:ascii="Calibri" w:hAnsi="Calibri"/>
                <w:sz w:val="20"/>
                <w:szCs w:val="20"/>
                <w:lang w:val="en-AU"/>
              </w:rPr>
              <w:t>≈</w:t>
            </w:r>
            <w:r w:rsidRPr="004D3350">
              <w:rPr>
                <w:rFonts w:ascii="Calibri" w:hAnsi="Calibri"/>
                <w:sz w:val="20"/>
                <w:szCs w:val="20"/>
                <w:lang w:val="en-AU"/>
              </w:rPr>
              <w:t>5</w:t>
            </w:r>
            <w:r w:rsidR="00F13BD0" w:rsidRPr="004D3350">
              <w:rPr>
                <w:rFonts w:ascii="Calibri" w:hAnsi="Calibri"/>
                <w:sz w:val="20"/>
                <w:szCs w:val="20"/>
                <w:lang w:val="en-AU"/>
              </w:rPr>
              <w:t xml:space="preserve"> </w:t>
            </w:r>
            <w:r w:rsidR="00CF74AD" w:rsidRPr="004D3350">
              <w:rPr>
                <w:rFonts w:ascii="Calibri" w:hAnsi="Calibri"/>
                <w:sz w:val="20"/>
                <w:szCs w:val="20"/>
                <w:lang w:val="en-AU"/>
              </w:rPr>
              <w:t>per cent</w:t>
            </w:r>
            <w:r w:rsidRPr="004D3350">
              <w:rPr>
                <w:rFonts w:ascii="Calibri" w:hAnsi="Calibri"/>
                <w:sz w:val="20"/>
                <w:szCs w:val="20"/>
                <w:lang w:val="en-AU"/>
              </w:rPr>
              <w:t>)</w:t>
            </w:r>
            <w:r w:rsidR="0064140E" w:rsidRPr="004D3350">
              <w:rPr>
                <w:rFonts w:ascii="Calibri" w:hAnsi="Calibri"/>
                <w:sz w:val="20"/>
                <w:szCs w:val="20"/>
                <w:lang w:val="en-AU"/>
              </w:rPr>
              <w:t xml:space="preserve"> </w:t>
            </w:r>
            <w:r w:rsidRPr="004D3350">
              <w:rPr>
                <w:rFonts w:ascii="Calibri" w:hAnsi="Calibri"/>
                <w:sz w:val="20"/>
                <w:szCs w:val="20"/>
                <w:lang w:val="en-AU"/>
              </w:rPr>
              <w:t>- acute onset of high-grade atrioventricular conduction defects, myopericarditis</w:t>
            </w:r>
            <w:r w:rsidR="00DA53C6" w:rsidRPr="004D3350">
              <w:rPr>
                <w:rFonts w:ascii="Calibri" w:hAnsi="Calibri"/>
                <w:sz w:val="20"/>
                <w:szCs w:val="20"/>
                <w:lang w:val="en-AU"/>
              </w:rPr>
              <w:t>, and</w:t>
            </w:r>
            <w:r w:rsidRPr="004D3350">
              <w:rPr>
                <w:rFonts w:ascii="Calibri" w:hAnsi="Calibri"/>
                <w:sz w:val="20"/>
                <w:szCs w:val="20"/>
                <w:lang w:val="en-AU"/>
              </w:rPr>
              <w:t xml:space="preserve"> </w:t>
            </w:r>
          </w:p>
          <w:p w14:paraId="7F8B3A7B" w14:textId="77777777" w:rsidR="00D30F82" w:rsidRPr="004D3350" w:rsidRDefault="00482ED6" w:rsidP="004D3350">
            <w:pPr>
              <w:pStyle w:val="BodyText"/>
              <w:numPr>
                <w:ilvl w:val="0"/>
                <w:numId w:val="20"/>
              </w:numPr>
              <w:spacing w:before="60" w:after="60" w:line="240" w:lineRule="auto"/>
              <w:ind w:left="414" w:hanging="357"/>
              <w:rPr>
                <w:rFonts w:ascii="Calibri" w:hAnsi="Calibri"/>
                <w:sz w:val="20"/>
                <w:szCs w:val="20"/>
                <w:lang w:val="en-AU"/>
              </w:rPr>
            </w:pPr>
            <w:r w:rsidRPr="004D3350">
              <w:rPr>
                <w:rFonts w:ascii="Calibri" w:hAnsi="Calibri"/>
                <w:sz w:val="20"/>
                <w:szCs w:val="20"/>
                <w:lang w:val="en-AU"/>
              </w:rPr>
              <w:t>Joint i</w:t>
            </w:r>
            <w:r w:rsidR="002464DF" w:rsidRPr="004D3350">
              <w:rPr>
                <w:rFonts w:ascii="Calibri" w:hAnsi="Calibri"/>
                <w:sz w:val="20"/>
                <w:szCs w:val="20"/>
                <w:lang w:val="en-AU"/>
              </w:rPr>
              <w:t>nvolvement -</w:t>
            </w:r>
            <w:r w:rsidRPr="004D3350">
              <w:rPr>
                <w:rFonts w:ascii="Calibri" w:hAnsi="Calibri"/>
                <w:sz w:val="20"/>
                <w:szCs w:val="20"/>
                <w:lang w:val="en-AU"/>
              </w:rPr>
              <w:t xml:space="preserve"> a large joint oligoarthritis with brief attacks</w:t>
            </w:r>
            <w:r w:rsidR="00F645CB" w:rsidRPr="004D3350">
              <w:rPr>
                <w:rFonts w:ascii="Calibri" w:hAnsi="Calibri"/>
                <w:sz w:val="20"/>
                <w:szCs w:val="20"/>
                <w:lang w:val="en-AU"/>
              </w:rPr>
              <w:t>.</w:t>
            </w:r>
            <w:r w:rsidR="00D63A16" w:rsidRPr="004D3350">
              <w:rPr>
                <w:rStyle w:val="FootnoteReference"/>
              </w:rPr>
              <w:footnoteReference w:id="54"/>
            </w:r>
          </w:p>
        </w:tc>
      </w:tr>
      <w:tr w:rsidR="00D30F82" w:rsidRPr="004D3350" w14:paraId="73ED78B5" w14:textId="77777777" w:rsidTr="004D3350">
        <w:tc>
          <w:tcPr>
            <w:tcW w:w="9061" w:type="dxa"/>
            <w:shd w:val="clear" w:color="auto" w:fill="77B800"/>
          </w:tcPr>
          <w:p w14:paraId="56075FA7" w14:textId="77777777" w:rsidR="00D30F82" w:rsidRPr="004D3350" w:rsidRDefault="00482ED6" w:rsidP="004D3350">
            <w:pPr>
              <w:pStyle w:val="BodyText"/>
              <w:spacing w:before="60" w:after="60" w:line="240" w:lineRule="auto"/>
              <w:rPr>
                <w:rFonts w:ascii="Calibri" w:hAnsi="Calibri"/>
                <w:b/>
                <w:bCs/>
                <w:lang w:val="en-AU"/>
              </w:rPr>
            </w:pPr>
            <w:r w:rsidRPr="004D3350">
              <w:rPr>
                <w:rFonts w:ascii="Calibri" w:hAnsi="Calibri"/>
                <w:b/>
                <w:bCs/>
                <w:color w:val="FFFFFF"/>
                <w:lang w:val="en-AU"/>
              </w:rPr>
              <w:t xml:space="preserve">Late </w:t>
            </w:r>
            <w:r w:rsidR="004D613F" w:rsidRPr="004D3350">
              <w:rPr>
                <w:rFonts w:ascii="Calibri" w:hAnsi="Calibri"/>
                <w:b/>
                <w:bCs/>
                <w:color w:val="FFFFFF"/>
                <w:lang w:val="en-AU"/>
              </w:rPr>
              <w:t xml:space="preserve">Dissemination </w:t>
            </w:r>
            <w:r w:rsidRPr="004D3350">
              <w:rPr>
                <w:rFonts w:ascii="Calibri" w:hAnsi="Calibri"/>
                <w:b/>
                <w:bCs/>
                <w:color w:val="FFFFFF"/>
                <w:lang w:val="en-AU"/>
              </w:rPr>
              <w:t xml:space="preserve">(Stage III) </w:t>
            </w:r>
          </w:p>
        </w:tc>
      </w:tr>
      <w:tr w:rsidR="00767D86" w:rsidRPr="004D3350" w14:paraId="4D83B714" w14:textId="77777777" w:rsidTr="004D3350">
        <w:tc>
          <w:tcPr>
            <w:tcW w:w="9061" w:type="dxa"/>
            <w:shd w:val="clear" w:color="auto" w:fill="auto"/>
          </w:tcPr>
          <w:p w14:paraId="783CBF4C" w14:textId="77777777" w:rsidR="00767D86" w:rsidRPr="004D3350" w:rsidRDefault="00767D86" w:rsidP="004D3350">
            <w:pPr>
              <w:pStyle w:val="BodyText"/>
              <w:spacing w:before="60" w:after="60" w:line="240" w:lineRule="auto"/>
              <w:rPr>
                <w:rFonts w:ascii="Calibri" w:hAnsi="Calibri"/>
                <w:sz w:val="20"/>
                <w:szCs w:val="20"/>
                <w:lang w:val="en-AU"/>
              </w:rPr>
            </w:pPr>
            <w:r w:rsidRPr="004D3350">
              <w:rPr>
                <w:rFonts w:ascii="Calibri" w:hAnsi="Calibri"/>
                <w:sz w:val="20"/>
                <w:szCs w:val="20"/>
                <w:lang w:val="en-AU"/>
              </w:rPr>
              <w:t xml:space="preserve">This stage </w:t>
            </w:r>
            <w:r w:rsidR="004D613F" w:rsidRPr="004D3350">
              <w:rPr>
                <w:rFonts w:ascii="Calibri" w:hAnsi="Calibri"/>
                <w:sz w:val="20"/>
                <w:szCs w:val="20"/>
                <w:lang w:val="en-AU"/>
              </w:rPr>
              <w:t xml:space="preserve">can potentially </w:t>
            </w:r>
            <w:r w:rsidRPr="004D3350">
              <w:rPr>
                <w:rFonts w:ascii="Calibri" w:hAnsi="Calibri"/>
                <w:sz w:val="20"/>
                <w:szCs w:val="20"/>
                <w:lang w:val="en-AU"/>
              </w:rPr>
              <w:t>occur after month</w:t>
            </w:r>
            <w:r w:rsidR="00B276C4" w:rsidRPr="004D3350">
              <w:rPr>
                <w:rFonts w:ascii="Calibri" w:hAnsi="Calibri"/>
                <w:sz w:val="20"/>
                <w:szCs w:val="20"/>
                <w:lang w:val="en-AU"/>
              </w:rPr>
              <w:t>s</w:t>
            </w:r>
            <w:r w:rsidRPr="004D3350">
              <w:rPr>
                <w:rFonts w:ascii="Calibri" w:hAnsi="Calibri"/>
                <w:sz w:val="20"/>
                <w:szCs w:val="20"/>
                <w:lang w:val="en-AU"/>
              </w:rPr>
              <w:t xml:space="preserve"> to several years</w:t>
            </w:r>
            <w:r w:rsidR="004D613F" w:rsidRPr="004D3350">
              <w:rPr>
                <w:rFonts w:ascii="Calibri" w:hAnsi="Calibri"/>
                <w:sz w:val="20"/>
                <w:szCs w:val="20"/>
                <w:lang w:val="en-AU"/>
              </w:rPr>
              <w:t xml:space="preserve"> following the initial </w:t>
            </w:r>
            <w:r w:rsidRPr="004D3350">
              <w:rPr>
                <w:rFonts w:ascii="Calibri" w:hAnsi="Calibri"/>
                <w:sz w:val="20"/>
                <w:szCs w:val="20"/>
                <w:lang w:val="en-AU"/>
              </w:rPr>
              <w:t>infection</w:t>
            </w:r>
            <w:r w:rsidR="004D613F" w:rsidRPr="004D3350">
              <w:rPr>
                <w:rFonts w:ascii="Calibri" w:hAnsi="Calibri"/>
                <w:sz w:val="20"/>
                <w:szCs w:val="20"/>
                <w:lang w:val="en-AU"/>
              </w:rPr>
              <w:t xml:space="preserve"> though the pathologic mechanism is unclear</w:t>
            </w:r>
            <w:r w:rsidR="007339DF" w:rsidRPr="004D3350">
              <w:rPr>
                <w:rFonts w:ascii="Calibri" w:hAnsi="Calibri"/>
                <w:sz w:val="20"/>
                <w:szCs w:val="20"/>
                <w:lang w:val="en-AU"/>
              </w:rPr>
              <w:t>.</w:t>
            </w:r>
            <w:r w:rsidRPr="004D3350">
              <w:rPr>
                <w:rFonts w:ascii="Calibri" w:hAnsi="Calibri"/>
                <w:sz w:val="20"/>
                <w:szCs w:val="20"/>
                <w:lang w:val="en-AU"/>
              </w:rPr>
              <w:t xml:space="preserve"> </w:t>
            </w:r>
            <w:r w:rsidR="00FA128B" w:rsidRPr="004D3350">
              <w:rPr>
                <w:rFonts w:ascii="Calibri" w:hAnsi="Calibri"/>
                <w:sz w:val="20"/>
                <w:szCs w:val="20"/>
                <w:lang w:val="en-AU"/>
              </w:rPr>
              <w:t xml:space="preserve">It is hypothesised that any ongoing symptoms </w:t>
            </w:r>
            <w:r w:rsidR="004B690E" w:rsidRPr="004D3350">
              <w:rPr>
                <w:rFonts w:ascii="Calibri" w:hAnsi="Calibri"/>
                <w:sz w:val="20"/>
                <w:szCs w:val="20"/>
                <w:lang w:val="en-AU"/>
              </w:rPr>
              <w:t>are</w:t>
            </w:r>
            <w:r w:rsidR="00FA128B" w:rsidRPr="004D3350">
              <w:rPr>
                <w:rFonts w:ascii="Calibri" w:hAnsi="Calibri"/>
                <w:sz w:val="20"/>
                <w:szCs w:val="20"/>
                <w:lang w:val="en-AU"/>
              </w:rPr>
              <w:t xml:space="preserve"> more immune related which may or may not be a consequence to the initial infection. Ongoing infection</w:t>
            </w:r>
            <w:r w:rsidR="00A04FE6" w:rsidRPr="004D3350">
              <w:rPr>
                <w:rFonts w:ascii="Calibri" w:hAnsi="Calibri"/>
                <w:sz w:val="20"/>
                <w:szCs w:val="20"/>
                <w:lang w:val="en-AU"/>
              </w:rPr>
              <w:t xml:space="preserve"> remains</w:t>
            </w:r>
            <w:r w:rsidR="00FA128B" w:rsidRPr="004D3350">
              <w:rPr>
                <w:rFonts w:ascii="Calibri" w:hAnsi="Calibri"/>
                <w:sz w:val="20"/>
                <w:szCs w:val="20"/>
                <w:lang w:val="en-AU"/>
              </w:rPr>
              <w:t xml:space="preserve"> a debatable diagnosis by </w:t>
            </w:r>
            <w:r w:rsidR="00EC35B2" w:rsidRPr="004D3350">
              <w:rPr>
                <w:rFonts w:ascii="Calibri" w:hAnsi="Calibri"/>
                <w:sz w:val="20"/>
                <w:szCs w:val="20"/>
                <w:lang w:val="en-AU"/>
              </w:rPr>
              <w:t xml:space="preserve">the </w:t>
            </w:r>
            <w:r w:rsidR="00FA128B" w:rsidRPr="004D3350">
              <w:rPr>
                <w:rFonts w:ascii="Calibri" w:hAnsi="Calibri"/>
                <w:sz w:val="20"/>
                <w:szCs w:val="20"/>
                <w:lang w:val="en-AU"/>
              </w:rPr>
              <w:t>medical profession globally.</w:t>
            </w:r>
            <w:r w:rsidR="00F423EB" w:rsidRPr="004D3350">
              <w:rPr>
                <w:rFonts w:ascii="Calibri" w:hAnsi="Calibri"/>
                <w:sz w:val="20"/>
                <w:szCs w:val="20"/>
                <w:lang w:val="en-AU"/>
              </w:rPr>
              <w:t xml:space="preserve"> </w:t>
            </w:r>
          </w:p>
        </w:tc>
      </w:tr>
      <w:tr w:rsidR="00D30F82" w:rsidRPr="004D3350" w14:paraId="4342F34D" w14:textId="77777777" w:rsidTr="004D3350">
        <w:tc>
          <w:tcPr>
            <w:tcW w:w="9061" w:type="dxa"/>
            <w:shd w:val="clear" w:color="auto" w:fill="auto"/>
          </w:tcPr>
          <w:p w14:paraId="51134678" w14:textId="77777777" w:rsidR="00482ED6" w:rsidRPr="004D3350" w:rsidRDefault="00CF29E7" w:rsidP="004D3350">
            <w:pPr>
              <w:pStyle w:val="BodyText"/>
              <w:numPr>
                <w:ilvl w:val="0"/>
                <w:numId w:val="20"/>
              </w:numPr>
              <w:spacing w:before="60" w:after="60" w:line="240" w:lineRule="auto"/>
              <w:ind w:left="414" w:hanging="357"/>
              <w:rPr>
                <w:rFonts w:ascii="Calibri" w:hAnsi="Calibri"/>
                <w:sz w:val="20"/>
                <w:szCs w:val="20"/>
                <w:lang w:val="en-AU"/>
              </w:rPr>
            </w:pPr>
            <w:r w:rsidRPr="004D3350">
              <w:rPr>
                <w:rFonts w:ascii="Calibri" w:hAnsi="Calibri"/>
                <w:sz w:val="20"/>
                <w:szCs w:val="20"/>
                <w:lang w:val="en-AU"/>
              </w:rPr>
              <w:t>≈</w:t>
            </w:r>
            <w:r w:rsidR="00482ED6" w:rsidRPr="004D3350">
              <w:rPr>
                <w:rFonts w:ascii="Calibri" w:hAnsi="Calibri"/>
                <w:sz w:val="20"/>
                <w:szCs w:val="20"/>
                <w:lang w:val="en-AU"/>
              </w:rPr>
              <w:t>60</w:t>
            </w:r>
            <w:r w:rsidR="00F13BD0" w:rsidRPr="004D3350">
              <w:rPr>
                <w:rFonts w:ascii="Calibri" w:hAnsi="Calibri"/>
                <w:sz w:val="20"/>
                <w:szCs w:val="20"/>
                <w:lang w:val="en-AU"/>
              </w:rPr>
              <w:t xml:space="preserve"> </w:t>
            </w:r>
            <w:r w:rsidR="00CF74AD" w:rsidRPr="004D3350">
              <w:rPr>
                <w:rFonts w:ascii="Calibri" w:hAnsi="Calibri"/>
                <w:sz w:val="20"/>
                <w:szCs w:val="20"/>
                <w:lang w:val="en-AU"/>
              </w:rPr>
              <w:t>per cent</w:t>
            </w:r>
            <w:r w:rsidR="00482ED6" w:rsidRPr="004D3350">
              <w:rPr>
                <w:rFonts w:ascii="Calibri" w:hAnsi="Calibri"/>
                <w:sz w:val="20"/>
                <w:szCs w:val="20"/>
                <w:lang w:val="en-AU"/>
              </w:rPr>
              <w:t xml:space="preserve"> present with rheumatologic involvement, intermittent attacks of joint swelling and pain in large joints, infiltration of mononuclear cells</w:t>
            </w:r>
            <w:r w:rsidR="004B690E" w:rsidRPr="004D3350">
              <w:rPr>
                <w:rFonts w:ascii="Calibri" w:hAnsi="Calibri"/>
                <w:sz w:val="20"/>
                <w:szCs w:val="20"/>
                <w:lang w:val="en-AU"/>
              </w:rPr>
              <w:t>.</w:t>
            </w:r>
            <w:r w:rsidR="00482ED6" w:rsidRPr="004D3350">
              <w:rPr>
                <w:rFonts w:ascii="Calibri" w:hAnsi="Calibri"/>
                <w:sz w:val="20"/>
                <w:szCs w:val="20"/>
                <w:lang w:val="en-AU"/>
              </w:rPr>
              <w:t xml:space="preserve"> </w:t>
            </w:r>
          </w:p>
          <w:p w14:paraId="6B833904" w14:textId="77777777" w:rsidR="00482ED6" w:rsidRPr="004D3350" w:rsidRDefault="00CF29E7" w:rsidP="004D3350">
            <w:pPr>
              <w:pStyle w:val="BodyText"/>
              <w:numPr>
                <w:ilvl w:val="0"/>
                <w:numId w:val="20"/>
              </w:numPr>
              <w:spacing w:before="60" w:after="60" w:line="240" w:lineRule="auto"/>
              <w:ind w:left="417"/>
              <w:rPr>
                <w:rFonts w:ascii="Calibri" w:hAnsi="Calibri"/>
                <w:sz w:val="20"/>
                <w:szCs w:val="20"/>
                <w:lang w:val="en-AU"/>
              </w:rPr>
            </w:pPr>
            <w:r w:rsidRPr="004D3350">
              <w:rPr>
                <w:rFonts w:ascii="Calibri" w:hAnsi="Calibri"/>
                <w:sz w:val="20"/>
                <w:szCs w:val="20"/>
                <w:lang w:val="en-AU"/>
              </w:rPr>
              <w:t>≈</w:t>
            </w:r>
            <w:r w:rsidR="00482ED6" w:rsidRPr="004D3350">
              <w:rPr>
                <w:rFonts w:ascii="Calibri" w:hAnsi="Calibri"/>
                <w:sz w:val="20"/>
                <w:szCs w:val="20"/>
                <w:lang w:val="en-AU"/>
              </w:rPr>
              <w:t>5</w:t>
            </w:r>
            <w:r w:rsidR="00F13BD0" w:rsidRPr="004D3350">
              <w:rPr>
                <w:rFonts w:ascii="Calibri" w:hAnsi="Calibri"/>
                <w:sz w:val="20"/>
                <w:szCs w:val="20"/>
                <w:lang w:val="en-AU"/>
              </w:rPr>
              <w:t xml:space="preserve"> </w:t>
            </w:r>
            <w:r w:rsidR="00CF74AD" w:rsidRPr="004D3350">
              <w:rPr>
                <w:rFonts w:ascii="Calibri" w:hAnsi="Calibri"/>
                <w:sz w:val="20"/>
                <w:szCs w:val="20"/>
                <w:lang w:val="en-AU"/>
              </w:rPr>
              <w:t>per cent</w:t>
            </w:r>
            <w:r w:rsidR="00482ED6" w:rsidRPr="004D3350">
              <w:rPr>
                <w:rFonts w:ascii="Calibri" w:hAnsi="Calibri"/>
                <w:sz w:val="20"/>
                <w:szCs w:val="20"/>
                <w:lang w:val="en-AU"/>
              </w:rPr>
              <w:t xml:space="preserve"> present with neuroborreliosis, peripheral neuropathy, spinal radicular pain, distal paresthesia, encephalopathy leading to subtle cognitive disturbances, intrathecal antibody production and, rarely, cerebrospinal fluid pleocytosis</w:t>
            </w:r>
            <w:r w:rsidR="00AD57CF" w:rsidRPr="004D3350">
              <w:rPr>
                <w:rFonts w:ascii="Calibri" w:hAnsi="Calibri"/>
                <w:sz w:val="20"/>
                <w:szCs w:val="20"/>
                <w:lang w:val="en-AU"/>
              </w:rPr>
              <w:t>.</w:t>
            </w:r>
            <w:r w:rsidR="00482ED6" w:rsidRPr="004D3350">
              <w:rPr>
                <w:rFonts w:ascii="Calibri" w:hAnsi="Calibri"/>
                <w:sz w:val="20"/>
                <w:szCs w:val="20"/>
                <w:lang w:val="en-AU"/>
              </w:rPr>
              <w:t xml:space="preserve"> </w:t>
            </w:r>
          </w:p>
          <w:p w14:paraId="242F3CF9" w14:textId="77777777" w:rsidR="00D30F82" w:rsidRPr="004D3350" w:rsidRDefault="00482ED6" w:rsidP="004D3350">
            <w:pPr>
              <w:pStyle w:val="BodyText"/>
              <w:numPr>
                <w:ilvl w:val="0"/>
                <w:numId w:val="20"/>
              </w:numPr>
              <w:spacing w:before="60" w:after="60" w:line="240" w:lineRule="auto"/>
              <w:ind w:left="414" w:hanging="357"/>
              <w:rPr>
                <w:rFonts w:ascii="Calibri" w:hAnsi="Calibri"/>
                <w:sz w:val="20"/>
                <w:szCs w:val="20"/>
                <w:lang w:val="en-AU" w:eastAsia="en-AU"/>
              </w:rPr>
            </w:pPr>
            <w:r w:rsidRPr="004D3350">
              <w:rPr>
                <w:rFonts w:ascii="Calibri" w:hAnsi="Calibri"/>
                <w:sz w:val="20"/>
                <w:szCs w:val="20"/>
                <w:lang w:val="en-AU"/>
              </w:rPr>
              <w:t>Acrodermatitis chronica atrophicans - a rare skin condition n</w:t>
            </w:r>
            <w:r w:rsidR="007111A0" w:rsidRPr="004D3350">
              <w:rPr>
                <w:rFonts w:ascii="Calibri" w:hAnsi="Calibri"/>
                <w:sz w:val="20"/>
                <w:szCs w:val="20"/>
                <w:lang w:val="en-AU"/>
              </w:rPr>
              <w:t>ot seen in North American Lyme d</w:t>
            </w:r>
            <w:r w:rsidRPr="004D3350">
              <w:rPr>
                <w:rFonts w:ascii="Calibri" w:hAnsi="Calibri"/>
                <w:sz w:val="20"/>
                <w:szCs w:val="20"/>
                <w:lang w:val="en-AU"/>
              </w:rPr>
              <w:t>isease</w:t>
            </w:r>
            <w:r w:rsidR="00FA7E46" w:rsidRPr="004D3350">
              <w:rPr>
                <w:rFonts w:ascii="Calibri" w:hAnsi="Calibri"/>
                <w:sz w:val="20"/>
                <w:szCs w:val="20"/>
                <w:lang w:val="en-AU"/>
              </w:rPr>
              <w:t>.</w:t>
            </w:r>
            <w:r w:rsidR="008B60DF" w:rsidRPr="004D3350">
              <w:rPr>
                <w:rStyle w:val="FootnoteReference"/>
              </w:rPr>
              <w:footnoteReference w:id="55"/>
            </w:r>
          </w:p>
        </w:tc>
      </w:tr>
    </w:tbl>
    <w:p w14:paraId="7A7C9873" w14:textId="77777777" w:rsidR="00A175B5" w:rsidRPr="00CF74AD" w:rsidRDefault="00A175B5" w:rsidP="006A0F82">
      <w:pPr>
        <w:pStyle w:val="NumberedHeading3"/>
        <w:rPr>
          <w:color w:val="auto"/>
          <w:lang w:val="en-AU" w:eastAsia="en-AU"/>
        </w:rPr>
      </w:pPr>
      <w:bookmarkStart w:id="32" w:name="_Toc16786163"/>
      <w:bookmarkStart w:id="33" w:name="_Toc16863013"/>
      <w:bookmarkStart w:id="34" w:name="_Toc16869519"/>
      <w:bookmarkStart w:id="35" w:name="_Toc20047266"/>
      <w:bookmarkStart w:id="36" w:name="_Toc20056681"/>
      <w:bookmarkStart w:id="37" w:name="_Toc20063039"/>
      <w:bookmarkStart w:id="38" w:name="_Toc20086248"/>
      <w:bookmarkStart w:id="39" w:name="_Toc20137576"/>
      <w:bookmarkStart w:id="40" w:name="_Toc20221073"/>
      <w:bookmarkStart w:id="41" w:name="_Toc55464774"/>
      <w:r w:rsidRPr="00CF74AD">
        <w:rPr>
          <w:lang w:val="en-AU" w:eastAsia="en-AU"/>
        </w:rPr>
        <w:lastRenderedPageBreak/>
        <w:t xml:space="preserve">Other presentations </w:t>
      </w:r>
      <w:r w:rsidR="006A0F82" w:rsidRPr="00CF74AD">
        <w:rPr>
          <w:lang w:val="en-AU" w:eastAsia="en-AU"/>
        </w:rPr>
        <w:t>and considerations</w:t>
      </w:r>
      <w:r w:rsidR="00A55446" w:rsidRPr="00CF74AD">
        <w:rPr>
          <w:lang w:val="en-AU" w:eastAsia="en-AU"/>
        </w:rPr>
        <w:t xml:space="preserve"> in </w:t>
      </w:r>
      <w:r w:rsidR="002161AA" w:rsidRPr="00CF74AD">
        <w:rPr>
          <w:lang w:val="en-AU" w:eastAsia="en-AU"/>
        </w:rPr>
        <w:t>diagnosing Lyme disease</w:t>
      </w:r>
      <w:bookmarkEnd w:id="32"/>
      <w:bookmarkEnd w:id="33"/>
      <w:bookmarkEnd w:id="34"/>
      <w:bookmarkEnd w:id="35"/>
      <w:bookmarkEnd w:id="36"/>
      <w:bookmarkEnd w:id="37"/>
      <w:bookmarkEnd w:id="38"/>
      <w:bookmarkEnd w:id="39"/>
      <w:bookmarkEnd w:id="40"/>
      <w:bookmarkEnd w:id="41"/>
      <w:r w:rsidR="002161AA" w:rsidRPr="00CF74AD">
        <w:rPr>
          <w:lang w:val="en-AU" w:eastAsia="en-AU"/>
        </w:rPr>
        <w:t xml:space="preserve"> </w:t>
      </w:r>
    </w:p>
    <w:p w14:paraId="18F17EEC" w14:textId="11AB1C49" w:rsidR="00955557" w:rsidRPr="00F2704A" w:rsidRDefault="00AF7FA0" w:rsidP="00AF7FA0">
      <w:pPr>
        <w:pStyle w:val="Caption"/>
        <w:rPr>
          <w:lang w:val="en-AU"/>
        </w:rPr>
      </w:pPr>
      <w:bookmarkStart w:id="42" w:name="_Toc55460091"/>
      <w:r w:rsidRPr="00CF74AD">
        <w:rPr>
          <w:lang w:val="en-AU"/>
        </w:rPr>
        <w:t xml:space="preserve">Table </w:t>
      </w:r>
      <w:r w:rsidRPr="00661245">
        <w:rPr>
          <w:lang w:val="en-AU"/>
        </w:rPr>
        <w:fldChar w:fldCharType="begin"/>
      </w:r>
      <w:r w:rsidRPr="00F2704A">
        <w:rPr>
          <w:lang w:val="en-AU"/>
        </w:rPr>
        <w:instrText xml:space="preserve"> SEQ Table \* ARABIC </w:instrText>
      </w:r>
      <w:r w:rsidRPr="00661245">
        <w:rPr>
          <w:lang w:val="en-AU"/>
        </w:rPr>
        <w:fldChar w:fldCharType="separate"/>
      </w:r>
      <w:r w:rsidR="00822580">
        <w:rPr>
          <w:noProof/>
          <w:lang w:val="en-AU"/>
        </w:rPr>
        <w:t>2</w:t>
      </w:r>
      <w:r w:rsidRPr="00661245">
        <w:rPr>
          <w:lang w:val="en-AU"/>
        </w:rPr>
        <w:fldChar w:fldCharType="end"/>
      </w:r>
      <w:r w:rsidRPr="00F2704A">
        <w:rPr>
          <w:lang w:val="en-AU"/>
        </w:rPr>
        <w:t xml:space="preserve">: </w:t>
      </w:r>
      <w:r w:rsidR="0037131E" w:rsidRPr="00661245">
        <w:rPr>
          <w:lang w:val="en-AU"/>
        </w:rPr>
        <w:t>Other signs and symptoms of Lyme disease</w:t>
      </w:r>
      <w:r w:rsidR="00BD34C5" w:rsidRPr="00A94846">
        <w:rPr>
          <w:rStyle w:val="FootnoteReference"/>
        </w:rPr>
        <w:footnoteReference w:id="56"/>
      </w:r>
      <w:bookmarkEnd w:id="42"/>
    </w:p>
    <w:tbl>
      <w:tblPr>
        <w:tblW w:w="0" w:type="auto"/>
        <w:tblBorders>
          <w:top w:val="single" w:sz="4" w:space="0" w:color="77B800"/>
          <w:left w:val="single" w:sz="4" w:space="0" w:color="77B800"/>
          <w:bottom w:val="single" w:sz="4" w:space="0" w:color="77B800"/>
          <w:right w:val="single" w:sz="4" w:space="0" w:color="77B800"/>
          <w:insideH w:val="single" w:sz="4" w:space="0" w:color="77B800"/>
          <w:insideV w:val="single" w:sz="4" w:space="0" w:color="77B800"/>
        </w:tblBorders>
        <w:tblLook w:val="04A0" w:firstRow="1" w:lastRow="0" w:firstColumn="1" w:lastColumn="0" w:noHBand="0" w:noVBand="1"/>
      </w:tblPr>
      <w:tblGrid>
        <w:gridCol w:w="9061"/>
      </w:tblGrid>
      <w:tr w:rsidR="00F82533" w:rsidRPr="004D3350" w14:paraId="01792FDC" w14:textId="77777777" w:rsidTr="004D3350">
        <w:trPr>
          <w:tblHeader/>
        </w:trPr>
        <w:tc>
          <w:tcPr>
            <w:tcW w:w="9061" w:type="dxa"/>
            <w:shd w:val="clear" w:color="auto" w:fill="auto"/>
          </w:tcPr>
          <w:p w14:paraId="039EE30E" w14:textId="77777777" w:rsidR="00F82533" w:rsidRPr="004D3350" w:rsidRDefault="00F82533" w:rsidP="004D3350">
            <w:pPr>
              <w:pStyle w:val="BodyText"/>
              <w:spacing w:before="60" w:after="60" w:line="240" w:lineRule="auto"/>
              <w:rPr>
                <w:rFonts w:ascii="Calibri" w:hAnsi="Calibri"/>
                <w:sz w:val="20"/>
                <w:szCs w:val="20"/>
                <w:lang w:val="en-AU"/>
              </w:rPr>
            </w:pPr>
            <w:r w:rsidRPr="004D3350">
              <w:rPr>
                <w:rFonts w:ascii="Calibri" w:hAnsi="Calibri"/>
                <w:sz w:val="20"/>
                <w:szCs w:val="20"/>
                <w:lang w:val="en-AU"/>
              </w:rPr>
              <w:t xml:space="preserve">In a patient with a history of travel to a Lyme disease endemic area, consider the possibility of Lyme disease in a patient presenting with several of the following symptoms as Lyme disease is a </w:t>
            </w:r>
            <w:r w:rsidRPr="004D3350">
              <w:rPr>
                <w:rFonts w:ascii="Calibri" w:hAnsi="Calibri"/>
                <w:b/>
                <w:bCs/>
                <w:sz w:val="20"/>
                <w:szCs w:val="20"/>
                <w:lang w:val="en-AU"/>
              </w:rPr>
              <w:t>possible but uncommon cause</w:t>
            </w:r>
            <w:r w:rsidRPr="004D3350">
              <w:rPr>
                <w:rFonts w:ascii="Calibri" w:hAnsi="Calibri"/>
                <w:sz w:val="20"/>
                <w:szCs w:val="20"/>
                <w:lang w:val="en-AU"/>
              </w:rPr>
              <w:t xml:space="preserve"> of fever and sweats, swollen glands, malaise, fatigue, neck pain or stiffness, migratory joint or muscle aches and pains, cognitive impairment, such as memory problems and difficulty concentrating (‘brain fog’), headache and paraesthesi</w:t>
            </w:r>
            <w:r w:rsidR="00CA0209" w:rsidRPr="004D3350">
              <w:rPr>
                <w:rFonts w:ascii="Calibri" w:hAnsi="Calibri"/>
                <w:sz w:val="20"/>
                <w:szCs w:val="20"/>
                <w:lang w:val="en-AU"/>
              </w:rPr>
              <w:t>a</w:t>
            </w:r>
            <w:r w:rsidRPr="004D3350">
              <w:rPr>
                <w:rFonts w:ascii="Calibri" w:hAnsi="Calibri"/>
                <w:sz w:val="20"/>
                <w:szCs w:val="20"/>
                <w:lang w:val="en-AU"/>
              </w:rPr>
              <w:t xml:space="preserve">. </w:t>
            </w:r>
          </w:p>
        </w:tc>
      </w:tr>
      <w:tr w:rsidR="00F82533" w:rsidRPr="004D3350" w14:paraId="5E051CE3" w14:textId="77777777" w:rsidTr="004D3350">
        <w:tc>
          <w:tcPr>
            <w:tcW w:w="9061" w:type="dxa"/>
            <w:shd w:val="clear" w:color="auto" w:fill="auto"/>
          </w:tcPr>
          <w:p w14:paraId="212DBF00" w14:textId="77777777" w:rsidR="00F82533" w:rsidRPr="004D3350" w:rsidRDefault="00F82533" w:rsidP="004D3350">
            <w:pPr>
              <w:pStyle w:val="BodyText"/>
              <w:spacing w:before="60" w:after="60" w:line="240" w:lineRule="auto"/>
              <w:rPr>
                <w:rFonts w:ascii="Calibri" w:hAnsi="Calibri"/>
                <w:sz w:val="20"/>
                <w:szCs w:val="20"/>
                <w:lang w:val="en-AU"/>
              </w:rPr>
            </w:pPr>
            <w:r w:rsidRPr="004D3350">
              <w:rPr>
                <w:rFonts w:ascii="Calibri" w:hAnsi="Calibri"/>
                <w:sz w:val="20"/>
                <w:szCs w:val="20"/>
                <w:lang w:val="en-AU"/>
              </w:rPr>
              <w:t xml:space="preserve">In a patient with a history of travel to a Lyme disease endemic area, consider the possibility of Lyme disease in a patient presenting with symptoms and signs relating to one or more organ symptoms (focal symptoms) as Lyme disease is a </w:t>
            </w:r>
            <w:r w:rsidRPr="004D3350">
              <w:rPr>
                <w:rFonts w:ascii="Calibri" w:hAnsi="Calibri"/>
                <w:b/>
                <w:bCs/>
                <w:sz w:val="20"/>
                <w:szCs w:val="20"/>
                <w:lang w:val="en-AU"/>
              </w:rPr>
              <w:t>possible but uncommon cause</w:t>
            </w:r>
            <w:r w:rsidRPr="004D3350">
              <w:rPr>
                <w:rFonts w:ascii="Calibri" w:hAnsi="Calibri"/>
                <w:sz w:val="20"/>
                <w:szCs w:val="20"/>
                <w:lang w:val="en-AU"/>
              </w:rPr>
              <w:t xml:space="preserve"> of </w:t>
            </w:r>
          </w:p>
          <w:p w14:paraId="73051FB1" w14:textId="77777777" w:rsidR="00F82533" w:rsidRPr="004D3350" w:rsidRDefault="00F82533" w:rsidP="004D3350">
            <w:pPr>
              <w:pStyle w:val="BodyText"/>
              <w:numPr>
                <w:ilvl w:val="0"/>
                <w:numId w:val="43"/>
              </w:numPr>
              <w:spacing w:before="60" w:after="60" w:line="240" w:lineRule="auto"/>
              <w:ind w:left="417"/>
              <w:rPr>
                <w:rFonts w:ascii="Calibri" w:hAnsi="Calibri"/>
                <w:sz w:val="20"/>
                <w:szCs w:val="20"/>
                <w:lang w:val="en-AU"/>
              </w:rPr>
            </w:pPr>
            <w:r w:rsidRPr="004D3350">
              <w:rPr>
                <w:rFonts w:ascii="Calibri" w:hAnsi="Calibri"/>
                <w:sz w:val="20"/>
                <w:szCs w:val="20"/>
                <w:lang w:val="en-AU"/>
              </w:rPr>
              <w:t>neurological symptoms (facial palsy, or other unexplained cranial nerve palsies, meningitis, mononeuritis multiplex or other unexplained radiculopathy) or rarely encephalitis, neuropsychiatric presentations or unexplained white matter changes on brain imaging)</w:t>
            </w:r>
          </w:p>
          <w:p w14:paraId="269DB397" w14:textId="77777777" w:rsidR="00F82533" w:rsidRPr="004D3350" w:rsidRDefault="00F82533" w:rsidP="004D3350">
            <w:pPr>
              <w:pStyle w:val="BodyText"/>
              <w:numPr>
                <w:ilvl w:val="0"/>
                <w:numId w:val="43"/>
              </w:numPr>
              <w:spacing w:before="60" w:after="60" w:line="240" w:lineRule="auto"/>
              <w:ind w:left="417"/>
              <w:rPr>
                <w:rFonts w:ascii="Calibri" w:hAnsi="Calibri"/>
                <w:sz w:val="20"/>
                <w:szCs w:val="20"/>
                <w:lang w:val="en-AU"/>
              </w:rPr>
            </w:pPr>
            <w:r w:rsidRPr="004D3350">
              <w:rPr>
                <w:rFonts w:ascii="Calibri" w:hAnsi="Calibri"/>
                <w:sz w:val="20"/>
                <w:szCs w:val="20"/>
                <w:lang w:val="en-AU"/>
              </w:rPr>
              <w:t>inflammatory arthritis affecting one or more joints that may be fluctuating and migratory</w:t>
            </w:r>
          </w:p>
          <w:p w14:paraId="0AFF617B" w14:textId="77777777" w:rsidR="00F82533" w:rsidRPr="004D3350" w:rsidRDefault="00F82533" w:rsidP="004D3350">
            <w:pPr>
              <w:pStyle w:val="BodyText"/>
              <w:numPr>
                <w:ilvl w:val="0"/>
                <w:numId w:val="43"/>
              </w:numPr>
              <w:spacing w:before="60" w:after="60" w:line="240" w:lineRule="auto"/>
              <w:ind w:left="417"/>
              <w:rPr>
                <w:rFonts w:ascii="Calibri" w:hAnsi="Calibri"/>
                <w:sz w:val="20"/>
                <w:szCs w:val="20"/>
                <w:lang w:val="en-AU"/>
              </w:rPr>
            </w:pPr>
            <w:r w:rsidRPr="004D3350">
              <w:rPr>
                <w:rFonts w:ascii="Calibri" w:hAnsi="Calibri"/>
                <w:sz w:val="20"/>
                <w:szCs w:val="20"/>
                <w:lang w:val="en-AU"/>
              </w:rPr>
              <w:t>cardiac problems such as heart block or pericarditis</w:t>
            </w:r>
          </w:p>
          <w:p w14:paraId="024B52F3" w14:textId="77777777" w:rsidR="00F82533" w:rsidRPr="004D3350" w:rsidRDefault="00F82533" w:rsidP="004D3350">
            <w:pPr>
              <w:pStyle w:val="BodyText"/>
              <w:numPr>
                <w:ilvl w:val="0"/>
                <w:numId w:val="43"/>
              </w:numPr>
              <w:spacing w:before="60" w:after="60" w:line="240" w:lineRule="auto"/>
              <w:ind w:left="417"/>
              <w:rPr>
                <w:rFonts w:ascii="Calibri" w:hAnsi="Calibri"/>
                <w:sz w:val="20"/>
                <w:szCs w:val="20"/>
                <w:lang w:val="en-AU"/>
              </w:rPr>
            </w:pPr>
            <w:r w:rsidRPr="004D3350">
              <w:rPr>
                <w:rFonts w:ascii="Calibri" w:hAnsi="Calibri"/>
                <w:sz w:val="20"/>
                <w:szCs w:val="20"/>
                <w:lang w:val="en-AU"/>
              </w:rPr>
              <w:t>eye symptoms such as uveitis or keratitis</w:t>
            </w:r>
            <w:r w:rsidR="00E36648" w:rsidRPr="004D3350">
              <w:rPr>
                <w:rFonts w:ascii="Calibri" w:hAnsi="Calibri"/>
                <w:sz w:val="20"/>
                <w:szCs w:val="20"/>
                <w:lang w:val="en-AU"/>
              </w:rPr>
              <w:t>, and</w:t>
            </w:r>
          </w:p>
          <w:p w14:paraId="1EB9EEA6" w14:textId="77777777" w:rsidR="00F82533" w:rsidRPr="004D3350" w:rsidRDefault="00F82533" w:rsidP="004D3350">
            <w:pPr>
              <w:pStyle w:val="BodyText"/>
              <w:numPr>
                <w:ilvl w:val="0"/>
                <w:numId w:val="43"/>
              </w:numPr>
              <w:spacing w:before="60" w:after="60" w:line="240" w:lineRule="auto"/>
              <w:ind w:left="417"/>
              <w:rPr>
                <w:rFonts w:ascii="Calibri" w:hAnsi="Calibri"/>
                <w:sz w:val="20"/>
                <w:szCs w:val="20"/>
                <w:lang w:val="en-AU"/>
              </w:rPr>
            </w:pPr>
            <w:r w:rsidRPr="004D3350">
              <w:rPr>
                <w:rFonts w:ascii="Calibri" w:hAnsi="Calibri"/>
                <w:sz w:val="20"/>
                <w:szCs w:val="20"/>
                <w:lang w:val="en-AU"/>
              </w:rPr>
              <w:t>skin rashes such as acrodermatitis chronica atrophicans or lymphocytoma</w:t>
            </w:r>
            <w:r w:rsidR="00CA0209" w:rsidRPr="004D3350">
              <w:rPr>
                <w:rFonts w:ascii="Calibri" w:hAnsi="Calibri"/>
                <w:sz w:val="20"/>
                <w:szCs w:val="20"/>
                <w:lang w:val="en-AU"/>
              </w:rPr>
              <w:t>.</w:t>
            </w:r>
          </w:p>
        </w:tc>
      </w:tr>
      <w:tr w:rsidR="008C39EC" w:rsidRPr="004D3350" w14:paraId="6FCFD552" w14:textId="77777777" w:rsidTr="004D3350">
        <w:tc>
          <w:tcPr>
            <w:tcW w:w="9061" w:type="dxa"/>
            <w:shd w:val="clear" w:color="auto" w:fill="auto"/>
          </w:tcPr>
          <w:p w14:paraId="0532255B" w14:textId="77777777" w:rsidR="008C39EC" w:rsidRPr="004D3350" w:rsidRDefault="008C39EC" w:rsidP="004D3350">
            <w:pPr>
              <w:pStyle w:val="BodyText"/>
              <w:spacing w:before="60" w:after="60" w:line="240" w:lineRule="auto"/>
              <w:rPr>
                <w:rFonts w:ascii="Calibri" w:hAnsi="Calibri"/>
                <w:sz w:val="20"/>
                <w:szCs w:val="20"/>
                <w:lang w:val="en-AU"/>
              </w:rPr>
            </w:pPr>
            <w:r w:rsidRPr="004D3350">
              <w:rPr>
                <w:rFonts w:ascii="Calibri" w:hAnsi="Calibri"/>
                <w:sz w:val="20"/>
                <w:szCs w:val="20"/>
                <w:lang w:val="en-AU"/>
              </w:rPr>
              <w:t>Do not rule out the possibility of Lyme disease in people with symptoms but no clear history of tick bite</w:t>
            </w:r>
            <w:r w:rsidR="002B7495" w:rsidRPr="004D3350">
              <w:rPr>
                <w:rFonts w:ascii="Calibri" w:hAnsi="Calibri"/>
                <w:sz w:val="20"/>
                <w:szCs w:val="20"/>
                <w:lang w:val="en-AU"/>
              </w:rPr>
              <w:t>.</w:t>
            </w:r>
          </w:p>
        </w:tc>
      </w:tr>
      <w:tr w:rsidR="008C39EC" w:rsidRPr="004D3350" w14:paraId="551B7879" w14:textId="77777777" w:rsidTr="004D3350">
        <w:tc>
          <w:tcPr>
            <w:tcW w:w="9061" w:type="dxa"/>
            <w:shd w:val="clear" w:color="auto" w:fill="auto"/>
          </w:tcPr>
          <w:p w14:paraId="13378CA6" w14:textId="77777777" w:rsidR="008C39EC" w:rsidRPr="004D3350" w:rsidRDefault="008C39EC" w:rsidP="004D3350">
            <w:pPr>
              <w:pStyle w:val="BodyText"/>
              <w:spacing w:before="60" w:after="60" w:line="240" w:lineRule="auto"/>
              <w:rPr>
                <w:rFonts w:ascii="Calibri" w:hAnsi="Calibri"/>
                <w:sz w:val="20"/>
                <w:szCs w:val="20"/>
                <w:lang w:val="en-AU"/>
              </w:rPr>
            </w:pPr>
            <w:r w:rsidRPr="004D3350">
              <w:rPr>
                <w:rFonts w:ascii="Calibri" w:hAnsi="Calibri"/>
                <w:sz w:val="20"/>
                <w:szCs w:val="20"/>
                <w:lang w:val="en-AU"/>
              </w:rPr>
              <w:t>Do not diagnose Lyme disease in people without symptoms, even if they have had a tick bite</w:t>
            </w:r>
            <w:r w:rsidR="002B7495" w:rsidRPr="004D3350">
              <w:rPr>
                <w:rFonts w:ascii="Calibri" w:hAnsi="Calibri"/>
                <w:sz w:val="20"/>
                <w:szCs w:val="20"/>
                <w:lang w:val="en-AU"/>
              </w:rPr>
              <w:t>.</w:t>
            </w:r>
            <w:r w:rsidRPr="004D3350">
              <w:rPr>
                <w:rFonts w:ascii="Calibri" w:hAnsi="Calibri"/>
                <w:sz w:val="20"/>
                <w:szCs w:val="20"/>
                <w:lang w:val="en-AU"/>
              </w:rPr>
              <w:t xml:space="preserve"> </w:t>
            </w:r>
          </w:p>
        </w:tc>
      </w:tr>
      <w:tr w:rsidR="008C39EC" w:rsidRPr="004D3350" w14:paraId="43959FC8" w14:textId="77777777" w:rsidTr="004D3350">
        <w:tc>
          <w:tcPr>
            <w:tcW w:w="9061" w:type="dxa"/>
            <w:shd w:val="clear" w:color="auto" w:fill="auto"/>
          </w:tcPr>
          <w:p w14:paraId="19E98E54" w14:textId="77777777" w:rsidR="008C39EC" w:rsidRPr="004D3350" w:rsidRDefault="008C39EC" w:rsidP="004D3350">
            <w:pPr>
              <w:pStyle w:val="BodyText"/>
              <w:spacing w:before="60" w:after="60" w:line="240" w:lineRule="auto"/>
              <w:rPr>
                <w:rFonts w:ascii="Calibri" w:hAnsi="Calibri"/>
                <w:sz w:val="20"/>
                <w:szCs w:val="20"/>
                <w:lang w:val="en-AU"/>
              </w:rPr>
            </w:pPr>
            <w:r w:rsidRPr="004D3350">
              <w:rPr>
                <w:rFonts w:ascii="Calibri" w:hAnsi="Calibri"/>
                <w:sz w:val="20"/>
                <w:szCs w:val="20"/>
                <w:lang w:val="en-AU"/>
              </w:rPr>
              <w:t>Be cautious about diagnosing Lyme disease in people without a supportive history or positive serological testing because of the risk of</w:t>
            </w:r>
            <w:r w:rsidR="002B7495" w:rsidRPr="004D3350">
              <w:rPr>
                <w:rFonts w:ascii="Calibri" w:hAnsi="Calibri"/>
                <w:sz w:val="20"/>
                <w:szCs w:val="20"/>
                <w:lang w:val="en-AU"/>
              </w:rPr>
              <w:t>:</w:t>
            </w:r>
            <w:r w:rsidRPr="004D3350">
              <w:rPr>
                <w:rFonts w:ascii="Calibri" w:hAnsi="Calibri"/>
                <w:sz w:val="20"/>
                <w:szCs w:val="20"/>
                <w:lang w:val="en-AU"/>
              </w:rPr>
              <w:t xml:space="preserve"> </w:t>
            </w:r>
          </w:p>
          <w:p w14:paraId="3005F439" w14:textId="77777777" w:rsidR="008C39EC" w:rsidRPr="004D3350" w:rsidRDefault="00F13BD0" w:rsidP="004D3350">
            <w:pPr>
              <w:pStyle w:val="BodyText"/>
              <w:numPr>
                <w:ilvl w:val="0"/>
                <w:numId w:val="7"/>
              </w:numPr>
              <w:spacing w:before="60" w:after="60" w:line="240" w:lineRule="auto"/>
              <w:ind w:left="417"/>
              <w:rPr>
                <w:rFonts w:ascii="Calibri" w:hAnsi="Calibri"/>
                <w:sz w:val="20"/>
                <w:szCs w:val="20"/>
                <w:lang w:val="en-AU"/>
              </w:rPr>
            </w:pPr>
            <w:r w:rsidRPr="004D3350">
              <w:rPr>
                <w:rFonts w:ascii="Calibri" w:hAnsi="Calibri"/>
                <w:sz w:val="20"/>
                <w:szCs w:val="20"/>
                <w:lang w:val="en-AU"/>
              </w:rPr>
              <w:t>m</w:t>
            </w:r>
            <w:r w:rsidR="008C39EC" w:rsidRPr="004D3350">
              <w:rPr>
                <w:rFonts w:ascii="Calibri" w:hAnsi="Calibri"/>
                <w:sz w:val="20"/>
                <w:szCs w:val="20"/>
                <w:lang w:val="en-AU"/>
              </w:rPr>
              <w:t>issing an alternative diagnosis</w:t>
            </w:r>
            <w:r w:rsidRPr="004D3350">
              <w:rPr>
                <w:rFonts w:ascii="Calibri" w:hAnsi="Calibri"/>
                <w:sz w:val="20"/>
                <w:szCs w:val="20"/>
                <w:lang w:val="en-AU"/>
              </w:rPr>
              <w:t xml:space="preserve">, </w:t>
            </w:r>
            <w:r w:rsidR="00733458" w:rsidRPr="004D3350">
              <w:rPr>
                <w:rFonts w:ascii="Calibri" w:hAnsi="Calibri"/>
                <w:sz w:val="20"/>
                <w:szCs w:val="20"/>
                <w:lang w:val="en-AU"/>
              </w:rPr>
              <w:t>and</w:t>
            </w:r>
          </w:p>
          <w:p w14:paraId="6F770206" w14:textId="77777777" w:rsidR="008C39EC" w:rsidRPr="004D3350" w:rsidRDefault="00F13BD0" w:rsidP="004D3350">
            <w:pPr>
              <w:pStyle w:val="BodyText"/>
              <w:numPr>
                <w:ilvl w:val="0"/>
                <w:numId w:val="7"/>
              </w:numPr>
              <w:spacing w:before="60" w:after="60" w:line="240" w:lineRule="auto"/>
              <w:ind w:left="417"/>
              <w:rPr>
                <w:rFonts w:ascii="Calibri" w:hAnsi="Calibri"/>
                <w:sz w:val="20"/>
                <w:szCs w:val="20"/>
                <w:lang w:val="en-AU"/>
              </w:rPr>
            </w:pPr>
            <w:r w:rsidRPr="004D3350">
              <w:rPr>
                <w:rFonts w:ascii="Calibri" w:hAnsi="Calibri"/>
                <w:sz w:val="20"/>
                <w:szCs w:val="20"/>
                <w:lang w:val="en-AU"/>
              </w:rPr>
              <w:t>p</w:t>
            </w:r>
            <w:r w:rsidR="008C39EC" w:rsidRPr="004D3350">
              <w:rPr>
                <w:rFonts w:ascii="Calibri" w:hAnsi="Calibri"/>
                <w:sz w:val="20"/>
                <w:szCs w:val="20"/>
                <w:lang w:val="en-AU"/>
              </w:rPr>
              <w:t>roviding inappropriate management</w:t>
            </w:r>
            <w:r w:rsidR="00A04FE6" w:rsidRPr="004D3350">
              <w:rPr>
                <w:rFonts w:ascii="Calibri" w:hAnsi="Calibri"/>
                <w:sz w:val="20"/>
                <w:szCs w:val="20"/>
                <w:lang w:val="en-AU"/>
              </w:rPr>
              <w:t>.</w:t>
            </w:r>
          </w:p>
        </w:tc>
      </w:tr>
    </w:tbl>
    <w:p w14:paraId="5E1FA262" w14:textId="77777777" w:rsidR="00EE45CE" w:rsidRPr="00F2704A" w:rsidRDefault="00EE45CE">
      <w:pPr>
        <w:rPr>
          <w:lang w:val="en-AU"/>
        </w:rPr>
      </w:pPr>
    </w:p>
    <w:p w14:paraId="7EA56490" w14:textId="77777777" w:rsidR="005953DE" w:rsidRPr="009569B4" w:rsidRDefault="00324594" w:rsidP="00FA7E46">
      <w:pPr>
        <w:pStyle w:val="Body"/>
        <w:rPr>
          <w:lang w:val="en-AU"/>
        </w:rPr>
      </w:pPr>
      <w:r w:rsidRPr="00CF74AD">
        <w:rPr>
          <w:lang w:val="en-AU"/>
        </w:rPr>
        <w:t>The most recent international guideline on Lyme disease</w:t>
      </w:r>
      <w:r w:rsidR="001E331A">
        <w:rPr>
          <w:lang w:val="en-AU"/>
        </w:rPr>
        <w:t xml:space="preserve"> </w:t>
      </w:r>
      <w:r w:rsidRPr="00CF74AD">
        <w:rPr>
          <w:lang w:val="en-AU"/>
        </w:rPr>
        <w:t>- the IDSA/AAN/ACR 2019 Draft Lyme Disease Guidelines, suggested against routinely testing for Lyme disease in children presenting with development</w:t>
      </w:r>
      <w:r w:rsidR="009A5B3D" w:rsidRPr="00CF74AD">
        <w:rPr>
          <w:lang w:val="en-AU"/>
        </w:rPr>
        <w:t>al</w:t>
      </w:r>
      <w:r w:rsidRPr="00CF74AD">
        <w:rPr>
          <w:lang w:val="en-AU"/>
        </w:rPr>
        <w:t>, behavioural or psychiatric disorders</w:t>
      </w:r>
      <w:r w:rsidR="00B50748">
        <w:rPr>
          <w:lang w:val="en-AU"/>
        </w:rPr>
        <w:t xml:space="preserve"> </w:t>
      </w:r>
      <w:r w:rsidR="00B50748" w:rsidRPr="00F2704A">
        <w:rPr>
          <w:lang w:val="en-AU"/>
        </w:rPr>
        <w:t>(</w:t>
      </w:r>
      <w:r w:rsidR="00B50748" w:rsidRPr="00F66E31">
        <w:rPr>
          <w:lang w:val="en-AU"/>
        </w:rPr>
        <w:t>weak recommendation; low quality evidence</w:t>
      </w:r>
      <w:r w:rsidR="00B50748" w:rsidRPr="00B50748">
        <w:rPr>
          <w:lang w:val="en-AU"/>
        </w:rPr>
        <w:t>)</w:t>
      </w:r>
      <w:r w:rsidR="00B50748">
        <w:rPr>
          <w:lang w:val="en-AU"/>
        </w:rPr>
        <w:t>.</w:t>
      </w:r>
      <w:r w:rsidR="006907F9" w:rsidRPr="00A94846">
        <w:rPr>
          <w:rStyle w:val="FootnoteReference"/>
        </w:rPr>
        <w:footnoteReference w:id="57"/>
      </w:r>
      <w:r w:rsidRPr="00CF74AD">
        <w:rPr>
          <w:lang w:val="en-AU"/>
        </w:rPr>
        <w:t xml:space="preserve"> </w:t>
      </w:r>
      <w:r w:rsidR="00C37D4B" w:rsidRPr="00CF74AD">
        <w:rPr>
          <w:lang w:val="en-AU"/>
        </w:rPr>
        <w:t xml:space="preserve">In their systematic review to inform the draft </w:t>
      </w:r>
      <w:r w:rsidR="00092FD9" w:rsidRPr="00CF74AD">
        <w:rPr>
          <w:lang w:val="en-AU"/>
        </w:rPr>
        <w:t>Lyme disease guid</w:t>
      </w:r>
      <w:r w:rsidR="00B24CF4" w:rsidRPr="00CF74AD">
        <w:rPr>
          <w:lang w:val="en-AU"/>
        </w:rPr>
        <w:t>e</w:t>
      </w:r>
      <w:r w:rsidR="00092FD9" w:rsidRPr="00CF74AD">
        <w:rPr>
          <w:lang w:val="en-AU"/>
        </w:rPr>
        <w:t>lines</w:t>
      </w:r>
      <w:r w:rsidR="00C37D4B" w:rsidRPr="00CF74AD">
        <w:rPr>
          <w:lang w:val="en-AU"/>
        </w:rPr>
        <w:t xml:space="preserve"> t</w:t>
      </w:r>
      <w:r w:rsidR="00947474" w:rsidRPr="00CF74AD">
        <w:rPr>
          <w:lang w:val="en-AU"/>
        </w:rPr>
        <w:t xml:space="preserve">he IDSA/AAN/ACR </w:t>
      </w:r>
      <w:r w:rsidR="00C87539" w:rsidRPr="00CF74AD">
        <w:rPr>
          <w:lang w:val="en-AU"/>
        </w:rPr>
        <w:t xml:space="preserve">advised there are no data to support a causal link between tick-borne infections </w:t>
      </w:r>
      <w:r w:rsidR="00D5700C" w:rsidRPr="00CF29E7">
        <w:rPr>
          <w:lang w:val="en-AU"/>
        </w:rPr>
        <w:t xml:space="preserve">and childhood developmental delay or behavioural disorders (such as attention deficit hyperactivity disorder, autistic spectrum disorders, Paediatric Autoimmune </w:t>
      </w:r>
      <w:r w:rsidR="00EF50A5" w:rsidRPr="00CF29E7">
        <w:rPr>
          <w:lang w:val="en-AU"/>
        </w:rPr>
        <w:t>Neuropsychiatric</w:t>
      </w:r>
      <w:r w:rsidR="00D5700C" w:rsidRPr="00CF29E7">
        <w:rPr>
          <w:lang w:val="en-AU"/>
        </w:rPr>
        <w:t xml:space="preserve"> Disorders</w:t>
      </w:r>
      <w:r w:rsidR="00F87750" w:rsidRPr="00CF29E7">
        <w:rPr>
          <w:lang w:val="en-AU"/>
        </w:rPr>
        <w:t xml:space="preserve"> Associated with Strep</w:t>
      </w:r>
      <w:r w:rsidR="00553895" w:rsidRPr="00CF29E7">
        <w:rPr>
          <w:lang w:val="en-AU"/>
        </w:rPr>
        <w:t xml:space="preserve">tococcal </w:t>
      </w:r>
      <w:r w:rsidR="00292567" w:rsidRPr="00D621FF">
        <w:rPr>
          <w:lang w:val="en-AU"/>
        </w:rPr>
        <w:t>Infections (PANDAS)</w:t>
      </w:r>
      <w:r w:rsidR="00AA63C8" w:rsidRPr="00D621FF">
        <w:rPr>
          <w:lang w:val="en-AU"/>
        </w:rPr>
        <w:t>, learning disabilities</w:t>
      </w:r>
      <w:r w:rsidR="00047908" w:rsidRPr="00D621FF">
        <w:rPr>
          <w:lang w:val="en-AU"/>
        </w:rPr>
        <w:t>, or psychiatric disord</w:t>
      </w:r>
      <w:r w:rsidR="00047908" w:rsidRPr="00FA6D54">
        <w:rPr>
          <w:lang w:val="en-AU"/>
        </w:rPr>
        <w:t>ers). The IDSA</w:t>
      </w:r>
      <w:r w:rsidR="00B745B0" w:rsidRPr="00F2704A">
        <w:rPr>
          <w:lang w:val="en-AU"/>
        </w:rPr>
        <w:t xml:space="preserve">/AAN/ACR </w:t>
      </w:r>
      <w:r w:rsidR="002C23B1" w:rsidRPr="00F2704A">
        <w:rPr>
          <w:lang w:val="en-AU"/>
        </w:rPr>
        <w:t>noted that as with many acut</w:t>
      </w:r>
      <w:r w:rsidR="001F6732" w:rsidRPr="00F2704A">
        <w:rPr>
          <w:lang w:val="en-AU"/>
        </w:rPr>
        <w:t>e</w:t>
      </w:r>
      <w:r w:rsidR="002C23B1" w:rsidRPr="00F2704A">
        <w:rPr>
          <w:lang w:val="en-AU"/>
        </w:rPr>
        <w:t xml:space="preserve"> medical illnesses, Lyme disease could worsen </w:t>
      </w:r>
      <w:r w:rsidR="00E60CB9" w:rsidRPr="00F2704A">
        <w:rPr>
          <w:lang w:val="en-AU"/>
        </w:rPr>
        <w:t>behavioural or psychiatric symptoms in children who are pre</w:t>
      </w:r>
      <w:r w:rsidR="001F6732" w:rsidRPr="00F2704A">
        <w:rPr>
          <w:lang w:val="en-AU"/>
        </w:rPr>
        <w:t>d</w:t>
      </w:r>
      <w:r w:rsidR="00E60CB9" w:rsidRPr="00F2704A">
        <w:rPr>
          <w:lang w:val="en-AU"/>
        </w:rPr>
        <w:t>isposed to these conditions</w:t>
      </w:r>
      <w:r w:rsidR="001F6732" w:rsidRPr="00F2704A">
        <w:rPr>
          <w:lang w:val="en-AU"/>
        </w:rPr>
        <w:t xml:space="preserve">. </w:t>
      </w:r>
      <w:r w:rsidR="00991723" w:rsidRPr="00F2704A">
        <w:rPr>
          <w:lang w:val="en-AU"/>
        </w:rPr>
        <w:t xml:space="preserve">In addition, the IDSA/AAN/ACR also cautioned that </w:t>
      </w:r>
      <w:r w:rsidR="007112CD" w:rsidRPr="00F2704A">
        <w:rPr>
          <w:lang w:val="en-AU"/>
        </w:rPr>
        <w:t>because there is a low pre</w:t>
      </w:r>
      <w:r w:rsidR="001E4661">
        <w:rPr>
          <w:lang w:val="en-AU"/>
        </w:rPr>
        <w:t>-</w:t>
      </w:r>
      <w:r w:rsidR="007112CD" w:rsidRPr="00F2704A">
        <w:rPr>
          <w:lang w:val="en-AU"/>
        </w:rPr>
        <w:t xml:space="preserve">test probability (prevalence) </w:t>
      </w:r>
      <w:r w:rsidR="00066D54" w:rsidRPr="00F2704A">
        <w:rPr>
          <w:lang w:val="en-AU"/>
        </w:rPr>
        <w:t xml:space="preserve">of Lyme disease in this </w:t>
      </w:r>
      <w:r w:rsidR="00A317EB" w:rsidRPr="00F2704A">
        <w:rPr>
          <w:lang w:val="en-AU"/>
        </w:rPr>
        <w:t>population</w:t>
      </w:r>
      <w:r w:rsidR="00066D54" w:rsidRPr="00F2704A">
        <w:rPr>
          <w:lang w:val="en-AU"/>
        </w:rPr>
        <w:t xml:space="preserve">, broadly </w:t>
      </w:r>
      <w:r w:rsidR="00830B4D" w:rsidRPr="00F2704A">
        <w:rPr>
          <w:lang w:val="en-AU"/>
        </w:rPr>
        <w:t>testing all such children will lead to a high proportion of false positive results</w:t>
      </w:r>
      <w:r w:rsidR="007F2E98" w:rsidRPr="00F2704A">
        <w:rPr>
          <w:lang w:val="en-AU"/>
        </w:rPr>
        <w:t xml:space="preserve">, </w:t>
      </w:r>
      <w:r w:rsidR="00B84948" w:rsidRPr="00F2704A">
        <w:rPr>
          <w:lang w:val="en-AU"/>
        </w:rPr>
        <w:t xml:space="preserve">with misattribution </w:t>
      </w:r>
      <w:r w:rsidR="00644CCC" w:rsidRPr="00F2704A">
        <w:rPr>
          <w:lang w:val="en-AU"/>
        </w:rPr>
        <w:t xml:space="preserve">of symptoms </w:t>
      </w:r>
      <w:r w:rsidR="006B73BF" w:rsidRPr="00F2704A">
        <w:rPr>
          <w:lang w:val="en-AU"/>
        </w:rPr>
        <w:t>of Lyme disease lead</w:t>
      </w:r>
      <w:r w:rsidR="00A04FE6">
        <w:rPr>
          <w:lang w:val="en-AU"/>
        </w:rPr>
        <w:t>ing</w:t>
      </w:r>
      <w:r w:rsidR="006B73BF" w:rsidRPr="00F2704A">
        <w:rPr>
          <w:lang w:val="en-AU"/>
        </w:rPr>
        <w:t xml:space="preserve"> to delays in care and unnecessary antibiotic exposure.</w:t>
      </w:r>
      <w:r w:rsidR="008B79AD" w:rsidRPr="00A94846">
        <w:rPr>
          <w:rStyle w:val="FootnoteReference"/>
        </w:rPr>
        <w:footnoteReference w:id="58"/>
      </w:r>
      <w:r w:rsidR="00C4747F" w:rsidRPr="009569B4">
        <w:rPr>
          <w:lang w:val="en-AU"/>
        </w:rPr>
        <w:t xml:space="preserve"> </w:t>
      </w:r>
    </w:p>
    <w:p w14:paraId="2A0FD5C9" w14:textId="77777777" w:rsidR="002055BF" w:rsidRPr="009569B4" w:rsidRDefault="002055BF" w:rsidP="005953DE">
      <w:pPr>
        <w:pStyle w:val="NumberedHeading3"/>
        <w:rPr>
          <w:lang w:val="en-AU"/>
        </w:rPr>
      </w:pPr>
      <w:bookmarkStart w:id="43" w:name="_Toc55464775"/>
      <w:r w:rsidRPr="009569B4">
        <w:rPr>
          <w:lang w:val="en-AU"/>
        </w:rPr>
        <w:lastRenderedPageBreak/>
        <w:t>Situation in Australia in considering a differential diagnosis of Lyme disease</w:t>
      </w:r>
      <w:bookmarkEnd w:id="43"/>
    </w:p>
    <w:p w14:paraId="3C894208" w14:textId="77777777" w:rsidR="00A00F2A" w:rsidRPr="00F2704A" w:rsidRDefault="005B03E0" w:rsidP="00A00F2A">
      <w:pPr>
        <w:pStyle w:val="BodyText"/>
        <w:rPr>
          <w:lang w:val="en-AU"/>
        </w:rPr>
      </w:pPr>
      <w:r w:rsidRPr="00F2704A">
        <w:rPr>
          <w:lang w:val="en-AU" w:eastAsia="en-AU"/>
        </w:rPr>
        <w:t>Despite multiple studies which have thoroughly searched for it in Australian ticks and patients, the</w:t>
      </w:r>
      <w:r w:rsidR="00A00F2A" w:rsidRPr="00661245">
        <w:rPr>
          <w:lang w:val="en-AU" w:eastAsia="en-AU"/>
        </w:rPr>
        <w:t xml:space="preserve"> organism</w:t>
      </w:r>
      <w:r w:rsidR="00D621FF">
        <w:rPr>
          <w:lang w:val="en-AU" w:eastAsia="en-AU"/>
        </w:rPr>
        <w:t>s</w:t>
      </w:r>
      <w:r w:rsidR="00A00F2A" w:rsidRPr="00661245">
        <w:rPr>
          <w:lang w:val="en-AU" w:eastAsia="en-AU"/>
        </w:rPr>
        <w:t xml:space="preserve"> that cause Lyme disease ha</w:t>
      </w:r>
      <w:r w:rsidR="00D621FF">
        <w:rPr>
          <w:lang w:val="en-AU" w:eastAsia="en-AU"/>
        </w:rPr>
        <w:t>ve</w:t>
      </w:r>
      <w:r w:rsidR="00A00F2A" w:rsidRPr="00661245">
        <w:rPr>
          <w:lang w:val="en-AU" w:eastAsia="en-AU"/>
        </w:rPr>
        <w:t xml:space="preserve"> not</w:t>
      </w:r>
      <w:r w:rsidRPr="00CF74AD">
        <w:rPr>
          <w:lang w:val="en-AU" w:eastAsia="en-AU"/>
        </w:rPr>
        <w:t>, to date,</w:t>
      </w:r>
      <w:r w:rsidR="00A00F2A" w:rsidRPr="00CF74AD">
        <w:rPr>
          <w:lang w:val="en-AU" w:eastAsia="en-AU"/>
        </w:rPr>
        <w:t xml:space="preserve"> been identified in Australian ticks</w:t>
      </w:r>
      <w:r w:rsidR="00A00F2A" w:rsidRPr="00A94846">
        <w:rPr>
          <w:rStyle w:val="FootnoteReference"/>
        </w:rPr>
        <w:footnoteReference w:id="59"/>
      </w:r>
      <w:r w:rsidR="00A00F2A" w:rsidRPr="00F2704A">
        <w:rPr>
          <w:vertAlign w:val="superscript"/>
          <w:lang w:val="en-AU" w:eastAsia="en-AU"/>
        </w:rPr>
        <w:t>,</w:t>
      </w:r>
      <w:r w:rsidR="00193293">
        <w:rPr>
          <w:vertAlign w:val="superscript"/>
          <w:lang w:val="en-AU" w:eastAsia="en-AU"/>
        </w:rPr>
        <w:t xml:space="preserve"> </w:t>
      </w:r>
      <w:r w:rsidR="00A00F2A" w:rsidRPr="00A94846">
        <w:rPr>
          <w:rStyle w:val="FootnoteReference"/>
        </w:rPr>
        <w:footnoteReference w:id="60"/>
      </w:r>
      <w:r w:rsidR="00A00F2A" w:rsidRPr="00F2704A">
        <w:rPr>
          <w:vertAlign w:val="superscript"/>
          <w:lang w:val="en-AU" w:eastAsia="en-AU"/>
        </w:rPr>
        <w:t>,</w:t>
      </w:r>
      <w:r w:rsidR="00193293">
        <w:rPr>
          <w:vertAlign w:val="superscript"/>
          <w:lang w:val="en-AU" w:eastAsia="en-AU"/>
        </w:rPr>
        <w:t xml:space="preserve"> </w:t>
      </w:r>
      <w:r w:rsidR="00A00F2A" w:rsidRPr="00A94846">
        <w:rPr>
          <w:rStyle w:val="FootnoteReference"/>
        </w:rPr>
        <w:footnoteReference w:id="61"/>
      </w:r>
      <w:r w:rsidR="00A00F2A" w:rsidRPr="00F2704A">
        <w:rPr>
          <w:vertAlign w:val="superscript"/>
          <w:lang w:val="en-AU" w:eastAsia="en-AU"/>
        </w:rPr>
        <w:t>,</w:t>
      </w:r>
      <w:r w:rsidR="00A00F2A" w:rsidRPr="00661245">
        <w:rPr>
          <w:vertAlign w:val="superscript"/>
          <w:lang w:val="en-AU" w:eastAsia="en-AU"/>
        </w:rPr>
        <w:t xml:space="preserve"> </w:t>
      </w:r>
      <w:r w:rsidR="00A00F2A" w:rsidRPr="00A94846">
        <w:rPr>
          <w:rStyle w:val="FootnoteReference"/>
        </w:rPr>
        <w:footnoteReference w:id="62"/>
      </w:r>
      <w:r w:rsidR="00A00F2A" w:rsidRPr="00F2704A">
        <w:rPr>
          <w:vertAlign w:val="superscript"/>
          <w:lang w:val="en-AU" w:eastAsia="en-AU"/>
        </w:rPr>
        <w:t>,</w:t>
      </w:r>
      <w:r w:rsidR="00A00F2A" w:rsidRPr="00661245">
        <w:rPr>
          <w:vertAlign w:val="superscript"/>
          <w:lang w:val="en-AU" w:eastAsia="en-AU"/>
        </w:rPr>
        <w:t xml:space="preserve"> </w:t>
      </w:r>
      <w:r w:rsidR="00A00F2A" w:rsidRPr="00A94846">
        <w:rPr>
          <w:rStyle w:val="FootnoteReference"/>
        </w:rPr>
        <w:footnoteReference w:id="63"/>
      </w:r>
      <w:r w:rsidR="00A00F2A" w:rsidRPr="00F2704A">
        <w:rPr>
          <w:vertAlign w:val="superscript"/>
          <w:lang w:val="en-AU" w:eastAsia="en-AU"/>
        </w:rPr>
        <w:t xml:space="preserve">, </w:t>
      </w:r>
      <w:r w:rsidR="00A00F2A" w:rsidRPr="00A94846">
        <w:rPr>
          <w:rStyle w:val="FootnoteReference"/>
        </w:rPr>
        <w:footnoteReference w:id="64"/>
      </w:r>
      <w:r w:rsidR="00A00F2A" w:rsidRPr="00F2704A">
        <w:rPr>
          <w:vertAlign w:val="superscript"/>
          <w:lang w:val="en-AU" w:eastAsia="en-AU"/>
        </w:rPr>
        <w:t>,</w:t>
      </w:r>
      <w:r w:rsidR="00A00F2A" w:rsidRPr="00661245">
        <w:rPr>
          <w:vertAlign w:val="superscript"/>
          <w:lang w:val="en-AU" w:eastAsia="en-AU"/>
        </w:rPr>
        <w:t xml:space="preserve"> </w:t>
      </w:r>
      <w:r w:rsidR="00A00F2A" w:rsidRPr="00A94846">
        <w:rPr>
          <w:rStyle w:val="FootnoteReference"/>
        </w:rPr>
        <w:footnoteReference w:id="65"/>
      </w:r>
      <w:r w:rsidR="00A00F2A" w:rsidRPr="00F2704A">
        <w:rPr>
          <w:vertAlign w:val="superscript"/>
          <w:lang w:val="en-AU" w:eastAsia="en-AU"/>
        </w:rPr>
        <w:t>,</w:t>
      </w:r>
      <w:r w:rsidR="00A00F2A" w:rsidRPr="00661245">
        <w:rPr>
          <w:vertAlign w:val="superscript"/>
          <w:lang w:val="en-AU" w:eastAsia="en-AU"/>
        </w:rPr>
        <w:t xml:space="preserve"> </w:t>
      </w:r>
      <w:r w:rsidR="00A00F2A" w:rsidRPr="00A94846">
        <w:rPr>
          <w:rStyle w:val="FootnoteReference"/>
        </w:rPr>
        <w:footnoteReference w:id="66"/>
      </w:r>
      <w:r w:rsidR="00A00F2A" w:rsidRPr="00F2704A">
        <w:rPr>
          <w:vertAlign w:val="superscript"/>
          <w:lang w:val="en-AU" w:eastAsia="en-AU"/>
        </w:rPr>
        <w:t>,</w:t>
      </w:r>
      <w:r w:rsidR="00F06F9B" w:rsidRPr="00661245">
        <w:rPr>
          <w:lang w:val="en-AU" w:eastAsia="en-AU"/>
        </w:rPr>
        <w:t xml:space="preserve"> </w:t>
      </w:r>
      <w:r w:rsidR="00A00F2A" w:rsidRPr="00A94846">
        <w:rPr>
          <w:rStyle w:val="FootnoteReference"/>
        </w:rPr>
        <w:footnoteReference w:id="67"/>
      </w:r>
      <w:r w:rsidR="00A00F2A" w:rsidRPr="00F2704A">
        <w:rPr>
          <w:vertAlign w:val="superscript"/>
          <w:lang w:val="en-AU" w:eastAsia="en-AU"/>
        </w:rPr>
        <w:t>,</w:t>
      </w:r>
      <w:r w:rsidR="00193293">
        <w:rPr>
          <w:vertAlign w:val="superscript"/>
          <w:lang w:val="en-AU" w:eastAsia="en-AU"/>
        </w:rPr>
        <w:t xml:space="preserve"> </w:t>
      </w:r>
      <w:r w:rsidR="00A00F2A" w:rsidRPr="00A94846">
        <w:rPr>
          <w:rStyle w:val="FootnoteReference"/>
        </w:rPr>
        <w:footnoteReference w:id="68"/>
      </w:r>
      <w:r w:rsidR="00A00F2A" w:rsidRPr="00F2704A">
        <w:rPr>
          <w:vertAlign w:val="superscript"/>
          <w:lang w:val="en-AU" w:eastAsia="en-AU"/>
        </w:rPr>
        <w:t>,</w:t>
      </w:r>
      <w:r w:rsidR="00193293">
        <w:rPr>
          <w:vertAlign w:val="superscript"/>
          <w:lang w:val="en-AU" w:eastAsia="en-AU"/>
        </w:rPr>
        <w:t xml:space="preserve"> </w:t>
      </w:r>
      <w:r w:rsidR="00A00F2A" w:rsidRPr="00A94846">
        <w:rPr>
          <w:rStyle w:val="FootnoteReference"/>
        </w:rPr>
        <w:footnoteReference w:id="69"/>
      </w:r>
      <w:r w:rsidR="00DD21AA" w:rsidRPr="00F2704A">
        <w:rPr>
          <w:vertAlign w:val="superscript"/>
          <w:lang w:val="en-AU" w:eastAsia="en-AU"/>
        </w:rPr>
        <w:t>,</w:t>
      </w:r>
      <w:r w:rsidR="00193293">
        <w:rPr>
          <w:vertAlign w:val="superscript"/>
          <w:lang w:val="en-AU" w:eastAsia="en-AU"/>
        </w:rPr>
        <w:t xml:space="preserve"> </w:t>
      </w:r>
      <w:r w:rsidR="006A519B" w:rsidRPr="00A94846">
        <w:rPr>
          <w:rStyle w:val="FootnoteReference"/>
        </w:rPr>
        <w:footnoteReference w:id="70"/>
      </w:r>
      <w:r w:rsidR="007349BC" w:rsidRPr="00F2704A">
        <w:rPr>
          <w:vertAlign w:val="superscript"/>
          <w:lang w:val="en-AU" w:eastAsia="en-AU"/>
        </w:rPr>
        <w:t>,</w:t>
      </w:r>
      <w:r w:rsidR="00193293">
        <w:rPr>
          <w:vertAlign w:val="superscript"/>
          <w:lang w:val="en-AU" w:eastAsia="en-AU"/>
        </w:rPr>
        <w:t xml:space="preserve"> </w:t>
      </w:r>
      <w:r w:rsidR="007349BC" w:rsidRPr="00A94846">
        <w:rPr>
          <w:rStyle w:val="FootnoteReference"/>
        </w:rPr>
        <w:footnoteReference w:id="71"/>
      </w:r>
      <w:r w:rsidR="005C6617">
        <w:rPr>
          <w:vertAlign w:val="superscript"/>
          <w:lang w:val="en-AU" w:eastAsia="en-AU"/>
        </w:rPr>
        <w:t xml:space="preserve"> </w:t>
      </w:r>
      <w:r w:rsidR="00A00F2A" w:rsidRPr="00F2704A">
        <w:rPr>
          <w:lang w:val="en-AU" w:eastAsia="en-AU"/>
        </w:rPr>
        <w:t xml:space="preserve">nor any other vector that could transmit </w:t>
      </w:r>
      <w:r w:rsidR="00134AFC" w:rsidRPr="00661245">
        <w:rPr>
          <w:lang w:val="en-AU" w:eastAsia="en-AU"/>
        </w:rPr>
        <w:t xml:space="preserve">the </w:t>
      </w:r>
      <w:r w:rsidR="00A00F2A" w:rsidRPr="00CF74AD">
        <w:rPr>
          <w:lang w:val="en-AU" w:eastAsia="en-AU"/>
        </w:rPr>
        <w:t>disease to humans</w:t>
      </w:r>
      <w:r w:rsidR="00193293">
        <w:rPr>
          <w:lang w:val="en-AU" w:eastAsia="en-AU"/>
        </w:rPr>
        <w:t>.</w:t>
      </w:r>
      <w:r w:rsidR="00A00F2A" w:rsidRPr="00A94846">
        <w:rPr>
          <w:rStyle w:val="FootnoteReference"/>
        </w:rPr>
        <w:footnoteReference w:id="72"/>
      </w:r>
      <w:r w:rsidR="00193293">
        <w:rPr>
          <w:vertAlign w:val="superscript"/>
          <w:lang w:val="en-AU" w:eastAsia="en-AU"/>
        </w:rPr>
        <w:t xml:space="preserve">, </w:t>
      </w:r>
      <w:r w:rsidR="00A00F2A" w:rsidRPr="00A94846">
        <w:rPr>
          <w:rStyle w:val="FootnoteReference"/>
        </w:rPr>
        <w:footnoteReference w:id="73"/>
      </w:r>
      <w:r w:rsidR="00A00F2A" w:rsidRPr="00F2704A">
        <w:rPr>
          <w:lang w:val="en-AU" w:eastAsia="en-AU"/>
        </w:rPr>
        <w:t xml:space="preserve"> It is for this reason that the Australian </w:t>
      </w:r>
      <w:r w:rsidR="00A00F2A" w:rsidRPr="00661245">
        <w:rPr>
          <w:lang w:val="en-AU" w:eastAsia="en-AU"/>
        </w:rPr>
        <w:t xml:space="preserve">medical profession </w:t>
      </w:r>
      <w:r w:rsidR="00A00F2A" w:rsidRPr="00CF74AD">
        <w:rPr>
          <w:lang w:val="en-AU" w:eastAsia="en-AU"/>
        </w:rPr>
        <w:t>does not support the diagnosis of locally acquired Lyme disease in Australia</w:t>
      </w:r>
      <w:r w:rsidR="00193293">
        <w:rPr>
          <w:lang w:val="en-AU" w:eastAsia="en-AU"/>
        </w:rPr>
        <w:t>.</w:t>
      </w:r>
      <w:r w:rsidR="00A00F2A" w:rsidRPr="00A94846">
        <w:rPr>
          <w:rStyle w:val="FootnoteReference"/>
        </w:rPr>
        <w:footnoteReference w:id="74"/>
      </w:r>
      <w:r w:rsidR="00A00F2A" w:rsidRPr="00F2704A">
        <w:rPr>
          <w:lang w:val="en-AU" w:eastAsia="en-AU"/>
        </w:rPr>
        <w:t xml:space="preserve"> While </w:t>
      </w:r>
      <w:r w:rsidR="00A00F2A" w:rsidRPr="00661245">
        <w:rPr>
          <w:lang w:val="en-AU"/>
        </w:rPr>
        <w:t>some Australians and</w:t>
      </w:r>
      <w:r w:rsidR="00A00F2A" w:rsidRPr="00CF74AD">
        <w:rPr>
          <w:lang w:val="en-AU"/>
        </w:rPr>
        <w:t xml:space="preserve"> healthcare providers believe that a form of ‘chronic Lyme disease’ exists, globally, ‘chronic Lyme disease’ is a disputed diagnosis which lacks sufficient supporting evidence</w:t>
      </w:r>
      <w:r w:rsidR="00193293">
        <w:rPr>
          <w:lang w:val="en-AU"/>
        </w:rPr>
        <w:t>.</w:t>
      </w:r>
      <w:r w:rsidR="00A00F2A" w:rsidRPr="00A94846">
        <w:rPr>
          <w:rStyle w:val="FootnoteReference"/>
        </w:rPr>
        <w:footnoteReference w:id="75"/>
      </w:r>
      <w:r w:rsidR="00A00F2A" w:rsidRPr="00F2704A">
        <w:rPr>
          <w:vertAlign w:val="superscript"/>
          <w:lang w:val="en-AU"/>
        </w:rPr>
        <w:t>,</w:t>
      </w:r>
      <w:r w:rsidR="00193293">
        <w:rPr>
          <w:vertAlign w:val="superscript"/>
          <w:lang w:val="en-AU"/>
        </w:rPr>
        <w:t xml:space="preserve"> </w:t>
      </w:r>
      <w:r w:rsidR="00A00F2A" w:rsidRPr="00A94846">
        <w:rPr>
          <w:rStyle w:val="FootnoteReference"/>
        </w:rPr>
        <w:footnoteReference w:id="76"/>
      </w:r>
      <w:r w:rsidR="00193293">
        <w:rPr>
          <w:vertAlign w:val="superscript"/>
          <w:lang w:val="en-AU"/>
        </w:rPr>
        <w:t xml:space="preserve">, </w:t>
      </w:r>
      <w:r w:rsidR="00A00F2A" w:rsidRPr="00A94846">
        <w:rPr>
          <w:rStyle w:val="FootnoteReference"/>
        </w:rPr>
        <w:footnoteReference w:id="77"/>
      </w:r>
      <w:r w:rsidR="00A00F2A" w:rsidRPr="00F2704A">
        <w:rPr>
          <w:vertAlign w:val="superscript"/>
          <w:lang w:val="en-AU"/>
        </w:rPr>
        <w:t>,</w:t>
      </w:r>
      <w:r w:rsidR="00193293">
        <w:rPr>
          <w:vertAlign w:val="superscript"/>
          <w:lang w:val="en-AU"/>
        </w:rPr>
        <w:t xml:space="preserve"> </w:t>
      </w:r>
      <w:r w:rsidR="00A00F2A" w:rsidRPr="00A94846">
        <w:rPr>
          <w:rStyle w:val="FootnoteReference"/>
        </w:rPr>
        <w:footnoteReference w:id="78"/>
      </w:r>
      <w:r w:rsidR="00A00F2A" w:rsidRPr="00F2704A">
        <w:rPr>
          <w:vertAlign w:val="superscript"/>
          <w:lang w:val="en-AU"/>
        </w:rPr>
        <w:t>,</w:t>
      </w:r>
      <w:r w:rsidR="00193293">
        <w:rPr>
          <w:vertAlign w:val="superscript"/>
          <w:lang w:val="en-AU"/>
        </w:rPr>
        <w:t xml:space="preserve"> </w:t>
      </w:r>
      <w:r w:rsidR="00A00F2A" w:rsidRPr="00A94846">
        <w:rPr>
          <w:rStyle w:val="FootnoteReference"/>
        </w:rPr>
        <w:footnoteReference w:id="79"/>
      </w:r>
      <w:r w:rsidR="00FE0B3F">
        <w:rPr>
          <w:vertAlign w:val="superscript"/>
          <w:lang w:val="en-AU"/>
        </w:rPr>
        <w:t>,</w:t>
      </w:r>
      <w:r w:rsidR="00F82939" w:rsidRPr="00A94846">
        <w:rPr>
          <w:rStyle w:val="FootnoteReference"/>
        </w:rPr>
        <w:footnoteReference w:id="80"/>
      </w:r>
      <w:r w:rsidR="00AD59D7">
        <w:rPr>
          <w:vertAlign w:val="superscript"/>
          <w:lang w:val="en-AU"/>
        </w:rPr>
        <w:t>,</w:t>
      </w:r>
      <w:r w:rsidR="00C34272">
        <w:rPr>
          <w:vertAlign w:val="superscript"/>
          <w:lang w:val="en-AU"/>
        </w:rPr>
        <w:t xml:space="preserve"> </w:t>
      </w:r>
      <w:r w:rsidR="00AD59D7" w:rsidRPr="00A94846">
        <w:rPr>
          <w:rStyle w:val="FootnoteReference"/>
        </w:rPr>
        <w:footnoteReference w:id="81"/>
      </w:r>
    </w:p>
    <w:p w14:paraId="78B707B7" w14:textId="77777777" w:rsidR="00481F1E" w:rsidRPr="00CF74AD" w:rsidRDefault="0083356E" w:rsidP="00481F1E">
      <w:pPr>
        <w:pStyle w:val="NumberedHeading3"/>
        <w:rPr>
          <w:lang w:val="en-AU"/>
        </w:rPr>
      </w:pPr>
      <w:bookmarkStart w:id="44" w:name="_Toc55464776"/>
      <w:r w:rsidRPr="00CF74AD">
        <w:rPr>
          <w:lang w:val="en-AU"/>
        </w:rPr>
        <w:t xml:space="preserve">Consult with appropriate </w:t>
      </w:r>
      <w:r w:rsidR="00540D8F" w:rsidRPr="00CF74AD">
        <w:rPr>
          <w:lang w:val="en-AU"/>
        </w:rPr>
        <w:t xml:space="preserve">Australian </w:t>
      </w:r>
      <w:r w:rsidRPr="00CF74AD">
        <w:rPr>
          <w:lang w:val="en-AU"/>
        </w:rPr>
        <w:t>experts</w:t>
      </w:r>
      <w:r w:rsidR="00540D8F" w:rsidRPr="00CF74AD">
        <w:rPr>
          <w:lang w:val="en-AU"/>
        </w:rPr>
        <w:t xml:space="preserve"> in infectious diseases</w:t>
      </w:r>
      <w:bookmarkStart w:id="45" w:name="Section_315"/>
      <w:bookmarkEnd w:id="44"/>
      <w:bookmarkEnd w:id="45"/>
      <w:r w:rsidR="00540D8F" w:rsidRPr="00CF74AD">
        <w:rPr>
          <w:lang w:val="en-AU"/>
        </w:rPr>
        <w:t xml:space="preserve"> </w:t>
      </w:r>
    </w:p>
    <w:p w14:paraId="20AFFD61" w14:textId="77777777" w:rsidR="00A00F2A" w:rsidRPr="00661245" w:rsidRDefault="00A00F2A" w:rsidP="00A00F2A">
      <w:pPr>
        <w:pStyle w:val="BodyText"/>
        <w:spacing w:after="80"/>
        <w:rPr>
          <w:lang w:val="en-AU"/>
        </w:rPr>
      </w:pPr>
      <w:r w:rsidRPr="00CF74AD">
        <w:rPr>
          <w:lang w:val="en-AU"/>
        </w:rPr>
        <w:t>I</w:t>
      </w:r>
      <w:r w:rsidRPr="00CF74AD">
        <w:rPr>
          <w:lang w:val="en-AU" w:eastAsia="en-AU"/>
        </w:rPr>
        <w:t xml:space="preserve">n a country such as Australia where Lyme disease is not endemic and is not commonly seen in clinical practice, there </w:t>
      </w:r>
      <w:r w:rsidR="006C690C" w:rsidRPr="00CF74AD">
        <w:rPr>
          <w:lang w:val="en-AU" w:eastAsia="en-AU"/>
        </w:rPr>
        <w:t xml:space="preserve">are </w:t>
      </w:r>
      <w:r w:rsidRPr="00CF29E7">
        <w:rPr>
          <w:lang w:val="en-AU" w:eastAsia="en-AU"/>
        </w:rPr>
        <w:t>additional challenges in diagnosing Lyme disease. The Royal College of Pathologists of Australasi</w:t>
      </w:r>
      <w:r w:rsidR="00193293">
        <w:rPr>
          <w:lang w:val="en-AU" w:eastAsia="en-AU"/>
        </w:rPr>
        <w:t>a</w:t>
      </w:r>
      <w:r w:rsidRPr="00A94846">
        <w:rPr>
          <w:rStyle w:val="FootnoteReference"/>
        </w:rPr>
        <w:footnoteReference w:id="82"/>
      </w:r>
      <w:r w:rsidRPr="00F2704A">
        <w:rPr>
          <w:lang w:val="en-AU" w:eastAsia="en-AU"/>
        </w:rPr>
        <w:t xml:space="preserve"> ha</w:t>
      </w:r>
      <w:r w:rsidR="00225104" w:rsidRPr="00661245">
        <w:rPr>
          <w:lang w:val="en-AU" w:eastAsia="en-AU"/>
        </w:rPr>
        <w:t>s</w:t>
      </w:r>
      <w:r w:rsidRPr="00CF74AD">
        <w:rPr>
          <w:lang w:val="en-AU" w:eastAsia="en-AU"/>
        </w:rPr>
        <w:t xml:space="preserve"> published guidance on the diagnosis of Lyme disease specific to the Australian context. T</w:t>
      </w:r>
      <w:r w:rsidRPr="00CF74AD">
        <w:rPr>
          <w:lang w:val="en-AU"/>
        </w:rPr>
        <w:t>hese guidance documents and the 2013 report by McKenzie</w:t>
      </w:r>
      <w:r w:rsidRPr="00A94846">
        <w:rPr>
          <w:rStyle w:val="FootnoteReference"/>
        </w:rPr>
        <w:footnoteReference w:id="83"/>
      </w:r>
      <w:r w:rsidRPr="00F2704A">
        <w:rPr>
          <w:lang w:val="en-AU"/>
        </w:rPr>
        <w:t xml:space="preserve"> stress that due to the non-specific nature of many clinical signs and symptoms the diagnosis of Lyme disease </w:t>
      </w:r>
      <w:r w:rsidRPr="00CF74AD">
        <w:rPr>
          <w:lang w:val="en-AU"/>
        </w:rPr>
        <w:t>in non-endemic Australia cannot reliably be made on clinical signs and symptoms alone as many other infectious and non-infectious diseases can have similar features to Lyme disease. Laboratory testing is essential. A diagnosis of Lyme disease requires</w:t>
      </w:r>
      <w:r w:rsidR="00193293">
        <w:rPr>
          <w:lang w:val="en-AU"/>
        </w:rPr>
        <w:t>:</w:t>
      </w:r>
      <w:r w:rsidR="009B69DF" w:rsidRPr="00A94846">
        <w:rPr>
          <w:rStyle w:val="FootnoteReference"/>
        </w:rPr>
        <w:footnoteReference w:id="84"/>
      </w:r>
    </w:p>
    <w:p w14:paraId="1A983C7F" w14:textId="77777777" w:rsidR="00A00F2A" w:rsidRPr="009569B4" w:rsidRDefault="00A00F2A" w:rsidP="00D74374">
      <w:pPr>
        <w:pStyle w:val="List-BulletLvl1"/>
        <w:spacing w:after="60"/>
        <w:rPr>
          <w:lang w:val="en-AU"/>
        </w:rPr>
      </w:pPr>
      <w:r w:rsidRPr="009569B4">
        <w:rPr>
          <w:lang w:val="en-AU"/>
        </w:rPr>
        <w:t>a careful medical history</w:t>
      </w:r>
    </w:p>
    <w:p w14:paraId="5D5587D6" w14:textId="77777777" w:rsidR="00A00F2A" w:rsidRPr="009569B4" w:rsidRDefault="00A00F2A" w:rsidP="00D74374">
      <w:pPr>
        <w:pStyle w:val="List-BulletLvl1"/>
        <w:spacing w:after="60"/>
        <w:rPr>
          <w:lang w:val="en-AU"/>
        </w:rPr>
      </w:pPr>
      <w:r w:rsidRPr="009569B4">
        <w:rPr>
          <w:lang w:val="en-AU"/>
        </w:rPr>
        <w:t>a history of overseas travel to areas where Lyme disease is endemic; a patient must have been exposed to ticks however, a history of documented tick bite is not essential as many tick bites go unnoticed</w:t>
      </w:r>
    </w:p>
    <w:p w14:paraId="35490352" w14:textId="77777777" w:rsidR="00A00F2A" w:rsidRPr="009569B4" w:rsidRDefault="00A00F2A" w:rsidP="00D74374">
      <w:pPr>
        <w:pStyle w:val="List-BulletLvl1"/>
        <w:spacing w:after="60"/>
        <w:rPr>
          <w:lang w:val="en-AU"/>
        </w:rPr>
      </w:pPr>
      <w:r w:rsidRPr="009569B4">
        <w:rPr>
          <w:lang w:val="en-AU"/>
        </w:rPr>
        <w:t>objective clinical findings</w:t>
      </w:r>
      <w:r w:rsidR="009B69DF" w:rsidRPr="009569B4">
        <w:rPr>
          <w:lang w:val="en-AU"/>
        </w:rPr>
        <w:t>,</w:t>
      </w:r>
      <w:r w:rsidRPr="009569B4">
        <w:rPr>
          <w:lang w:val="en-AU"/>
        </w:rPr>
        <w:t xml:space="preserve"> and </w:t>
      </w:r>
    </w:p>
    <w:p w14:paraId="4D112DD1" w14:textId="77777777" w:rsidR="00A00F2A" w:rsidRPr="00CF74AD" w:rsidRDefault="00A00F2A" w:rsidP="00D74374">
      <w:pPr>
        <w:pStyle w:val="List-BulletLvl1"/>
        <w:spacing w:line="259" w:lineRule="auto"/>
        <w:rPr>
          <w:lang w:val="en-AU"/>
        </w:rPr>
      </w:pPr>
      <w:r w:rsidRPr="00661245">
        <w:rPr>
          <w:lang w:val="en-AU"/>
        </w:rPr>
        <w:lastRenderedPageBreak/>
        <w:t xml:space="preserve">appropriate </w:t>
      </w:r>
      <w:r w:rsidRPr="00661245">
        <w:rPr>
          <w:i/>
          <w:iCs/>
          <w:lang w:val="en-AU"/>
        </w:rPr>
        <w:t xml:space="preserve">in vitro </w:t>
      </w:r>
      <w:r w:rsidRPr="00CF74AD">
        <w:rPr>
          <w:lang w:val="en-AU"/>
        </w:rPr>
        <w:t>diagnostic tests undertaken by</w:t>
      </w:r>
      <w:r w:rsidR="00B20846">
        <w:rPr>
          <w:lang w:val="en-AU"/>
        </w:rPr>
        <w:t xml:space="preserve"> </w:t>
      </w:r>
      <w:r w:rsidR="00B20846" w:rsidRPr="00B20846">
        <w:rPr>
          <w:lang w:val="en-AU"/>
        </w:rPr>
        <w:t>National Association of Testing Authorities, Australia</w:t>
      </w:r>
      <w:r w:rsidRPr="00CF74AD">
        <w:rPr>
          <w:lang w:val="en-AU"/>
        </w:rPr>
        <w:t xml:space="preserve"> </w:t>
      </w:r>
      <w:r w:rsidR="00B20846">
        <w:rPr>
          <w:lang w:val="en-AU"/>
        </w:rPr>
        <w:t>(</w:t>
      </w:r>
      <w:r w:rsidRPr="00CF74AD">
        <w:rPr>
          <w:lang w:val="en-AU"/>
        </w:rPr>
        <w:t>NATA</w:t>
      </w:r>
      <w:r w:rsidR="00B20846">
        <w:rPr>
          <w:lang w:val="en-AU"/>
        </w:rPr>
        <w:t>)</w:t>
      </w:r>
      <w:r w:rsidR="00282FBC">
        <w:rPr>
          <w:lang w:val="en-AU"/>
        </w:rPr>
        <w:t xml:space="preserve"> and </w:t>
      </w:r>
      <w:r w:rsidR="00B20846" w:rsidRPr="00B20846">
        <w:rPr>
          <w:lang w:val="en-AU"/>
        </w:rPr>
        <w:t>Royal College of Pathologists of Australasia</w:t>
      </w:r>
      <w:r w:rsidR="00B20846" w:rsidRPr="00CF74AD">
        <w:rPr>
          <w:lang w:val="en-AU"/>
        </w:rPr>
        <w:t xml:space="preserve"> </w:t>
      </w:r>
      <w:r w:rsidR="00B20846">
        <w:rPr>
          <w:lang w:val="en-AU"/>
        </w:rPr>
        <w:t>(</w:t>
      </w:r>
      <w:r w:rsidRPr="00CF74AD">
        <w:rPr>
          <w:lang w:val="en-AU"/>
        </w:rPr>
        <w:t>RCPA</w:t>
      </w:r>
      <w:r w:rsidR="00B20846">
        <w:rPr>
          <w:lang w:val="en-AU"/>
        </w:rPr>
        <w:t>)</w:t>
      </w:r>
      <w:r w:rsidRPr="00CF74AD">
        <w:rPr>
          <w:lang w:val="en-AU"/>
        </w:rPr>
        <w:t xml:space="preserve"> accredited laboratories</w:t>
      </w:r>
      <w:r w:rsidR="00521881" w:rsidRPr="00CF74AD">
        <w:rPr>
          <w:lang w:val="en-AU"/>
        </w:rPr>
        <w:t>.</w:t>
      </w:r>
    </w:p>
    <w:p w14:paraId="27177A47" w14:textId="77777777" w:rsidR="00C60AEB" w:rsidRPr="00CF74AD" w:rsidRDefault="00C60AEB" w:rsidP="00C60AEB">
      <w:pPr>
        <w:pStyle w:val="Body"/>
        <w:rPr>
          <w:lang w:val="en-AU"/>
        </w:rPr>
      </w:pPr>
      <w:r w:rsidRPr="00CF74AD">
        <w:rPr>
          <w:lang w:val="en-AU"/>
        </w:rPr>
        <w:t xml:space="preserve">If Lyme disease is being considered, patients should be referred for Lyme disease serology to the GPs’ regular Approved Pathology Practitioner (APP). </w:t>
      </w:r>
    </w:p>
    <w:p w14:paraId="4ABAB6FB" w14:textId="77777777" w:rsidR="00933002" w:rsidRPr="00F2704A" w:rsidRDefault="00AD322C" w:rsidP="002871A3">
      <w:pPr>
        <w:pStyle w:val="NumberedHeading3"/>
        <w:spacing w:line="240" w:lineRule="auto"/>
        <w:rPr>
          <w:lang w:val="en-AU"/>
        </w:rPr>
      </w:pPr>
      <w:bookmarkStart w:id="46" w:name="_Toc55464777"/>
      <w:r w:rsidRPr="00CF74AD">
        <w:rPr>
          <w:lang w:val="en-AU"/>
        </w:rPr>
        <w:t xml:space="preserve">If EM rash is present </w:t>
      </w:r>
      <w:r w:rsidR="00411E7C" w:rsidRPr="00CF74AD">
        <w:rPr>
          <w:lang w:val="en-AU"/>
        </w:rPr>
        <w:t>and</w:t>
      </w:r>
      <w:r w:rsidR="00326482" w:rsidRPr="00CF74AD">
        <w:rPr>
          <w:lang w:val="en-AU"/>
        </w:rPr>
        <w:t xml:space="preserve"> </w:t>
      </w:r>
      <w:r w:rsidR="0090055D" w:rsidRPr="00CF29E7">
        <w:rPr>
          <w:lang w:val="en-AU"/>
        </w:rPr>
        <w:t xml:space="preserve">following </w:t>
      </w:r>
      <w:r w:rsidR="00326482" w:rsidRPr="00D621FF">
        <w:rPr>
          <w:lang w:val="en-AU"/>
        </w:rPr>
        <w:t xml:space="preserve">appropriate expert </w:t>
      </w:r>
      <w:r w:rsidR="0090055D" w:rsidRPr="00D621FF">
        <w:rPr>
          <w:lang w:val="en-AU"/>
        </w:rPr>
        <w:t>advice</w:t>
      </w:r>
      <w:r w:rsidR="00326482" w:rsidRPr="00FA6D54">
        <w:rPr>
          <w:lang w:val="en-AU"/>
        </w:rPr>
        <w:t>, offer antibiotic treatment</w:t>
      </w:r>
      <w:bookmarkEnd w:id="46"/>
      <w:r w:rsidR="00F423EB" w:rsidRPr="00F2704A">
        <w:rPr>
          <w:lang w:val="en-AU"/>
        </w:rPr>
        <w:t xml:space="preserve"> </w:t>
      </w:r>
    </w:p>
    <w:p w14:paraId="780A9612" w14:textId="77777777" w:rsidR="00933002" w:rsidRPr="00F2704A" w:rsidRDefault="00933002" w:rsidP="00933002">
      <w:pPr>
        <w:pStyle w:val="Body"/>
        <w:rPr>
          <w:lang w:val="en-AU"/>
        </w:rPr>
      </w:pPr>
      <w:r w:rsidRPr="00F2704A">
        <w:rPr>
          <w:lang w:val="en-AU"/>
        </w:rPr>
        <w:t xml:space="preserve">For patients presenting with </w:t>
      </w:r>
      <w:r w:rsidR="001335E9" w:rsidRPr="00F2704A">
        <w:rPr>
          <w:lang w:val="en-AU"/>
        </w:rPr>
        <w:t>a</w:t>
      </w:r>
      <w:r w:rsidR="00E16BC4" w:rsidRPr="00F2704A">
        <w:rPr>
          <w:lang w:val="en-AU"/>
        </w:rPr>
        <w:t xml:space="preserve"> </w:t>
      </w:r>
      <w:r w:rsidRPr="00F2704A">
        <w:rPr>
          <w:lang w:val="en-AU"/>
        </w:rPr>
        <w:t>bull</w:t>
      </w:r>
      <w:r w:rsidR="009C75F7" w:rsidRPr="00F2704A">
        <w:rPr>
          <w:lang w:val="en-AU"/>
        </w:rPr>
        <w:t>’s</w:t>
      </w:r>
      <w:r w:rsidRPr="00F2704A">
        <w:rPr>
          <w:lang w:val="en-AU"/>
        </w:rPr>
        <w:t>-eye rash (E</w:t>
      </w:r>
      <w:r w:rsidR="00382AF5" w:rsidRPr="00F2704A">
        <w:rPr>
          <w:lang w:val="en-AU"/>
        </w:rPr>
        <w:t>M</w:t>
      </w:r>
      <w:r w:rsidRPr="00F2704A">
        <w:rPr>
          <w:lang w:val="en-AU"/>
        </w:rPr>
        <w:t>) and a</w:t>
      </w:r>
      <w:r w:rsidR="002871A3" w:rsidRPr="00F2704A">
        <w:rPr>
          <w:lang w:val="en-AU"/>
        </w:rPr>
        <w:t xml:space="preserve"> relevant</w:t>
      </w:r>
      <w:r w:rsidRPr="00F2704A">
        <w:rPr>
          <w:lang w:val="en-AU"/>
        </w:rPr>
        <w:t xml:space="preserve"> travel history, seek advice from a</w:t>
      </w:r>
      <w:r w:rsidR="002957F3" w:rsidRPr="00F2704A">
        <w:rPr>
          <w:lang w:val="en-AU"/>
        </w:rPr>
        <w:t xml:space="preserve"> specialist microbiologist or an</w:t>
      </w:r>
      <w:r w:rsidRPr="00F2704A">
        <w:rPr>
          <w:lang w:val="en-AU"/>
        </w:rPr>
        <w:t xml:space="preserve"> </w:t>
      </w:r>
      <w:r w:rsidR="00DF1BF8">
        <w:rPr>
          <w:lang w:val="en-AU"/>
        </w:rPr>
        <w:t>ID</w:t>
      </w:r>
      <w:r w:rsidRPr="00F2704A">
        <w:rPr>
          <w:lang w:val="en-AU"/>
        </w:rPr>
        <w:t xml:space="preserve"> </w:t>
      </w:r>
      <w:r w:rsidR="00F13BD0" w:rsidRPr="00F2704A">
        <w:rPr>
          <w:lang w:val="en-AU"/>
        </w:rPr>
        <w:t>physician</w:t>
      </w:r>
      <w:r w:rsidR="00F423EB" w:rsidRPr="00F2704A">
        <w:rPr>
          <w:lang w:val="en-AU"/>
        </w:rPr>
        <w:t xml:space="preserve"> </w:t>
      </w:r>
      <w:r w:rsidRPr="00F2704A">
        <w:rPr>
          <w:lang w:val="en-AU"/>
        </w:rPr>
        <w:t>in regards to the appropriate investigations and treatments that are clinically relevant to the patient’s presentation</w:t>
      </w:r>
      <w:r w:rsidR="002871A3" w:rsidRPr="00F2704A">
        <w:rPr>
          <w:lang w:val="en-AU"/>
        </w:rPr>
        <w:t xml:space="preserve"> and commence antibiotic therapy</w:t>
      </w:r>
      <w:r w:rsidRPr="00F2704A">
        <w:rPr>
          <w:lang w:val="en-AU"/>
        </w:rPr>
        <w:t>.</w:t>
      </w:r>
      <w:r w:rsidR="00F423EB" w:rsidRPr="00F2704A">
        <w:rPr>
          <w:lang w:val="en-AU"/>
        </w:rPr>
        <w:t xml:space="preserve"> </w:t>
      </w:r>
    </w:p>
    <w:p w14:paraId="492C170A" w14:textId="77777777" w:rsidR="000E1F42" w:rsidRPr="00661245" w:rsidRDefault="004A5E37" w:rsidP="000E1F42">
      <w:pPr>
        <w:pStyle w:val="Body"/>
        <w:rPr>
          <w:lang w:val="en-AU"/>
        </w:rPr>
      </w:pPr>
      <w:r w:rsidRPr="00F2704A">
        <w:rPr>
          <w:lang w:val="en-AU"/>
        </w:rPr>
        <w:t>While EM will resolve without antibiotic treatment</w:t>
      </w:r>
      <w:r w:rsidR="00F757FD" w:rsidRPr="00F2704A">
        <w:rPr>
          <w:lang w:val="en-AU"/>
        </w:rPr>
        <w:t>,</w:t>
      </w:r>
      <w:r w:rsidRPr="00F2704A">
        <w:rPr>
          <w:lang w:val="en-AU"/>
        </w:rPr>
        <w:t xml:space="preserve"> </w:t>
      </w:r>
      <w:r w:rsidR="00E5445C" w:rsidRPr="00F2704A">
        <w:rPr>
          <w:lang w:val="en-AU"/>
        </w:rPr>
        <w:t xml:space="preserve">evidence </w:t>
      </w:r>
      <w:r w:rsidR="00C14B96" w:rsidRPr="00F2704A">
        <w:rPr>
          <w:lang w:val="en-AU"/>
        </w:rPr>
        <w:t xml:space="preserve">indicates that </w:t>
      </w:r>
      <w:r w:rsidR="00546BA7" w:rsidRPr="00F2704A">
        <w:rPr>
          <w:lang w:val="en-AU"/>
        </w:rPr>
        <w:t>currently used antibiotic regimens will effectively prevent the development of disseminated manife</w:t>
      </w:r>
      <w:r w:rsidR="00DE6CDD" w:rsidRPr="00F2704A">
        <w:rPr>
          <w:lang w:val="en-AU"/>
        </w:rPr>
        <w:t>s</w:t>
      </w:r>
      <w:r w:rsidR="00546BA7" w:rsidRPr="00F2704A">
        <w:rPr>
          <w:lang w:val="en-AU"/>
        </w:rPr>
        <w:t xml:space="preserve">tations of Lyme disease </w:t>
      </w:r>
      <w:r w:rsidR="00DE6CDD" w:rsidRPr="00F2704A">
        <w:rPr>
          <w:lang w:val="en-AU"/>
        </w:rPr>
        <w:t>(</w:t>
      </w:r>
      <w:r w:rsidR="006933BF">
        <w:rPr>
          <w:lang w:val="en-AU"/>
        </w:rPr>
        <w:t>e.g.</w:t>
      </w:r>
      <w:r w:rsidR="00DE6CDD" w:rsidRPr="00F2704A">
        <w:rPr>
          <w:lang w:val="en-AU"/>
        </w:rPr>
        <w:t xml:space="preserve"> Lyme arthritis)</w:t>
      </w:r>
      <w:r w:rsidR="00193293">
        <w:rPr>
          <w:lang w:val="en-AU"/>
        </w:rPr>
        <w:t>.</w:t>
      </w:r>
      <w:r w:rsidR="004378F6" w:rsidRPr="00A94846">
        <w:rPr>
          <w:rStyle w:val="FootnoteReference"/>
        </w:rPr>
        <w:footnoteReference w:id="85"/>
      </w:r>
      <w:r w:rsidR="000C2A1C" w:rsidRPr="00661245">
        <w:rPr>
          <w:lang w:val="en-AU"/>
        </w:rPr>
        <w:t xml:space="preserve"> </w:t>
      </w:r>
    </w:p>
    <w:p w14:paraId="3B7CC70E" w14:textId="77777777" w:rsidR="0083356E" w:rsidRPr="00CF29E7" w:rsidRDefault="00D40FD8" w:rsidP="00D40FD8">
      <w:pPr>
        <w:pStyle w:val="Body"/>
        <w:rPr>
          <w:lang w:val="en-AU"/>
        </w:rPr>
      </w:pPr>
      <w:r w:rsidRPr="00CF74AD">
        <w:rPr>
          <w:lang w:val="en-AU"/>
        </w:rPr>
        <w:t>A course of antibiotic treatment for Lyme disease should only be initiated based on the expert advice of either a consulta</w:t>
      </w:r>
      <w:r w:rsidR="00EB5409" w:rsidRPr="00CF74AD">
        <w:rPr>
          <w:lang w:val="en-AU"/>
        </w:rPr>
        <w:t>nt</w:t>
      </w:r>
      <w:r w:rsidRPr="00CF74AD">
        <w:rPr>
          <w:lang w:val="en-AU"/>
        </w:rPr>
        <w:t xml:space="preserve"> physician </w:t>
      </w:r>
      <w:r w:rsidR="00122F74" w:rsidRPr="00CF74AD">
        <w:rPr>
          <w:lang w:val="en-AU"/>
        </w:rPr>
        <w:t xml:space="preserve">practising </w:t>
      </w:r>
      <w:r w:rsidRPr="00CF74AD">
        <w:rPr>
          <w:lang w:val="en-AU"/>
        </w:rPr>
        <w:t xml:space="preserve">in his or her speciality of infectious disease or a specialist </w:t>
      </w:r>
      <w:r w:rsidR="00581535" w:rsidRPr="00CF74AD">
        <w:rPr>
          <w:lang w:val="en-AU"/>
        </w:rPr>
        <w:t>microbiologist</w:t>
      </w:r>
      <w:r w:rsidRPr="00CF74AD">
        <w:rPr>
          <w:lang w:val="en-AU"/>
        </w:rPr>
        <w:t xml:space="preserve">. </w:t>
      </w:r>
    </w:p>
    <w:p w14:paraId="3CED378E" w14:textId="77777777" w:rsidR="00C97E02" w:rsidRPr="00F2704A" w:rsidRDefault="00C97E02" w:rsidP="00D40FD8">
      <w:pPr>
        <w:pStyle w:val="Body"/>
        <w:rPr>
          <w:lang w:val="en-AU"/>
        </w:rPr>
      </w:pPr>
      <w:r w:rsidRPr="00FA6D54">
        <w:rPr>
          <w:lang w:val="en-AU"/>
        </w:rPr>
        <w:t xml:space="preserve">See </w:t>
      </w:r>
      <w:hyperlink w:anchor="Section_61" w:history="1">
        <w:r w:rsidR="00566C4A" w:rsidRPr="000751AF">
          <w:rPr>
            <w:rStyle w:val="Hyperlink"/>
            <w:lang w:val="en-AU"/>
          </w:rPr>
          <w:t>S</w:t>
        </w:r>
        <w:r w:rsidR="006826D6" w:rsidRPr="000751AF">
          <w:rPr>
            <w:rStyle w:val="Hyperlink"/>
            <w:lang w:val="en-AU"/>
          </w:rPr>
          <w:t>ection 6.1</w:t>
        </w:r>
      </w:hyperlink>
      <w:r w:rsidR="006826D6" w:rsidRPr="00F2704A">
        <w:rPr>
          <w:lang w:val="en-AU"/>
        </w:rPr>
        <w:t xml:space="preserve"> for further detail. </w:t>
      </w:r>
    </w:p>
    <w:p w14:paraId="737929C2" w14:textId="77777777" w:rsidR="001624B6" w:rsidRPr="00F2704A" w:rsidRDefault="00A15CAF" w:rsidP="001624B6">
      <w:pPr>
        <w:pStyle w:val="NumberedHeading2"/>
        <w:rPr>
          <w:lang w:val="en-AU"/>
        </w:rPr>
      </w:pPr>
      <w:bookmarkStart w:id="47" w:name="_Toc55464778"/>
      <w:r w:rsidRPr="00F2704A">
        <w:rPr>
          <w:lang w:val="en-AU"/>
        </w:rPr>
        <w:t>T</w:t>
      </w:r>
      <w:r w:rsidR="00DE22C9" w:rsidRPr="00F2704A">
        <w:rPr>
          <w:lang w:val="en-AU"/>
        </w:rPr>
        <w:t>ick-borne disease</w:t>
      </w:r>
      <w:r w:rsidR="00DF117E" w:rsidRPr="00F2704A">
        <w:rPr>
          <w:lang w:val="en-AU"/>
        </w:rPr>
        <w:t xml:space="preserve"> known to be acquired in Australia</w:t>
      </w:r>
      <w:bookmarkEnd w:id="47"/>
    </w:p>
    <w:p w14:paraId="0A43FC41" w14:textId="77777777" w:rsidR="00AF79E5" w:rsidRPr="00F2704A" w:rsidRDefault="008A2C51" w:rsidP="001021D8">
      <w:pPr>
        <w:pStyle w:val="NumberedHeading3"/>
        <w:spacing w:line="240" w:lineRule="auto"/>
        <w:rPr>
          <w:lang w:val="en-AU"/>
        </w:rPr>
      </w:pPr>
      <w:bookmarkStart w:id="48" w:name="_Toc55464779"/>
      <w:r w:rsidRPr="00F2704A">
        <w:rPr>
          <w:lang w:val="en-AU"/>
        </w:rPr>
        <w:t>Suspect tick-bo</w:t>
      </w:r>
      <w:r w:rsidR="00A57EA5" w:rsidRPr="00F2704A">
        <w:rPr>
          <w:lang w:val="en-AU"/>
        </w:rPr>
        <w:t>r</w:t>
      </w:r>
      <w:r w:rsidRPr="00F2704A">
        <w:rPr>
          <w:lang w:val="en-AU"/>
        </w:rPr>
        <w:t>ne disease if relevant symptoms but no overseas travel through a Lyme disease endemic area</w:t>
      </w:r>
      <w:bookmarkEnd w:id="48"/>
      <w:r w:rsidRPr="00F2704A">
        <w:rPr>
          <w:lang w:val="en-AU"/>
        </w:rPr>
        <w:t xml:space="preserve"> </w:t>
      </w:r>
    </w:p>
    <w:p w14:paraId="6D30F7FE" w14:textId="77777777" w:rsidR="007F4F91" w:rsidRPr="009569B4" w:rsidRDefault="007F4F91" w:rsidP="00DC68AE">
      <w:pPr>
        <w:pStyle w:val="Body"/>
        <w:rPr>
          <w:rStyle w:val="BodyTextChar"/>
          <w:lang w:val="en-AU"/>
        </w:rPr>
      </w:pPr>
      <w:r w:rsidRPr="009569B4">
        <w:rPr>
          <w:rStyle w:val="BodyTextChar"/>
          <w:lang w:val="en-AU"/>
        </w:rPr>
        <w:t xml:space="preserve">In patients who have not travelled overseas AND who have or may have been recently bitten by a tick </w:t>
      </w:r>
      <w:r w:rsidR="004D271B">
        <w:rPr>
          <w:rStyle w:val="BodyTextChar"/>
          <w:lang w:val="en-AU"/>
        </w:rPr>
        <w:t xml:space="preserve">or </w:t>
      </w:r>
      <w:r w:rsidRPr="009569B4">
        <w:rPr>
          <w:rStyle w:val="BodyTextChar"/>
          <w:lang w:val="en-AU"/>
        </w:rPr>
        <w:t>in the past or who engage in activities such as bushwalking AND present with relevant acute or chronic symptoms suspect Australian tick-born</w:t>
      </w:r>
      <w:r w:rsidR="00F422D3" w:rsidRPr="009569B4">
        <w:rPr>
          <w:rStyle w:val="BodyTextChar"/>
          <w:lang w:val="en-AU"/>
        </w:rPr>
        <w:t>e</w:t>
      </w:r>
      <w:r w:rsidRPr="009569B4">
        <w:rPr>
          <w:rStyle w:val="BodyTextChar"/>
          <w:lang w:val="en-AU"/>
        </w:rPr>
        <w:t xml:space="preserve"> diseases </w:t>
      </w:r>
      <w:r w:rsidR="00623280" w:rsidRPr="009569B4">
        <w:rPr>
          <w:rStyle w:val="BodyTextChar"/>
          <w:lang w:val="en-AU"/>
        </w:rPr>
        <w:t xml:space="preserve">(or Australian vector-borne </w:t>
      </w:r>
      <w:r w:rsidR="00C208C2" w:rsidRPr="009569B4">
        <w:rPr>
          <w:rStyle w:val="BodyTextChar"/>
          <w:lang w:val="en-AU"/>
        </w:rPr>
        <w:t xml:space="preserve">diseases) </w:t>
      </w:r>
      <w:r w:rsidRPr="009569B4">
        <w:rPr>
          <w:rStyle w:val="BodyTextChar"/>
          <w:lang w:val="en-AU"/>
        </w:rPr>
        <w:t>and seek expert advice</w:t>
      </w:r>
      <w:r w:rsidR="00F422D3" w:rsidRPr="009569B4">
        <w:rPr>
          <w:rStyle w:val="BodyTextChar"/>
          <w:lang w:val="en-AU"/>
        </w:rPr>
        <w:t xml:space="preserve">. </w:t>
      </w:r>
    </w:p>
    <w:p w14:paraId="0AA6B5D3" w14:textId="77777777" w:rsidR="00EB7426" w:rsidRPr="00661245" w:rsidRDefault="00EB7426" w:rsidP="00EB7426">
      <w:pPr>
        <w:pStyle w:val="BodyText"/>
        <w:rPr>
          <w:lang w:val="en-AU"/>
        </w:rPr>
      </w:pPr>
      <w:r w:rsidRPr="00661245">
        <w:rPr>
          <w:lang w:val="en-AU"/>
        </w:rPr>
        <w:t xml:space="preserve">There are 17 human biting ticks known in Australia, but </w:t>
      </w:r>
      <w:r w:rsidRPr="00CF74AD">
        <w:rPr>
          <w:lang w:val="en-AU"/>
        </w:rPr>
        <w:t>only six of these ticks are able to act as competent vectors for the transmission of pathogens to humans</w:t>
      </w:r>
      <w:r w:rsidR="00D74374">
        <w:rPr>
          <w:lang w:val="en-AU"/>
        </w:rPr>
        <w:t>.</w:t>
      </w:r>
      <w:r w:rsidRPr="00A94846">
        <w:rPr>
          <w:rStyle w:val="FootnoteReference"/>
        </w:rPr>
        <w:footnoteReference w:id="86"/>
      </w:r>
      <w:r w:rsidRPr="00661245">
        <w:rPr>
          <w:lang w:val="en-AU"/>
        </w:rPr>
        <w:t xml:space="preserve"> Apart from the occasional local </w:t>
      </w:r>
      <w:r w:rsidRPr="00CF74AD">
        <w:rPr>
          <w:lang w:val="en-AU"/>
        </w:rPr>
        <w:t xml:space="preserve">bacterial infection at the tick bite site (eschar) the only two systemic infections that are definitely known to be transmitted by tick bites in Australia are Rickettsial infections from infection with </w:t>
      </w:r>
      <w:r w:rsidRPr="00CF74AD">
        <w:rPr>
          <w:i/>
          <w:lang w:val="en-AU"/>
        </w:rPr>
        <w:t>Rickettsia</w:t>
      </w:r>
      <w:r w:rsidRPr="00CF74AD">
        <w:rPr>
          <w:lang w:val="en-AU"/>
        </w:rPr>
        <w:t xml:space="preserve"> spp. (</w:t>
      </w:r>
      <w:r w:rsidR="00C7627A" w:rsidRPr="00CF74AD">
        <w:rPr>
          <w:lang w:val="en-AU"/>
        </w:rPr>
        <w:t>QTT</w:t>
      </w:r>
      <w:r w:rsidRPr="00CF74AD">
        <w:rPr>
          <w:lang w:val="en-AU"/>
        </w:rPr>
        <w:t xml:space="preserve">, </w:t>
      </w:r>
      <w:r w:rsidR="00C7627A" w:rsidRPr="00CF74AD">
        <w:rPr>
          <w:lang w:val="en-AU"/>
        </w:rPr>
        <w:t>FIS</w:t>
      </w:r>
      <w:r w:rsidR="00EB6CCC" w:rsidRPr="00CF74AD">
        <w:rPr>
          <w:lang w:val="en-AU"/>
        </w:rPr>
        <w:t>F, ASF</w:t>
      </w:r>
      <w:r w:rsidRPr="00CF74AD">
        <w:rPr>
          <w:lang w:val="en-AU"/>
        </w:rPr>
        <w:t>) and Q fever (</w:t>
      </w:r>
      <w:r w:rsidRPr="00CF29E7">
        <w:rPr>
          <w:i/>
          <w:lang w:val="en-AU"/>
        </w:rPr>
        <w:t>Coxiella burnetii</w:t>
      </w:r>
      <w:r w:rsidRPr="00D621FF">
        <w:rPr>
          <w:lang w:val="en-AU"/>
        </w:rPr>
        <w:t>)</w:t>
      </w:r>
      <w:r w:rsidR="00D74374">
        <w:rPr>
          <w:lang w:val="en-AU"/>
        </w:rPr>
        <w:t>.</w:t>
      </w:r>
      <w:r w:rsidRPr="00A94846">
        <w:rPr>
          <w:rStyle w:val="FootnoteReference"/>
        </w:rPr>
        <w:footnoteReference w:id="87"/>
      </w:r>
      <w:r w:rsidRPr="00661245">
        <w:rPr>
          <w:vertAlign w:val="superscript"/>
          <w:lang w:val="en-AU"/>
        </w:rPr>
        <w:t>,</w:t>
      </w:r>
      <w:r w:rsidR="00D74374">
        <w:rPr>
          <w:vertAlign w:val="superscript"/>
          <w:lang w:val="en-AU"/>
        </w:rPr>
        <w:t xml:space="preserve"> </w:t>
      </w:r>
      <w:r w:rsidRPr="00A94846">
        <w:rPr>
          <w:rStyle w:val="FootnoteReference"/>
        </w:rPr>
        <w:footnoteReference w:id="88"/>
      </w:r>
      <w:r w:rsidRPr="00661245">
        <w:rPr>
          <w:vertAlign w:val="superscript"/>
          <w:lang w:val="en-AU"/>
        </w:rPr>
        <w:t>,</w:t>
      </w:r>
      <w:r w:rsidR="00D74374">
        <w:rPr>
          <w:vertAlign w:val="superscript"/>
          <w:lang w:val="en-AU"/>
        </w:rPr>
        <w:t xml:space="preserve"> </w:t>
      </w:r>
      <w:r w:rsidRPr="00A94846">
        <w:rPr>
          <w:rStyle w:val="FootnoteReference"/>
        </w:rPr>
        <w:footnoteReference w:id="89"/>
      </w:r>
      <w:r w:rsidRPr="00661245">
        <w:rPr>
          <w:lang w:val="en-AU"/>
        </w:rPr>
        <w:t xml:space="preserve"> </w:t>
      </w:r>
    </w:p>
    <w:p w14:paraId="389A1E85" w14:textId="77777777" w:rsidR="00EB7426" w:rsidRPr="00661245" w:rsidRDefault="00EB7426" w:rsidP="00EB7426">
      <w:pPr>
        <w:pStyle w:val="BodyText"/>
        <w:spacing w:after="80"/>
        <w:rPr>
          <w:lang w:val="en-AU"/>
        </w:rPr>
      </w:pPr>
      <w:r w:rsidRPr="00CF74AD">
        <w:rPr>
          <w:lang w:val="en-AU"/>
        </w:rPr>
        <w:t>The species of Australian ticks known to bite humans and transmit bacterial infection are</w:t>
      </w:r>
      <w:r w:rsidR="00D74374">
        <w:rPr>
          <w:lang w:val="en-AU"/>
        </w:rPr>
        <w:t>:</w:t>
      </w:r>
      <w:r w:rsidR="00700DF8" w:rsidRPr="00A94846">
        <w:rPr>
          <w:rStyle w:val="FootnoteReference"/>
        </w:rPr>
        <w:footnoteReference w:id="90"/>
      </w:r>
      <w:r w:rsidRPr="00661245">
        <w:rPr>
          <w:lang w:val="en-AU"/>
        </w:rPr>
        <w:t xml:space="preserve"> </w:t>
      </w:r>
    </w:p>
    <w:p w14:paraId="0B919702" w14:textId="77777777" w:rsidR="00EB7426" w:rsidRPr="00CF74AD" w:rsidRDefault="00EB7426" w:rsidP="00D74374">
      <w:pPr>
        <w:pStyle w:val="List-BulletLvl1"/>
        <w:spacing w:after="60"/>
        <w:rPr>
          <w:lang w:val="en-AU"/>
        </w:rPr>
      </w:pPr>
      <w:r w:rsidRPr="00CF74AD">
        <w:rPr>
          <w:lang w:val="en-AU"/>
        </w:rPr>
        <w:t xml:space="preserve">the </w:t>
      </w:r>
      <w:r w:rsidRPr="00CF74AD">
        <w:rPr>
          <w:b/>
          <w:bCs/>
          <w:lang w:val="en-AU"/>
        </w:rPr>
        <w:t>paralysis tick</w:t>
      </w:r>
      <w:r w:rsidRPr="00CF74AD">
        <w:rPr>
          <w:lang w:val="en-AU"/>
        </w:rPr>
        <w:t xml:space="preserve"> </w:t>
      </w:r>
      <w:r w:rsidRPr="00CF74AD">
        <w:rPr>
          <w:i/>
          <w:iCs/>
          <w:lang w:val="en-AU"/>
        </w:rPr>
        <w:t xml:space="preserve">(Ixodes holocyclus) </w:t>
      </w:r>
      <w:r w:rsidRPr="00CF74AD">
        <w:rPr>
          <w:lang w:val="en-AU"/>
        </w:rPr>
        <w:t xml:space="preserve">is endemic on the east coast of Australia and </w:t>
      </w:r>
    </w:p>
    <w:p w14:paraId="6B5ACE2A" w14:textId="77777777" w:rsidR="00EB7426" w:rsidRPr="00D621FF" w:rsidRDefault="00EB7426" w:rsidP="00764F55">
      <w:pPr>
        <w:pStyle w:val="List-BulletLvl2"/>
        <w:spacing w:before="0" w:after="60"/>
        <w:ind w:left="1474"/>
        <w:rPr>
          <w:lang w:val="en-AU"/>
        </w:rPr>
      </w:pPr>
      <w:r w:rsidRPr="00CF74AD">
        <w:rPr>
          <w:lang w:val="en-AU"/>
        </w:rPr>
        <w:t xml:space="preserve">causes </w:t>
      </w:r>
      <w:r w:rsidR="00EB6CCC" w:rsidRPr="00CF74AD">
        <w:rPr>
          <w:lang w:val="en-AU"/>
        </w:rPr>
        <w:t xml:space="preserve">QTT </w:t>
      </w:r>
      <w:r w:rsidRPr="00CF29E7">
        <w:rPr>
          <w:lang w:val="en-AU"/>
        </w:rPr>
        <w:t xml:space="preserve">due to </w:t>
      </w:r>
      <w:r w:rsidRPr="00D621FF">
        <w:rPr>
          <w:i/>
          <w:iCs/>
          <w:lang w:val="en-AU"/>
        </w:rPr>
        <w:t xml:space="preserve">R. australis </w:t>
      </w:r>
    </w:p>
    <w:p w14:paraId="15A40211" w14:textId="77777777" w:rsidR="00EB7426" w:rsidRPr="00F2704A" w:rsidRDefault="00EB7426" w:rsidP="00764F55">
      <w:pPr>
        <w:pStyle w:val="List-BulletLvl2"/>
        <w:spacing w:before="0" w:after="60"/>
        <w:ind w:left="1474"/>
        <w:rPr>
          <w:lang w:val="en-AU"/>
        </w:rPr>
      </w:pPr>
      <w:r w:rsidRPr="00FA6D54">
        <w:rPr>
          <w:lang w:val="en-AU"/>
        </w:rPr>
        <w:t xml:space="preserve">causes Q fever due to </w:t>
      </w:r>
      <w:r w:rsidRPr="00FA6D54">
        <w:rPr>
          <w:i/>
          <w:iCs/>
          <w:lang w:val="en-AU"/>
        </w:rPr>
        <w:t>C. burnetii</w:t>
      </w:r>
    </w:p>
    <w:p w14:paraId="4FF013BA" w14:textId="77777777" w:rsidR="00EB7426" w:rsidRPr="00F2704A" w:rsidRDefault="00EB7426" w:rsidP="00D74374">
      <w:pPr>
        <w:pStyle w:val="List-BulletLvl1"/>
        <w:spacing w:after="60"/>
        <w:rPr>
          <w:lang w:val="en-AU"/>
        </w:rPr>
      </w:pPr>
      <w:r w:rsidRPr="00F2704A">
        <w:rPr>
          <w:lang w:val="en-AU"/>
        </w:rPr>
        <w:t xml:space="preserve">the </w:t>
      </w:r>
      <w:r w:rsidRPr="00F2704A">
        <w:rPr>
          <w:b/>
          <w:bCs/>
          <w:lang w:val="en-AU"/>
        </w:rPr>
        <w:t>common marsupial tick</w:t>
      </w:r>
      <w:r w:rsidRPr="00F2704A">
        <w:rPr>
          <w:lang w:val="en-AU"/>
        </w:rPr>
        <w:t xml:space="preserve"> </w:t>
      </w:r>
      <w:r w:rsidRPr="00F2704A">
        <w:rPr>
          <w:i/>
          <w:iCs/>
          <w:lang w:val="en-AU"/>
        </w:rPr>
        <w:t xml:space="preserve">(Ixodes tasmani) </w:t>
      </w:r>
    </w:p>
    <w:p w14:paraId="4831A056" w14:textId="77777777" w:rsidR="00EB7426" w:rsidRPr="00F2704A" w:rsidRDefault="00EB7426" w:rsidP="00764F55">
      <w:pPr>
        <w:pStyle w:val="List-BulletLvl2"/>
        <w:spacing w:before="0" w:after="60"/>
        <w:ind w:left="1474"/>
        <w:rPr>
          <w:lang w:val="en-AU"/>
        </w:rPr>
      </w:pPr>
      <w:r w:rsidRPr="00F2704A">
        <w:rPr>
          <w:lang w:val="en-AU"/>
        </w:rPr>
        <w:t xml:space="preserve">causes </w:t>
      </w:r>
      <w:r w:rsidR="00EB6CCC" w:rsidRPr="00F2704A">
        <w:rPr>
          <w:lang w:val="en-AU"/>
        </w:rPr>
        <w:t xml:space="preserve">QTT </w:t>
      </w:r>
      <w:r w:rsidRPr="00F2704A">
        <w:rPr>
          <w:lang w:val="en-AU"/>
        </w:rPr>
        <w:t xml:space="preserve">due to </w:t>
      </w:r>
      <w:r w:rsidRPr="00F2704A">
        <w:rPr>
          <w:i/>
          <w:iCs/>
          <w:lang w:val="en-AU"/>
        </w:rPr>
        <w:t>R. australis</w:t>
      </w:r>
    </w:p>
    <w:p w14:paraId="32E0CDF2" w14:textId="77777777" w:rsidR="00D50D8F" w:rsidRPr="00F2704A" w:rsidRDefault="00EB7426" w:rsidP="00764F55">
      <w:pPr>
        <w:pStyle w:val="List-BulletLvl2"/>
        <w:spacing w:before="0" w:after="60"/>
        <w:ind w:left="1474"/>
        <w:rPr>
          <w:lang w:val="en-AU"/>
        </w:rPr>
      </w:pPr>
      <w:r w:rsidRPr="00F2704A">
        <w:rPr>
          <w:lang w:val="en-AU"/>
        </w:rPr>
        <w:lastRenderedPageBreak/>
        <w:t xml:space="preserve">causes </w:t>
      </w:r>
      <w:r w:rsidR="00EB6CCC" w:rsidRPr="00F2704A">
        <w:rPr>
          <w:lang w:val="en-AU"/>
        </w:rPr>
        <w:t xml:space="preserve">ASF </w:t>
      </w:r>
      <w:r w:rsidRPr="00F2704A">
        <w:rPr>
          <w:lang w:val="en-AU"/>
        </w:rPr>
        <w:t xml:space="preserve">due to </w:t>
      </w:r>
      <w:r w:rsidRPr="00F2704A">
        <w:rPr>
          <w:i/>
          <w:iCs/>
          <w:lang w:val="en-AU"/>
        </w:rPr>
        <w:t xml:space="preserve">R. honei </w:t>
      </w:r>
      <w:r w:rsidRPr="00F2704A">
        <w:rPr>
          <w:lang w:val="en-AU"/>
        </w:rPr>
        <w:t>subsp</w:t>
      </w:r>
      <w:r w:rsidRPr="00F2704A">
        <w:rPr>
          <w:i/>
          <w:iCs/>
          <w:lang w:val="en-AU"/>
        </w:rPr>
        <w:t xml:space="preserve">. </w:t>
      </w:r>
      <w:r w:rsidR="00C208C2" w:rsidRPr="00F2704A">
        <w:rPr>
          <w:i/>
          <w:iCs/>
          <w:lang w:val="en-AU"/>
        </w:rPr>
        <w:t>m</w:t>
      </w:r>
      <w:r w:rsidRPr="00F2704A">
        <w:rPr>
          <w:i/>
          <w:iCs/>
          <w:lang w:val="en-AU"/>
        </w:rPr>
        <w:t>armionii</w:t>
      </w:r>
    </w:p>
    <w:p w14:paraId="75499A6C" w14:textId="77777777" w:rsidR="00EB7426" w:rsidRPr="00F2704A" w:rsidRDefault="00EB7426" w:rsidP="00D74374">
      <w:pPr>
        <w:pStyle w:val="List-BulletLvl1"/>
        <w:spacing w:after="60"/>
        <w:rPr>
          <w:lang w:val="en-AU"/>
        </w:rPr>
      </w:pPr>
      <w:r w:rsidRPr="00F2704A">
        <w:rPr>
          <w:lang w:val="en-AU"/>
        </w:rPr>
        <w:t xml:space="preserve">the </w:t>
      </w:r>
      <w:r w:rsidR="002B4750">
        <w:rPr>
          <w:b/>
          <w:bCs/>
          <w:lang w:val="en-AU"/>
        </w:rPr>
        <w:t>s</w:t>
      </w:r>
      <w:r w:rsidRPr="00F2704A">
        <w:rPr>
          <w:b/>
          <w:bCs/>
          <w:lang w:val="en-AU"/>
        </w:rPr>
        <w:t>outhern paralysis tick</w:t>
      </w:r>
      <w:r w:rsidRPr="00F2704A">
        <w:rPr>
          <w:lang w:val="en-AU"/>
        </w:rPr>
        <w:t xml:space="preserve"> </w:t>
      </w:r>
      <w:r w:rsidRPr="00F2704A">
        <w:rPr>
          <w:i/>
          <w:iCs/>
          <w:lang w:val="en-AU"/>
        </w:rPr>
        <w:t xml:space="preserve">(Ixodes cornuatus) </w:t>
      </w:r>
    </w:p>
    <w:p w14:paraId="23B61573" w14:textId="77777777" w:rsidR="00EB7426" w:rsidRPr="00F2704A" w:rsidRDefault="00EB7426" w:rsidP="00D74374">
      <w:pPr>
        <w:pStyle w:val="List-BulletLvl2"/>
        <w:spacing w:before="0" w:after="60"/>
        <w:rPr>
          <w:lang w:val="en-AU"/>
        </w:rPr>
      </w:pPr>
      <w:r w:rsidRPr="00F2704A">
        <w:rPr>
          <w:lang w:val="en-AU"/>
        </w:rPr>
        <w:t xml:space="preserve">causes </w:t>
      </w:r>
      <w:r w:rsidR="00EB6CCC" w:rsidRPr="00F2704A">
        <w:rPr>
          <w:lang w:val="en-AU"/>
        </w:rPr>
        <w:t xml:space="preserve">QTT </w:t>
      </w:r>
      <w:r w:rsidRPr="00F2704A">
        <w:rPr>
          <w:lang w:val="en-AU"/>
        </w:rPr>
        <w:t xml:space="preserve">due to </w:t>
      </w:r>
      <w:r w:rsidRPr="00F2704A">
        <w:rPr>
          <w:i/>
          <w:iCs/>
          <w:lang w:val="en-AU"/>
        </w:rPr>
        <w:t>R. australis</w:t>
      </w:r>
    </w:p>
    <w:p w14:paraId="1B61AC21" w14:textId="77777777" w:rsidR="00EB7426" w:rsidRPr="00F2704A" w:rsidRDefault="00EB7426" w:rsidP="00D74374">
      <w:pPr>
        <w:pStyle w:val="List-BulletLvl1"/>
        <w:spacing w:after="60"/>
        <w:rPr>
          <w:i/>
          <w:iCs/>
          <w:lang w:val="en-AU"/>
        </w:rPr>
      </w:pPr>
      <w:r w:rsidRPr="00F2704A">
        <w:rPr>
          <w:lang w:val="en-AU"/>
        </w:rPr>
        <w:t xml:space="preserve">the </w:t>
      </w:r>
      <w:r w:rsidRPr="00F2704A">
        <w:rPr>
          <w:b/>
          <w:bCs/>
          <w:lang w:val="en-AU"/>
        </w:rPr>
        <w:t xml:space="preserve">ornate kangaroo tick </w:t>
      </w:r>
      <w:r w:rsidRPr="00F2704A">
        <w:rPr>
          <w:i/>
          <w:iCs/>
          <w:lang w:val="en-AU"/>
        </w:rPr>
        <w:t>(Amblyomma triguttum)</w:t>
      </w:r>
      <w:r w:rsidRPr="00F2704A">
        <w:rPr>
          <w:lang w:val="en-AU"/>
        </w:rPr>
        <w:t xml:space="preserve"> occurs throughout much of the central, northern and western Australia and </w:t>
      </w:r>
    </w:p>
    <w:p w14:paraId="0D152F2E" w14:textId="77777777" w:rsidR="00EB7426" w:rsidRPr="00F2704A" w:rsidRDefault="00EB7426" w:rsidP="00764F55">
      <w:pPr>
        <w:pStyle w:val="List-BulletLvl2"/>
        <w:spacing w:before="0" w:after="60"/>
        <w:ind w:left="1531"/>
        <w:rPr>
          <w:i/>
          <w:iCs/>
          <w:lang w:val="en-AU"/>
        </w:rPr>
      </w:pPr>
      <w:r w:rsidRPr="00F2704A">
        <w:rPr>
          <w:lang w:val="en-AU"/>
        </w:rPr>
        <w:t xml:space="preserve">causes Q fever due to </w:t>
      </w:r>
      <w:r w:rsidRPr="00F2704A">
        <w:rPr>
          <w:i/>
          <w:iCs/>
          <w:lang w:val="en-AU"/>
        </w:rPr>
        <w:t>C. burnetii</w:t>
      </w:r>
    </w:p>
    <w:p w14:paraId="00BFAC3D" w14:textId="77777777" w:rsidR="00EB7426" w:rsidRPr="00F2704A" w:rsidRDefault="00EB7426" w:rsidP="00D74374">
      <w:pPr>
        <w:pStyle w:val="List-BulletLvl1"/>
        <w:spacing w:after="60"/>
        <w:rPr>
          <w:i/>
          <w:iCs/>
          <w:lang w:val="en-AU"/>
        </w:rPr>
      </w:pPr>
      <w:r w:rsidRPr="00F2704A">
        <w:rPr>
          <w:lang w:val="en-AU"/>
        </w:rPr>
        <w:t xml:space="preserve">the </w:t>
      </w:r>
      <w:r w:rsidRPr="00F2704A">
        <w:rPr>
          <w:b/>
          <w:bCs/>
          <w:lang w:val="en-AU"/>
        </w:rPr>
        <w:t xml:space="preserve">southern reptile tick </w:t>
      </w:r>
      <w:r w:rsidRPr="00F2704A">
        <w:rPr>
          <w:i/>
          <w:iCs/>
          <w:lang w:val="en-AU"/>
        </w:rPr>
        <w:t xml:space="preserve">(Bothriocroton hydrosauri) </w:t>
      </w:r>
      <w:r w:rsidRPr="00F2704A">
        <w:rPr>
          <w:lang w:val="en-AU"/>
        </w:rPr>
        <w:t xml:space="preserve">occurs mainly in south-eastern Australia and </w:t>
      </w:r>
    </w:p>
    <w:p w14:paraId="543F604C" w14:textId="77777777" w:rsidR="00EB7426" w:rsidRPr="00F2704A" w:rsidRDefault="00EB7426" w:rsidP="00764F55">
      <w:pPr>
        <w:pStyle w:val="List-BulletLvl2"/>
        <w:spacing w:before="0" w:after="60"/>
        <w:ind w:left="1531"/>
        <w:rPr>
          <w:i/>
          <w:iCs/>
          <w:lang w:val="en-AU"/>
        </w:rPr>
      </w:pPr>
      <w:r w:rsidRPr="00F2704A">
        <w:rPr>
          <w:lang w:val="en-AU"/>
        </w:rPr>
        <w:t xml:space="preserve">causes </w:t>
      </w:r>
      <w:r w:rsidR="00EB6CCC" w:rsidRPr="00F2704A">
        <w:rPr>
          <w:lang w:val="en-AU"/>
        </w:rPr>
        <w:t xml:space="preserve">FISF </w:t>
      </w:r>
      <w:r w:rsidRPr="00F2704A">
        <w:rPr>
          <w:lang w:val="en-AU"/>
        </w:rPr>
        <w:t xml:space="preserve">due to </w:t>
      </w:r>
      <w:r w:rsidRPr="00F2704A">
        <w:rPr>
          <w:i/>
          <w:iCs/>
          <w:lang w:val="en-AU"/>
        </w:rPr>
        <w:t>R. honei</w:t>
      </w:r>
    </w:p>
    <w:p w14:paraId="1E5E3009" w14:textId="77777777" w:rsidR="00EB7426" w:rsidRPr="00F2704A" w:rsidRDefault="00EB7426" w:rsidP="00D74374">
      <w:pPr>
        <w:pStyle w:val="List-BulletLvl1"/>
        <w:spacing w:after="60"/>
        <w:rPr>
          <w:lang w:val="en-AU"/>
        </w:rPr>
      </w:pPr>
      <w:r w:rsidRPr="00F2704A">
        <w:rPr>
          <w:lang w:val="en-AU"/>
        </w:rPr>
        <w:t>the</w:t>
      </w:r>
      <w:r w:rsidRPr="00F2704A">
        <w:rPr>
          <w:b/>
          <w:bCs/>
          <w:lang w:val="en-AU"/>
        </w:rPr>
        <w:t xml:space="preserve"> </w:t>
      </w:r>
      <w:r w:rsidRPr="00F2704A">
        <w:rPr>
          <w:b/>
          <w:bCs/>
          <w:i/>
          <w:lang w:val="en-AU"/>
        </w:rPr>
        <w:t>Haemaphysalis novoaeguinae</w:t>
      </w:r>
      <w:r w:rsidRPr="00F2704A">
        <w:rPr>
          <w:lang w:val="en-AU"/>
        </w:rPr>
        <w:t xml:space="preserve"> (no common name) </w:t>
      </w:r>
    </w:p>
    <w:p w14:paraId="1E6581D8" w14:textId="77777777" w:rsidR="00736F56" w:rsidRPr="00F2704A" w:rsidRDefault="00EB7426" w:rsidP="00764F55">
      <w:pPr>
        <w:pStyle w:val="List-BulletLvl2"/>
        <w:spacing w:before="0"/>
        <w:ind w:left="1531"/>
        <w:rPr>
          <w:lang w:val="en-AU"/>
        </w:rPr>
      </w:pPr>
      <w:r w:rsidRPr="00F2704A">
        <w:rPr>
          <w:lang w:val="en-AU"/>
        </w:rPr>
        <w:t xml:space="preserve">causes </w:t>
      </w:r>
      <w:r w:rsidR="00EB6CCC" w:rsidRPr="00F2704A">
        <w:rPr>
          <w:lang w:val="en-AU"/>
        </w:rPr>
        <w:t xml:space="preserve">ASF </w:t>
      </w:r>
      <w:r w:rsidRPr="00F2704A">
        <w:rPr>
          <w:lang w:val="en-AU"/>
        </w:rPr>
        <w:t xml:space="preserve">due to </w:t>
      </w:r>
      <w:r w:rsidRPr="00F2704A">
        <w:rPr>
          <w:i/>
          <w:iCs/>
          <w:lang w:val="en-AU"/>
        </w:rPr>
        <w:t xml:space="preserve">R. honei </w:t>
      </w:r>
      <w:r w:rsidRPr="00F2704A">
        <w:rPr>
          <w:lang w:val="en-AU"/>
        </w:rPr>
        <w:t>subsp</w:t>
      </w:r>
      <w:r w:rsidRPr="00F2704A">
        <w:rPr>
          <w:i/>
          <w:iCs/>
          <w:lang w:val="en-AU"/>
        </w:rPr>
        <w:t xml:space="preserve">. </w:t>
      </w:r>
      <w:r w:rsidR="005E4E1F">
        <w:rPr>
          <w:i/>
          <w:iCs/>
          <w:lang w:val="en-AU"/>
        </w:rPr>
        <w:t>m</w:t>
      </w:r>
      <w:r w:rsidRPr="00F2704A">
        <w:rPr>
          <w:i/>
          <w:iCs/>
          <w:lang w:val="en-AU"/>
        </w:rPr>
        <w:t>armionii</w:t>
      </w:r>
      <w:r w:rsidR="00700DF8" w:rsidRPr="00F2704A">
        <w:rPr>
          <w:lang w:val="en-AU"/>
        </w:rPr>
        <w:t>.</w:t>
      </w:r>
    </w:p>
    <w:p w14:paraId="3732F444" w14:textId="77777777" w:rsidR="00EE45CE" w:rsidRPr="00F2704A" w:rsidRDefault="00736F56" w:rsidP="006324CA">
      <w:pPr>
        <w:pStyle w:val="NumberedHeading3"/>
        <w:spacing w:line="240" w:lineRule="auto"/>
        <w:rPr>
          <w:lang w:val="en-AU"/>
        </w:rPr>
      </w:pPr>
      <w:bookmarkStart w:id="49" w:name="_Toc55464780"/>
      <w:r w:rsidRPr="00F2704A">
        <w:rPr>
          <w:lang w:val="en-AU"/>
        </w:rPr>
        <w:t>Diagnosis of tick-borne disease known to exist in Australia is challenging</w:t>
      </w:r>
      <w:bookmarkEnd w:id="49"/>
    </w:p>
    <w:p w14:paraId="38D1A268" w14:textId="77777777" w:rsidR="000F7D4D" w:rsidRPr="00CF74AD" w:rsidRDefault="001B0852" w:rsidP="00FD2BAE">
      <w:pPr>
        <w:pStyle w:val="BodyText"/>
        <w:rPr>
          <w:lang w:val="en-AU"/>
        </w:rPr>
      </w:pPr>
      <w:r w:rsidRPr="00F2704A">
        <w:rPr>
          <w:lang w:val="en-AU"/>
        </w:rPr>
        <w:t xml:space="preserve">The </w:t>
      </w:r>
      <w:r w:rsidR="00D50841">
        <w:rPr>
          <w:lang w:val="en-AU"/>
        </w:rPr>
        <w:t xml:space="preserve">signs and </w:t>
      </w:r>
      <w:r w:rsidRPr="00F2704A">
        <w:rPr>
          <w:lang w:val="en-AU"/>
        </w:rPr>
        <w:t xml:space="preserve">symptoms of </w:t>
      </w:r>
      <w:r w:rsidR="00DC6560" w:rsidRPr="00F2704A">
        <w:rPr>
          <w:lang w:val="en-AU"/>
        </w:rPr>
        <w:t>Rickettsial</w:t>
      </w:r>
      <w:r w:rsidRPr="00F2704A">
        <w:rPr>
          <w:lang w:val="en-AU"/>
        </w:rPr>
        <w:t xml:space="preserve"> infections in Australia include eschar, fatigue, fever, headache, myalgia and rash (macular, papular, vesicular) although the severity and duration of </w:t>
      </w:r>
      <w:r w:rsidR="00DC6560" w:rsidRPr="00F2704A">
        <w:rPr>
          <w:lang w:val="en-AU"/>
        </w:rPr>
        <w:t>Rickettsial</w:t>
      </w:r>
      <w:r w:rsidRPr="00F2704A">
        <w:rPr>
          <w:lang w:val="en-AU"/>
        </w:rPr>
        <w:t xml:space="preserve"> diseases vary considerably</w:t>
      </w:r>
      <w:r w:rsidR="00D74374">
        <w:rPr>
          <w:lang w:val="en-AU"/>
        </w:rPr>
        <w:t>.</w:t>
      </w:r>
      <w:r w:rsidRPr="00A94846">
        <w:rPr>
          <w:rStyle w:val="FootnoteReference"/>
        </w:rPr>
        <w:footnoteReference w:id="91"/>
      </w:r>
      <w:r w:rsidRPr="00661245">
        <w:rPr>
          <w:lang w:val="en-AU"/>
        </w:rPr>
        <w:t xml:space="preserve"> QTT and A</w:t>
      </w:r>
      <w:r w:rsidR="007C137E" w:rsidRPr="00661245">
        <w:rPr>
          <w:lang w:val="en-AU"/>
        </w:rPr>
        <w:t>SF</w:t>
      </w:r>
      <w:r w:rsidR="00662E34" w:rsidRPr="00CF74AD">
        <w:rPr>
          <w:lang w:val="en-AU"/>
        </w:rPr>
        <w:t xml:space="preserve"> </w:t>
      </w:r>
      <w:r w:rsidRPr="00CF74AD">
        <w:rPr>
          <w:lang w:val="en-AU"/>
        </w:rPr>
        <w:t>have similar core clinical manifestations with a range of other symptoms observed. Early clinical features are often non-specific, making diagnosis challenging</w:t>
      </w:r>
      <w:r w:rsidR="00D74374">
        <w:rPr>
          <w:lang w:val="en-AU"/>
        </w:rPr>
        <w:t>.</w:t>
      </w:r>
      <w:r w:rsidRPr="00A94846">
        <w:rPr>
          <w:rStyle w:val="FootnoteReference"/>
        </w:rPr>
        <w:footnoteReference w:id="92"/>
      </w:r>
      <w:r w:rsidRPr="00661245">
        <w:rPr>
          <w:lang w:val="en-AU"/>
        </w:rPr>
        <w:t xml:space="preserve"> </w:t>
      </w:r>
      <w:r w:rsidR="00736F56" w:rsidRPr="00661245">
        <w:rPr>
          <w:lang w:val="en-AU"/>
        </w:rPr>
        <w:t>Additionally, s</w:t>
      </w:r>
      <w:r w:rsidR="005D6C82" w:rsidRPr="00CF74AD">
        <w:rPr>
          <w:lang w:val="en-AU"/>
        </w:rPr>
        <w:t xml:space="preserve">ymptoms may overlap with other infectious diseases including those that are transmitted by non-tick vectors as well as a number of chronic diseases. </w:t>
      </w:r>
      <w:r w:rsidR="003C118D" w:rsidRPr="00CF74AD">
        <w:rPr>
          <w:lang w:val="en-AU"/>
        </w:rPr>
        <w:t xml:space="preserve">Seek </w:t>
      </w:r>
      <w:r w:rsidR="002D20A7" w:rsidRPr="00CF74AD">
        <w:rPr>
          <w:lang w:val="en-AU"/>
        </w:rPr>
        <w:t>further expert advice from appropriate experts in vector-borne diseases as necessary</w:t>
      </w:r>
      <w:r w:rsidR="00F97F25" w:rsidRPr="00CF74AD">
        <w:rPr>
          <w:lang w:val="en-AU"/>
        </w:rPr>
        <w:t>.</w:t>
      </w:r>
    </w:p>
    <w:p w14:paraId="5D50311E" w14:textId="77777777" w:rsidR="00EB7426" w:rsidRPr="00F2704A" w:rsidRDefault="005D6C82" w:rsidP="00736F56">
      <w:pPr>
        <w:pStyle w:val="Body"/>
        <w:rPr>
          <w:lang w:val="en-AU"/>
        </w:rPr>
      </w:pPr>
      <w:r w:rsidRPr="00CF74AD">
        <w:rPr>
          <w:lang w:val="en-AU"/>
        </w:rPr>
        <w:t>Seek further expert opinion as necessary depending upon the nature of the patient’s clinical presentation</w:t>
      </w:r>
      <w:r w:rsidR="006C3BE5" w:rsidRPr="00CF74AD">
        <w:rPr>
          <w:lang w:val="en-AU"/>
        </w:rPr>
        <w:t xml:space="preserve"> </w:t>
      </w:r>
      <w:r w:rsidRPr="00CF74AD">
        <w:rPr>
          <w:lang w:val="en-AU"/>
        </w:rPr>
        <w:t>from appropriate experts in vector-borne diseases including specia</w:t>
      </w:r>
      <w:r w:rsidRPr="00CF29E7">
        <w:rPr>
          <w:lang w:val="en-AU"/>
        </w:rPr>
        <w:t xml:space="preserve">list </w:t>
      </w:r>
      <w:r w:rsidR="003E3259" w:rsidRPr="00FA6D54">
        <w:rPr>
          <w:lang w:val="en-AU"/>
        </w:rPr>
        <w:t xml:space="preserve">microbiologists </w:t>
      </w:r>
      <w:r w:rsidRPr="00FA6D54">
        <w:rPr>
          <w:lang w:val="en-AU"/>
        </w:rPr>
        <w:t xml:space="preserve">with diagnostic experience and ID physicians for diagnosis and treatment of vector-borne diseases. </w:t>
      </w:r>
    </w:p>
    <w:p w14:paraId="687934B9" w14:textId="77777777" w:rsidR="00DE22C9" w:rsidRPr="009569B4" w:rsidRDefault="00DE22C9" w:rsidP="00AD552B">
      <w:pPr>
        <w:pStyle w:val="NumberedHeading3"/>
        <w:rPr>
          <w:lang w:val="en-AU"/>
        </w:rPr>
      </w:pPr>
      <w:bookmarkStart w:id="50" w:name="_Toc20047269"/>
      <w:bookmarkStart w:id="51" w:name="_Toc20056684"/>
      <w:bookmarkStart w:id="52" w:name="_Toc20063233"/>
      <w:bookmarkStart w:id="53" w:name="_Toc20063425"/>
      <w:bookmarkStart w:id="54" w:name="_Toc20086250"/>
      <w:bookmarkStart w:id="55" w:name="_Toc20137577"/>
      <w:bookmarkStart w:id="56" w:name="_Toc20221075"/>
      <w:bookmarkStart w:id="57" w:name="_Toc55464781"/>
      <w:r w:rsidRPr="009569B4">
        <w:rPr>
          <w:rStyle w:val="NumberedHeading3Char"/>
          <w:b/>
          <w:lang w:val="en-AU"/>
        </w:rPr>
        <w:t xml:space="preserve">Queensland </w:t>
      </w:r>
      <w:r w:rsidR="0020422B">
        <w:rPr>
          <w:rStyle w:val="NumberedHeading3Char"/>
          <w:b/>
          <w:lang w:val="en-AU"/>
        </w:rPr>
        <w:t>T</w:t>
      </w:r>
      <w:r w:rsidRPr="009569B4">
        <w:rPr>
          <w:rStyle w:val="NumberedHeading3Char"/>
          <w:b/>
          <w:lang w:val="en-AU"/>
        </w:rPr>
        <w:t xml:space="preserve">ick </w:t>
      </w:r>
      <w:r w:rsidR="0020422B">
        <w:rPr>
          <w:rStyle w:val="NumberedHeading3Char"/>
          <w:b/>
          <w:lang w:val="en-AU"/>
        </w:rPr>
        <w:t>T</w:t>
      </w:r>
      <w:r w:rsidRPr="009569B4">
        <w:rPr>
          <w:rStyle w:val="NumberedHeading3Char"/>
          <w:b/>
          <w:lang w:val="en-AU"/>
        </w:rPr>
        <w:t>yphus (QTT</w:t>
      </w:r>
      <w:r w:rsidRPr="009569B4">
        <w:rPr>
          <w:lang w:val="en-AU"/>
        </w:rPr>
        <w:t>)</w:t>
      </w:r>
      <w:bookmarkEnd w:id="50"/>
      <w:bookmarkEnd w:id="51"/>
      <w:bookmarkEnd w:id="52"/>
      <w:bookmarkEnd w:id="53"/>
      <w:bookmarkEnd w:id="54"/>
      <w:bookmarkEnd w:id="55"/>
      <w:bookmarkEnd w:id="56"/>
      <w:bookmarkEnd w:id="57"/>
      <w:r w:rsidR="0030437F" w:rsidRPr="009569B4">
        <w:rPr>
          <w:lang w:val="en-AU"/>
        </w:rPr>
        <w:t xml:space="preserve"> </w:t>
      </w:r>
    </w:p>
    <w:p w14:paraId="0CE87B78" w14:textId="77777777" w:rsidR="0030437F" w:rsidRPr="00CF74AD" w:rsidRDefault="003901C2" w:rsidP="0031746A">
      <w:pPr>
        <w:pStyle w:val="BodyText"/>
        <w:rPr>
          <w:lang w:val="en-AU"/>
        </w:rPr>
      </w:pPr>
      <w:r>
        <w:rPr>
          <w:lang w:val="en-AU"/>
        </w:rPr>
        <w:t>Queensland Tick Typhus (</w:t>
      </w:r>
      <w:r w:rsidR="00CC4A2E" w:rsidRPr="00661245">
        <w:rPr>
          <w:lang w:val="en-AU"/>
        </w:rPr>
        <w:t>QTT</w:t>
      </w:r>
      <w:r>
        <w:rPr>
          <w:lang w:val="en-AU"/>
        </w:rPr>
        <w:t>)</w:t>
      </w:r>
      <w:r w:rsidR="00CC4A2E" w:rsidRPr="00661245">
        <w:rPr>
          <w:lang w:val="en-AU"/>
        </w:rPr>
        <w:t xml:space="preserve"> is an emerging public health threa</w:t>
      </w:r>
      <w:r w:rsidR="00D74374">
        <w:rPr>
          <w:lang w:val="en-AU"/>
        </w:rPr>
        <w:t>t</w:t>
      </w:r>
      <w:r w:rsidR="00CC4A2E" w:rsidRPr="00A94846">
        <w:rPr>
          <w:rStyle w:val="FootnoteReference"/>
        </w:rPr>
        <w:footnoteReference w:id="93"/>
      </w:r>
      <w:r w:rsidR="00CC4A2E" w:rsidRPr="00661245">
        <w:rPr>
          <w:vertAlign w:val="superscript"/>
          <w:lang w:val="en-AU"/>
        </w:rPr>
        <w:t>,</w:t>
      </w:r>
      <w:r w:rsidR="00D74374">
        <w:rPr>
          <w:vertAlign w:val="superscript"/>
          <w:lang w:val="en-AU"/>
        </w:rPr>
        <w:t xml:space="preserve"> </w:t>
      </w:r>
      <w:r w:rsidR="00CC4A2E" w:rsidRPr="00A94846">
        <w:rPr>
          <w:rStyle w:val="FootnoteReference"/>
        </w:rPr>
        <w:footnoteReference w:id="94"/>
      </w:r>
      <w:r w:rsidR="00CC4A2E" w:rsidRPr="00661245">
        <w:rPr>
          <w:vertAlign w:val="superscript"/>
          <w:lang w:val="en-AU"/>
        </w:rPr>
        <w:t xml:space="preserve"> </w:t>
      </w:r>
      <w:r w:rsidR="00CC4A2E" w:rsidRPr="00661245">
        <w:rPr>
          <w:lang w:val="en-AU"/>
        </w:rPr>
        <w:t>and an increasingly recognised important cause of community-acquired acute febrile illness in Eastern Australia</w:t>
      </w:r>
      <w:r w:rsidR="00D74374">
        <w:rPr>
          <w:lang w:val="en-AU"/>
        </w:rPr>
        <w:t>.</w:t>
      </w:r>
      <w:r w:rsidR="00CC4A2E" w:rsidRPr="00A94846">
        <w:rPr>
          <w:rStyle w:val="FootnoteReference"/>
        </w:rPr>
        <w:footnoteReference w:id="95"/>
      </w:r>
      <w:r w:rsidR="00CC4A2E" w:rsidRPr="00661245">
        <w:rPr>
          <w:lang w:val="en-AU"/>
        </w:rPr>
        <w:t xml:space="preserve"> </w:t>
      </w:r>
      <w:r w:rsidR="000F35C0" w:rsidRPr="00661245">
        <w:rPr>
          <w:lang w:val="en-AU"/>
        </w:rPr>
        <w:t xml:space="preserve">Diagnosing </w:t>
      </w:r>
      <w:r w:rsidR="000F35C0" w:rsidRPr="00661245">
        <w:rPr>
          <w:i/>
          <w:iCs/>
          <w:lang w:val="en-AU"/>
        </w:rPr>
        <w:t xml:space="preserve">R. australis </w:t>
      </w:r>
      <w:r w:rsidR="000F35C0" w:rsidRPr="00CF74AD">
        <w:rPr>
          <w:lang w:val="en-AU"/>
        </w:rPr>
        <w:t>infection can be challenging and in patients presenting with fever and a rash, epidemiologic data and knowledge of high-risk exposure activities can be valuable in considering QTT. A high degree of suspicion is required as the nonspecific symptoms in early QTT can lead to a delay in diagnosis</w:t>
      </w:r>
      <w:r w:rsidR="00D74374">
        <w:rPr>
          <w:lang w:val="en-AU"/>
        </w:rPr>
        <w:t>.</w:t>
      </w:r>
      <w:r w:rsidR="000F35C0" w:rsidRPr="00A94846">
        <w:rPr>
          <w:rStyle w:val="FootnoteReference"/>
        </w:rPr>
        <w:footnoteReference w:id="96"/>
      </w:r>
      <w:r w:rsidR="000F35C0" w:rsidRPr="00661245">
        <w:rPr>
          <w:lang w:val="en-AU"/>
        </w:rPr>
        <w:t xml:space="preserve"> </w:t>
      </w:r>
      <w:r w:rsidR="00CD1135" w:rsidRPr="00CF74AD">
        <w:rPr>
          <w:lang w:val="en-AU"/>
        </w:rPr>
        <w:t xml:space="preserve">Early recognition and treatment is </w:t>
      </w:r>
      <w:r w:rsidR="000F35C0" w:rsidRPr="00CF74AD">
        <w:rPr>
          <w:lang w:val="en-AU"/>
        </w:rPr>
        <w:t xml:space="preserve">therefore </w:t>
      </w:r>
      <w:r w:rsidR="00CD1135" w:rsidRPr="00CF74AD">
        <w:rPr>
          <w:lang w:val="en-AU"/>
        </w:rPr>
        <w:t>important.</w:t>
      </w:r>
    </w:p>
    <w:p w14:paraId="4DD57167" w14:textId="77777777" w:rsidR="0030437F" w:rsidRPr="009569B4" w:rsidRDefault="0030437F" w:rsidP="0031746A">
      <w:pPr>
        <w:pStyle w:val="BodyText"/>
        <w:rPr>
          <w:b/>
          <w:bCs/>
          <w:i/>
          <w:iCs/>
          <w:lang w:val="en-AU"/>
        </w:rPr>
      </w:pPr>
      <w:r w:rsidRPr="009569B4">
        <w:rPr>
          <w:b/>
          <w:bCs/>
          <w:i/>
          <w:iCs/>
          <w:lang w:val="en-AU"/>
        </w:rPr>
        <w:t>Transmission and geographic distribution</w:t>
      </w:r>
    </w:p>
    <w:p w14:paraId="106C48D9" w14:textId="77777777" w:rsidR="0031746A" w:rsidRPr="00661245" w:rsidRDefault="0031746A" w:rsidP="0031746A">
      <w:pPr>
        <w:pStyle w:val="BodyText"/>
        <w:rPr>
          <w:lang w:val="en-AU"/>
        </w:rPr>
      </w:pPr>
      <w:r w:rsidRPr="00661245">
        <w:rPr>
          <w:lang w:val="en-AU"/>
        </w:rPr>
        <w:t>QTT is regularly seen on the east coast of Australia from the Torres Strait Islands to the south-eastern corner of Victoria, with the northern suburbs of Sydney a very common location for transmission of this infection</w:t>
      </w:r>
      <w:r w:rsidR="00D74374">
        <w:rPr>
          <w:lang w:val="en-AU"/>
        </w:rPr>
        <w:t>.</w:t>
      </w:r>
      <w:r w:rsidRPr="00A94846">
        <w:rPr>
          <w:rStyle w:val="FootnoteReference"/>
        </w:rPr>
        <w:footnoteReference w:id="97"/>
      </w:r>
      <w:r w:rsidRPr="00661245">
        <w:rPr>
          <w:vertAlign w:val="superscript"/>
          <w:lang w:val="en-AU"/>
        </w:rPr>
        <w:t>,</w:t>
      </w:r>
      <w:r w:rsidR="00D74374">
        <w:rPr>
          <w:vertAlign w:val="superscript"/>
          <w:lang w:val="en-AU"/>
        </w:rPr>
        <w:t xml:space="preserve"> </w:t>
      </w:r>
      <w:r w:rsidRPr="00A94846">
        <w:rPr>
          <w:rStyle w:val="FootnoteReference"/>
        </w:rPr>
        <w:footnoteReference w:id="98"/>
      </w:r>
      <w:r w:rsidR="00D74374">
        <w:rPr>
          <w:vertAlign w:val="superscript"/>
          <w:lang w:val="en-AU"/>
        </w:rPr>
        <w:t xml:space="preserve"> </w:t>
      </w:r>
      <w:r w:rsidRPr="00661245">
        <w:rPr>
          <w:lang w:val="en-AU"/>
        </w:rPr>
        <w:t>In north-eastern New South Wales, 15.4</w:t>
      </w:r>
      <w:r w:rsidR="001D6365" w:rsidRPr="00661245">
        <w:rPr>
          <w:lang w:val="en-AU"/>
        </w:rPr>
        <w:t xml:space="preserve"> </w:t>
      </w:r>
      <w:r w:rsidR="00CF74AD">
        <w:rPr>
          <w:lang w:val="en-AU"/>
        </w:rPr>
        <w:t>per cent</w:t>
      </w:r>
      <w:r w:rsidRPr="00661245">
        <w:rPr>
          <w:lang w:val="en-AU"/>
        </w:rPr>
        <w:t xml:space="preserve"> of paralysis ticks (</w:t>
      </w:r>
      <w:r w:rsidRPr="00CF74AD">
        <w:rPr>
          <w:i/>
          <w:iCs/>
          <w:lang w:val="en-AU"/>
        </w:rPr>
        <w:t xml:space="preserve">Ixodes holocyclus) </w:t>
      </w:r>
      <w:r w:rsidRPr="00CF74AD">
        <w:rPr>
          <w:lang w:val="en-AU"/>
        </w:rPr>
        <w:t xml:space="preserve">were found to contain </w:t>
      </w:r>
      <w:r w:rsidRPr="00CF74AD">
        <w:rPr>
          <w:i/>
          <w:iCs/>
          <w:lang w:val="en-AU"/>
        </w:rPr>
        <w:t xml:space="preserve">R. australis, </w:t>
      </w:r>
      <w:r w:rsidRPr="00CF74AD">
        <w:rPr>
          <w:lang w:val="en-AU"/>
        </w:rPr>
        <w:t xml:space="preserve">suggesting a one in six risk of being </w:t>
      </w:r>
      <w:r w:rsidRPr="00CF74AD">
        <w:rPr>
          <w:lang w:val="en-AU"/>
        </w:rPr>
        <w:lastRenderedPageBreak/>
        <w:t>infected with the rickettsia if bitten by this tick in this location</w:t>
      </w:r>
      <w:r w:rsidR="00D74374">
        <w:rPr>
          <w:lang w:val="en-AU"/>
        </w:rPr>
        <w:t>.</w:t>
      </w:r>
      <w:r w:rsidRPr="00A94846">
        <w:rPr>
          <w:rStyle w:val="FootnoteReference"/>
        </w:rPr>
        <w:footnoteReference w:id="99"/>
      </w:r>
      <w:r w:rsidR="00D74374">
        <w:rPr>
          <w:vertAlign w:val="superscript"/>
          <w:lang w:val="en-AU"/>
        </w:rPr>
        <w:t xml:space="preserve">, </w:t>
      </w:r>
      <w:r w:rsidRPr="00A94846">
        <w:rPr>
          <w:rStyle w:val="FootnoteReference"/>
        </w:rPr>
        <w:footnoteReference w:id="100"/>
      </w:r>
      <w:r w:rsidRPr="00661245">
        <w:rPr>
          <w:lang w:val="en-AU"/>
        </w:rPr>
        <w:t xml:space="preserve"> The geographical distribution of the known human pathogen that causes Q</w:t>
      </w:r>
      <w:r w:rsidR="00944E70" w:rsidRPr="00CF74AD">
        <w:rPr>
          <w:lang w:val="en-AU"/>
        </w:rPr>
        <w:t>TT</w:t>
      </w:r>
      <w:r w:rsidRPr="00CF74AD">
        <w:rPr>
          <w:lang w:val="en-AU"/>
        </w:rPr>
        <w:t xml:space="preserve"> fever (</w:t>
      </w:r>
      <w:r w:rsidRPr="00CF74AD">
        <w:rPr>
          <w:i/>
          <w:iCs/>
          <w:lang w:val="en-AU"/>
        </w:rPr>
        <w:t xml:space="preserve">R. australis) </w:t>
      </w:r>
      <w:r w:rsidRPr="00CF74AD">
        <w:rPr>
          <w:lang w:val="en-AU"/>
        </w:rPr>
        <w:t>is expanding due to changes in climate and human population demographics</w:t>
      </w:r>
      <w:r w:rsidR="00D74374">
        <w:rPr>
          <w:lang w:val="en-AU"/>
        </w:rPr>
        <w:t>.</w:t>
      </w:r>
      <w:r w:rsidRPr="00A94846">
        <w:rPr>
          <w:rStyle w:val="FootnoteReference"/>
        </w:rPr>
        <w:footnoteReference w:id="101"/>
      </w:r>
    </w:p>
    <w:p w14:paraId="25336ACD" w14:textId="28334A15" w:rsidR="00FD4D9E" w:rsidRPr="00661245" w:rsidRDefault="00935310" w:rsidP="00F06F9B">
      <w:pPr>
        <w:pStyle w:val="Caption"/>
        <w:rPr>
          <w:lang w:val="en-AU"/>
        </w:rPr>
      </w:pPr>
      <w:bookmarkStart w:id="58" w:name="_Toc55460095"/>
      <w:r>
        <w:rPr>
          <w:noProof/>
          <w:lang w:val="en-AU" w:eastAsia="en-AU"/>
        </w:rPr>
        <w:drawing>
          <wp:inline distT="0" distB="0" distL="0" distR="0" wp14:anchorId="61088E22" wp14:editId="0199486B">
            <wp:extent cx="5760085" cy="3440430"/>
            <wp:effectExtent l="0" t="0" r="0" b="7620"/>
            <wp:docPr id="5" name="Picture 3" descr="A map of Australia showing the distribution of Queensland Tick Typhus." title="Distribution of Queensland Tick Typ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of Australia showing the distribution of Queensland Tick Typhus." title="Distribution of Queensland Tick Typhus."/>
                    <pic:cNvPicPr/>
                  </pic:nvPicPr>
                  <pic:blipFill>
                    <a:blip r:embed="rId13">
                      <a:extLst>
                        <a:ext uri="{28A0092B-C50C-407E-A947-70E740481C1C}">
                          <a14:useLocalDpi xmlns:a14="http://schemas.microsoft.com/office/drawing/2010/main" val="0"/>
                        </a:ext>
                      </a:extLst>
                    </a:blip>
                    <a:stretch>
                      <a:fillRect/>
                    </a:stretch>
                  </pic:blipFill>
                  <pic:spPr>
                    <a:xfrm>
                      <a:off x="0" y="0"/>
                      <a:ext cx="5760085" cy="3440430"/>
                    </a:xfrm>
                    <a:prstGeom prst="rect">
                      <a:avLst/>
                    </a:prstGeom>
                  </pic:spPr>
                </pic:pic>
              </a:graphicData>
            </a:graphic>
          </wp:inline>
        </w:drawing>
      </w:r>
      <w:r w:rsidR="00F06F9B" w:rsidRPr="009569B4">
        <w:rPr>
          <w:lang w:val="en-AU"/>
        </w:rPr>
        <w:t xml:space="preserve">Figure </w:t>
      </w:r>
      <w:r w:rsidR="00F06F9B" w:rsidRPr="009569B4">
        <w:rPr>
          <w:lang w:val="en-AU"/>
        </w:rPr>
        <w:fldChar w:fldCharType="begin"/>
      </w:r>
      <w:r w:rsidR="00F06F9B" w:rsidRPr="009569B4">
        <w:rPr>
          <w:lang w:val="en-AU"/>
        </w:rPr>
        <w:instrText xml:space="preserve"> SEQ Figure \* ARABIC </w:instrText>
      </w:r>
      <w:r w:rsidR="00F06F9B" w:rsidRPr="009569B4">
        <w:rPr>
          <w:lang w:val="en-AU"/>
        </w:rPr>
        <w:fldChar w:fldCharType="separate"/>
      </w:r>
      <w:r w:rsidR="00822580">
        <w:rPr>
          <w:noProof/>
          <w:lang w:val="en-AU"/>
        </w:rPr>
        <w:t>1</w:t>
      </w:r>
      <w:r w:rsidR="00F06F9B" w:rsidRPr="009569B4">
        <w:rPr>
          <w:lang w:val="en-AU"/>
        </w:rPr>
        <w:fldChar w:fldCharType="end"/>
      </w:r>
      <w:r w:rsidR="00F06F9B" w:rsidRPr="009569B4">
        <w:rPr>
          <w:lang w:val="en-AU"/>
        </w:rPr>
        <w:t>: Distribution of Queensland Tick Typhus</w:t>
      </w:r>
      <w:r w:rsidR="00F06F9B" w:rsidRPr="00A94846">
        <w:rPr>
          <w:rStyle w:val="FootnoteReference"/>
        </w:rPr>
        <w:footnoteReference w:id="102"/>
      </w:r>
      <w:bookmarkEnd w:id="58"/>
    </w:p>
    <w:p w14:paraId="4094F644" w14:textId="77777777" w:rsidR="00172798" w:rsidRPr="00661245" w:rsidRDefault="00172798" w:rsidP="0031746A">
      <w:pPr>
        <w:pStyle w:val="BodyText"/>
        <w:rPr>
          <w:lang w:val="en-AU"/>
        </w:rPr>
      </w:pPr>
    </w:p>
    <w:p w14:paraId="2DB86698" w14:textId="77777777" w:rsidR="0031746A" w:rsidRPr="00661245" w:rsidRDefault="0031746A" w:rsidP="0031746A">
      <w:pPr>
        <w:pStyle w:val="BodyText"/>
        <w:rPr>
          <w:lang w:val="en-AU"/>
        </w:rPr>
      </w:pPr>
      <w:r w:rsidRPr="00CF74AD">
        <w:rPr>
          <w:lang w:val="en-AU"/>
        </w:rPr>
        <w:t xml:space="preserve">Infection by </w:t>
      </w:r>
      <w:r w:rsidRPr="00CF74AD">
        <w:rPr>
          <w:i/>
          <w:iCs/>
          <w:lang w:val="en-AU"/>
        </w:rPr>
        <w:t xml:space="preserve">R. australis </w:t>
      </w:r>
      <w:r w:rsidRPr="00CF74AD">
        <w:rPr>
          <w:lang w:val="en-AU"/>
        </w:rPr>
        <w:t>may occur throughout the year in immunocompetent people of all ages and ethnicities although 80</w:t>
      </w:r>
      <w:r w:rsidR="001D6365" w:rsidRPr="00CF74AD">
        <w:rPr>
          <w:lang w:val="en-AU"/>
        </w:rPr>
        <w:t xml:space="preserve"> </w:t>
      </w:r>
      <w:r w:rsidR="00CF74AD">
        <w:rPr>
          <w:lang w:val="en-AU"/>
        </w:rPr>
        <w:t>per cent</w:t>
      </w:r>
      <w:r w:rsidRPr="00CF74AD">
        <w:rPr>
          <w:lang w:val="en-AU"/>
        </w:rPr>
        <w:t xml:space="preserve"> of documented cases have occurred in winter and spring (June to November) coinciding with increased tick densities in these months</w:t>
      </w:r>
      <w:r w:rsidR="00076A8D">
        <w:rPr>
          <w:lang w:val="en-AU"/>
        </w:rPr>
        <w:t>.</w:t>
      </w:r>
      <w:r w:rsidRPr="00A94846">
        <w:rPr>
          <w:rStyle w:val="FootnoteReference"/>
        </w:rPr>
        <w:footnoteReference w:id="103"/>
      </w:r>
      <w:r w:rsidR="00CD1135" w:rsidRPr="00661245">
        <w:rPr>
          <w:lang w:val="en-AU"/>
        </w:rPr>
        <w:t xml:space="preserve"> </w:t>
      </w:r>
    </w:p>
    <w:p w14:paraId="1644B189" w14:textId="77777777" w:rsidR="00FC7970" w:rsidRPr="00CF74AD" w:rsidRDefault="008F2B03" w:rsidP="00764230">
      <w:pPr>
        <w:pStyle w:val="BodyText"/>
        <w:rPr>
          <w:b/>
          <w:bCs/>
          <w:i/>
          <w:iCs/>
          <w:lang w:val="en-AU"/>
        </w:rPr>
      </w:pPr>
      <w:r w:rsidRPr="00CF74AD">
        <w:rPr>
          <w:b/>
          <w:bCs/>
          <w:i/>
          <w:iCs/>
          <w:lang w:val="en-AU"/>
        </w:rPr>
        <w:t xml:space="preserve">Clinical </w:t>
      </w:r>
      <w:r w:rsidR="00EF1B59" w:rsidRPr="00CF74AD">
        <w:rPr>
          <w:b/>
          <w:bCs/>
          <w:i/>
          <w:iCs/>
          <w:lang w:val="en-AU"/>
        </w:rPr>
        <w:t>signs and symptoms</w:t>
      </w:r>
    </w:p>
    <w:p w14:paraId="645B7FDA" w14:textId="77777777" w:rsidR="00DE22C9" w:rsidRPr="00661245" w:rsidRDefault="00DE22C9" w:rsidP="00DE22C9">
      <w:pPr>
        <w:pStyle w:val="BodyText"/>
        <w:rPr>
          <w:lang w:val="en-AU"/>
        </w:rPr>
      </w:pPr>
      <w:r w:rsidRPr="00CF74AD">
        <w:rPr>
          <w:lang w:val="en-AU"/>
        </w:rPr>
        <w:t>In symptomatic infections, QTT is often a mild condition involving fever, headache, malaise, myalgia, a rash, eschar and enlarged lymph nodes</w:t>
      </w:r>
      <w:r w:rsidR="00076A8D">
        <w:rPr>
          <w:lang w:val="en-AU"/>
        </w:rPr>
        <w:t>.</w:t>
      </w:r>
      <w:r w:rsidRPr="00A94846">
        <w:rPr>
          <w:rStyle w:val="FootnoteReference"/>
        </w:rPr>
        <w:footnoteReference w:id="104"/>
      </w:r>
      <w:r w:rsidRPr="00661245">
        <w:rPr>
          <w:vertAlign w:val="superscript"/>
          <w:lang w:val="en-AU"/>
        </w:rPr>
        <w:t>,</w:t>
      </w:r>
      <w:r w:rsidR="00076A8D">
        <w:rPr>
          <w:vertAlign w:val="superscript"/>
          <w:lang w:val="en-AU"/>
        </w:rPr>
        <w:t xml:space="preserve"> </w:t>
      </w:r>
      <w:r w:rsidRPr="00A94846">
        <w:rPr>
          <w:rStyle w:val="FootnoteReference"/>
        </w:rPr>
        <w:footnoteReference w:id="105"/>
      </w:r>
      <w:r w:rsidRPr="00661245">
        <w:rPr>
          <w:vertAlign w:val="superscript"/>
          <w:lang w:val="en-AU"/>
        </w:rPr>
        <w:t>,</w:t>
      </w:r>
      <w:r w:rsidR="00076A8D">
        <w:rPr>
          <w:vertAlign w:val="superscript"/>
          <w:lang w:val="en-AU"/>
        </w:rPr>
        <w:t xml:space="preserve"> </w:t>
      </w:r>
      <w:r w:rsidRPr="00A94846">
        <w:rPr>
          <w:rStyle w:val="FootnoteReference"/>
        </w:rPr>
        <w:footnoteReference w:id="106"/>
      </w:r>
      <w:r w:rsidR="00F423EB" w:rsidRPr="00661245">
        <w:rPr>
          <w:lang w:val="en-AU"/>
        </w:rPr>
        <w:t xml:space="preserve"> </w:t>
      </w:r>
      <w:r w:rsidRPr="00CF74AD">
        <w:rPr>
          <w:lang w:val="en-AU"/>
        </w:rPr>
        <w:t>QTT may</w:t>
      </w:r>
      <w:r w:rsidR="006F7862" w:rsidRPr="00CF74AD">
        <w:rPr>
          <w:lang w:val="en-AU"/>
        </w:rPr>
        <w:t>, however,</w:t>
      </w:r>
      <w:r w:rsidRPr="00CF74AD">
        <w:rPr>
          <w:lang w:val="en-AU"/>
        </w:rPr>
        <w:t xml:space="preserve"> be severe or fatal and may have unusual features</w:t>
      </w:r>
      <w:r w:rsidR="001D6365" w:rsidRPr="00CF74AD">
        <w:rPr>
          <w:lang w:val="en-AU"/>
        </w:rPr>
        <w:t>.</w:t>
      </w:r>
      <w:r w:rsidRPr="00A94846">
        <w:rPr>
          <w:rStyle w:val="FootnoteReference"/>
        </w:rPr>
        <w:footnoteReference w:id="107"/>
      </w:r>
      <w:r w:rsidRPr="00661245">
        <w:rPr>
          <w:lang w:val="en-AU"/>
        </w:rPr>
        <w:t xml:space="preserve"> Less common manifestations of QTT include arthralgia, splenomegaly, abdominal pain, dry cough, sore throat</w:t>
      </w:r>
      <w:r w:rsidR="0048347E">
        <w:rPr>
          <w:lang w:val="en-AU"/>
        </w:rPr>
        <w:t>,</w:t>
      </w:r>
      <w:r w:rsidRPr="00661245">
        <w:rPr>
          <w:lang w:val="en-AU"/>
        </w:rPr>
        <w:t xml:space="preserve"> conjunctivitis and photophobia</w:t>
      </w:r>
      <w:r w:rsidR="001D6365" w:rsidRPr="00661245">
        <w:rPr>
          <w:lang w:val="en-AU"/>
        </w:rPr>
        <w:t>.</w:t>
      </w:r>
      <w:r w:rsidRPr="00A94846">
        <w:rPr>
          <w:rStyle w:val="FootnoteReference"/>
        </w:rPr>
        <w:footnoteReference w:id="108"/>
      </w:r>
      <w:r w:rsidRPr="00661245">
        <w:rPr>
          <w:lang w:val="en-AU"/>
        </w:rPr>
        <w:t xml:space="preserve"> While QT</w:t>
      </w:r>
      <w:r w:rsidR="00936269" w:rsidRPr="00CF74AD">
        <w:rPr>
          <w:lang w:val="en-AU"/>
        </w:rPr>
        <w:t xml:space="preserve">T </w:t>
      </w:r>
      <w:r w:rsidRPr="00CF74AD">
        <w:rPr>
          <w:lang w:val="en-AU"/>
        </w:rPr>
        <w:t xml:space="preserve">is not known to directly affect the central nervous system, there have been reports of </w:t>
      </w:r>
      <w:r w:rsidRPr="00CF74AD">
        <w:rPr>
          <w:lang w:val="en-AU"/>
        </w:rPr>
        <w:lastRenderedPageBreak/>
        <w:t>confusion, seizures and hallucinations as a prominent feature of this disease</w:t>
      </w:r>
      <w:r w:rsidR="00696478">
        <w:rPr>
          <w:lang w:val="en-AU"/>
        </w:rPr>
        <w:t>.</w:t>
      </w:r>
      <w:r w:rsidRPr="00A94846">
        <w:rPr>
          <w:rStyle w:val="FootnoteReference"/>
        </w:rPr>
        <w:footnoteReference w:id="109"/>
      </w:r>
      <w:r w:rsidR="00936269" w:rsidRPr="00661245">
        <w:rPr>
          <w:vertAlign w:val="superscript"/>
          <w:lang w:val="en-AU"/>
        </w:rPr>
        <w:t xml:space="preserve"> </w:t>
      </w:r>
      <w:r w:rsidRPr="00661245">
        <w:rPr>
          <w:lang w:val="en-AU"/>
        </w:rPr>
        <w:t>There are no known identified risk factors for developing severe disease or complications of QTT</w:t>
      </w:r>
      <w:r w:rsidR="001D6365" w:rsidRPr="00661245">
        <w:rPr>
          <w:lang w:val="en-AU"/>
        </w:rPr>
        <w:t>.</w:t>
      </w:r>
      <w:r w:rsidRPr="00A94846">
        <w:rPr>
          <w:rStyle w:val="FootnoteReference"/>
        </w:rPr>
        <w:footnoteReference w:id="110"/>
      </w:r>
      <w:r w:rsidRPr="00661245">
        <w:rPr>
          <w:lang w:val="en-AU"/>
        </w:rPr>
        <w:t xml:space="preserve"> </w:t>
      </w:r>
    </w:p>
    <w:p w14:paraId="2544B90C" w14:textId="77777777" w:rsidR="00DE22C9" w:rsidRPr="00661245" w:rsidRDefault="00DE22C9" w:rsidP="00DE22C9">
      <w:pPr>
        <w:pStyle w:val="BodyText"/>
        <w:rPr>
          <w:vertAlign w:val="superscript"/>
          <w:lang w:val="en-AU"/>
        </w:rPr>
      </w:pPr>
      <w:r w:rsidRPr="00CF74AD">
        <w:rPr>
          <w:i/>
          <w:iCs/>
          <w:lang w:val="en-AU"/>
        </w:rPr>
        <w:t>Fever:</w:t>
      </w:r>
      <w:r w:rsidRPr="00CF74AD">
        <w:rPr>
          <w:lang w:val="en-AU"/>
        </w:rPr>
        <w:t xml:space="preserve"> High grade fever of up to 41</w:t>
      </w:r>
      <w:r w:rsidR="00D621FF">
        <w:rPr>
          <w:lang w:val="en-AU"/>
        </w:rPr>
        <w:t> °C</w:t>
      </w:r>
      <w:r w:rsidRPr="00CF74AD">
        <w:rPr>
          <w:lang w:val="en-AU"/>
        </w:rPr>
        <w:t xml:space="preserve"> is observed in </w:t>
      </w:r>
      <w:r w:rsidR="002F6C91" w:rsidRPr="00CF74AD">
        <w:rPr>
          <w:lang w:val="en-AU"/>
        </w:rPr>
        <w:t xml:space="preserve">acute </w:t>
      </w:r>
      <w:r w:rsidRPr="00CF74AD">
        <w:rPr>
          <w:lang w:val="en-AU"/>
        </w:rPr>
        <w:t>cases</w:t>
      </w:r>
      <w:r w:rsidR="00936269" w:rsidRPr="00CF74AD">
        <w:rPr>
          <w:lang w:val="en-AU"/>
        </w:rPr>
        <w:t>. P</w:t>
      </w:r>
      <w:r w:rsidRPr="00CF74AD">
        <w:rPr>
          <w:lang w:val="en-AU"/>
        </w:rPr>
        <w:t>rolonged fever is associated with rickettsaemia, end organ dysfunction and intensive care admissions</w:t>
      </w:r>
      <w:r w:rsidR="00696478">
        <w:rPr>
          <w:lang w:val="en-AU"/>
        </w:rPr>
        <w:t>.</w:t>
      </w:r>
      <w:r w:rsidRPr="00A94846">
        <w:rPr>
          <w:rStyle w:val="FootnoteReference"/>
        </w:rPr>
        <w:footnoteReference w:id="111"/>
      </w:r>
      <w:r w:rsidRPr="00661245">
        <w:rPr>
          <w:lang w:val="en-AU"/>
        </w:rPr>
        <w:t xml:space="preserve"> </w:t>
      </w:r>
    </w:p>
    <w:p w14:paraId="587BB595" w14:textId="77777777" w:rsidR="00DE22C9" w:rsidRPr="00CF74AD" w:rsidRDefault="00DE22C9" w:rsidP="00DE22C9">
      <w:pPr>
        <w:pStyle w:val="BodyText"/>
        <w:rPr>
          <w:lang w:val="en-AU"/>
        </w:rPr>
      </w:pPr>
      <w:r w:rsidRPr="00CF74AD">
        <w:rPr>
          <w:i/>
          <w:iCs/>
          <w:lang w:val="en-AU"/>
        </w:rPr>
        <w:t>Rash:</w:t>
      </w:r>
      <w:r w:rsidRPr="00CF74AD">
        <w:rPr>
          <w:lang w:val="en-AU"/>
        </w:rPr>
        <w:t xml:space="preserve"> Rash morphology is variable, and can be macular, maculopapular, vesicular or pustular</w:t>
      </w:r>
      <w:r w:rsidR="00936269" w:rsidRPr="00CF74AD">
        <w:rPr>
          <w:lang w:val="en-AU"/>
        </w:rPr>
        <w:t>, with</w:t>
      </w:r>
      <w:r w:rsidRPr="00CF74AD">
        <w:rPr>
          <w:lang w:val="en-AU"/>
        </w:rPr>
        <w:t xml:space="preserve"> the latter two forms </w:t>
      </w:r>
      <w:r w:rsidR="00936269" w:rsidRPr="00CF74AD">
        <w:rPr>
          <w:lang w:val="en-AU"/>
        </w:rPr>
        <w:t>sometimes</w:t>
      </w:r>
      <w:r w:rsidRPr="00CF74AD">
        <w:rPr>
          <w:lang w:val="en-AU"/>
        </w:rPr>
        <w:t xml:space="preserve"> confused with acute varicella. Infrequently the rash is pruritic. The rash usually lasts for 10–12 days, can appear as early as 24 hours after a tick bite and typically follows a widespread, global eruption involving the trunk and limbs. EM at and around the </w:t>
      </w:r>
      <w:r w:rsidRPr="00CF74AD">
        <w:rPr>
          <w:i/>
          <w:iCs/>
          <w:lang w:val="en-AU"/>
        </w:rPr>
        <w:t xml:space="preserve">Ixodes </w:t>
      </w:r>
      <w:r w:rsidRPr="00CF29E7">
        <w:rPr>
          <w:lang w:val="en-AU"/>
        </w:rPr>
        <w:t>attachment site is not uncommon in QTT</w:t>
      </w:r>
      <w:r w:rsidR="00696478">
        <w:rPr>
          <w:lang w:val="en-AU"/>
        </w:rPr>
        <w:t>.</w:t>
      </w:r>
      <w:r w:rsidRPr="00A94846">
        <w:rPr>
          <w:rStyle w:val="FootnoteReference"/>
        </w:rPr>
        <w:footnoteReference w:id="112"/>
      </w:r>
      <w:r w:rsidRPr="00661245">
        <w:rPr>
          <w:lang w:val="en-AU"/>
        </w:rPr>
        <w:t xml:space="preserve"> Of note</w:t>
      </w:r>
      <w:r w:rsidR="00A432BD">
        <w:rPr>
          <w:lang w:val="en-AU"/>
        </w:rPr>
        <w:t>, EM is observed in other tick-</w:t>
      </w:r>
      <w:r w:rsidRPr="00661245">
        <w:rPr>
          <w:lang w:val="en-AU"/>
        </w:rPr>
        <w:t xml:space="preserve">borne illnesses such as </w:t>
      </w:r>
      <w:r w:rsidRPr="00661245">
        <w:rPr>
          <w:i/>
          <w:iCs/>
          <w:lang w:val="en-AU"/>
        </w:rPr>
        <w:t xml:space="preserve">Rickettsia </w:t>
      </w:r>
      <w:r w:rsidRPr="00CF74AD">
        <w:rPr>
          <w:lang w:val="en-AU"/>
        </w:rPr>
        <w:t>and</w:t>
      </w:r>
      <w:r w:rsidRPr="00CF74AD">
        <w:rPr>
          <w:i/>
          <w:iCs/>
          <w:lang w:val="en-AU"/>
        </w:rPr>
        <w:t xml:space="preserve"> Borrelia </w:t>
      </w:r>
      <w:r w:rsidRPr="00CF74AD">
        <w:rPr>
          <w:lang w:val="en-AU"/>
        </w:rPr>
        <w:t>spp. including Lyme disease</w:t>
      </w:r>
      <w:r w:rsidR="001D6365" w:rsidRPr="00CF74AD">
        <w:rPr>
          <w:lang w:val="en-AU"/>
        </w:rPr>
        <w:t>,</w:t>
      </w:r>
      <w:r w:rsidRPr="00A94846">
        <w:rPr>
          <w:rStyle w:val="FootnoteReference"/>
        </w:rPr>
        <w:footnoteReference w:id="113"/>
      </w:r>
      <w:r w:rsidR="00F86078" w:rsidRPr="00661245">
        <w:rPr>
          <w:lang w:val="en-AU"/>
        </w:rPr>
        <w:t xml:space="preserve"> hence the recommendation to seek </w:t>
      </w:r>
      <w:r w:rsidR="00A110BD" w:rsidRPr="00CF74AD">
        <w:rPr>
          <w:lang w:val="en-AU"/>
        </w:rPr>
        <w:t xml:space="preserve">advice from appropriate experts in </w:t>
      </w:r>
      <w:r w:rsidR="00825E7B" w:rsidRPr="00CF74AD">
        <w:rPr>
          <w:lang w:val="en-AU"/>
        </w:rPr>
        <w:t xml:space="preserve">vector-borne diseases. </w:t>
      </w:r>
    </w:p>
    <w:p w14:paraId="1CF20620" w14:textId="77777777" w:rsidR="00DE22C9" w:rsidRPr="00661245" w:rsidRDefault="00DE22C9" w:rsidP="00DE22C9">
      <w:pPr>
        <w:pStyle w:val="BodyText"/>
        <w:rPr>
          <w:lang w:val="en-AU"/>
        </w:rPr>
      </w:pPr>
      <w:r w:rsidRPr="00CF74AD">
        <w:rPr>
          <w:lang w:val="en-AU"/>
        </w:rPr>
        <w:t>In approximately 50–65</w:t>
      </w:r>
      <w:r w:rsidR="001D6365" w:rsidRPr="00CF74AD">
        <w:rPr>
          <w:lang w:val="en-AU"/>
        </w:rPr>
        <w:t xml:space="preserve"> </w:t>
      </w:r>
      <w:r w:rsidR="00CF74AD">
        <w:rPr>
          <w:lang w:val="en-AU"/>
        </w:rPr>
        <w:t>per cent</w:t>
      </w:r>
      <w:r w:rsidRPr="00CF74AD">
        <w:rPr>
          <w:lang w:val="en-AU"/>
        </w:rPr>
        <w:t xml:space="preserve"> of </w:t>
      </w:r>
      <w:r w:rsidRPr="00CF74AD">
        <w:rPr>
          <w:i/>
          <w:iCs/>
          <w:lang w:val="en-AU"/>
        </w:rPr>
        <w:t xml:space="preserve">R. australis </w:t>
      </w:r>
      <w:r w:rsidRPr="00CF74AD">
        <w:rPr>
          <w:lang w:val="en-AU"/>
        </w:rPr>
        <w:t>infections, an eschar is seen, with the detection of an eschar being diagnostically valuable</w:t>
      </w:r>
      <w:r w:rsidR="001435BD" w:rsidRPr="00CF29E7">
        <w:rPr>
          <w:lang w:val="en-AU"/>
        </w:rPr>
        <w:t>.</w:t>
      </w:r>
      <w:r w:rsidRPr="00D621FF">
        <w:rPr>
          <w:lang w:val="en-AU"/>
        </w:rPr>
        <w:t xml:space="preserve"> </w:t>
      </w:r>
      <w:r w:rsidR="001435BD" w:rsidRPr="00D621FF">
        <w:rPr>
          <w:lang w:val="en-AU"/>
        </w:rPr>
        <w:t>I</w:t>
      </w:r>
      <w:r w:rsidRPr="00D621FF">
        <w:rPr>
          <w:lang w:val="en-AU"/>
        </w:rPr>
        <w:t>t is</w:t>
      </w:r>
      <w:r w:rsidR="001435BD" w:rsidRPr="00D621FF">
        <w:rPr>
          <w:lang w:val="en-AU"/>
        </w:rPr>
        <w:t>, however,</w:t>
      </w:r>
      <w:r w:rsidRPr="00D621FF">
        <w:rPr>
          <w:lang w:val="en-AU"/>
        </w:rPr>
        <w:t xml:space="preserve"> often difficult to find as it can occur in sites that can be missed on examination such as in the axilla or groin. Tender lymphadenopathy, usually localised to the region draining the tick bite or eschar occurs in approximately 70 </w:t>
      </w:r>
      <w:r w:rsidR="00CF74AD">
        <w:rPr>
          <w:lang w:val="en-AU"/>
        </w:rPr>
        <w:t>per cent</w:t>
      </w:r>
      <w:r w:rsidRPr="00CF74AD">
        <w:rPr>
          <w:lang w:val="en-AU"/>
        </w:rPr>
        <w:t xml:space="preserve"> of patients</w:t>
      </w:r>
      <w:r w:rsidR="00696478">
        <w:rPr>
          <w:lang w:val="en-AU"/>
        </w:rPr>
        <w:t>.</w:t>
      </w:r>
      <w:r w:rsidRPr="00A94846">
        <w:rPr>
          <w:rStyle w:val="FootnoteReference"/>
        </w:rPr>
        <w:footnoteReference w:id="114"/>
      </w:r>
      <w:r w:rsidR="00807B85" w:rsidRPr="00661245">
        <w:rPr>
          <w:lang w:val="en-AU"/>
        </w:rPr>
        <w:t xml:space="preserve"> </w:t>
      </w:r>
    </w:p>
    <w:p w14:paraId="0BE1A9CF" w14:textId="77777777" w:rsidR="00807B85" w:rsidRPr="00661245" w:rsidRDefault="005551F6" w:rsidP="00DE22C9">
      <w:pPr>
        <w:pStyle w:val="BodyText"/>
        <w:rPr>
          <w:lang w:val="en-AU"/>
        </w:rPr>
      </w:pPr>
      <w:r w:rsidRPr="00CF74AD">
        <w:rPr>
          <w:lang w:val="en-AU"/>
        </w:rPr>
        <w:t>The clinical presentation of a c</w:t>
      </w:r>
      <w:r w:rsidR="00697A82" w:rsidRPr="00CF74AD">
        <w:rPr>
          <w:lang w:val="en-AU"/>
        </w:rPr>
        <w:t xml:space="preserve">ase of QTT in rural Queensland </w:t>
      </w:r>
      <w:r w:rsidR="00EE1305" w:rsidRPr="00CF74AD">
        <w:rPr>
          <w:lang w:val="en-AU"/>
        </w:rPr>
        <w:t xml:space="preserve">published by </w:t>
      </w:r>
      <w:r w:rsidR="00B10F70">
        <w:rPr>
          <w:lang w:val="en-AU"/>
        </w:rPr>
        <w:t>Royal Australian Coll</w:t>
      </w:r>
      <w:r w:rsidR="00ED3C5B">
        <w:rPr>
          <w:lang w:val="en-AU"/>
        </w:rPr>
        <w:t>e</w:t>
      </w:r>
      <w:r w:rsidR="00B10F70">
        <w:rPr>
          <w:lang w:val="en-AU"/>
        </w:rPr>
        <w:t>ge of General Practitioners (</w:t>
      </w:r>
      <w:r w:rsidR="00F371D7" w:rsidRPr="00CF74AD">
        <w:rPr>
          <w:lang w:val="en-AU"/>
        </w:rPr>
        <w:t>RACGP</w:t>
      </w:r>
      <w:r w:rsidR="00B10F70">
        <w:rPr>
          <w:lang w:val="en-AU"/>
        </w:rPr>
        <w:t>)</w:t>
      </w:r>
      <w:r w:rsidR="00F371D7" w:rsidRPr="00CF74AD">
        <w:rPr>
          <w:lang w:val="en-AU"/>
        </w:rPr>
        <w:t xml:space="preserve"> </w:t>
      </w:r>
      <w:r w:rsidR="00EE1305" w:rsidRPr="00CF74AD">
        <w:rPr>
          <w:lang w:val="en-AU"/>
        </w:rPr>
        <w:t xml:space="preserve">provides </w:t>
      </w:r>
      <w:r w:rsidR="00961EEA" w:rsidRPr="00CF74AD">
        <w:rPr>
          <w:lang w:val="en-AU"/>
        </w:rPr>
        <w:t>advice to support GPs</w:t>
      </w:r>
      <w:r w:rsidR="00696478">
        <w:rPr>
          <w:lang w:val="en-AU"/>
        </w:rPr>
        <w:t>.</w:t>
      </w:r>
      <w:r w:rsidR="00961EEA" w:rsidRPr="00A94846">
        <w:rPr>
          <w:rStyle w:val="FootnoteReference"/>
        </w:rPr>
        <w:footnoteReference w:id="115"/>
      </w:r>
    </w:p>
    <w:p w14:paraId="6B3C15CE" w14:textId="77777777" w:rsidR="00DE22C9" w:rsidRPr="00661245" w:rsidRDefault="00DE22C9" w:rsidP="00DE22C9">
      <w:pPr>
        <w:pStyle w:val="BodyText"/>
        <w:rPr>
          <w:lang w:val="en-AU"/>
        </w:rPr>
      </w:pPr>
      <w:r w:rsidRPr="00CF74AD">
        <w:rPr>
          <w:lang w:val="en-AU"/>
        </w:rPr>
        <w:t xml:space="preserve">While post-infection fatigue, a well-known consequence of several infections including Ross River virus, Q fever and Epstein-Barr virus, is not yet widely recognised as a problem following </w:t>
      </w:r>
      <w:r w:rsidR="00DB1A6E" w:rsidRPr="00CF74AD">
        <w:rPr>
          <w:lang w:val="en-AU"/>
        </w:rPr>
        <w:t>Rickettsial</w:t>
      </w:r>
      <w:r w:rsidRPr="00CF74AD">
        <w:rPr>
          <w:lang w:val="en-AU"/>
        </w:rPr>
        <w:t xml:space="preserve"> infection, it has been suggested by a study involving two large cohorts of fatigued and non-fatigued patients and a case report</w:t>
      </w:r>
      <w:r w:rsidR="00CA65E1" w:rsidRPr="00CF74AD">
        <w:rPr>
          <w:lang w:val="en-AU"/>
        </w:rPr>
        <w:t>.</w:t>
      </w:r>
      <w:r w:rsidRPr="00A94846">
        <w:rPr>
          <w:rStyle w:val="FootnoteReference"/>
        </w:rPr>
        <w:footnoteReference w:id="116"/>
      </w:r>
      <w:r w:rsidRPr="00661245">
        <w:rPr>
          <w:lang w:val="en-AU"/>
        </w:rPr>
        <w:t xml:space="preserve"> </w:t>
      </w:r>
    </w:p>
    <w:p w14:paraId="7B1D7518" w14:textId="77777777" w:rsidR="00DB21B1" w:rsidRPr="00FA6D54" w:rsidRDefault="00DB21B1" w:rsidP="002B4176">
      <w:pPr>
        <w:pStyle w:val="NumberedHeading3"/>
        <w:spacing w:line="240" w:lineRule="auto"/>
        <w:rPr>
          <w:lang w:val="en-AU"/>
        </w:rPr>
      </w:pPr>
      <w:bookmarkStart w:id="59" w:name="_Toc55464782"/>
      <w:r w:rsidRPr="00CF74AD">
        <w:rPr>
          <w:lang w:val="en-AU"/>
        </w:rPr>
        <w:t>If QTT suspected</w:t>
      </w:r>
      <w:r w:rsidR="00242A06" w:rsidRPr="00CF74AD">
        <w:rPr>
          <w:lang w:val="en-AU"/>
        </w:rPr>
        <w:t xml:space="preserve">, </w:t>
      </w:r>
      <w:r w:rsidR="00EB1482" w:rsidRPr="00CF74AD">
        <w:rPr>
          <w:lang w:val="en-AU"/>
        </w:rPr>
        <w:t>following advice from appropriate experts</w:t>
      </w:r>
      <w:r w:rsidR="006F7E5F" w:rsidRPr="00CF74AD">
        <w:rPr>
          <w:lang w:val="en-AU"/>
        </w:rPr>
        <w:t xml:space="preserve">, start </w:t>
      </w:r>
      <w:r w:rsidR="00F56470" w:rsidRPr="00CF74AD">
        <w:rPr>
          <w:lang w:val="en-AU"/>
        </w:rPr>
        <w:t xml:space="preserve">antibiotic therapy </w:t>
      </w:r>
      <w:r w:rsidR="00313FAF" w:rsidRPr="00CF74AD">
        <w:rPr>
          <w:lang w:val="en-AU"/>
        </w:rPr>
        <w:t xml:space="preserve">(see </w:t>
      </w:r>
      <w:r w:rsidR="00F56470" w:rsidRPr="00CF74AD">
        <w:rPr>
          <w:i/>
          <w:iCs/>
          <w:lang w:val="en-AU"/>
        </w:rPr>
        <w:t>Therapeut</w:t>
      </w:r>
      <w:r w:rsidR="00313FAF" w:rsidRPr="00CF74AD">
        <w:rPr>
          <w:i/>
          <w:iCs/>
          <w:lang w:val="en-AU"/>
        </w:rPr>
        <w:t>i</w:t>
      </w:r>
      <w:r w:rsidR="00F56470" w:rsidRPr="00CF29E7">
        <w:rPr>
          <w:i/>
          <w:iCs/>
          <w:lang w:val="en-AU"/>
        </w:rPr>
        <w:t xml:space="preserve">c </w:t>
      </w:r>
      <w:r w:rsidR="00313FAF" w:rsidRPr="00D621FF">
        <w:rPr>
          <w:i/>
          <w:iCs/>
          <w:lang w:val="en-AU"/>
        </w:rPr>
        <w:t>G</w:t>
      </w:r>
      <w:r w:rsidR="00F56470" w:rsidRPr="00D621FF">
        <w:rPr>
          <w:i/>
          <w:iCs/>
          <w:lang w:val="en-AU"/>
        </w:rPr>
        <w:t>uidelines</w:t>
      </w:r>
      <w:r w:rsidR="00257BD2">
        <w:rPr>
          <w:i/>
          <w:iCs/>
          <w:lang w:val="en-AU"/>
        </w:rPr>
        <w:t>:</w:t>
      </w:r>
      <w:r w:rsidR="00C27B9C" w:rsidRPr="00D621FF">
        <w:rPr>
          <w:lang w:val="en-AU"/>
        </w:rPr>
        <w:t xml:space="preserve"> </w:t>
      </w:r>
      <w:r w:rsidR="00257BD2">
        <w:rPr>
          <w:i/>
          <w:iCs/>
          <w:lang w:val="en-AU"/>
        </w:rPr>
        <w:t>A</w:t>
      </w:r>
      <w:r w:rsidR="00C27B9C" w:rsidRPr="00D621FF">
        <w:rPr>
          <w:i/>
          <w:iCs/>
          <w:lang w:val="en-AU"/>
        </w:rPr>
        <w:t>ntibiotic</w:t>
      </w:r>
      <w:r w:rsidR="00313FAF" w:rsidRPr="00D621FF">
        <w:rPr>
          <w:lang w:val="en-AU"/>
        </w:rPr>
        <w:t>)</w:t>
      </w:r>
      <w:bookmarkEnd w:id="59"/>
    </w:p>
    <w:p w14:paraId="34222443" w14:textId="77777777" w:rsidR="004E0FB8" w:rsidRDefault="004E0FB8" w:rsidP="004E0FB8">
      <w:pPr>
        <w:pStyle w:val="Body"/>
        <w:rPr>
          <w:lang w:val="en-AU"/>
        </w:rPr>
      </w:pPr>
      <w:r w:rsidRPr="00F2704A">
        <w:rPr>
          <w:lang w:val="en-AU"/>
        </w:rPr>
        <w:t xml:space="preserve">Early recognition and treatment is important in QTT. </w:t>
      </w:r>
      <w:r w:rsidR="002D6DD1" w:rsidRPr="00F2704A">
        <w:rPr>
          <w:lang w:val="en-AU"/>
        </w:rPr>
        <w:t xml:space="preserve">Early initiation </w:t>
      </w:r>
      <w:r w:rsidR="003A2239" w:rsidRPr="00F2704A">
        <w:rPr>
          <w:lang w:val="en-AU"/>
        </w:rPr>
        <w:t xml:space="preserve">of </w:t>
      </w:r>
      <w:r w:rsidR="00FC4B5D" w:rsidRPr="00F2704A">
        <w:rPr>
          <w:lang w:val="en-AU"/>
        </w:rPr>
        <w:t xml:space="preserve">doxycycline is </w:t>
      </w:r>
      <w:r w:rsidR="005D0546" w:rsidRPr="00F2704A">
        <w:rPr>
          <w:lang w:val="en-AU"/>
        </w:rPr>
        <w:t xml:space="preserve">critical as a delay in appropriate antimicrobial therapy is associated with increased likelihood of </w:t>
      </w:r>
      <w:r w:rsidR="007B3E4B" w:rsidRPr="00F2704A">
        <w:rPr>
          <w:lang w:val="en-AU"/>
        </w:rPr>
        <w:t>progression to severe disease and complication</w:t>
      </w:r>
      <w:r w:rsidR="00DC578B" w:rsidRPr="00F2704A">
        <w:rPr>
          <w:lang w:val="en-AU"/>
        </w:rPr>
        <w:t>s</w:t>
      </w:r>
      <w:r w:rsidR="00696478">
        <w:rPr>
          <w:lang w:val="en-AU"/>
        </w:rPr>
        <w:t>.</w:t>
      </w:r>
      <w:r w:rsidR="0070170E" w:rsidRPr="00A94846">
        <w:rPr>
          <w:rStyle w:val="FootnoteReference"/>
        </w:rPr>
        <w:footnoteReference w:id="117"/>
      </w:r>
      <w:r w:rsidR="007B3E4B" w:rsidRPr="00661245">
        <w:rPr>
          <w:lang w:val="en-AU"/>
        </w:rPr>
        <w:t xml:space="preserve"> </w:t>
      </w:r>
      <w:r w:rsidR="00F52D0F" w:rsidRPr="00661245">
        <w:rPr>
          <w:lang w:val="en-AU"/>
        </w:rPr>
        <w:t xml:space="preserve">Patients usually show marked clinical improvement </w:t>
      </w:r>
      <w:r w:rsidR="00B841A6" w:rsidRPr="00CF74AD">
        <w:rPr>
          <w:lang w:val="en-AU"/>
        </w:rPr>
        <w:t>after 48 hours of star</w:t>
      </w:r>
      <w:r w:rsidR="00655FC9" w:rsidRPr="00CF74AD">
        <w:rPr>
          <w:lang w:val="en-AU"/>
        </w:rPr>
        <w:t>t</w:t>
      </w:r>
      <w:r w:rsidR="00B841A6" w:rsidRPr="00CF74AD">
        <w:rPr>
          <w:lang w:val="en-AU"/>
        </w:rPr>
        <w:t>ing antimicrobial therapy</w:t>
      </w:r>
      <w:r w:rsidR="008564ED">
        <w:rPr>
          <w:lang w:val="en-AU"/>
        </w:rPr>
        <w:t>.</w:t>
      </w:r>
      <w:r w:rsidR="003866D8" w:rsidRPr="00A94846">
        <w:rPr>
          <w:rStyle w:val="FootnoteReference"/>
        </w:rPr>
        <w:footnoteReference w:id="118"/>
      </w:r>
      <w:r w:rsidR="00B841A6" w:rsidRPr="00661245">
        <w:rPr>
          <w:lang w:val="en-AU"/>
        </w:rPr>
        <w:t xml:space="preserve"> </w:t>
      </w:r>
      <w:r w:rsidR="007B3E4B" w:rsidRPr="00661245">
        <w:rPr>
          <w:lang w:val="en-AU"/>
        </w:rPr>
        <w:t xml:space="preserve">See </w:t>
      </w:r>
      <w:hyperlink w:anchor="Section_62" w:history="1">
        <w:r w:rsidR="009E2790" w:rsidRPr="00512000">
          <w:rPr>
            <w:rStyle w:val="Hyperlink"/>
            <w:lang w:val="en-AU"/>
          </w:rPr>
          <w:t>S</w:t>
        </w:r>
        <w:r w:rsidR="002A5E7C" w:rsidRPr="00512000">
          <w:rPr>
            <w:rStyle w:val="Hyperlink"/>
            <w:lang w:val="en-AU"/>
          </w:rPr>
          <w:t>ection 6.2</w:t>
        </w:r>
      </w:hyperlink>
      <w:r w:rsidR="002A5E7C" w:rsidRPr="00CF74AD">
        <w:rPr>
          <w:lang w:val="en-AU"/>
        </w:rPr>
        <w:t xml:space="preserve"> for further detail on initial management</w:t>
      </w:r>
      <w:r w:rsidR="0070170E" w:rsidRPr="00CF74AD">
        <w:rPr>
          <w:lang w:val="en-AU"/>
        </w:rPr>
        <w:t>.</w:t>
      </w:r>
    </w:p>
    <w:p w14:paraId="1CD5F2A3" w14:textId="77777777" w:rsidR="00C775A1" w:rsidRDefault="00C775A1" w:rsidP="004E0FB8">
      <w:pPr>
        <w:pStyle w:val="Body"/>
        <w:rPr>
          <w:lang w:val="en-AU"/>
        </w:rPr>
      </w:pPr>
      <w:r>
        <w:rPr>
          <w:lang w:val="en-AU"/>
        </w:rPr>
        <w:br w:type="page"/>
      </w:r>
    </w:p>
    <w:p w14:paraId="56CA17F4" w14:textId="77777777" w:rsidR="00DE22C9" w:rsidRPr="00D621FF" w:rsidRDefault="00DE22C9" w:rsidP="00866E67">
      <w:pPr>
        <w:pStyle w:val="NumberedHeading3"/>
        <w:rPr>
          <w:lang w:val="en-AU"/>
        </w:rPr>
      </w:pPr>
      <w:bookmarkStart w:id="60" w:name="_Toc20063234"/>
      <w:bookmarkStart w:id="61" w:name="_Toc20063426"/>
      <w:bookmarkStart w:id="62" w:name="_Toc20086251"/>
      <w:bookmarkStart w:id="63" w:name="_Toc20137578"/>
      <w:bookmarkStart w:id="64" w:name="_Toc20221076"/>
      <w:bookmarkStart w:id="65" w:name="_Toc55464783"/>
      <w:r w:rsidRPr="00CF74AD">
        <w:rPr>
          <w:lang w:val="en-AU"/>
        </w:rPr>
        <w:lastRenderedPageBreak/>
        <w:t xml:space="preserve">Australian </w:t>
      </w:r>
      <w:r w:rsidR="00EF246E" w:rsidRPr="00CF74AD">
        <w:rPr>
          <w:lang w:val="en-AU"/>
        </w:rPr>
        <w:t>S</w:t>
      </w:r>
      <w:r w:rsidRPr="00CF74AD">
        <w:rPr>
          <w:lang w:val="en-AU"/>
        </w:rPr>
        <w:t xml:space="preserve">potted </w:t>
      </w:r>
      <w:r w:rsidR="00EF246E" w:rsidRPr="00CF74AD">
        <w:rPr>
          <w:lang w:val="en-AU"/>
        </w:rPr>
        <w:t>F</w:t>
      </w:r>
      <w:r w:rsidRPr="00CF74AD">
        <w:rPr>
          <w:lang w:val="en-AU"/>
        </w:rPr>
        <w:t>ever</w:t>
      </w:r>
      <w:bookmarkEnd w:id="60"/>
      <w:bookmarkEnd w:id="61"/>
      <w:bookmarkEnd w:id="62"/>
      <w:bookmarkEnd w:id="63"/>
      <w:bookmarkEnd w:id="64"/>
      <w:r w:rsidR="00EF246E" w:rsidRPr="00CF29E7">
        <w:rPr>
          <w:lang w:val="en-AU"/>
        </w:rPr>
        <w:t xml:space="preserve"> (ASF)</w:t>
      </w:r>
      <w:bookmarkEnd w:id="65"/>
    </w:p>
    <w:p w14:paraId="2205C316" w14:textId="77777777" w:rsidR="00BC15ED" w:rsidRPr="00FA6D54" w:rsidRDefault="00BC15ED" w:rsidP="00866E67">
      <w:pPr>
        <w:pStyle w:val="BodyText"/>
        <w:rPr>
          <w:b/>
          <w:bCs/>
          <w:i/>
          <w:iCs/>
          <w:lang w:val="en-AU"/>
        </w:rPr>
      </w:pPr>
      <w:r w:rsidRPr="00D621FF">
        <w:rPr>
          <w:b/>
          <w:bCs/>
          <w:i/>
          <w:iCs/>
          <w:lang w:val="en-AU"/>
        </w:rPr>
        <w:t>Geographical dis</w:t>
      </w:r>
      <w:r w:rsidR="00305533" w:rsidRPr="00D621FF">
        <w:rPr>
          <w:b/>
          <w:bCs/>
          <w:i/>
          <w:iCs/>
          <w:lang w:val="en-AU"/>
        </w:rPr>
        <w:t xml:space="preserve">tribution </w:t>
      </w:r>
    </w:p>
    <w:p w14:paraId="5219D57E" w14:textId="77777777" w:rsidR="00866E67" w:rsidRPr="00661245" w:rsidRDefault="003901C2" w:rsidP="00866E67">
      <w:pPr>
        <w:pStyle w:val="BodyText"/>
        <w:rPr>
          <w:lang w:val="en-AU"/>
        </w:rPr>
      </w:pPr>
      <w:r>
        <w:rPr>
          <w:lang w:val="en-AU"/>
        </w:rPr>
        <w:t>Australian Spotted Fever (ASF)</w:t>
      </w:r>
      <w:r w:rsidR="00866E67" w:rsidRPr="00F2704A">
        <w:rPr>
          <w:lang w:val="en-AU"/>
        </w:rPr>
        <w:t xml:space="preserve"> has been reported in the eastern half of Australia and </w:t>
      </w:r>
      <w:r w:rsidR="00267FEB" w:rsidRPr="00F2704A">
        <w:rPr>
          <w:lang w:val="en-AU"/>
        </w:rPr>
        <w:t>occurs</w:t>
      </w:r>
      <w:r w:rsidR="00172798" w:rsidRPr="00F2704A">
        <w:rPr>
          <w:lang w:val="en-AU"/>
        </w:rPr>
        <w:t xml:space="preserve"> </w:t>
      </w:r>
      <w:r w:rsidR="00866E67" w:rsidRPr="00F2704A">
        <w:rPr>
          <w:lang w:val="en-AU"/>
        </w:rPr>
        <w:t>in subtropical and tropical areas of Queensland extending down the east coast to East Gippsland in Victoria</w:t>
      </w:r>
      <w:r w:rsidR="008564ED">
        <w:rPr>
          <w:lang w:val="en-AU"/>
        </w:rPr>
        <w:t>.</w:t>
      </w:r>
      <w:r w:rsidR="00866E67" w:rsidRPr="00A94846">
        <w:rPr>
          <w:rStyle w:val="FootnoteReference"/>
        </w:rPr>
        <w:footnoteReference w:id="119"/>
      </w:r>
      <w:r w:rsidR="00866E67" w:rsidRPr="00661245">
        <w:rPr>
          <w:vertAlign w:val="superscript"/>
          <w:lang w:val="en-AU"/>
        </w:rPr>
        <w:t>,</w:t>
      </w:r>
      <w:r w:rsidR="008564ED">
        <w:rPr>
          <w:vertAlign w:val="superscript"/>
          <w:lang w:val="en-AU"/>
        </w:rPr>
        <w:t xml:space="preserve"> </w:t>
      </w:r>
      <w:r w:rsidR="00866E67" w:rsidRPr="00A94846">
        <w:rPr>
          <w:rStyle w:val="FootnoteReference"/>
        </w:rPr>
        <w:footnoteReference w:id="120"/>
      </w:r>
      <w:r w:rsidR="00866E67" w:rsidRPr="00661245">
        <w:rPr>
          <w:vertAlign w:val="superscript"/>
          <w:lang w:val="en-AU"/>
        </w:rPr>
        <w:t>,</w:t>
      </w:r>
      <w:r w:rsidR="008564ED">
        <w:rPr>
          <w:vertAlign w:val="superscript"/>
          <w:lang w:val="en-AU"/>
        </w:rPr>
        <w:t xml:space="preserve"> </w:t>
      </w:r>
      <w:r w:rsidR="00866E67" w:rsidRPr="00A94846">
        <w:rPr>
          <w:rStyle w:val="FootnoteReference"/>
        </w:rPr>
        <w:footnoteReference w:id="121"/>
      </w:r>
    </w:p>
    <w:p w14:paraId="44202CF2" w14:textId="7B52A93B" w:rsidR="006B59E5" w:rsidRPr="00661245" w:rsidRDefault="00935310" w:rsidP="00F06F9B">
      <w:pPr>
        <w:pStyle w:val="Caption"/>
        <w:rPr>
          <w:lang w:val="en-AU"/>
        </w:rPr>
      </w:pPr>
      <w:bookmarkStart w:id="66" w:name="_Toc55460096"/>
      <w:r>
        <w:rPr>
          <w:noProof/>
          <w:lang w:val="en-AU" w:eastAsia="en-AU"/>
        </w:rPr>
        <w:drawing>
          <wp:inline distT="0" distB="0" distL="0" distR="0" wp14:anchorId="1156E055" wp14:editId="5E4CC0F9">
            <wp:extent cx="5760085" cy="3302508"/>
            <wp:effectExtent l="0" t="0" r="0" b="0"/>
            <wp:docPr id="4" name="Picture 6" descr="A map of Australia showing the distribution of Australian Spotted Fever. " title="Distribution of Australian Spotted F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Australia showing the distribution of Australian Spotted Fever. " title="Distribution of Australian Spotted Fever."/>
                    <pic:cNvPicPr/>
                  </pic:nvPicPr>
                  <pic:blipFill>
                    <a:blip r:embed="rId14">
                      <a:extLst>
                        <a:ext uri="{28A0092B-C50C-407E-A947-70E740481C1C}">
                          <a14:useLocalDpi xmlns:a14="http://schemas.microsoft.com/office/drawing/2010/main" val="0"/>
                        </a:ext>
                      </a:extLst>
                    </a:blip>
                    <a:stretch>
                      <a:fillRect/>
                    </a:stretch>
                  </pic:blipFill>
                  <pic:spPr>
                    <a:xfrm>
                      <a:off x="0" y="0"/>
                      <a:ext cx="5760085" cy="3302000"/>
                    </a:xfrm>
                    <a:prstGeom prst="rect">
                      <a:avLst/>
                    </a:prstGeom>
                  </pic:spPr>
                </pic:pic>
              </a:graphicData>
            </a:graphic>
          </wp:inline>
        </w:drawing>
      </w:r>
      <w:r w:rsidR="00F06F9B" w:rsidRPr="009569B4">
        <w:rPr>
          <w:lang w:val="en-AU"/>
        </w:rPr>
        <w:t xml:space="preserve">Figure </w:t>
      </w:r>
      <w:r w:rsidR="00F06F9B" w:rsidRPr="009569B4">
        <w:rPr>
          <w:lang w:val="en-AU"/>
        </w:rPr>
        <w:fldChar w:fldCharType="begin"/>
      </w:r>
      <w:r w:rsidR="00F06F9B" w:rsidRPr="00E358D6">
        <w:rPr>
          <w:lang w:val="en-AU"/>
        </w:rPr>
        <w:instrText xml:space="preserve"> SEQ Figure \* ARABIC </w:instrText>
      </w:r>
      <w:r w:rsidR="00F06F9B" w:rsidRPr="009569B4">
        <w:rPr>
          <w:lang w:val="en-AU"/>
        </w:rPr>
        <w:fldChar w:fldCharType="separate"/>
      </w:r>
      <w:r w:rsidR="00822580">
        <w:rPr>
          <w:noProof/>
          <w:lang w:val="en-AU"/>
        </w:rPr>
        <w:t>2</w:t>
      </w:r>
      <w:r w:rsidR="00F06F9B" w:rsidRPr="009569B4">
        <w:rPr>
          <w:lang w:val="en-AU"/>
        </w:rPr>
        <w:fldChar w:fldCharType="end"/>
      </w:r>
      <w:r w:rsidR="00F06F9B" w:rsidRPr="009569B4">
        <w:rPr>
          <w:lang w:val="en-AU"/>
        </w:rPr>
        <w:t>: Distribution of Australian Spotted Fever</w:t>
      </w:r>
      <w:r w:rsidR="00F06F9B" w:rsidRPr="00A94846">
        <w:rPr>
          <w:rStyle w:val="FootnoteReference"/>
        </w:rPr>
        <w:footnoteReference w:id="122"/>
      </w:r>
      <w:bookmarkEnd w:id="66"/>
    </w:p>
    <w:p w14:paraId="21692884" w14:textId="77777777" w:rsidR="00287808" w:rsidRPr="00CF74AD" w:rsidRDefault="00287808" w:rsidP="005A30D2">
      <w:pPr>
        <w:pStyle w:val="BodyText"/>
        <w:spacing w:after="0" w:line="40" w:lineRule="exact"/>
        <w:rPr>
          <w:lang w:val="en-AU"/>
        </w:rPr>
      </w:pPr>
    </w:p>
    <w:p w14:paraId="5A44194F" w14:textId="77777777" w:rsidR="00305533" w:rsidRPr="00CF74AD" w:rsidRDefault="00305533" w:rsidP="00DE22C9">
      <w:pPr>
        <w:pStyle w:val="BodyText"/>
        <w:rPr>
          <w:b/>
          <w:bCs/>
          <w:i/>
          <w:iCs/>
          <w:lang w:val="en-AU"/>
        </w:rPr>
      </w:pPr>
      <w:r w:rsidRPr="00CF74AD">
        <w:rPr>
          <w:b/>
          <w:bCs/>
          <w:i/>
          <w:iCs/>
          <w:lang w:val="en-AU"/>
        </w:rPr>
        <w:t xml:space="preserve">Clinical presentation </w:t>
      </w:r>
    </w:p>
    <w:p w14:paraId="018BBEE0" w14:textId="77777777" w:rsidR="00DE22C9" w:rsidRPr="00661245" w:rsidRDefault="00DE22C9" w:rsidP="00DE22C9">
      <w:pPr>
        <w:pStyle w:val="BodyText"/>
        <w:rPr>
          <w:lang w:val="en-AU"/>
        </w:rPr>
      </w:pPr>
      <w:r w:rsidRPr="00CF74AD">
        <w:rPr>
          <w:lang w:val="en-AU"/>
        </w:rPr>
        <w:t xml:space="preserve">Symptoms of </w:t>
      </w:r>
      <w:r w:rsidR="003901C2">
        <w:rPr>
          <w:lang w:val="en-AU"/>
        </w:rPr>
        <w:t>ASF</w:t>
      </w:r>
      <w:r w:rsidRPr="00CF74AD">
        <w:rPr>
          <w:lang w:val="en-AU"/>
        </w:rPr>
        <w:t xml:space="preserve"> </w:t>
      </w:r>
      <w:r w:rsidR="009E2790" w:rsidRPr="00CF74AD">
        <w:rPr>
          <w:lang w:val="en-AU"/>
        </w:rPr>
        <w:t>include</w:t>
      </w:r>
      <w:r w:rsidRPr="00CF74AD">
        <w:rPr>
          <w:lang w:val="en-AU"/>
        </w:rPr>
        <w:t xml:space="preserve"> fever, headache and muscle aches with a stiff neck, vomiting and mental confusion also being possible</w:t>
      </w:r>
      <w:r w:rsidR="008564ED">
        <w:rPr>
          <w:lang w:val="en-AU"/>
        </w:rPr>
        <w:t>.</w:t>
      </w:r>
      <w:r w:rsidRPr="00A94846">
        <w:rPr>
          <w:rStyle w:val="FootnoteReference"/>
        </w:rPr>
        <w:footnoteReference w:id="123"/>
      </w:r>
    </w:p>
    <w:p w14:paraId="69263C50" w14:textId="77777777" w:rsidR="00DE22C9" w:rsidRPr="00CF74AD" w:rsidRDefault="00DE22C9" w:rsidP="00866E67">
      <w:pPr>
        <w:pStyle w:val="NumberedHeading3"/>
        <w:rPr>
          <w:lang w:val="en-AU"/>
        </w:rPr>
      </w:pPr>
      <w:bookmarkStart w:id="67" w:name="_Toc20063235"/>
      <w:bookmarkStart w:id="68" w:name="_Toc20063427"/>
      <w:bookmarkStart w:id="69" w:name="_Toc20086252"/>
      <w:bookmarkStart w:id="70" w:name="_Toc20137579"/>
      <w:bookmarkStart w:id="71" w:name="_Toc20221077"/>
      <w:bookmarkStart w:id="72" w:name="_Toc55464784"/>
      <w:r w:rsidRPr="00CF74AD">
        <w:rPr>
          <w:lang w:val="en-AU"/>
        </w:rPr>
        <w:t xml:space="preserve">Flinders Island </w:t>
      </w:r>
      <w:r w:rsidR="00305533" w:rsidRPr="00CF74AD">
        <w:rPr>
          <w:lang w:val="en-AU"/>
        </w:rPr>
        <w:t>S</w:t>
      </w:r>
      <w:r w:rsidRPr="00CF74AD">
        <w:rPr>
          <w:lang w:val="en-AU"/>
        </w:rPr>
        <w:t xml:space="preserve">potted </w:t>
      </w:r>
      <w:r w:rsidR="00305533" w:rsidRPr="00CF74AD">
        <w:rPr>
          <w:lang w:val="en-AU"/>
        </w:rPr>
        <w:t>F</w:t>
      </w:r>
      <w:r w:rsidRPr="00CF74AD">
        <w:rPr>
          <w:lang w:val="en-AU"/>
        </w:rPr>
        <w:t>ever (FISF)</w:t>
      </w:r>
      <w:bookmarkEnd w:id="67"/>
      <w:bookmarkEnd w:id="68"/>
      <w:bookmarkEnd w:id="69"/>
      <w:bookmarkEnd w:id="70"/>
      <w:bookmarkEnd w:id="71"/>
      <w:bookmarkEnd w:id="72"/>
      <w:r w:rsidRPr="00CF74AD">
        <w:rPr>
          <w:lang w:val="en-AU"/>
        </w:rPr>
        <w:t xml:space="preserve"> </w:t>
      </w:r>
    </w:p>
    <w:p w14:paraId="7AE4B7F4" w14:textId="77777777" w:rsidR="00324A1A" w:rsidRPr="00CF74AD" w:rsidRDefault="00324A1A" w:rsidP="00866E67">
      <w:pPr>
        <w:pStyle w:val="BodyText"/>
        <w:rPr>
          <w:b/>
          <w:bCs/>
          <w:i/>
          <w:iCs/>
          <w:lang w:val="en-AU"/>
        </w:rPr>
      </w:pPr>
      <w:r w:rsidRPr="00CF74AD">
        <w:rPr>
          <w:b/>
          <w:bCs/>
          <w:i/>
          <w:iCs/>
          <w:lang w:val="en-AU"/>
        </w:rPr>
        <w:t xml:space="preserve">Geographical distribution </w:t>
      </w:r>
    </w:p>
    <w:p w14:paraId="337210B7" w14:textId="77777777" w:rsidR="00866E67" w:rsidRPr="00661245" w:rsidRDefault="003901C2" w:rsidP="00866E67">
      <w:pPr>
        <w:pStyle w:val="BodyText"/>
        <w:rPr>
          <w:vertAlign w:val="superscript"/>
          <w:lang w:val="en-AU"/>
        </w:rPr>
      </w:pPr>
      <w:r>
        <w:rPr>
          <w:lang w:val="en-AU"/>
        </w:rPr>
        <w:t>Flinders Island Spotted Fever (FISF)</w:t>
      </w:r>
      <w:r w:rsidR="00866E67" w:rsidRPr="00D621FF">
        <w:rPr>
          <w:lang w:val="en-AU"/>
        </w:rPr>
        <w:t xml:space="preserve"> is transmitted by the tick </w:t>
      </w:r>
      <w:r w:rsidR="00866E67" w:rsidRPr="00D621FF">
        <w:rPr>
          <w:i/>
          <w:iCs/>
          <w:lang w:val="en-AU"/>
        </w:rPr>
        <w:t xml:space="preserve">Bothriocroton hydrosauri </w:t>
      </w:r>
      <w:r w:rsidR="00866E67" w:rsidRPr="00FA6D54">
        <w:rPr>
          <w:lang w:val="en-AU"/>
        </w:rPr>
        <w:t>and has been reported in Flinders Island</w:t>
      </w:r>
      <w:r w:rsidR="000912FD">
        <w:rPr>
          <w:lang w:val="en-AU"/>
        </w:rPr>
        <w:t xml:space="preserve">, </w:t>
      </w:r>
      <w:r w:rsidR="00D10317">
        <w:rPr>
          <w:lang w:val="en-AU"/>
        </w:rPr>
        <w:t xml:space="preserve">mainland </w:t>
      </w:r>
      <w:r w:rsidR="00866E67" w:rsidRPr="00FA6D54">
        <w:rPr>
          <w:lang w:val="en-AU"/>
        </w:rPr>
        <w:t>Tasmania, Southern-eastern Australia, south-western coastal areas of Western</w:t>
      </w:r>
      <w:r w:rsidR="00866E67" w:rsidRPr="00F2704A">
        <w:rPr>
          <w:lang w:val="en-AU"/>
        </w:rPr>
        <w:t xml:space="preserve"> Australia in Salisbury Island and Walpole, and south-eastern coastal regions of South Australia near Adelaide</w:t>
      </w:r>
      <w:r w:rsidR="008564ED">
        <w:rPr>
          <w:lang w:val="en-AU"/>
        </w:rPr>
        <w:t>.</w:t>
      </w:r>
      <w:r w:rsidR="00866E67" w:rsidRPr="00A94846">
        <w:rPr>
          <w:rStyle w:val="FootnoteReference"/>
        </w:rPr>
        <w:footnoteReference w:id="124"/>
      </w:r>
      <w:r w:rsidR="008564ED" w:rsidRPr="008564ED">
        <w:rPr>
          <w:vertAlign w:val="superscript"/>
          <w:lang w:val="en-AU"/>
        </w:rPr>
        <w:t>,</w:t>
      </w:r>
      <w:r w:rsidR="00CC4E0F">
        <w:rPr>
          <w:vertAlign w:val="superscript"/>
          <w:lang w:val="en-AU"/>
        </w:rPr>
        <w:t xml:space="preserve"> </w:t>
      </w:r>
      <w:r w:rsidR="00866E67" w:rsidRPr="00A94846">
        <w:rPr>
          <w:rStyle w:val="FootnoteReference"/>
        </w:rPr>
        <w:footnoteReference w:id="125"/>
      </w:r>
      <w:r w:rsidR="00276928">
        <w:rPr>
          <w:vertAlign w:val="superscript"/>
          <w:lang w:val="en-AU"/>
        </w:rPr>
        <w:t xml:space="preserve">, </w:t>
      </w:r>
      <w:r w:rsidR="00276928">
        <w:rPr>
          <w:rStyle w:val="FootnoteReference"/>
          <w:lang w:val="en-AU"/>
        </w:rPr>
        <w:footnoteReference w:id="126"/>
      </w:r>
    </w:p>
    <w:p w14:paraId="39F806BC" w14:textId="1069D234" w:rsidR="00E40013" w:rsidRPr="00661245" w:rsidRDefault="00935310" w:rsidP="00F06F9B">
      <w:pPr>
        <w:pStyle w:val="Caption"/>
        <w:rPr>
          <w:lang w:val="en-AU"/>
        </w:rPr>
      </w:pPr>
      <w:bookmarkStart w:id="73" w:name="_Toc55460097"/>
      <w:r>
        <w:rPr>
          <w:noProof/>
          <w:lang w:val="en-AU" w:eastAsia="en-AU"/>
        </w:rPr>
        <w:lastRenderedPageBreak/>
        <w:drawing>
          <wp:inline distT="0" distB="0" distL="0" distR="0" wp14:anchorId="1B85399C" wp14:editId="0BEB7B89">
            <wp:extent cx="5755005" cy="3439795"/>
            <wp:effectExtent l="0" t="0" r="0" b="8255"/>
            <wp:docPr id="3" name="Picture 13" descr="A map of Australia showing the distribution of Flinders Island Spotted Fever. " title="Distribution of Flinders Island Spotted F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471621" name="Picture 13" descr="A map of Australia showing the distribution of Flinders Island Spotted Fever. " title="Distribution of Flinders Island Spotted Fever."/>
                    <pic:cNvPicPr/>
                  </pic:nvPicPr>
                  <pic:blipFill>
                    <a:blip r:embed="rId15">
                      <a:extLst>
                        <a:ext uri="{28A0092B-C50C-407E-A947-70E740481C1C}">
                          <a14:useLocalDpi xmlns:a14="http://schemas.microsoft.com/office/drawing/2010/main" val="0"/>
                        </a:ext>
                      </a:extLst>
                    </a:blip>
                    <a:stretch>
                      <a:fillRect/>
                    </a:stretch>
                  </pic:blipFill>
                  <pic:spPr>
                    <a:xfrm>
                      <a:off x="0" y="0"/>
                      <a:ext cx="5755005" cy="3439795"/>
                    </a:xfrm>
                    <a:prstGeom prst="rect">
                      <a:avLst/>
                    </a:prstGeom>
                  </pic:spPr>
                </pic:pic>
              </a:graphicData>
            </a:graphic>
          </wp:inline>
        </w:drawing>
      </w:r>
      <w:r w:rsidR="00F06F9B" w:rsidRPr="009569B4">
        <w:rPr>
          <w:lang w:val="en-AU"/>
        </w:rPr>
        <w:t xml:space="preserve">Figure </w:t>
      </w:r>
      <w:r w:rsidR="00F06F9B" w:rsidRPr="009569B4">
        <w:rPr>
          <w:b w:val="0"/>
          <w:bCs w:val="0"/>
          <w:lang w:val="en-AU"/>
        </w:rPr>
        <w:fldChar w:fldCharType="begin"/>
      </w:r>
      <w:r w:rsidR="00F06F9B" w:rsidRPr="009569B4">
        <w:rPr>
          <w:lang w:val="en-AU"/>
        </w:rPr>
        <w:instrText xml:space="preserve"> SEQ Figure \* ARABIC </w:instrText>
      </w:r>
      <w:r w:rsidR="00F06F9B" w:rsidRPr="009569B4">
        <w:rPr>
          <w:b w:val="0"/>
          <w:bCs w:val="0"/>
          <w:lang w:val="en-AU"/>
        </w:rPr>
        <w:fldChar w:fldCharType="separate"/>
      </w:r>
      <w:r w:rsidR="00822580">
        <w:rPr>
          <w:noProof/>
          <w:lang w:val="en-AU"/>
        </w:rPr>
        <w:t>3</w:t>
      </w:r>
      <w:r w:rsidR="00F06F9B" w:rsidRPr="009569B4">
        <w:rPr>
          <w:b w:val="0"/>
          <w:bCs w:val="0"/>
          <w:lang w:val="en-AU"/>
        </w:rPr>
        <w:fldChar w:fldCharType="end"/>
      </w:r>
      <w:r w:rsidR="00F06F9B" w:rsidRPr="009569B4">
        <w:rPr>
          <w:lang w:val="en-AU"/>
        </w:rPr>
        <w:t>: Distribution of Flinders Island Spotted Fever</w:t>
      </w:r>
      <w:r w:rsidR="00F06F9B" w:rsidRPr="00A94846">
        <w:rPr>
          <w:rStyle w:val="FootnoteReference"/>
        </w:rPr>
        <w:footnoteReference w:id="127"/>
      </w:r>
      <w:bookmarkEnd w:id="73"/>
    </w:p>
    <w:p w14:paraId="7B27345B" w14:textId="77777777" w:rsidR="005A30D2" w:rsidRDefault="005A30D2" w:rsidP="005A30D2">
      <w:pPr>
        <w:pStyle w:val="BodyText"/>
        <w:spacing w:after="0" w:line="40" w:lineRule="exact"/>
      </w:pPr>
    </w:p>
    <w:p w14:paraId="2A109400" w14:textId="77777777" w:rsidR="00276928" w:rsidRDefault="00276928" w:rsidP="00DE22C9">
      <w:pPr>
        <w:pStyle w:val="BodyText"/>
      </w:pPr>
      <w:r>
        <w:t>The Department of Health, Tasmania, reported in 2019 that confirmed cases of FISF have been acquired in Tasmania, including in the Midlands of Tasmania.</w:t>
      </w:r>
      <w:r>
        <w:rPr>
          <w:rStyle w:val="FootnoteReference"/>
        </w:rPr>
        <w:footnoteReference w:id="128"/>
      </w:r>
    </w:p>
    <w:p w14:paraId="590A911A" w14:textId="77777777" w:rsidR="00324A1A" w:rsidRPr="00CF74AD" w:rsidRDefault="00324A1A" w:rsidP="00DE22C9">
      <w:pPr>
        <w:pStyle w:val="BodyText"/>
        <w:rPr>
          <w:b/>
          <w:bCs/>
          <w:i/>
          <w:iCs/>
          <w:lang w:val="en-AU"/>
        </w:rPr>
      </w:pPr>
      <w:r w:rsidRPr="00CF74AD">
        <w:rPr>
          <w:b/>
          <w:bCs/>
          <w:i/>
          <w:iCs/>
          <w:lang w:val="en-AU"/>
        </w:rPr>
        <w:t xml:space="preserve">Clinical presentation </w:t>
      </w:r>
    </w:p>
    <w:p w14:paraId="056D68C4" w14:textId="77777777" w:rsidR="00DE22C9" w:rsidRPr="00661245" w:rsidRDefault="00DE22C9" w:rsidP="00DE22C9">
      <w:pPr>
        <w:pStyle w:val="BodyText"/>
        <w:rPr>
          <w:lang w:val="en-AU"/>
        </w:rPr>
      </w:pPr>
      <w:r w:rsidRPr="00CF74AD">
        <w:rPr>
          <w:lang w:val="en-AU"/>
        </w:rPr>
        <w:t>Symptoms of FISF include cough, fever, headache, maculopapular rash, myalgia and arthralgia</w:t>
      </w:r>
      <w:r w:rsidR="00CA65E1" w:rsidRPr="00CF74AD">
        <w:rPr>
          <w:lang w:val="en-AU"/>
        </w:rPr>
        <w:t>.</w:t>
      </w:r>
      <w:r w:rsidRPr="00A94846">
        <w:rPr>
          <w:rStyle w:val="FootnoteReference"/>
        </w:rPr>
        <w:footnoteReference w:id="129"/>
      </w:r>
    </w:p>
    <w:p w14:paraId="5158E445" w14:textId="77777777" w:rsidR="00DE22C9" w:rsidRPr="00CF74AD" w:rsidRDefault="00DE22C9" w:rsidP="007C7D39">
      <w:pPr>
        <w:pStyle w:val="NumberedHeading3"/>
        <w:rPr>
          <w:lang w:val="en-AU"/>
        </w:rPr>
      </w:pPr>
      <w:bookmarkStart w:id="74" w:name="_Toc20063236"/>
      <w:bookmarkStart w:id="75" w:name="_Toc20063428"/>
      <w:bookmarkStart w:id="76" w:name="_Toc20086253"/>
      <w:bookmarkStart w:id="77" w:name="_Toc20137580"/>
      <w:bookmarkStart w:id="78" w:name="_Toc20221078"/>
      <w:bookmarkStart w:id="79" w:name="_Toc55464785"/>
      <w:r w:rsidRPr="00CF74AD">
        <w:rPr>
          <w:lang w:val="en-AU"/>
        </w:rPr>
        <w:t>Q fever</w:t>
      </w:r>
      <w:bookmarkEnd w:id="74"/>
      <w:bookmarkEnd w:id="75"/>
      <w:bookmarkEnd w:id="76"/>
      <w:bookmarkEnd w:id="77"/>
      <w:bookmarkEnd w:id="78"/>
      <w:bookmarkEnd w:id="79"/>
    </w:p>
    <w:p w14:paraId="5A3A0654" w14:textId="77777777" w:rsidR="009C159D" w:rsidRPr="00CF74AD" w:rsidRDefault="007C7D39" w:rsidP="007C7D39">
      <w:pPr>
        <w:pStyle w:val="BodyText"/>
        <w:rPr>
          <w:lang w:val="en-AU"/>
        </w:rPr>
      </w:pPr>
      <w:r w:rsidRPr="00CF74AD">
        <w:rPr>
          <w:lang w:val="en-AU"/>
        </w:rPr>
        <w:t xml:space="preserve">In Australia, Q fever is a </w:t>
      </w:r>
      <w:r w:rsidR="00101284" w:rsidRPr="00CF74AD">
        <w:rPr>
          <w:lang w:val="en-AU"/>
        </w:rPr>
        <w:t xml:space="preserve">nationally </w:t>
      </w:r>
      <w:r w:rsidRPr="00CF74AD">
        <w:rPr>
          <w:lang w:val="en-AU"/>
        </w:rPr>
        <w:t>notifiable disease, with a Q fever laboratory case definition</w:t>
      </w:r>
      <w:r w:rsidRPr="00A94846">
        <w:rPr>
          <w:rStyle w:val="FootnoteReference"/>
        </w:rPr>
        <w:footnoteReference w:id="130"/>
      </w:r>
      <w:r w:rsidRPr="00661245">
        <w:rPr>
          <w:lang w:val="en-AU"/>
        </w:rPr>
        <w:t xml:space="preserve"> and </w:t>
      </w:r>
      <w:r w:rsidR="001335E9" w:rsidRPr="00CF74AD">
        <w:rPr>
          <w:lang w:val="en-AU"/>
        </w:rPr>
        <w:t xml:space="preserve">is </w:t>
      </w:r>
      <w:r w:rsidRPr="00CF74AD">
        <w:rPr>
          <w:lang w:val="en-AU"/>
        </w:rPr>
        <w:t xml:space="preserve">included in the </w:t>
      </w:r>
      <w:r w:rsidR="001D15C2">
        <w:rPr>
          <w:lang w:val="en-AU"/>
        </w:rPr>
        <w:t>Communicable Disease</w:t>
      </w:r>
      <w:r w:rsidR="00F97DB3">
        <w:rPr>
          <w:lang w:val="en-AU"/>
        </w:rPr>
        <w:t>s</w:t>
      </w:r>
      <w:r w:rsidR="001D15C2">
        <w:rPr>
          <w:lang w:val="en-AU"/>
        </w:rPr>
        <w:t xml:space="preserve"> Network Australia (</w:t>
      </w:r>
      <w:r w:rsidRPr="00CF74AD">
        <w:rPr>
          <w:lang w:val="en-AU"/>
        </w:rPr>
        <w:t>CDNA</w:t>
      </w:r>
      <w:r w:rsidR="001D15C2">
        <w:rPr>
          <w:lang w:val="en-AU"/>
        </w:rPr>
        <w:t>)</w:t>
      </w:r>
      <w:r w:rsidRPr="00CF74AD">
        <w:rPr>
          <w:lang w:val="en-AU"/>
        </w:rPr>
        <w:t xml:space="preserve"> National Guidelines for Public Health Units</w:t>
      </w:r>
      <w:r w:rsidR="00CD7159" w:rsidRPr="00CF74AD">
        <w:rPr>
          <w:lang w:val="en-AU"/>
        </w:rPr>
        <w:t>.</w:t>
      </w:r>
      <w:r w:rsidRPr="00A94846">
        <w:rPr>
          <w:rStyle w:val="FootnoteReference"/>
        </w:rPr>
        <w:footnoteReference w:id="131"/>
      </w:r>
      <w:r w:rsidRPr="00661245">
        <w:rPr>
          <w:lang w:val="en-AU"/>
        </w:rPr>
        <w:t xml:space="preserve"> </w:t>
      </w:r>
      <w:r w:rsidR="000475C3" w:rsidRPr="00CF74AD">
        <w:rPr>
          <w:lang w:val="en-AU"/>
        </w:rPr>
        <w:t xml:space="preserve">In Australia, </w:t>
      </w:r>
      <w:r w:rsidR="00D52549" w:rsidRPr="00CF74AD">
        <w:rPr>
          <w:lang w:val="en-AU"/>
        </w:rPr>
        <w:t>Q fever is the most commonly reported zoonotic disease</w:t>
      </w:r>
      <w:r w:rsidR="00CD7159" w:rsidRPr="00CF74AD">
        <w:rPr>
          <w:lang w:val="en-AU"/>
        </w:rPr>
        <w:t>.</w:t>
      </w:r>
      <w:r w:rsidR="00D52549" w:rsidRPr="00A94846">
        <w:rPr>
          <w:rStyle w:val="FootnoteReference"/>
        </w:rPr>
        <w:footnoteReference w:id="132"/>
      </w:r>
      <w:r w:rsidR="003714B7" w:rsidRPr="00661245">
        <w:rPr>
          <w:lang w:val="en-AU"/>
        </w:rPr>
        <w:t xml:space="preserve"> </w:t>
      </w:r>
      <w:r w:rsidR="00683D7E" w:rsidRPr="00CF74AD">
        <w:rPr>
          <w:lang w:val="en-AU"/>
        </w:rPr>
        <w:t>As Q fever can be mistaken for other conditions</w:t>
      </w:r>
      <w:r w:rsidR="00C46E1B" w:rsidRPr="00CF74AD">
        <w:rPr>
          <w:lang w:val="en-AU"/>
        </w:rPr>
        <w:t>, including other zoonotic diseases (</w:t>
      </w:r>
      <w:r w:rsidR="006933BF">
        <w:rPr>
          <w:lang w:val="en-AU"/>
        </w:rPr>
        <w:t>e.g.</w:t>
      </w:r>
      <w:r w:rsidR="00C46E1B" w:rsidRPr="00CF74AD">
        <w:rPr>
          <w:lang w:val="en-AU"/>
        </w:rPr>
        <w:t xml:space="preserve"> leptospirosis, brucellosis)</w:t>
      </w:r>
      <w:r w:rsidR="00334298" w:rsidRPr="00CF74AD">
        <w:rPr>
          <w:lang w:val="en-AU"/>
        </w:rPr>
        <w:t>,</w:t>
      </w:r>
      <w:r w:rsidR="00C46E1B" w:rsidRPr="00CF74AD">
        <w:rPr>
          <w:lang w:val="en-AU"/>
        </w:rPr>
        <w:t xml:space="preserve"> </w:t>
      </w:r>
      <w:r w:rsidR="0009453E" w:rsidRPr="00CF74AD">
        <w:rPr>
          <w:lang w:val="en-AU"/>
        </w:rPr>
        <w:t>the work up should be determined by a detailed history, examination and initial screening investigation</w:t>
      </w:r>
      <w:r w:rsidR="00615540" w:rsidRPr="00CF74AD">
        <w:rPr>
          <w:lang w:val="en-AU"/>
        </w:rPr>
        <w:t xml:space="preserve">, </w:t>
      </w:r>
      <w:r w:rsidR="00AF33D5" w:rsidRPr="00CF74AD">
        <w:rPr>
          <w:lang w:val="en-AU"/>
        </w:rPr>
        <w:t>with a us</w:t>
      </w:r>
      <w:r w:rsidR="00AF33D5" w:rsidRPr="00CF29E7">
        <w:rPr>
          <w:lang w:val="en-AU"/>
        </w:rPr>
        <w:t>eful algorithm having been dev</w:t>
      </w:r>
      <w:r w:rsidR="00370AFD">
        <w:rPr>
          <w:lang w:val="en-AU"/>
        </w:rPr>
        <w:t>eloped for GPs</w:t>
      </w:r>
      <w:r w:rsidR="00CD7159" w:rsidRPr="00D621FF">
        <w:rPr>
          <w:lang w:val="en-AU"/>
        </w:rPr>
        <w:t>.</w:t>
      </w:r>
      <w:r w:rsidR="002514F2" w:rsidRPr="00A94846">
        <w:rPr>
          <w:rStyle w:val="FootnoteReference"/>
        </w:rPr>
        <w:footnoteReference w:id="133"/>
      </w:r>
      <w:r w:rsidR="002514F2" w:rsidRPr="00661245">
        <w:rPr>
          <w:lang w:val="en-AU"/>
        </w:rPr>
        <w:t xml:space="preserve"> </w:t>
      </w:r>
    </w:p>
    <w:p w14:paraId="7F11A77E" w14:textId="77777777" w:rsidR="009C159D" w:rsidRPr="00CF74AD" w:rsidRDefault="009C159D" w:rsidP="007C7D39">
      <w:pPr>
        <w:pStyle w:val="BodyText"/>
        <w:rPr>
          <w:b/>
          <w:bCs/>
          <w:i/>
          <w:iCs/>
          <w:lang w:val="en-AU"/>
        </w:rPr>
      </w:pPr>
      <w:r w:rsidRPr="00CF74AD">
        <w:rPr>
          <w:b/>
          <w:bCs/>
          <w:i/>
          <w:iCs/>
          <w:lang w:val="en-AU"/>
        </w:rPr>
        <w:t xml:space="preserve">Transmission and geographical distribution </w:t>
      </w:r>
    </w:p>
    <w:p w14:paraId="63538AF3" w14:textId="77777777" w:rsidR="008E6636" w:rsidRPr="00661245" w:rsidRDefault="007A506D" w:rsidP="007C7D39">
      <w:pPr>
        <w:pStyle w:val="BodyText"/>
        <w:rPr>
          <w:lang w:val="en-AU"/>
        </w:rPr>
      </w:pPr>
      <w:r w:rsidRPr="00CF74AD">
        <w:rPr>
          <w:lang w:val="en-AU"/>
        </w:rPr>
        <w:t>Q fever is acquired via various modes of transmission</w:t>
      </w:r>
      <w:r w:rsidR="009F2E05" w:rsidRPr="00CF74AD">
        <w:rPr>
          <w:lang w:val="en-AU"/>
        </w:rPr>
        <w:t xml:space="preserve">, a minority of which is tick-borne. </w:t>
      </w:r>
      <w:r w:rsidR="007C7D39" w:rsidRPr="00CF74AD">
        <w:rPr>
          <w:lang w:val="en-AU"/>
        </w:rPr>
        <w:t xml:space="preserve">While </w:t>
      </w:r>
      <w:r w:rsidR="007C7D39" w:rsidRPr="00CF29E7">
        <w:rPr>
          <w:i/>
          <w:iCs/>
          <w:lang w:val="en-AU"/>
        </w:rPr>
        <w:t xml:space="preserve">Coxiella burnetii </w:t>
      </w:r>
      <w:r w:rsidR="007C7D39" w:rsidRPr="00D621FF">
        <w:rPr>
          <w:lang w:val="en-AU"/>
        </w:rPr>
        <w:t xml:space="preserve">are present in both the paralysis tick and ornate kangaroo tick, and therefore it is classified as a tick-borne disease, most cases of Q fever infection occur by inhalation of infectious aerosols from carrier (reservoir) vertebrate animals such as goats, sheep cattle, kangaroos and </w:t>
      </w:r>
      <w:r w:rsidR="007C7D39" w:rsidRPr="00D621FF">
        <w:rPr>
          <w:lang w:val="en-AU"/>
        </w:rPr>
        <w:lastRenderedPageBreak/>
        <w:t>domestic pets or dust particles</w:t>
      </w:r>
      <w:r w:rsidR="007C7D39" w:rsidRPr="00A94846">
        <w:rPr>
          <w:rStyle w:val="FootnoteReference"/>
        </w:rPr>
        <w:footnoteReference w:id="134"/>
      </w:r>
      <w:r w:rsidR="007C7D39" w:rsidRPr="00661245">
        <w:rPr>
          <w:vertAlign w:val="superscript"/>
          <w:lang w:val="en-AU"/>
        </w:rPr>
        <w:t>,</w:t>
      </w:r>
      <w:r w:rsidR="008564ED">
        <w:rPr>
          <w:vertAlign w:val="superscript"/>
          <w:lang w:val="en-AU"/>
        </w:rPr>
        <w:t xml:space="preserve"> </w:t>
      </w:r>
      <w:r w:rsidR="007C7D39" w:rsidRPr="00A94846">
        <w:rPr>
          <w:rStyle w:val="FootnoteReference"/>
        </w:rPr>
        <w:footnoteReference w:id="135"/>
      </w:r>
      <w:r w:rsidR="007C7D39" w:rsidRPr="00661245">
        <w:rPr>
          <w:vertAlign w:val="superscript"/>
          <w:lang w:val="en-AU"/>
        </w:rPr>
        <w:t>,</w:t>
      </w:r>
      <w:r w:rsidR="008564ED">
        <w:rPr>
          <w:vertAlign w:val="superscript"/>
          <w:lang w:val="en-AU"/>
        </w:rPr>
        <w:t xml:space="preserve"> </w:t>
      </w:r>
      <w:r w:rsidR="007C7D39" w:rsidRPr="00A94846">
        <w:rPr>
          <w:rStyle w:val="FootnoteReference"/>
        </w:rPr>
        <w:footnoteReference w:id="136"/>
      </w:r>
      <w:r w:rsidR="007C7D39" w:rsidRPr="00661245">
        <w:rPr>
          <w:vertAlign w:val="superscript"/>
          <w:lang w:val="en-AU"/>
        </w:rPr>
        <w:t>,</w:t>
      </w:r>
      <w:r w:rsidR="008564ED">
        <w:rPr>
          <w:vertAlign w:val="superscript"/>
          <w:lang w:val="en-AU"/>
        </w:rPr>
        <w:t xml:space="preserve"> </w:t>
      </w:r>
      <w:r w:rsidR="007C7D39" w:rsidRPr="00A94846">
        <w:rPr>
          <w:rStyle w:val="FootnoteReference"/>
        </w:rPr>
        <w:footnoteReference w:id="137"/>
      </w:r>
      <w:r w:rsidR="007C7D39" w:rsidRPr="00661245">
        <w:rPr>
          <w:lang w:val="en-AU"/>
        </w:rPr>
        <w:t xml:space="preserve"> contaminated by birth fluids, faeces or urine from infected animals. Rats may also </w:t>
      </w:r>
      <w:r w:rsidR="007C7D39" w:rsidRPr="00CF74AD">
        <w:rPr>
          <w:lang w:val="en-AU"/>
        </w:rPr>
        <w:t xml:space="preserve">harbour the tick </w:t>
      </w:r>
      <w:r w:rsidR="007C7D39" w:rsidRPr="00CF74AD">
        <w:rPr>
          <w:i/>
          <w:iCs/>
          <w:lang w:val="en-AU"/>
        </w:rPr>
        <w:t xml:space="preserve">Amblyomma triguttum </w:t>
      </w:r>
      <w:r w:rsidR="007C7D39" w:rsidRPr="00CF74AD">
        <w:rPr>
          <w:lang w:val="en-AU"/>
        </w:rPr>
        <w:t xml:space="preserve">which is a natural host for the </w:t>
      </w:r>
      <w:r w:rsidR="007C7D39" w:rsidRPr="00CF74AD">
        <w:rPr>
          <w:i/>
          <w:iCs/>
          <w:lang w:val="en-AU"/>
        </w:rPr>
        <w:t xml:space="preserve">Coxiella burnetii </w:t>
      </w:r>
      <w:r w:rsidR="007C7D39" w:rsidRPr="00CF74AD">
        <w:rPr>
          <w:lang w:val="en-AU"/>
        </w:rPr>
        <w:t xml:space="preserve">bacterium that causes Q fever in humans. </w:t>
      </w:r>
      <w:r w:rsidR="003930C1" w:rsidRPr="00CF74AD">
        <w:rPr>
          <w:lang w:val="en-AU"/>
        </w:rPr>
        <w:t xml:space="preserve">The organism can </w:t>
      </w:r>
      <w:r w:rsidR="006A591A" w:rsidRPr="00CF29E7">
        <w:rPr>
          <w:lang w:val="en-AU"/>
        </w:rPr>
        <w:t xml:space="preserve">remain dormant in </w:t>
      </w:r>
      <w:r w:rsidR="00AB52B2" w:rsidRPr="00D621FF">
        <w:rPr>
          <w:lang w:val="en-AU"/>
        </w:rPr>
        <w:t xml:space="preserve">soil and dust and spread by </w:t>
      </w:r>
      <w:r w:rsidR="004B73A3" w:rsidRPr="00D621FF">
        <w:rPr>
          <w:lang w:val="en-AU"/>
        </w:rPr>
        <w:t xml:space="preserve">vehicle movements and activities such as lawn mowing or spread </w:t>
      </w:r>
      <w:r w:rsidR="003930C1" w:rsidRPr="00FA6D54">
        <w:rPr>
          <w:lang w:val="en-AU"/>
        </w:rPr>
        <w:t>over wide areas under the influence of the wind and result in disease outbreaks</w:t>
      </w:r>
      <w:r w:rsidR="008564ED">
        <w:rPr>
          <w:lang w:val="en-AU"/>
        </w:rPr>
        <w:t>.</w:t>
      </w:r>
      <w:r w:rsidR="004B73A3" w:rsidRPr="00A94846">
        <w:rPr>
          <w:rStyle w:val="FootnoteReference"/>
        </w:rPr>
        <w:footnoteReference w:id="138"/>
      </w:r>
    </w:p>
    <w:p w14:paraId="170687FD" w14:textId="77777777" w:rsidR="007C7D39" w:rsidRPr="00CF74AD" w:rsidRDefault="007C7D39" w:rsidP="007C7D39">
      <w:pPr>
        <w:pStyle w:val="BodyText"/>
        <w:rPr>
          <w:lang w:val="en-AU"/>
        </w:rPr>
      </w:pPr>
      <w:r w:rsidRPr="00CF74AD">
        <w:rPr>
          <w:lang w:val="en-AU"/>
        </w:rPr>
        <w:t>The incubation period is typically 2</w:t>
      </w:r>
      <w:r w:rsidR="00D621FF">
        <w:rPr>
          <w:lang w:val="en-AU"/>
        </w:rPr>
        <w:t>–</w:t>
      </w:r>
      <w:r w:rsidRPr="00CF74AD">
        <w:rPr>
          <w:lang w:val="en-AU"/>
        </w:rPr>
        <w:t>3 weeks; person to person spread rarely occurs</w:t>
      </w:r>
      <w:r w:rsidR="00CD7159" w:rsidRPr="00CF74AD">
        <w:rPr>
          <w:lang w:val="en-AU"/>
        </w:rPr>
        <w:t>.</w:t>
      </w:r>
      <w:r w:rsidRPr="00A94846">
        <w:rPr>
          <w:rStyle w:val="FootnoteReference"/>
        </w:rPr>
        <w:footnoteReference w:id="139"/>
      </w:r>
      <w:r w:rsidRPr="00661245">
        <w:rPr>
          <w:lang w:val="en-AU"/>
        </w:rPr>
        <w:t xml:space="preserve"> Persons at increased risk of Q fever are</w:t>
      </w:r>
      <w:r w:rsidR="00700120" w:rsidRPr="00CF74AD">
        <w:rPr>
          <w:lang w:val="en-AU"/>
        </w:rPr>
        <w:t xml:space="preserve">: </w:t>
      </w:r>
    </w:p>
    <w:p w14:paraId="709BA41D" w14:textId="77777777" w:rsidR="007C7D39" w:rsidRPr="00CF74AD" w:rsidRDefault="00C252EF" w:rsidP="00CC4E0F">
      <w:pPr>
        <w:pStyle w:val="List-BulletLvl1"/>
        <w:spacing w:after="60"/>
        <w:rPr>
          <w:lang w:val="en-AU"/>
        </w:rPr>
      </w:pPr>
      <w:r w:rsidRPr="00CF74AD">
        <w:rPr>
          <w:lang w:val="en-AU"/>
        </w:rPr>
        <w:t>a</w:t>
      </w:r>
      <w:r w:rsidR="007C7D39" w:rsidRPr="00CF74AD">
        <w:rPr>
          <w:lang w:val="en-AU"/>
        </w:rPr>
        <w:t>t risk occupational groups with contact of high risk animal products, including (but not limited to</w:t>
      </w:r>
      <w:r w:rsidR="00337D3B">
        <w:rPr>
          <w:lang w:val="en-AU"/>
        </w:rPr>
        <w:t>)</w:t>
      </w:r>
      <w:r w:rsidR="007C7D39" w:rsidRPr="00CF74AD">
        <w:rPr>
          <w:lang w:val="en-AU"/>
        </w:rPr>
        <w:t>: abattoir and meat workers; agriculture, livestock and dairy farmers/workers; laundry workers handling clothes of at-risk workplaces; veterinary professionals and staff; animal shooters/hunters; dog/cat breeders and anyone regularly exposed to parturient animals</w:t>
      </w:r>
    </w:p>
    <w:p w14:paraId="1DF3D703" w14:textId="77777777" w:rsidR="007C7D39" w:rsidRPr="00D621FF" w:rsidRDefault="00C252EF" w:rsidP="00CC4E0F">
      <w:pPr>
        <w:pStyle w:val="List-BulletLvl1"/>
        <w:spacing w:after="60"/>
        <w:rPr>
          <w:lang w:val="en-AU"/>
        </w:rPr>
      </w:pPr>
      <w:r w:rsidRPr="00CF29E7">
        <w:rPr>
          <w:lang w:val="en-AU"/>
        </w:rPr>
        <w:t>o</w:t>
      </w:r>
      <w:r w:rsidR="007C7D39" w:rsidRPr="00D621FF">
        <w:rPr>
          <w:lang w:val="en-AU"/>
        </w:rPr>
        <w:t>ther people through non-occupational, environmental exposures including (but not limited to): family members of occupationally exposed groups; people living in close proximity to a high risk industry (neighbouring livestock farms and stockyards); visitors to at risk environments; people involved in mowing which aerosolises dust potentially contaminated by animal excreta</w:t>
      </w:r>
      <w:r w:rsidR="00700DF8" w:rsidRPr="00D621FF">
        <w:rPr>
          <w:lang w:val="en-AU"/>
        </w:rPr>
        <w:t>,</w:t>
      </w:r>
      <w:r w:rsidRPr="00D621FF">
        <w:rPr>
          <w:lang w:val="en-AU"/>
        </w:rPr>
        <w:t xml:space="preserve"> and</w:t>
      </w:r>
    </w:p>
    <w:p w14:paraId="2E8C45EA" w14:textId="77777777" w:rsidR="007C7D39" w:rsidRPr="00661245" w:rsidRDefault="00C252EF" w:rsidP="007C7D39">
      <w:pPr>
        <w:pStyle w:val="List-BulletLvl1"/>
        <w:rPr>
          <w:lang w:val="en-AU"/>
        </w:rPr>
      </w:pPr>
      <w:r w:rsidRPr="00FA6D54">
        <w:rPr>
          <w:lang w:val="en-AU"/>
        </w:rPr>
        <w:t>p</w:t>
      </w:r>
      <w:r w:rsidR="007C7D39" w:rsidRPr="00FA6D54">
        <w:rPr>
          <w:lang w:val="en-AU"/>
        </w:rPr>
        <w:t>ersons at increased risk for chronic Q fever after experiencing an acute infection includ</w:t>
      </w:r>
      <w:r w:rsidR="00285DDD" w:rsidRPr="00F2704A">
        <w:rPr>
          <w:lang w:val="en-AU"/>
        </w:rPr>
        <w:t>ing</w:t>
      </w:r>
      <w:r w:rsidR="007C7D39" w:rsidRPr="00F2704A">
        <w:rPr>
          <w:lang w:val="en-AU"/>
        </w:rPr>
        <w:t>: immunosuppressed persons; pregnant women; persons with valvular heat disease/valvular prosthesis; persons with aneurysms/vascular grafts</w:t>
      </w:r>
      <w:r w:rsidR="00CD7159" w:rsidRPr="00F2704A">
        <w:rPr>
          <w:lang w:val="en-AU"/>
        </w:rPr>
        <w:t>.</w:t>
      </w:r>
      <w:r w:rsidR="007C7D39" w:rsidRPr="00A94846">
        <w:rPr>
          <w:rStyle w:val="FootnoteReference"/>
        </w:rPr>
        <w:footnoteReference w:id="140"/>
      </w:r>
    </w:p>
    <w:p w14:paraId="5662E1D8" w14:textId="77777777" w:rsidR="007C7D39" w:rsidRPr="00CF74AD" w:rsidRDefault="007C7D39" w:rsidP="007C7D39">
      <w:pPr>
        <w:pStyle w:val="BodyText"/>
        <w:rPr>
          <w:lang w:val="en-AU"/>
        </w:rPr>
      </w:pPr>
      <w:r w:rsidRPr="00CF74AD">
        <w:rPr>
          <w:lang w:val="en-AU"/>
        </w:rPr>
        <w:t>In 2016, there were 551 cases (2.3 per 100,000 population) in the annual Q fever notification. The majority of Australian Q fever notifications were reported from Queensland and New South Wales during 2011–2015, with the notification rate remaining highest in south west/central west Queensland and northwest New South Wales, and generally reflecting the intensity of local cattle, sheep, and goat husbandry, and associated processing industries</w:t>
      </w:r>
      <w:r w:rsidR="00CD7159" w:rsidRPr="00CF74AD">
        <w:rPr>
          <w:lang w:val="en-AU"/>
        </w:rPr>
        <w:t>,</w:t>
      </w:r>
      <w:r w:rsidRPr="00A94846">
        <w:rPr>
          <w:rStyle w:val="FootnoteReference"/>
        </w:rPr>
        <w:footnoteReference w:id="141"/>
      </w:r>
      <w:r w:rsidRPr="00661245">
        <w:rPr>
          <w:lang w:val="en-AU"/>
        </w:rPr>
        <w:t xml:space="preserve"> although it is emerging in other regions, including </w:t>
      </w:r>
      <w:r w:rsidR="009B1A3D">
        <w:rPr>
          <w:lang w:val="en-AU"/>
        </w:rPr>
        <w:t xml:space="preserve">the </w:t>
      </w:r>
      <w:r w:rsidRPr="00661245">
        <w:rPr>
          <w:lang w:val="en-AU"/>
        </w:rPr>
        <w:t>Northern Territory and southwest Western Australia</w:t>
      </w:r>
      <w:r w:rsidR="00CD7159" w:rsidRPr="00CF74AD">
        <w:rPr>
          <w:lang w:val="en-AU"/>
        </w:rPr>
        <w:t>.</w:t>
      </w:r>
      <w:r w:rsidRPr="00A94846">
        <w:rPr>
          <w:rStyle w:val="FootnoteReference"/>
        </w:rPr>
        <w:footnoteReference w:id="142"/>
      </w:r>
      <w:r w:rsidRPr="00661245">
        <w:rPr>
          <w:lang w:val="en-AU"/>
        </w:rPr>
        <w:t xml:space="preserve"> </w:t>
      </w:r>
    </w:p>
    <w:p w14:paraId="2A7F1262" w14:textId="77777777" w:rsidR="00553C28" w:rsidRPr="00CF29E7" w:rsidRDefault="00553C28" w:rsidP="007C7D39">
      <w:pPr>
        <w:pStyle w:val="BodyText"/>
        <w:rPr>
          <w:b/>
          <w:bCs/>
          <w:i/>
          <w:iCs/>
          <w:lang w:val="en-AU"/>
        </w:rPr>
      </w:pPr>
      <w:r w:rsidRPr="00CF29E7">
        <w:rPr>
          <w:b/>
          <w:bCs/>
          <w:i/>
          <w:iCs/>
          <w:lang w:val="en-AU"/>
        </w:rPr>
        <w:t xml:space="preserve">Clinical presentation </w:t>
      </w:r>
    </w:p>
    <w:p w14:paraId="67F0F731" w14:textId="77777777" w:rsidR="00DE22C9" w:rsidRPr="00CF74AD" w:rsidRDefault="00DE22C9" w:rsidP="00DE22C9">
      <w:pPr>
        <w:pStyle w:val="BodyText"/>
        <w:rPr>
          <w:lang w:val="en-AU"/>
        </w:rPr>
      </w:pPr>
      <w:r w:rsidRPr="00CF29E7">
        <w:rPr>
          <w:lang w:val="en-AU"/>
        </w:rPr>
        <w:t>Q fever may present as an acute or chronic illness</w:t>
      </w:r>
      <w:r w:rsidR="00936269" w:rsidRPr="00CF29E7">
        <w:rPr>
          <w:lang w:val="en-AU"/>
        </w:rPr>
        <w:t xml:space="preserve">, with </w:t>
      </w:r>
      <w:r w:rsidRPr="00D621FF">
        <w:rPr>
          <w:lang w:val="en-AU"/>
        </w:rPr>
        <w:t>the majority (60</w:t>
      </w:r>
      <w:r w:rsidR="008033ED" w:rsidRPr="00D621FF">
        <w:rPr>
          <w:lang w:val="en-AU"/>
        </w:rPr>
        <w:t xml:space="preserve"> </w:t>
      </w:r>
      <w:r w:rsidR="00CF74AD">
        <w:rPr>
          <w:lang w:val="en-AU"/>
        </w:rPr>
        <w:t>per cent</w:t>
      </w:r>
      <w:r w:rsidRPr="00CF74AD">
        <w:rPr>
          <w:lang w:val="en-AU"/>
        </w:rPr>
        <w:t xml:space="preserve">) of cases </w:t>
      </w:r>
      <w:r w:rsidR="00936269" w:rsidRPr="00CF74AD">
        <w:rPr>
          <w:lang w:val="en-AU"/>
        </w:rPr>
        <w:t xml:space="preserve">with </w:t>
      </w:r>
      <w:r w:rsidRPr="00CF29E7">
        <w:rPr>
          <w:lang w:val="en-AU"/>
        </w:rPr>
        <w:t>asymptomatic/subclinical presentations</w:t>
      </w:r>
      <w:r w:rsidR="008033ED" w:rsidRPr="00D621FF">
        <w:rPr>
          <w:lang w:val="en-AU"/>
        </w:rPr>
        <w:t>.</w:t>
      </w:r>
      <w:r w:rsidRPr="00A94846">
        <w:rPr>
          <w:rStyle w:val="FootnoteReference"/>
        </w:rPr>
        <w:footnoteReference w:id="143"/>
      </w:r>
      <w:r w:rsidRPr="00661245">
        <w:rPr>
          <w:vertAlign w:val="superscript"/>
          <w:lang w:val="en-AU"/>
        </w:rPr>
        <w:t>,</w:t>
      </w:r>
      <w:r w:rsidR="008564ED">
        <w:rPr>
          <w:vertAlign w:val="superscript"/>
          <w:lang w:val="en-AU"/>
        </w:rPr>
        <w:t xml:space="preserve"> </w:t>
      </w:r>
      <w:r w:rsidRPr="00A94846">
        <w:rPr>
          <w:rStyle w:val="FootnoteReference"/>
        </w:rPr>
        <w:footnoteReference w:id="144"/>
      </w:r>
      <w:r w:rsidR="00936269" w:rsidRPr="00661245">
        <w:rPr>
          <w:lang w:val="en-AU"/>
        </w:rPr>
        <w:t xml:space="preserve"> </w:t>
      </w:r>
      <w:r w:rsidRPr="00CF74AD">
        <w:rPr>
          <w:lang w:val="en-AU"/>
        </w:rPr>
        <w:t xml:space="preserve">People who do become sick often have a severe flu-like illness. </w:t>
      </w:r>
    </w:p>
    <w:p w14:paraId="2247F87B" w14:textId="77777777" w:rsidR="00DE22C9" w:rsidRPr="00CF74AD" w:rsidRDefault="00DE22C9" w:rsidP="00344380">
      <w:pPr>
        <w:spacing w:after="80"/>
        <w:rPr>
          <w:i/>
          <w:iCs/>
          <w:lang w:val="en-AU"/>
        </w:rPr>
      </w:pPr>
      <w:r w:rsidRPr="00CF74AD">
        <w:rPr>
          <w:i/>
          <w:iCs/>
          <w:lang w:val="en-AU"/>
        </w:rPr>
        <w:t>Acute Q fever</w:t>
      </w:r>
    </w:p>
    <w:p w14:paraId="3E144CD1" w14:textId="77777777" w:rsidR="00DE22C9" w:rsidRPr="00661245" w:rsidRDefault="00DE22C9" w:rsidP="00344380">
      <w:pPr>
        <w:pStyle w:val="BodyText"/>
        <w:rPr>
          <w:lang w:val="en-AU"/>
        </w:rPr>
      </w:pPr>
      <w:r w:rsidRPr="00CF74AD">
        <w:rPr>
          <w:lang w:val="en-AU"/>
        </w:rPr>
        <w:t xml:space="preserve">The most common manifestation is an influenza-like illness which might occur in conjunction with </w:t>
      </w:r>
      <w:r w:rsidR="00D20D4E" w:rsidRPr="00CF74AD">
        <w:rPr>
          <w:lang w:val="en-AU"/>
        </w:rPr>
        <w:t xml:space="preserve">abnormal </w:t>
      </w:r>
      <w:r w:rsidR="00FF4F69" w:rsidRPr="00CF29E7">
        <w:rPr>
          <w:lang w:val="en-AU"/>
        </w:rPr>
        <w:t xml:space="preserve">liver function tests, </w:t>
      </w:r>
      <w:r w:rsidRPr="00CF29E7">
        <w:rPr>
          <w:lang w:val="en-AU"/>
        </w:rPr>
        <w:t>hepatitis and/or pneumonia</w:t>
      </w:r>
      <w:r w:rsidR="00936269" w:rsidRPr="00CF29E7">
        <w:rPr>
          <w:lang w:val="en-AU"/>
        </w:rPr>
        <w:t>. It</w:t>
      </w:r>
      <w:r w:rsidRPr="00D621FF">
        <w:rPr>
          <w:lang w:val="en-AU"/>
        </w:rPr>
        <w:t xml:space="preserve"> can appear similar to other aetiologies of atypical pneumonia, such as those associated with </w:t>
      </w:r>
      <w:r w:rsidRPr="00D621FF">
        <w:rPr>
          <w:i/>
          <w:iCs/>
          <w:lang w:val="en-AU"/>
        </w:rPr>
        <w:t xml:space="preserve">Legionella </w:t>
      </w:r>
      <w:r w:rsidRPr="00D621FF">
        <w:rPr>
          <w:lang w:val="en-AU"/>
        </w:rPr>
        <w:t xml:space="preserve">or </w:t>
      </w:r>
      <w:r w:rsidRPr="00FA6D54">
        <w:rPr>
          <w:i/>
          <w:iCs/>
          <w:lang w:val="en-AU"/>
        </w:rPr>
        <w:t xml:space="preserve">Mycoplasma, </w:t>
      </w:r>
      <w:r w:rsidRPr="00F2704A">
        <w:rPr>
          <w:lang w:val="en-AU"/>
        </w:rPr>
        <w:t xml:space="preserve">requiring consideration of differential diagnoses. Commonly reported signs and symptoms </w:t>
      </w:r>
      <w:r w:rsidRPr="00F2704A">
        <w:rPr>
          <w:lang w:val="en-AU"/>
        </w:rPr>
        <w:lastRenderedPageBreak/>
        <w:t>include fever, chills, sweats, severe headache, (especially behind the eyes), photophobia, weakness, anorexia, nausea, myalgia, cough and weight loss</w:t>
      </w:r>
      <w:r w:rsidR="008564ED">
        <w:rPr>
          <w:lang w:val="en-AU"/>
        </w:rPr>
        <w:t>.</w:t>
      </w:r>
      <w:r w:rsidR="00E710C6" w:rsidRPr="00A94846">
        <w:rPr>
          <w:rStyle w:val="FootnoteReference"/>
        </w:rPr>
        <w:footnoteReference w:id="145"/>
      </w:r>
      <w:r w:rsidR="007040B2" w:rsidRPr="00661245">
        <w:rPr>
          <w:vertAlign w:val="superscript"/>
          <w:lang w:val="en-AU"/>
        </w:rPr>
        <w:t>,</w:t>
      </w:r>
      <w:r w:rsidR="008564ED">
        <w:rPr>
          <w:vertAlign w:val="superscript"/>
          <w:lang w:val="en-AU"/>
        </w:rPr>
        <w:t xml:space="preserve"> </w:t>
      </w:r>
      <w:r w:rsidR="007040B2" w:rsidRPr="00A94846">
        <w:rPr>
          <w:rStyle w:val="FootnoteReference"/>
        </w:rPr>
        <w:footnoteReference w:id="146"/>
      </w:r>
    </w:p>
    <w:p w14:paraId="2BD3C85E" w14:textId="77777777" w:rsidR="00DE22C9" w:rsidRPr="00661245" w:rsidRDefault="00DE22C9" w:rsidP="00DE22C9">
      <w:pPr>
        <w:pStyle w:val="BodyText"/>
        <w:rPr>
          <w:lang w:val="en-AU"/>
        </w:rPr>
      </w:pPr>
      <w:r w:rsidRPr="00CF74AD">
        <w:rPr>
          <w:lang w:val="en-AU"/>
        </w:rPr>
        <w:t xml:space="preserve">The most prevalent acute symptoms </w:t>
      </w:r>
      <w:r w:rsidR="00936269" w:rsidRPr="00CF74AD">
        <w:rPr>
          <w:lang w:val="en-AU"/>
        </w:rPr>
        <w:t>are</w:t>
      </w:r>
      <w:r w:rsidRPr="00CF74AD">
        <w:rPr>
          <w:lang w:val="en-AU"/>
        </w:rPr>
        <w:t xml:space="preserve"> fever (95</w:t>
      </w:r>
      <w:r w:rsidR="00CB5532" w:rsidRPr="00CF74AD">
        <w:rPr>
          <w:lang w:val="en-AU"/>
        </w:rPr>
        <w:t xml:space="preserve"> </w:t>
      </w:r>
      <w:r w:rsidR="00CF74AD">
        <w:rPr>
          <w:lang w:val="en-AU"/>
        </w:rPr>
        <w:t>per cent</w:t>
      </w:r>
      <w:r w:rsidRPr="00CF74AD">
        <w:rPr>
          <w:lang w:val="en-AU"/>
        </w:rPr>
        <w:t>), headaches (53</w:t>
      </w:r>
      <w:r w:rsidR="00CB5532" w:rsidRPr="00CF74AD">
        <w:rPr>
          <w:lang w:val="en-AU"/>
        </w:rPr>
        <w:t xml:space="preserve"> </w:t>
      </w:r>
      <w:r w:rsidR="00CF74AD">
        <w:rPr>
          <w:lang w:val="en-AU"/>
        </w:rPr>
        <w:t>per cent</w:t>
      </w:r>
      <w:r w:rsidRPr="00CF74AD">
        <w:rPr>
          <w:lang w:val="en-AU"/>
        </w:rPr>
        <w:t>) and myalgia (38</w:t>
      </w:r>
      <w:r w:rsidR="00CB5532" w:rsidRPr="00CF74AD">
        <w:rPr>
          <w:lang w:val="en-AU"/>
        </w:rPr>
        <w:t xml:space="preserve"> </w:t>
      </w:r>
      <w:r w:rsidR="00CF74AD">
        <w:rPr>
          <w:lang w:val="en-AU"/>
        </w:rPr>
        <w:t>per cent</w:t>
      </w:r>
      <w:r w:rsidRPr="00CF74AD">
        <w:rPr>
          <w:lang w:val="en-AU"/>
        </w:rPr>
        <w:t>)</w:t>
      </w:r>
      <w:r w:rsidR="008564ED">
        <w:rPr>
          <w:lang w:val="en-AU"/>
        </w:rPr>
        <w:t>.</w:t>
      </w:r>
      <w:r w:rsidRPr="00A94846">
        <w:rPr>
          <w:rStyle w:val="FootnoteReference"/>
        </w:rPr>
        <w:footnoteReference w:id="147"/>
      </w:r>
    </w:p>
    <w:p w14:paraId="76BA7AD6" w14:textId="77777777" w:rsidR="00DE22C9" w:rsidRPr="00661245" w:rsidRDefault="00DE22C9" w:rsidP="00DE22C9">
      <w:pPr>
        <w:pStyle w:val="BodyText"/>
        <w:rPr>
          <w:lang w:val="en-AU"/>
        </w:rPr>
      </w:pPr>
      <w:r w:rsidRPr="00CF74AD">
        <w:rPr>
          <w:lang w:val="en-AU"/>
        </w:rPr>
        <w:t>In a minority of infected cases (≤1</w:t>
      </w:r>
      <w:r w:rsidR="00CB5532" w:rsidRPr="00CF74AD">
        <w:rPr>
          <w:lang w:val="en-AU"/>
        </w:rPr>
        <w:t xml:space="preserve"> </w:t>
      </w:r>
      <w:r w:rsidR="00CF74AD">
        <w:rPr>
          <w:lang w:val="en-AU"/>
        </w:rPr>
        <w:t>per cent</w:t>
      </w:r>
      <w:r w:rsidRPr="00CF74AD">
        <w:rPr>
          <w:lang w:val="en-AU"/>
        </w:rPr>
        <w:t>), patients may develop pericarditis, myocarditis or</w:t>
      </w:r>
      <w:r w:rsidR="00670625">
        <w:rPr>
          <w:lang w:val="en-AU"/>
        </w:rPr>
        <w:t xml:space="preserve"> neurologic complications (e.g.</w:t>
      </w:r>
      <w:r w:rsidRPr="00CF74AD">
        <w:rPr>
          <w:lang w:val="en-AU"/>
        </w:rPr>
        <w:t xml:space="preserve"> meningoencephalitis, encephalomyelitis)</w:t>
      </w:r>
      <w:r w:rsidR="00CB5532" w:rsidRPr="00CF74AD">
        <w:rPr>
          <w:lang w:val="en-AU"/>
        </w:rPr>
        <w:t>.</w:t>
      </w:r>
      <w:r w:rsidRPr="00A94846">
        <w:rPr>
          <w:rStyle w:val="FootnoteReference"/>
        </w:rPr>
        <w:footnoteReference w:id="148"/>
      </w:r>
      <w:r w:rsidRPr="00661245">
        <w:rPr>
          <w:lang w:val="en-AU"/>
        </w:rPr>
        <w:t xml:space="preserve"> Unlike </w:t>
      </w:r>
      <w:r w:rsidR="00880B93" w:rsidRPr="00CF74AD">
        <w:rPr>
          <w:lang w:val="en-AU"/>
        </w:rPr>
        <w:t>Rickettsial</w:t>
      </w:r>
      <w:r w:rsidRPr="00CF74AD">
        <w:rPr>
          <w:lang w:val="en-AU"/>
        </w:rPr>
        <w:t xml:space="preserve"> infections (see</w:t>
      </w:r>
      <w:r w:rsidR="00342C66" w:rsidRPr="00CF74AD">
        <w:rPr>
          <w:lang w:val="en-AU"/>
        </w:rPr>
        <w:t xml:space="preserve"> </w:t>
      </w:r>
      <w:r w:rsidR="00BE0105" w:rsidRPr="00CF74AD">
        <w:rPr>
          <w:lang w:val="en-AU"/>
        </w:rPr>
        <w:t>above</w:t>
      </w:r>
      <w:r w:rsidRPr="00CF74AD">
        <w:rPr>
          <w:lang w:val="en-AU"/>
        </w:rPr>
        <w:t>), Q fever is unlikely to be associated with a rash</w:t>
      </w:r>
      <w:r w:rsidR="00CB5532" w:rsidRPr="00CF29E7">
        <w:rPr>
          <w:lang w:val="en-AU"/>
        </w:rPr>
        <w:t>.</w:t>
      </w:r>
      <w:r w:rsidRPr="00A94846">
        <w:rPr>
          <w:rStyle w:val="FootnoteReference"/>
        </w:rPr>
        <w:footnoteReference w:id="149"/>
      </w:r>
    </w:p>
    <w:p w14:paraId="6B0768E3" w14:textId="77777777" w:rsidR="00DE22C9" w:rsidRPr="00CF74AD" w:rsidRDefault="00DE22C9" w:rsidP="00344380">
      <w:pPr>
        <w:pStyle w:val="BodyText"/>
        <w:keepNext/>
        <w:rPr>
          <w:i/>
          <w:iCs/>
          <w:lang w:val="en-AU"/>
        </w:rPr>
      </w:pPr>
      <w:r w:rsidRPr="00CF74AD">
        <w:rPr>
          <w:i/>
          <w:iCs/>
          <w:lang w:val="en-AU"/>
        </w:rPr>
        <w:t>Chronic Q fever</w:t>
      </w:r>
    </w:p>
    <w:p w14:paraId="164FC421" w14:textId="77777777" w:rsidR="00B35D3E" w:rsidRDefault="00DE22C9" w:rsidP="00DE22C9">
      <w:pPr>
        <w:pStyle w:val="BodyText"/>
        <w:rPr>
          <w:i/>
          <w:iCs/>
          <w:lang w:val="en-AU"/>
        </w:rPr>
      </w:pPr>
      <w:r w:rsidRPr="00CF74AD">
        <w:rPr>
          <w:lang w:val="en-AU"/>
        </w:rPr>
        <w:t xml:space="preserve">Chronic Q fever </w:t>
      </w:r>
      <w:r w:rsidR="007F01D4" w:rsidRPr="00CF74AD">
        <w:rPr>
          <w:lang w:val="en-AU"/>
        </w:rPr>
        <w:t xml:space="preserve">is the most </w:t>
      </w:r>
      <w:r w:rsidR="000F174D" w:rsidRPr="00CF74AD">
        <w:rPr>
          <w:lang w:val="en-AU"/>
        </w:rPr>
        <w:t xml:space="preserve">serious form of the disease </w:t>
      </w:r>
      <w:r w:rsidR="001335E9" w:rsidRPr="00CF74AD">
        <w:rPr>
          <w:lang w:val="en-AU"/>
        </w:rPr>
        <w:t xml:space="preserve">and </w:t>
      </w:r>
      <w:r w:rsidRPr="00CF29E7">
        <w:rPr>
          <w:lang w:val="en-AU"/>
        </w:rPr>
        <w:t xml:space="preserve">can occur from one month to several years after acute illness as a result of persistence of </w:t>
      </w:r>
      <w:r w:rsidRPr="00CF29E7">
        <w:rPr>
          <w:i/>
          <w:iCs/>
          <w:lang w:val="en-AU"/>
        </w:rPr>
        <w:t xml:space="preserve">C. burnetii </w:t>
      </w:r>
      <w:r w:rsidRPr="00D621FF">
        <w:rPr>
          <w:lang w:val="en-AU"/>
        </w:rPr>
        <w:t>infection in the host after primary infection</w:t>
      </w:r>
      <w:r w:rsidR="00CB5532" w:rsidRPr="00D621FF">
        <w:rPr>
          <w:lang w:val="en-AU"/>
        </w:rPr>
        <w:t>.</w:t>
      </w:r>
      <w:r w:rsidR="00303FEC" w:rsidRPr="00A94846">
        <w:rPr>
          <w:rStyle w:val="FootnoteReference"/>
        </w:rPr>
        <w:footnoteReference w:id="150"/>
      </w:r>
      <w:r w:rsidR="00B91343" w:rsidRPr="00661245">
        <w:rPr>
          <w:vertAlign w:val="superscript"/>
          <w:lang w:val="en-AU"/>
        </w:rPr>
        <w:t>,</w:t>
      </w:r>
      <w:r w:rsidR="008564ED">
        <w:rPr>
          <w:vertAlign w:val="superscript"/>
          <w:lang w:val="en-AU"/>
        </w:rPr>
        <w:t xml:space="preserve"> </w:t>
      </w:r>
      <w:r w:rsidR="00B91343" w:rsidRPr="00A94846">
        <w:rPr>
          <w:rStyle w:val="FootnoteReference"/>
        </w:rPr>
        <w:footnoteReference w:id="151"/>
      </w:r>
      <w:r w:rsidRPr="00661245">
        <w:rPr>
          <w:lang w:val="en-AU"/>
        </w:rPr>
        <w:t xml:space="preserve"> Sometimes there is no history of acute illness. Chronic Q fever may present as one of three forms according to the focus of infection: </w:t>
      </w:r>
      <w:r w:rsidR="00012310" w:rsidRPr="00CF74AD">
        <w:rPr>
          <w:lang w:val="en-AU"/>
        </w:rPr>
        <w:t>e</w:t>
      </w:r>
      <w:r w:rsidRPr="00CF74AD">
        <w:rPr>
          <w:lang w:val="en-AU"/>
        </w:rPr>
        <w:t xml:space="preserve">ndocarditis; </w:t>
      </w:r>
      <w:r w:rsidR="00012310" w:rsidRPr="00CF74AD">
        <w:rPr>
          <w:lang w:val="en-AU"/>
        </w:rPr>
        <w:t>o</w:t>
      </w:r>
      <w:r w:rsidRPr="00CF74AD">
        <w:rPr>
          <w:lang w:val="en-AU"/>
        </w:rPr>
        <w:t xml:space="preserve">steoarticular infections; and </w:t>
      </w:r>
      <w:r w:rsidR="00C363C5" w:rsidRPr="00CF74AD">
        <w:rPr>
          <w:lang w:val="en-AU"/>
        </w:rPr>
        <w:t>v</w:t>
      </w:r>
      <w:r w:rsidRPr="00CF29E7">
        <w:rPr>
          <w:lang w:val="en-AU"/>
        </w:rPr>
        <w:t>ascular infections with the abdominal or thoracic aorta the most frequent site for vascular infections</w:t>
      </w:r>
      <w:r w:rsidR="00CB5532" w:rsidRPr="00CF29E7">
        <w:rPr>
          <w:lang w:val="en-AU"/>
        </w:rPr>
        <w:t>.</w:t>
      </w:r>
      <w:r w:rsidRPr="00A94846">
        <w:rPr>
          <w:rStyle w:val="FootnoteReference"/>
        </w:rPr>
        <w:footnoteReference w:id="152"/>
      </w:r>
      <w:r w:rsidRPr="00661245">
        <w:rPr>
          <w:lang w:val="en-AU"/>
        </w:rPr>
        <w:t xml:space="preserve"> Chronic Q fever may also manifest as chronic hepatitis, pericarditis, and very rarely as adenopathies, lung or splenic pseudotumours, or chronic neuropathy</w:t>
      </w:r>
      <w:r w:rsidR="00CB5532" w:rsidRPr="00CF74AD">
        <w:rPr>
          <w:lang w:val="en-AU"/>
        </w:rPr>
        <w:t>.</w:t>
      </w:r>
      <w:r w:rsidRPr="00A94846">
        <w:rPr>
          <w:rStyle w:val="FootnoteReference"/>
        </w:rPr>
        <w:footnoteReference w:id="153"/>
      </w:r>
      <w:r w:rsidRPr="00661245">
        <w:rPr>
          <w:lang w:val="en-AU"/>
        </w:rPr>
        <w:t xml:space="preserve"> As such, Q fever may som</w:t>
      </w:r>
      <w:r w:rsidRPr="00CF74AD">
        <w:rPr>
          <w:lang w:val="en-AU"/>
        </w:rPr>
        <w:t>etimes present as an infection similar to Lyme carditis or Lyme neuroborreliosis</w:t>
      </w:r>
      <w:r w:rsidR="00CB5532" w:rsidRPr="00CF74AD">
        <w:rPr>
          <w:lang w:val="en-AU"/>
        </w:rPr>
        <w:t>.</w:t>
      </w:r>
      <w:r w:rsidRPr="00A94846">
        <w:rPr>
          <w:rStyle w:val="FootnoteReference"/>
        </w:rPr>
        <w:footnoteReference w:id="154"/>
      </w:r>
    </w:p>
    <w:p w14:paraId="0D23DC9D" w14:textId="77777777" w:rsidR="00DE22C9" w:rsidRPr="00CF74AD" w:rsidRDefault="00DE22C9" w:rsidP="00DE22C9">
      <w:pPr>
        <w:pStyle w:val="BodyText"/>
        <w:rPr>
          <w:lang w:val="en-AU"/>
        </w:rPr>
      </w:pPr>
      <w:r w:rsidRPr="00CF74AD">
        <w:rPr>
          <w:i/>
          <w:iCs/>
          <w:lang w:val="en-AU"/>
        </w:rPr>
        <w:t>Q fever fatigue syndrome</w:t>
      </w:r>
      <w:r w:rsidRPr="00CF74AD">
        <w:rPr>
          <w:lang w:val="en-AU"/>
        </w:rPr>
        <w:t xml:space="preserve"> </w:t>
      </w:r>
    </w:p>
    <w:p w14:paraId="33D33679" w14:textId="77777777" w:rsidR="00DE22C9" w:rsidRDefault="00DE22C9" w:rsidP="00DE22C9">
      <w:pPr>
        <w:pStyle w:val="BodyText"/>
        <w:rPr>
          <w:lang w:val="en-AU"/>
        </w:rPr>
      </w:pPr>
      <w:r w:rsidRPr="00CF74AD">
        <w:rPr>
          <w:lang w:val="en-AU"/>
        </w:rPr>
        <w:t>Q fever fatigue syndrome (QFS) refers to systemic symptoms that fail to recover more than 12 months after the acute illness and is the most common sequela following acute infection in Australia, occurring in approximately 10–15</w:t>
      </w:r>
      <w:r w:rsidR="00CB5532" w:rsidRPr="00CF74AD">
        <w:rPr>
          <w:lang w:val="en-AU"/>
        </w:rPr>
        <w:t xml:space="preserve"> </w:t>
      </w:r>
      <w:r w:rsidR="00CF74AD">
        <w:rPr>
          <w:lang w:val="en-AU"/>
        </w:rPr>
        <w:t>per cent</w:t>
      </w:r>
      <w:r w:rsidRPr="00CF74AD">
        <w:rPr>
          <w:lang w:val="en-AU"/>
        </w:rPr>
        <w:t xml:space="preserve"> of patients. </w:t>
      </w:r>
      <w:r w:rsidR="00B32BF0" w:rsidRPr="00CF74AD">
        <w:rPr>
          <w:lang w:val="en-AU"/>
        </w:rPr>
        <w:t xml:space="preserve">The initial infection may be </w:t>
      </w:r>
      <w:r w:rsidR="00B32BF0" w:rsidRPr="00CF29E7">
        <w:rPr>
          <w:lang w:val="en-AU"/>
        </w:rPr>
        <w:t>mild or severe</w:t>
      </w:r>
      <w:r w:rsidR="00093E3D" w:rsidRPr="00D621FF">
        <w:rPr>
          <w:lang w:val="en-AU"/>
        </w:rPr>
        <w:t>, and patients present with a ‘chronic fatigue-like’ picture</w:t>
      </w:r>
      <w:r w:rsidR="00CB5532" w:rsidRPr="00D621FF">
        <w:rPr>
          <w:lang w:val="en-AU"/>
        </w:rPr>
        <w:t>.</w:t>
      </w:r>
      <w:r w:rsidR="00093E3D" w:rsidRPr="00A94846">
        <w:rPr>
          <w:rStyle w:val="FootnoteReference"/>
        </w:rPr>
        <w:footnoteReference w:id="155"/>
      </w:r>
      <w:r w:rsidR="00093E3D" w:rsidRPr="00661245">
        <w:rPr>
          <w:lang w:val="en-AU"/>
        </w:rPr>
        <w:t xml:space="preserve"> </w:t>
      </w:r>
      <w:r w:rsidRPr="00CF74AD">
        <w:rPr>
          <w:lang w:val="en-AU"/>
        </w:rPr>
        <w:t>Typical features include: profound fatigue, arthralgia, myalgia, concentration and memory problems, sleeping problems, sweats and headaches</w:t>
      </w:r>
      <w:r w:rsidR="008564ED">
        <w:rPr>
          <w:lang w:val="en-AU"/>
        </w:rPr>
        <w:t>.</w:t>
      </w:r>
      <w:r w:rsidRPr="00A94846">
        <w:rPr>
          <w:rStyle w:val="FootnoteReference"/>
        </w:rPr>
        <w:footnoteReference w:id="156"/>
      </w:r>
      <w:r w:rsidR="00F423EB" w:rsidRPr="00CF74AD">
        <w:rPr>
          <w:lang w:val="en-AU"/>
        </w:rPr>
        <w:t xml:space="preserve"> </w:t>
      </w:r>
      <w:r w:rsidR="00780932" w:rsidRPr="00CF74AD">
        <w:rPr>
          <w:lang w:val="en-AU"/>
        </w:rPr>
        <w:t>Alcohol intolerance is a commonly reported feature</w:t>
      </w:r>
      <w:r w:rsidR="00CB5532" w:rsidRPr="00CF74AD">
        <w:rPr>
          <w:lang w:val="en-AU"/>
        </w:rPr>
        <w:t>.</w:t>
      </w:r>
      <w:r w:rsidR="00780932" w:rsidRPr="00A94846">
        <w:rPr>
          <w:rStyle w:val="FootnoteReference"/>
        </w:rPr>
        <w:footnoteReference w:id="157"/>
      </w:r>
      <w:r w:rsidR="00780932" w:rsidRPr="00661245">
        <w:rPr>
          <w:lang w:val="en-AU"/>
        </w:rPr>
        <w:t xml:space="preserve"> </w:t>
      </w:r>
      <w:r w:rsidR="00826E4D" w:rsidRPr="00CF74AD">
        <w:rPr>
          <w:lang w:val="en-AU"/>
        </w:rPr>
        <w:t xml:space="preserve">The severity of the initial acute infection is the only known risk factor for the development of the </w:t>
      </w:r>
      <w:r w:rsidR="00186B09" w:rsidRPr="00CF74AD">
        <w:rPr>
          <w:lang w:val="en-AU"/>
        </w:rPr>
        <w:t>post-Q-fever fatigue</w:t>
      </w:r>
      <w:r w:rsidR="000F121B" w:rsidRPr="00CF74AD">
        <w:rPr>
          <w:lang w:val="en-AU"/>
        </w:rPr>
        <w:t>.</w:t>
      </w:r>
      <w:r w:rsidR="00186B09" w:rsidRPr="00A94846">
        <w:rPr>
          <w:rStyle w:val="FootnoteReference"/>
        </w:rPr>
        <w:footnoteReference w:id="158"/>
      </w:r>
    </w:p>
    <w:p w14:paraId="48DD85B7" w14:textId="77777777" w:rsidR="008F256F" w:rsidRDefault="008F256F" w:rsidP="00DE22C9">
      <w:pPr>
        <w:pStyle w:val="BodyText"/>
        <w:rPr>
          <w:lang w:val="en-AU"/>
        </w:rPr>
      </w:pPr>
      <w:r>
        <w:rPr>
          <w:lang w:val="en-AU"/>
        </w:rPr>
        <w:br w:type="page"/>
      </w:r>
    </w:p>
    <w:p w14:paraId="755F9B70" w14:textId="77777777" w:rsidR="00A27CF8" w:rsidRPr="00FA6D54" w:rsidRDefault="00393062" w:rsidP="00816FB0">
      <w:pPr>
        <w:pStyle w:val="NumberedHeading3"/>
        <w:spacing w:line="240" w:lineRule="auto"/>
        <w:rPr>
          <w:lang w:val="en-AU"/>
        </w:rPr>
      </w:pPr>
      <w:bookmarkStart w:id="80" w:name="_Toc55464786"/>
      <w:r w:rsidRPr="00CF74AD">
        <w:rPr>
          <w:lang w:val="en-AU"/>
        </w:rPr>
        <w:lastRenderedPageBreak/>
        <w:t>If Q fever suspected</w:t>
      </w:r>
      <w:r w:rsidR="00163D8E" w:rsidRPr="00CF74AD">
        <w:rPr>
          <w:lang w:val="en-AU"/>
        </w:rPr>
        <w:t xml:space="preserve"> </w:t>
      </w:r>
      <w:r w:rsidR="003341F0" w:rsidRPr="00CF74AD">
        <w:rPr>
          <w:lang w:val="en-AU"/>
        </w:rPr>
        <w:t xml:space="preserve">clinically </w:t>
      </w:r>
      <w:r w:rsidR="006509BE" w:rsidRPr="00CF74AD">
        <w:rPr>
          <w:lang w:val="en-AU"/>
        </w:rPr>
        <w:t>(appropriate symptoms AND at high risk epidemiologically)</w:t>
      </w:r>
      <w:r w:rsidR="00163D8E" w:rsidRPr="00CF74AD">
        <w:rPr>
          <w:lang w:val="en-AU"/>
        </w:rPr>
        <w:t xml:space="preserve">, </w:t>
      </w:r>
      <w:r w:rsidR="006509BE" w:rsidRPr="00CF29E7">
        <w:rPr>
          <w:lang w:val="en-AU"/>
        </w:rPr>
        <w:t>commence empirical trea</w:t>
      </w:r>
      <w:r w:rsidR="006509BE" w:rsidRPr="00D621FF">
        <w:rPr>
          <w:lang w:val="en-AU"/>
        </w:rPr>
        <w:t xml:space="preserve">tment </w:t>
      </w:r>
      <w:r w:rsidR="00EC14B4" w:rsidRPr="00D621FF">
        <w:rPr>
          <w:lang w:val="en-AU"/>
        </w:rPr>
        <w:t xml:space="preserve">while </w:t>
      </w:r>
      <w:r w:rsidR="00F91363" w:rsidRPr="00D621FF">
        <w:rPr>
          <w:lang w:val="en-AU"/>
        </w:rPr>
        <w:t>waiting for laboratory tests</w:t>
      </w:r>
      <w:bookmarkEnd w:id="80"/>
    </w:p>
    <w:p w14:paraId="6FDB0F58" w14:textId="77777777" w:rsidR="005010F1" w:rsidRPr="00CF29E7" w:rsidRDefault="006119CA" w:rsidP="001A22C9">
      <w:pPr>
        <w:pStyle w:val="Body"/>
        <w:spacing w:line="280" w:lineRule="exact"/>
        <w:rPr>
          <w:lang w:val="en-AU"/>
        </w:rPr>
      </w:pPr>
      <w:r w:rsidRPr="00F2704A">
        <w:rPr>
          <w:lang w:val="en-AU"/>
        </w:rPr>
        <w:t>While a</w:t>
      </w:r>
      <w:r w:rsidR="00C01231" w:rsidRPr="00F2704A">
        <w:rPr>
          <w:lang w:val="en-AU"/>
        </w:rPr>
        <w:t>chieving a timely, definitive diagnosis of Q fever is challenging</w:t>
      </w:r>
      <w:r w:rsidR="00E926D9" w:rsidRPr="00F2704A">
        <w:rPr>
          <w:lang w:val="en-AU"/>
        </w:rPr>
        <w:t xml:space="preserve">, early treatment is beneficial and empirical antibiotic therapy </w:t>
      </w:r>
      <w:r w:rsidR="00E2722F" w:rsidRPr="00F2704A">
        <w:rPr>
          <w:lang w:val="en-AU"/>
        </w:rPr>
        <w:t>should be considered if the presentation and clinical history suggest a zoonotic disease</w:t>
      </w:r>
      <w:r w:rsidR="000F121B" w:rsidRPr="00F2704A">
        <w:rPr>
          <w:lang w:val="en-AU"/>
        </w:rPr>
        <w:t>.</w:t>
      </w:r>
      <w:r w:rsidR="001606AE" w:rsidRPr="00A94846">
        <w:rPr>
          <w:rStyle w:val="FootnoteReference"/>
        </w:rPr>
        <w:footnoteReference w:id="159"/>
      </w:r>
      <w:r w:rsidR="00A03936" w:rsidRPr="00661245">
        <w:rPr>
          <w:lang w:val="en-AU"/>
        </w:rPr>
        <w:t xml:space="preserve"> </w:t>
      </w:r>
      <w:r w:rsidR="00F7067A" w:rsidRPr="00CF74AD">
        <w:rPr>
          <w:lang w:val="en-AU"/>
        </w:rPr>
        <w:t>Moreover, t</w:t>
      </w:r>
      <w:r w:rsidR="008912D6" w:rsidRPr="00CF74AD">
        <w:rPr>
          <w:lang w:val="en-AU"/>
        </w:rPr>
        <w:t xml:space="preserve">he </w:t>
      </w:r>
      <w:r w:rsidR="00FE281A" w:rsidRPr="00CF74AD">
        <w:rPr>
          <w:lang w:val="en-AU"/>
        </w:rPr>
        <w:t>Q fever CDNA guidelines for Public Health Units</w:t>
      </w:r>
      <w:r w:rsidR="00F423EB" w:rsidRPr="00CF29E7">
        <w:rPr>
          <w:lang w:val="en-AU"/>
        </w:rPr>
        <w:t xml:space="preserve"> </w:t>
      </w:r>
      <w:r w:rsidR="00FE281A" w:rsidRPr="00D621FF">
        <w:rPr>
          <w:lang w:val="en-AU"/>
        </w:rPr>
        <w:t>specif</w:t>
      </w:r>
      <w:r w:rsidR="00816FB0" w:rsidRPr="00D621FF">
        <w:rPr>
          <w:lang w:val="en-AU"/>
        </w:rPr>
        <w:t>y</w:t>
      </w:r>
      <w:r w:rsidR="00FE281A" w:rsidRPr="00D621FF">
        <w:rPr>
          <w:lang w:val="en-AU"/>
        </w:rPr>
        <w:t xml:space="preserve"> that if Q fever is suspected clinically </w:t>
      </w:r>
      <w:r w:rsidR="008330B5" w:rsidRPr="00FA6D54">
        <w:rPr>
          <w:lang w:val="en-AU"/>
        </w:rPr>
        <w:t>(</w:t>
      </w:r>
      <w:r w:rsidR="009E2C89" w:rsidRPr="00FA6D54">
        <w:rPr>
          <w:lang w:val="en-AU"/>
        </w:rPr>
        <w:t>in people with appropriate symptoms AN</w:t>
      </w:r>
      <w:r w:rsidR="009E2C89" w:rsidRPr="00F2704A">
        <w:rPr>
          <w:lang w:val="en-AU"/>
        </w:rPr>
        <w:t>D who are at high risk of contracting Q fever</w:t>
      </w:r>
      <w:r w:rsidR="008330B5" w:rsidRPr="00F2704A">
        <w:rPr>
          <w:lang w:val="en-AU"/>
        </w:rPr>
        <w:t>)</w:t>
      </w:r>
      <w:r w:rsidR="00F7067A" w:rsidRPr="00F2704A">
        <w:rPr>
          <w:lang w:val="en-AU"/>
        </w:rPr>
        <w:t xml:space="preserve">, </w:t>
      </w:r>
      <w:r w:rsidR="00BE3E14" w:rsidRPr="00F2704A">
        <w:rPr>
          <w:lang w:val="en-AU"/>
        </w:rPr>
        <w:t>empirical treatment should be commenced without waiting for laboratory tests</w:t>
      </w:r>
      <w:r w:rsidR="000F121B" w:rsidRPr="00F2704A">
        <w:rPr>
          <w:lang w:val="en-AU"/>
        </w:rPr>
        <w:t>.</w:t>
      </w:r>
      <w:r w:rsidR="001318A3" w:rsidRPr="00A94846">
        <w:rPr>
          <w:rStyle w:val="FootnoteReference"/>
        </w:rPr>
        <w:footnoteReference w:id="160"/>
      </w:r>
      <w:r w:rsidR="00BF0B83" w:rsidRPr="00661245">
        <w:rPr>
          <w:lang w:val="en-AU"/>
        </w:rPr>
        <w:t xml:space="preserve"> Refer to </w:t>
      </w:r>
      <w:r w:rsidR="00BF0B83" w:rsidRPr="00CF74AD">
        <w:rPr>
          <w:i/>
          <w:iCs/>
          <w:lang w:val="en-AU"/>
        </w:rPr>
        <w:t>Therap</w:t>
      </w:r>
      <w:r w:rsidR="00D24C73" w:rsidRPr="00CF74AD">
        <w:rPr>
          <w:i/>
          <w:iCs/>
          <w:lang w:val="en-AU"/>
        </w:rPr>
        <w:t>eutic Guidelines</w:t>
      </w:r>
      <w:r w:rsidR="000D189D">
        <w:rPr>
          <w:i/>
          <w:iCs/>
          <w:lang w:val="en-AU"/>
        </w:rPr>
        <w:t xml:space="preserve">: </w:t>
      </w:r>
      <w:r w:rsidR="00D24C73" w:rsidRPr="00CF74AD">
        <w:rPr>
          <w:i/>
          <w:iCs/>
          <w:lang w:val="en-AU"/>
        </w:rPr>
        <w:t xml:space="preserve"> </w:t>
      </w:r>
      <w:r w:rsidR="000D189D">
        <w:rPr>
          <w:i/>
          <w:iCs/>
          <w:lang w:val="en-AU"/>
        </w:rPr>
        <w:t>A</w:t>
      </w:r>
      <w:r w:rsidR="00D24C73" w:rsidRPr="00CF74AD">
        <w:rPr>
          <w:i/>
          <w:iCs/>
          <w:lang w:val="en-AU"/>
        </w:rPr>
        <w:t xml:space="preserve">ntibiotic </w:t>
      </w:r>
      <w:r w:rsidR="00D24C73" w:rsidRPr="00CF74AD">
        <w:rPr>
          <w:lang w:val="en-AU"/>
        </w:rPr>
        <w:t xml:space="preserve">and </w:t>
      </w:r>
      <w:hyperlink w:anchor="Section_62" w:history="1">
        <w:r w:rsidR="003F0CE7" w:rsidRPr="00E92E8B">
          <w:rPr>
            <w:rStyle w:val="Hyperlink"/>
            <w:lang w:val="en-AU"/>
          </w:rPr>
          <w:t>S</w:t>
        </w:r>
        <w:r w:rsidR="00BF0B83" w:rsidRPr="00E92E8B">
          <w:rPr>
            <w:rStyle w:val="Hyperlink"/>
            <w:lang w:val="en-AU"/>
          </w:rPr>
          <w:t>ection 6.2</w:t>
        </w:r>
      </w:hyperlink>
      <w:r w:rsidR="00BF0B83" w:rsidRPr="00CF74AD">
        <w:rPr>
          <w:lang w:val="en-AU"/>
        </w:rPr>
        <w:t xml:space="preserve"> for </w:t>
      </w:r>
      <w:r w:rsidR="00D24C73" w:rsidRPr="00CF74AD">
        <w:rPr>
          <w:lang w:val="en-AU"/>
        </w:rPr>
        <w:t xml:space="preserve">further detail. </w:t>
      </w:r>
    </w:p>
    <w:p w14:paraId="41E8A651" w14:textId="77777777" w:rsidR="00DE22C9" w:rsidRPr="00D621FF" w:rsidRDefault="001335E9" w:rsidP="00344380">
      <w:pPr>
        <w:pStyle w:val="NumberedHeading2"/>
        <w:spacing w:line="240" w:lineRule="auto"/>
        <w:rPr>
          <w:lang w:val="en-AU"/>
        </w:rPr>
      </w:pPr>
      <w:bookmarkStart w:id="81" w:name="_Toc20480298"/>
      <w:bookmarkStart w:id="82" w:name="_Toc55464787"/>
      <w:bookmarkEnd w:id="81"/>
      <w:r w:rsidRPr="00661245">
        <w:rPr>
          <w:lang w:val="en-AU"/>
        </w:rPr>
        <w:t>P</w:t>
      </w:r>
      <w:r w:rsidR="00DE22C9" w:rsidRPr="00CF74AD">
        <w:rPr>
          <w:lang w:val="en-AU"/>
        </w:rPr>
        <w:t>atient</w:t>
      </w:r>
      <w:r w:rsidR="005379B6" w:rsidRPr="00CF74AD">
        <w:rPr>
          <w:lang w:val="en-AU"/>
        </w:rPr>
        <w:t>s</w:t>
      </w:r>
      <w:r w:rsidR="00DE22C9" w:rsidRPr="00CF74AD">
        <w:rPr>
          <w:lang w:val="en-AU"/>
        </w:rPr>
        <w:t xml:space="preserve"> presenting with </w:t>
      </w:r>
      <w:r w:rsidR="008E351D" w:rsidRPr="00CF74AD">
        <w:rPr>
          <w:lang w:val="en-AU"/>
        </w:rPr>
        <w:t>persistent</w:t>
      </w:r>
      <w:r w:rsidR="00DE22C9" w:rsidRPr="00CF74AD">
        <w:rPr>
          <w:lang w:val="en-AU"/>
        </w:rPr>
        <w:t xml:space="preserve"> debilitating symptoms</w:t>
      </w:r>
      <w:r w:rsidR="00657B3D" w:rsidRPr="00CF29E7">
        <w:rPr>
          <w:lang w:val="en-AU"/>
        </w:rPr>
        <w:t xml:space="preserve"> and no diagnosis</w:t>
      </w:r>
      <w:bookmarkEnd w:id="82"/>
    </w:p>
    <w:p w14:paraId="15415B4D" w14:textId="77777777" w:rsidR="00624A60" w:rsidRPr="00F2704A" w:rsidRDefault="00624A60" w:rsidP="006723F2">
      <w:pPr>
        <w:pStyle w:val="NumberedHeading3"/>
        <w:rPr>
          <w:lang w:val="en-AU"/>
        </w:rPr>
      </w:pPr>
      <w:bookmarkStart w:id="83" w:name="_Toc55464788"/>
      <w:r w:rsidRPr="00D621FF">
        <w:rPr>
          <w:lang w:val="en-AU"/>
        </w:rPr>
        <w:t>If tick</w:t>
      </w:r>
      <w:r w:rsidR="00D61F50" w:rsidRPr="00D621FF">
        <w:rPr>
          <w:lang w:val="en-AU"/>
        </w:rPr>
        <w:t xml:space="preserve">-borne disease is not </w:t>
      </w:r>
      <w:r w:rsidR="003860AE" w:rsidRPr="00FA6D54">
        <w:rPr>
          <w:lang w:val="en-AU"/>
        </w:rPr>
        <w:t>suspected</w:t>
      </w:r>
      <w:r w:rsidR="00D61F50" w:rsidRPr="00FA6D54">
        <w:rPr>
          <w:lang w:val="en-AU"/>
        </w:rPr>
        <w:t>, consider alternative diagnoses</w:t>
      </w:r>
      <w:bookmarkEnd w:id="83"/>
    </w:p>
    <w:p w14:paraId="075865B4" w14:textId="77777777" w:rsidR="006723F2" w:rsidRPr="00F2704A" w:rsidRDefault="00DE22C9" w:rsidP="00D61F50">
      <w:pPr>
        <w:pStyle w:val="Body"/>
        <w:rPr>
          <w:lang w:val="en-AU"/>
        </w:rPr>
      </w:pPr>
      <w:r w:rsidRPr="00F2704A">
        <w:rPr>
          <w:lang w:val="en-AU"/>
        </w:rPr>
        <w:t xml:space="preserve">Take care to identify any potentially treatable illness. </w:t>
      </w:r>
    </w:p>
    <w:p w14:paraId="65425DDD" w14:textId="77777777" w:rsidR="00DE22C9" w:rsidRPr="00F2704A" w:rsidRDefault="00DE22C9" w:rsidP="00DE22C9">
      <w:pPr>
        <w:pStyle w:val="BodyText"/>
        <w:rPr>
          <w:lang w:val="en-AU"/>
        </w:rPr>
      </w:pPr>
      <w:r w:rsidRPr="00F2704A">
        <w:rPr>
          <w:lang w:val="en-AU"/>
        </w:rPr>
        <w:t xml:space="preserve">The </w:t>
      </w:r>
      <w:r w:rsidR="004B07FD" w:rsidRPr="00F2704A">
        <w:rPr>
          <w:lang w:val="en-AU"/>
        </w:rPr>
        <w:t xml:space="preserve">identification </w:t>
      </w:r>
      <w:r w:rsidRPr="00F2704A">
        <w:rPr>
          <w:lang w:val="en-AU"/>
        </w:rPr>
        <w:t xml:space="preserve">of </w:t>
      </w:r>
      <w:r w:rsidR="00344380" w:rsidRPr="00F2704A">
        <w:rPr>
          <w:lang w:val="en-AU"/>
        </w:rPr>
        <w:t>MUS</w:t>
      </w:r>
      <w:r w:rsidRPr="00F2704A">
        <w:rPr>
          <w:lang w:val="en-AU"/>
        </w:rPr>
        <w:t xml:space="preserve">, including </w:t>
      </w:r>
      <w:r w:rsidR="004B07FD" w:rsidRPr="00F2704A">
        <w:rPr>
          <w:lang w:val="en-AU"/>
        </w:rPr>
        <w:t xml:space="preserve">identification of </w:t>
      </w:r>
      <w:r w:rsidR="00472C2C">
        <w:rPr>
          <w:lang w:val="en-AU"/>
        </w:rPr>
        <w:t xml:space="preserve">the symptom complex </w:t>
      </w:r>
      <w:r w:rsidR="00C56969">
        <w:rPr>
          <w:lang w:val="en-AU"/>
        </w:rPr>
        <w:t xml:space="preserve">associated with </w:t>
      </w:r>
      <w:r w:rsidRPr="00F2704A">
        <w:rPr>
          <w:lang w:val="en-AU"/>
        </w:rPr>
        <w:t xml:space="preserve">DSCATT, is </w:t>
      </w:r>
      <w:r w:rsidR="004B07FD" w:rsidRPr="00F2704A">
        <w:rPr>
          <w:lang w:val="en-AU"/>
        </w:rPr>
        <w:t>one</w:t>
      </w:r>
      <w:r w:rsidRPr="00F2704A">
        <w:rPr>
          <w:lang w:val="en-AU"/>
        </w:rPr>
        <w:t xml:space="preserve"> of exclusion and requires ongoing review as new symptoms arise or treatments are trialled. </w:t>
      </w:r>
      <w:r w:rsidR="00DD017D" w:rsidRPr="00F2704A">
        <w:rPr>
          <w:lang w:val="en-AU"/>
        </w:rPr>
        <w:t xml:space="preserve">A full history and examination </w:t>
      </w:r>
      <w:r w:rsidR="00D1196D" w:rsidRPr="00F2704A">
        <w:rPr>
          <w:lang w:val="en-AU"/>
        </w:rPr>
        <w:t>are</w:t>
      </w:r>
      <w:r w:rsidR="00DD017D" w:rsidRPr="00F2704A">
        <w:rPr>
          <w:lang w:val="en-AU"/>
        </w:rPr>
        <w:t xml:space="preserve"> critical. </w:t>
      </w:r>
    </w:p>
    <w:p w14:paraId="3E17DF52" w14:textId="77777777" w:rsidR="006723F2" w:rsidRPr="00F2704A" w:rsidRDefault="00DE22C9" w:rsidP="00D61F50">
      <w:pPr>
        <w:pStyle w:val="BodyText"/>
        <w:rPr>
          <w:lang w:val="en-AU"/>
        </w:rPr>
      </w:pPr>
      <w:r w:rsidRPr="00F2704A">
        <w:rPr>
          <w:lang w:val="en-AU"/>
        </w:rPr>
        <w:t>A clue to the underlying cause may be found in the particular symptom cluster, time course of symptoms, family history, social history, medications, travel or occupation.</w:t>
      </w:r>
    </w:p>
    <w:p w14:paraId="34DF262E" w14:textId="77777777" w:rsidR="00DE22C9" w:rsidRPr="00F2704A" w:rsidRDefault="006823F5" w:rsidP="00D61F50">
      <w:pPr>
        <w:pStyle w:val="Body"/>
        <w:rPr>
          <w:lang w:val="en-AU"/>
        </w:rPr>
      </w:pPr>
      <w:r w:rsidRPr="00F2704A">
        <w:rPr>
          <w:lang w:val="en-AU"/>
        </w:rPr>
        <w:t xml:space="preserve">Develop a </w:t>
      </w:r>
      <w:r w:rsidR="00DE22C9" w:rsidRPr="00F2704A">
        <w:rPr>
          <w:lang w:val="en-AU"/>
        </w:rPr>
        <w:t>differential diagnosis with consideration of the following causes:</w:t>
      </w:r>
    </w:p>
    <w:p w14:paraId="6FC880EF" w14:textId="77777777" w:rsidR="00DE22C9" w:rsidRPr="00F2704A" w:rsidRDefault="00055F9A" w:rsidP="00CA6947">
      <w:pPr>
        <w:pStyle w:val="List-BulletLvl1"/>
        <w:spacing w:after="60"/>
        <w:rPr>
          <w:lang w:val="en-AU"/>
        </w:rPr>
      </w:pPr>
      <w:r w:rsidRPr="00F2704A">
        <w:rPr>
          <w:lang w:val="en-AU"/>
        </w:rPr>
        <w:t>i</w:t>
      </w:r>
      <w:r w:rsidR="00DE22C9" w:rsidRPr="00F2704A">
        <w:rPr>
          <w:lang w:val="en-AU"/>
        </w:rPr>
        <w:t>nfectious</w:t>
      </w:r>
      <w:r w:rsidRPr="00F2704A">
        <w:rPr>
          <w:lang w:val="en-AU"/>
        </w:rPr>
        <w:t xml:space="preserve"> </w:t>
      </w:r>
      <w:r w:rsidR="003F0CE7">
        <w:rPr>
          <w:lang w:val="en-AU"/>
        </w:rPr>
        <w:t>–</w:t>
      </w:r>
      <w:r w:rsidR="00DE22C9" w:rsidRPr="00F2704A">
        <w:rPr>
          <w:lang w:val="en-AU"/>
        </w:rPr>
        <w:t xml:space="preserve"> including</w:t>
      </w:r>
      <w:r w:rsidR="003F0CE7">
        <w:rPr>
          <w:lang w:val="en-AU"/>
        </w:rPr>
        <w:t xml:space="preserve"> </w:t>
      </w:r>
      <w:r w:rsidR="00BB7E66">
        <w:rPr>
          <w:lang w:val="en-AU"/>
        </w:rPr>
        <w:t>blood-</w:t>
      </w:r>
      <w:r w:rsidR="00DE22C9" w:rsidRPr="00F2704A">
        <w:rPr>
          <w:lang w:val="en-AU"/>
        </w:rPr>
        <w:t>borne or sexually transmitted</w:t>
      </w:r>
      <w:r w:rsidR="00BB7E66">
        <w:rPr>
          <w:lang w:val="en-AU"/>
        </w:rPr>
        <w:t xml:space="preserve"> infections, vector-</w:t>
      </w:r>
      <w:r w:rsidR="00DE22C9" w:rsidRPr="00F2704A">
        <w:rPr>
          <w:lang w:val="en-AU"/>
        </w:rPr>
        <w:t>borne diseases,</w:t>
      </w:r>
      <w:r w:rsidR="00EC7A4B">
        <w:rPr>
          <w:lang w:val="en-AU"/>
        </w:rPr>
        <w:t xml:space="preserve"> travel related, food and water-</w:t>
      </w:r>
      <w:r w:rsidR="00DE22C9" w:rsidRPr="00F2704A">
        <w:rPr>
          <w:lang w:val="en-AU"/>
        </w:rPr>
        <w:t>borne</w:t>
      </w:r>
    </w:p>
    <w:p w14:paraId="7A0742F0" w14:textId="77777777" w:rsidR="00DD017D" w:rsidRPr="00F2704A" w:rsidRDefault="00055F9A" w:rsidP="00CA6947">
      <w:pPr>
        <w:pStyle w:val="List-BulletLvl1"/>
        <w:spacing w:after="60"/>
        <w:rPr>
          <w:lang w:val="en-AU"/>
        </w:rPr>
      </w:pPr>
      <w:r w:rsidRPr="00F2704A">
        <w:rPr>
          <w:lang w:val="en-AU"/>
        </w:rPr>
        <w:t>a</w:t>
      </w:r>
      <w:r w:rsidR="00DE22C9" w:rsidRPr="00F2704A">
        <w:rPr>
          <w:lang w:val="en-AU"/>
        </w:rPr>
        <w:t>utoimmune – including</w:t>
      </w:r>
      <w:r w:rsidR="00050206" w:rsidRPr="00F2704A">
        <w:rPr>
          <w:lang w:val="en-AU"/>
        </w:rPr>
        <w:t xml:space="preserve"> </w:t>
      </w:r>
      <w:r w:rsidR="00EC3931" w:rsidRPr="00F2704A">
        <w:rPr>
          <w:lang w:val="en-AU"/>
        </w:rPr>
        <w:t xml:space="preserve">inflammatory </w:t>
      </w:r>
      <w:r w:rsidR="00DD017D" w:rsidRPr="00F2704A">
        <w:rPr>
          <w:lang w:val="en-AU"/>
        </w:rPr>
        <w:t xml:space="preserve">arthritis, </w:t>
      </w:r>
      <w:r w:rsidR="00050206" w:rsidRPr="00F2704A">
        <w:rPr>
          <w:lang w:val="en-AU"/>
        </w:rPr>
        <w:t>motor neurone disease, multiple sclerosis</w:t>
      </w:r>
    </w:p>
    <w:p w14:paraId="039FE39B" w14:textId="77777777" w:rsidR="00DE22C9" w:rsidRPr="00F2704A" w:rsidRDefault="00055F9A" w:rsidP="00CA6947">
      <w:pPr>
        <w:pStyle w:val="List-BulletLvl1"/>
        <w:spacing w:after="60"/>
        <w:rPr>
          <w:lang w:val="en-AU"/>
        </w:rPr>
      </w:pPr>
      <w:r w:rsidRPr="00F2704A">
        <w:rPr>
          <w:lang w:val="en-AU"/>
        </w:rPr>
        <w:t>n</w:t>
      </w:r>
      <w:r w:rsidR="00DE22C9" w:rsidRPr="00F2704A">
        <w:rPr>
          <w:lang w:val="en-AU"/>
        </w:rPr>
        <w:t xml:space="preserve">eoplastic </w:t>
      </w:r>
    </w:p>
    <w:p w14:paraId="27EB72DF" w14:textId="77777777" w:rsidR="00DE22C9" w:rsidRPr="00F2704A" w:rsidRDefault="00055F9A" w:rsidP="00CA6947">
      <w:pPr>
        <w:pStyle w:val="List-BulletLvl1"/>
        <w:spacing w:after="60"/>
        <w:rPr>
          <w:lang w:val="en-AU"/>
        </w:rPr>
      </w:pPr>
      <w:r w:rsidRPr="00F2704A">
        <w:rPr>
          <w:lang w:val="en-AU"/>
        </w:rPr>
        <w:t>p</w:t>
      </w:r>
      <w:r w:rsidR="00DE22C9" w:rsidRPr="00F2704A">
        <w:rPr>
          <w:lang w:val="en-AU"/>
        </w:rPr>
        <w:t>sychological – including depression, anxiety and reactions to traumatic events</w:t>
      </w:r>
    </w:p>
    <w:p w14:paraId="0EA2AC62" w14:textId="77777777" w:rsidR="00DE22C9" w:rsidRPr="00F2704A" w:rsidRDefault="00055F9A" w:rsidP="00CA6947">
      <w:pPr>
        <w:pStyle w:val="List-BulletLvl1"/>
        <w:spacing w:after="60"/>
        <w:rPr>
          <w:lang w:val="en-AU"/>
        </w:rPr>
      </w:pPr>
      <w:r w:rsidRPr="00F2704A">
        <w:rPr>
          <w:lang w:val="en-AU"/>
        </w:rPr>
        <w:t>i</w:t>
      </w:r>
      <w:r w:rsidR="00DE22C9" w:rsidRPr="00F2704A">
        <w:rPr>
          <w:lang w:val="en-AU"/>
        </w:rPr>
        <w:t>nflammatory</w:t>
      </w:r>
    </w:p>
    <w:p w14:paraId="11BBD723" w14:textId="77777777" w:rsidR="00DE22C9" w:rsidRPr="00F2704A" w:rsidRDefault="00055F9A" w:rsidP="00CA6947">
      <w:pPr>
        <w:pStyle w:val="List-BulletLvl1"/>
        <w:spacing w:after="60"/>
        <w:rPr>
          <w:lang w:val="en-AU"/>
        </w:rPr>
      </w:pPr>
      <w:r w:rsidRPr="00F2704A">
        <w:rPr>
          <w:lang w:val="en-AU"/>
        </w:rPr>
        <w:t>v</w:t>
      </w:r>
      <w:r w:rsidR="00DE22C9" w:rsidRPr="00F2704A">
        <w:rPr>
          <w:lang w:val="en-AU"/>
        </w:rPr>
        <w:t>ascular</w:t>
      </w:r>
    </w:p>
    <w:p w14:paraId="6E3921A5" w14:textId="77777777" w:rsidR="007E7A12" w:rsidRPr="00F2704A" w:rsidRDefault="007E7A12" w:rsidP="00CA6947">
      <w:pPr>
        <w:pStyle w:val="List-BulletLvl1"/>
        <w:spacing w:after="60"/>
        <w:rPr>
          <w:lang w:val="en-AU"/>
        </w:rPr>
      </w:pPr>
      <w:r w:rsidRPr="00F2704A">
        <w:rPr>
          <w:lang w:val="en-AU"/>
        </w:rPr>
        <w:t>neurological</w:t>
      </w:r>
    </w:p>
    <w:p w14:paraId="20CC9F2B" w14:textId="77777777" w:rsidR="007E7A12" w:rsidRPr="00F2704A" w:rsidRDefault="007E7A12" w:rsidP="00CA6947">
      <w:pPr>
        <w:pStyle w:val="List-BulletLvl1"/>
        <w:spacing w:after="60"/>
        <w:rPr>
          <w:lang w:val="en-AU"/>
        </w:rPr>
      </w:pPr>
      <w:r w:rsidRPr="00F2704A">
        <w:rPr>
          <w:lang w:val="en-AU"/>
        </w:rPr>
        <w:t>cardio-respiratory</w:t>
      </w:r>
    </w:p>
    <w:p w14:paraId="65030192" w14:textId="77777777" w:rsidR="00B035AB" w:rsidRPr="004D3350" w:rsidRDefault="00055F9A" w:rsidP="00D25CFD">
      <w:pPr>
        <w:pStyle w:val="List-BulletLvl1"/>
        <w:rPr>
          <w:rFonts w:ascii="Calibri" w:hAnsi="Calibri"/>
          <w:b/>
          <w:caps/>
          <w:color w:val="36424A"/>
          <w:sz w:val="28"/>
          <w:lang w:val="en-AU"/>
        </w:rPr>
      </w:pPr>
      <w:r w:rsidRPr="00F2704A">
        <w:rPr>
          <w:lang w:val="en-AU"/>
        </w:rPr>
        <w:t>l</w:t>
      </w:r>
      <w:r w:rsidR="00DE22C9" w:rsidRPr="00F2704A">
        <w:rPr>
          <w:lang w:val="en-AU"/>
        </w:rPr>
        <w:t>ifestyle related – including diet, exercise, sleep and stress</w:t>
      </w:r>
      <w:r w:rsidR="002A7FF0" w:rsidRPr="00F2704A">
        <w:rPr>
          <w:lang w:val="en-AU"/>
        </w:rPr>
        <w:t>.</w:t>
      </w:r>
      <w:r w:rsidR="00B035AB" w:rsidRPr="00F2704A">
        <w:rPr>
          <w:lang w:val="en-AU"/>
        </w:rPr>
        <w:br w:type="page"/>
      </w:r>
    </w:p>
    <w:p w14:paraId="3F602CC9" w14:textId="77777777" w:rsidR="003D2A87" w:rsidRPr="00F2704A" w:rsidRDefault="007D170D" w:rsidP="009707CE">
      <w:pPr>
        <w:pStyle w:val="NumberedHeading1"/>
        <w:spacing w:before="0"/>
        <w:rPr>
          <w:lang w:val="en-AU"/>
        </w:rPr>
      </w:pPr>
      <w:bookmarkStart w:id="84" w:name="_Toc55464789"/>
      <w:r w:rsidRPr="00F2704A">
        <w:rPr>
          <w:lang w:val="en-AU"/>
        </w:rPr>
        <w:lastRenderedPageBreak/>
        <w:t>Diagnostic</w:t>
      </w:r>
      <w:r w:rsidR="007152FA" w:rsidRPr="00F2704A">
        <w:rPr>
          <w:lang w:val="en-AU"/>
        </w:rPr>
        <w:t xml:space="preserve"> testing</w:t>
      </w:r>
      <w:bookmarkEnd w:id="84"/>
      <w:r w:rsidR="007152FA" w:rsidRPr="00F2704A">
        <w:rPr>
          <w:lang w:val="en-AU"/>
        </w:rPr>
        <w:t xml:space="preserve"> </w:t>
      </w:r>
    </w:p>
    <w:p w14:paraId="67A2E053" w14:textId="77777777" w:rsidR="00594ED2" w:rsidRPr="00F2704A" w:rsidRDefault="00594ED2" w:rsidP="00635B0F">
      <w:pPr>
        <w:pStyle w:val="NumberedHeading2"/>
        <w:rPr>
          <w:lang w:val="en-AU"/>
        </w:rPr>
      </w:pPr>
      <w:bookmarkStart w:id="85" w:name="_Toc55464790"/>
      <w:r w:rsidRPr="00F2704A">
        <w:rPr>
          <w:lang w:val="en-AU"/>
        </w:rPr>
        <w:t>Lyme disease</w:t>
      </w:r>
      <w:bookmarkEnd w:id="85"/>
    </w:p>
    <w:p w14:paraId="6E84D107" w14:textId="77777777" w:rsidR="007C2BF6" w:rsidRPr="00F2704A" w:rsidRDefault="00AC2ECB" w:rsidP="00344380">
      <w:pPr>
        <w:pStyle w:val="NumberedHeading3"/>
        <w:spacing w:line="240" w:lineRule="auto"/>
        <w:rPr>
          <w:lang w:val="en-AU"/>
        </w:rPr>
      </w:pPr>
      <w:bookmarkStart w:id="86" w:name="_Toc55464791"/>
      <w:r w:rsidRPr="00F2704A">
        <w:rPr>
          <w:lang w:val="en-AU"/>
        </w:rPr>
        <w:t xml:space="preserve">Refer for </w:t>
      </w:r>
      <w:r w:rsidR="008F60BE" w:rsidRPr="00F2704A">
        <w:rPr>
          <w:lang w:val="en-AU"/>
        </w:rPr>
        <w:t xml:space="preserve">laboratory </w:t>
      </w:r>
      <w:r w:rsidRPr="00F2704A">
        <w:rPr>
          <w:lang w:val="en-AU"/>
        </w:rPr>
        <w:t xml:space="preserve">testing </w:t>
      </w:r>
      <w:r w:rsidR="006F7A11" w:rsidRPr="00F2704A">
        <w:rPr>
          <w:lang w:val="en-AU"/>
        </w:rPr>
        <w:t xml:space="preserve">for </w:t>
      </w:r>
      <w:r w:rsidR="00C523C3" w:rsidRPr="00F2704A">
        <w:rPr>
          <w:lang w:val="en-AU"/>
        </w:rPr>
        <w:t xml:space="preserve">Lyme disease </w:t>
      </w:r>
      <w:r w:rsidR="006F7A11" w:rsidRPr="00F2704A">
        <w:rPr>
          <w:lang w:val="en-AU"/>
        </w:rPr>
        <w:t xml:space="preserve">using a two-tier serology test </w:t>
      </w:r>
      <w:r w:rsidR="007C2BF6" w:rsidRPr="00F2704A">
        <w:rPr>
          <w:lang w:val="en-AU"/>
        </w:rPr>
        <w:t>in a NATA</w:t>
      </w:r>
      <w:r w:rsidR="004612C0" w:rsidRPr="00F2704A">
        <w:rPr>
          <w:lang w:val="en-AU"/>
        </w:rPr>
        <w:t>/</w:t>
      </w:r>
      <w:r w:rsidR="007C2BF6" w:rsidRPr="00F2704A">
        <w:rPr>
          <w:lang w:val="en-AU"/>
        </w:rPr>
        <w:t>RCP</w:t>
      </w:r>
      <w:r w:rsidR="004612C0" w:rsidRPr="00F2704A">
        <w:rPr>
          <w:lang w:val="en-AU"/>
        </w:rPr>
        <w:t>A</w:t>
      </w:r>
      <w:r w:rsidR="007C2BF6" w:rsidRPr="00F2704A">
        <w:rPr>
          <w:lang w:val="en-AU"/>
        </w:rPr>
        <w:t xml:space="preserve"> accredited laboratory</w:t>
      </w:r>
      <w:bookmarkEnd w:id="86"/>
    </w:p>
    <w:p w14:paraId="7853E390" w14:textId="77777777" w:rsidR="001325A4" w:rsidRPr="00F2704A" w:rsidRDefault="001325A4" w:rsidP="001A22C9">
      <w:pPr>
        <w:pStyle w:val="Body"/>
        <w:spacing w:line="280" w:lineRule="exact"/>
        <w:rPr>
          <w:lang w:val="en-AU"/>
        </w:rPr>
      </w:pPr>
      <w:r w:rsidRPr="00F2704A">
        <w:rPr>
          <w:lang w:val="en-AU"/>
        </w:rPr>
        <w:t xml:space="preserve">There </w:t>
      </w:r>
      <w:r w:rsidR="00FA38A4" w:rsidRPr="00F2704A">
        <w:rPr>
          <w:lang w:val="en-AU"/>
        </w:rPr>
        <w:t>is</w:t>
      </w:r>
      <w:r w:rsidRPr="00F2704A">
        <w:rPr>
          <w:lang w:val="en-AU"/>
        </w:rPr>
        <w:t xml:space="preserve"> established </w:t>
      </w:r>
      <w:r w:rsidR="00C37E07" w:rsidRPr="00F2704A">
        <w:rPr>
          <w:lang w:val="en-AU"/>
        </w:rPr>
        <w:t xml:space="preserve">Australian </w:t>
      </w:r>
      <w:r w:rsidR="00FA38A4" w:rsidRPr="00F2704A">
        <w:rPr>
          <w:lang w:val="en-AU"/>
        </w:rPr>
        <w:t xml:space="preserve">guidance </w:t>
      </w:r>
      <w:r w:rsidR="00580FFF" w:rsidRPr="00F2704A">
        <w:rPr>
          <w:lang w:val="en-AU"/>
        </w:rPr>
        <w:t>for</w:t>
      </w:r>
      <w:r w:rsidR="007A24CA" w:rsidRPr="00F2704A">
        <w:rPr>
          <w:lang w:val="en-AU"/>
        </w:rPr>
        <w:t xml:space="preserve"> </w:t>
      </w:r>
      <w:r w:rsidR="00580FFF" w:rsidRPr="00F2704A">
        <w:rPr>
          <w:lang w:val="en-AU"/>
        </w:rPr>
        <w:t xml:space="preserve">diagnostic </w:t>
      </w:r>
      <w:r w:rsidR="00EE3D6C" w:rsidRPr="00F2704A">
        <w:rPr>
          <w:lang w:val="en-AU"/>
        </w:rPr>
        <w:t xml:space="preserve">laboratory </w:t>
      </w:r>
      <w:r w:rsidR="00580FFF" w:rsidRPr="00F2704A">
        <w:rPr>
          <w:lang w:val="en-AU"/>
        </w:rPr>
        <w:t xml:space="preserve">testing </w:t>
      </w:r>
      <w:r w:rsidR="00EE3D6C" w:rsidRPr="00F2704A">
        <w:rPr>
          <w:lang w:val="en-AU"/>
        </w:rPr>
        <w:t>for Lyme disease</w:t>
      </w:r>
      <w:r w:rsidR="00837D0C" w:rsidRPr="00F2704A">
        <w:rPr>
          <w:lang w:val="en-AU"/>
        </w:rPr>
        <w:t>.</w:t>
      </w:r>
      <w:r w:rsidR="00EE3D6C" w:rsidRPr="00A94846">
        <w:rPr>
          <w:rStyle w:val="FootnoteReference"/>
        </w:rPr>
        <w:footnoteReference w:id="161"/>
      </w:r>
      <w:r w:rsidR="000C0815" w:rsidRPr="00661245">
        <w:rPr>
          <w:lang w:val="en-AU"/>
        </w:rPr>
        <w:t xml:space="preserve"> </w:t>
      </w:r>
      <w:r w:rsidR="000A0C99" w:rsidRPr="00CF74AD">
        <w:rPr>
          <w:lang w:val="en-AU"/>
        </w:rPr>
        <w:t>Diagnostic testing for Lyme disease should only be initiated following advice from appropriate experts such as a consulta</w:t>
      </w:r>
      <w:r w:rsidR="00A07FE4" w:rsidRPr="00CF74AD">
        <w:rPr>
          <w:lang w:val="en-AU"/>
        </w:rPr>
        <w:t>nt</w:t>
      </w:r>
      <w:r w:rsidR="000A0C99" w:rsidRPr="00CF74AD">
        <w:rPr>
          <w:lang w:val="en-AU"/>
        </w:rPr>
        <w:t xml:space="preserve"> physician practising in his or her speciality of infectious diseases or a specialist </w:t>
      </w:r>
      <w:r w:rsidR="00581535" w:rsidRPr="00CF74AD">
        <w:rPr>
          <w:lang w:val="en-AU"/>
        </w:rPr>
        <w:t>microbiologist</w:t>
      </w:r>
      <w:r w:rsidR="000A0C99" w:rsidRPr="00CF74AD">
        <w:rPr>
          <w:lang w:val="en-AU"/>
        </w:rPr>
        <w:t xml:space="preserve"> and should only be undertaken</w:t>
      </w:r>
      <w:r w:rsidR="000A0C99" w:rsidRPr="00CF29E7">
        <w:rPr>
          <w:lang w:val="en-AU"/>
        </w:rPr>
        <w:t xml:space="preserve"> in Australia in a pathology laboratory accredited by NATA/RCPA to conduct such testing.</w:t>
      </w:r>
      <w:r w:rsidR="00F423EB" w:rsidRPr="00D621FF">
        <w:rPr>
          <w:lang w:val="en-AU"/>
        </w:rPr>
        <w:t xml:space="preserve"> </w:t>
      </w:r>
      <w:r w:rsidR="000C0815" w:rsidRPr="00D621FF">
        <w:rPr>
          <w:lang w:val="en-AU"/>
        </w:rPr>
        <w:t>If Lyme disease is being considered</w:t>
      </w:r>
      <w:r w:rsidR="00422F1D" w:rsidRPr="00D621FF">
        <w:rPr>
          <w:lang w:val="en-AU"/>
        </w:rPr>
        <w:t xml:space="preserve">, patients should be referred for Lyme disease serology to </w:t>
      </w:r>
      <w:r w:rsidR="000C0FC4" w:rsidRPr="00FA6D54">
        <w:rPr>
          <w:lang w:val="en-AU"/>
        </w:rPr>
        <w:t>your regular Approved Pathology Practitioner (APP)</w:t>
      </w:r>
      <w:r w:rsidR="002E4472" w:rsidRPr="00F2704A">
        <w:rPr>
          <w:lang w:val="en-AU"/>
        </w:rPr>
        <w:t>.</w:t>
      </w:r>
    </w:p>
    <w:p w14:paraId="454E0C6A" w14:textId="77777777" w:rsidR="00C25F68" w:rsidRPr="00B50C8F" w:rsidRDefault="00C25F68" w:rsidP="00DD2456">
      <w:pPr>
        <w:pStyle w:val="BodyText"/>
        <w:rPr>
          <w:rFonts w:ascii="Segoe UI" w:eastAsia="Times New Roman" w:hAnsi="Segoe UI" w:cs="Segoe UI"/>
          <w:b/>
          <w:bCs/>
          <w:i/>
          <w:iCs/>
          <w:color w:val="3B3B3B"/>
          <w:sz w:val="21"/>
          <w:szCs w:val="21"/>
          <w:lang w:val="en-AU" w:eastAsia="en-NZ"/>
        </w:rPr>
      </w:pPr>
      <w:r w:rsidRPr="00B50C8F">
        <w:rPr>
          <w:rStyle w:val="BodyTextChar"/>
          <w:b/>
          <w:bCs/>
          <w:i/>
          <w:iCs/>
          <w:lang w:val="en-AU"/>
        </w:rPr>
        <w:t xml:space="preserve">NATA/RCPA Accreditation and Accredited Laboratories </w:t>
      </w:r>
    </w:p>
    <w:p w14:paraId="5E3F1725" w14:textId="77777777" w:rsidR="00C80673" w:rsidRPr="00CF74AD" w:rsidRDefault="00C80673" w:rsidP="001A22C9">
      <w:pPr>
        <w:pStyle w:val="Body"/>
        <w:spacing w:line="280" w:lineRule="exact"/>
        <w:rPr>
          <w:lang w:val="en-AU"/>
        </w:rPr>
      </w:pPr>
      <w:r w:rsidRPr="00B50C8F">
        <w:rPr>
          <w:lang w:val="en-AU"/>
        </w:rPr>
        <w:t xml:space="preserve">It is essential to use </w:t>
      </w:r>
      <w:r w:rsidR="005F565A" w:rsidRPr="00B50C8F">
        <w:rPr>
          <w:lang w:val="en-AU"/>
        </w:rPr>
        <w:t>NATA/R</w:t>
      </w:r>
      <w:r w:rsidR="007808F1" w:rsidRPr="00B50C8F">
        <w:rPr>
          <w:lang w:val="en-AU"/>
        </w:rPr>
        <w:t>CPA-</w:t>
      </w:r>
      <w:r w:rsidRPr="00B50C8F">
        <w:rPr>
          <w:lang w:val="en-AU"/>
        </w:rPr>
        <w:t xml:space="preserve">accredited, internationally recognised laboratories for diagnostic testing. </w:t>
      </w:r>
      <w:r w:rsidR="00084F09" w:rsidRPr="00B50C8F">
        <w:rPr>
          <w:lang w:val="en-AU"/>
        </w:rPr>
        <w:t xml:space="preserve">NATA </w:t>
      </w:r>
      <w:r w:rsidR="00C71191" w:rsidRPr="00B50C8F">
        <w:rPr>
          <w:lang w:val="en-AU"/>
        </w:rPr>
        <w:t>a</w:t>
      </w:r>
      <w:r w:rsidR="00546B51" w:rsidRPr="00B50C8F">
        <w:rPr>
          <w:lang w:val="en-AU"/>
        </w:rPr>
        <w:t>ccreditation provides a means of determining, formally recognising and promoting that</w:t>
      </w:r>
      <w:r w:rsidR="00546B51" w:rsidRPr="00B50C8F">
        <w:rPr>
          <w:rStyle w:val="BodyTextChar"/>
          <w:lang w:val="en-AU"/>
        </w:rPr>
        <w:t xml:space="preserve"> an organisation is competent to perform testing</w:t>
      </w:r>
      <w:r w:rsidR="00CD539D" w:rsidRPr="00B50C8F">
        <w:rPr>
          <w:rStyle w:val="BodyTextChar"/>
          <w:lang w:val="en-AU"/>
        </w:rPr>
        <w:t>, inspection, calibration, and other related activities</w:t>
      </w:r>
      <w:r w:rsidR="00546B51" w:rsidRPr="00B50C8F">
        <w:rPr>
          <w:rStyle w:val="BodyTextChar"/>
          <w:lang w:val="en-AU"/>
        </w:rPr>
        <w:t xml:space="preserve">. </w:t>
      </w:r>
      <w:r w:rsidR="00E51F86" w:rsidRPr="00B50C8F">
        <w:rPr>
          <w:rStyle w:val="BodyTextChar"/>
          <w:lang w:val="en-AU"/>
        </w:rPr>
        <w:t>Accreditation delivers confidence and underpins the quality of results. NATA’s accreditation is based on a peer-review process</w:t>
      </w:r>
      <w:r w:rsidR="00EB27C9" w:rsidRPr="00B50C8F">
        <w:rPr>
          <w:rStyle w:val="BodyTextChar"/>
          <w:lang w:val="en-AU"/>
        </w:rPr>
        <w:t xml:space="preserve"> and is based on international standards.</w:t>
      </w:r>
      <w:r w:rsidR="00401025" w:rsidRPr="00B50C8F">
        <w:rPr>
          <w:rStyle w:val="BodyTextChar"/>
          <w:lang w:val="en-AU"/>
        </w:rPr>
        <w:t xml:space="preserve"> Since NATA accreditation is highly regarded both nationally and internationally as a reliable indicator of technical competence, use of the NATA logo and use of a NATA endorsement on reports tells prospective and current clients that the facility has been assessed against best international practice.</w:t>
      </w:r>
      <w:r w:rsidR="00EB27C9" w:rsidRPr="00A94846">
        <w:rPr>
          <w:rStyle w:val="FootnoteReference"/>
        </w:rPr>
        <w:footnoteReference w:id="162"/>
      </w:r>
      <w:r w:rsidR="00EB27C9" w:rsidRPr="00661245">
        <w:rPr>
          <w:lang w:val="en-AU"/>
        </w:rPr>
        <w:t xml:space="preserve"> </w:t>
      </w:r>
    </w:p>
    <w:p w14:paraId="3567E213" w14:textId="77777777" w:rsidR="008671A2" w:rsidRPr="00B50C8F" w:rsidRDefault="00451CE5" w:rsidP="001A22C9">
      <w:pPr>
        <w:pStyle w:val="Body"/>
        <w:spacing w:line="280" w:lineRule="exact"/>
        <w:rPr>
          <w:rStyle w:val="BodyTextChar"/>
          <w:lang w:val="en-AU"/>
        </w:rPr>
      </w:pPr>
      <w:r w:rsidRPr="005A5260">
        <w:rPr>
          <w:rStyle w:val="BodyTextChar"/>
          <w:lang w:val="en-AU"/>
        </w:rPr>
        <w:t xml:space="preserve">Additionally, </w:t>
      </w:r>
      <w:r w:rsidR="00BB5E52" w:rsidRPr="004D3350">
        <w:rPr>
          <w:rStyle w:val="BodyTextChar"/>
          <w:rFonts w:cs="Times New Roman"/>
          <w:lang w:val="en-AU" w:eastAsia="en-US"/>
        </w:rPr>
        <w:t>R</w:t>
      </w:r>
      <w:r w:rsidR="00886EA2" w:rsidRPr="004D3350">
        <w:rPr>
          <w:rStyle w:val="BodyTextChar"/>
          <w:rFonts w:cs="Times New Roman"/>
          <w:lang w:val="en-AU" w:eastAsia="en-US"/>
        </w:rPr>
        <w:t>CPA</w:t>
      </w:r>
      <w:r w:rsidR="00BB5E52" w:rsidRPr="004D3350">
        <w:rPr>
          <w:rStyle w:val="BodyTextChar"/>
          <w:rFonts w:cs="Times New Roman"/>
          <w:lang w:val="en-AU" w:eastAsia="en-US"/>
        </w:rPr>
        <w:t xml:space="preserve"> notes </w:t>
      </w:r>
      <w:r w:rsidR="008671A2" w:rsidRPr="004D3350">
        <w:rPr>
          <w:rStyle w:val="BodyTextChar"/>
          <w:rFonts w:cs="Times New Roman"/>
          <w:lang w:val="en-AU" w:eastAsia="en-US"/>
        </w:rPr>
        <w:t>Australia leads the world in laboratory accreditation</w:t>
      </w:r>
      <w:r w:rsidR="00BB5E52" w:rsidRPr="004D3350">
        <w:rPr>
          <w:rStyle w:val="BodyTextChar"/>
          <w:rFonts w:cs="Times New Roman"/>
          <w:lang w:val="en-AU" w:eastAsia="en-US"/>
        </w:rPr>
        <w:t xml:space="preserve"> and advises a</w:t>
      </w:r>
      <w:r w:rsidR="008671A2" w:rsidRPr="004D3350">
        <w:rPr>
          <w:rStyle w:val="BodyTextChar"/>
          <w:rFonts w:cs="Times New Roman"/>
          <w:lang w:val="en-AU" w:eastAsia="en-US"/>
        </w:rPr>
        <w:t xml:space="preserve">ll pathology laboratories in Australia receiving funding via Medicare must be accredited by the </w:t>
      </w:r>
      <w:r w:rsidR="00282FBC" w:rsidRPr="004D3350">
        <w:rPr>
          <w:rStyle w:val="BodyTextChar"/>
          <w:rFonts w:cs="Times New Roman"/>
          <w:lang w:val="en-AU" w:eastAsia="en-US"/>
        </w:rPr>
        <w:t>NATA</w:t>
      </w:r>
      <w:r w:rsidR="008671A2" w:rsidRPr="004D3350">
        <w:rPr>
          <w:rStyle w:val="BodyTextChar"/>
          <w:rFonts w:cs="Times New Roman"/>
          <w:lang w:val="en-AU" w:eastAsia="en-US"/>
        </w:rPr>
        <w:t>/RCPA Laboratory Accreditation Program.</w:t>
      </w:r>
      <w:r w:rsidR="00BB5E52" w:rsidRPr="004D3350">
        <w:rPr>
          <w:rStyle w:val="BodyTextChar"/>
          <w:rFonts w:cs="Times New Roman"/>
          <w:lang w:val="en-AU" w:eastAsia="en-US"/>
        </w:rPr>
        <w:t xml:space="preserve"> </w:t>
      </w:r>
      <w:r w:rsidR="008671A2" w:rsidRPr="004D3350">
        <w:rPr>
          <w:rStyle w:val="BodyTextChar"/>
          <w:rFonts w:cs="Times New Roman"/>
          <w:lang w:val="en-AU" w:eastAsia="en-US"/>
        </w:rPr>
        <w:t xml:space="preserve">The Standards are set by the National Pathology Accreditation Advisory Council (NPAAC). The </w:t>
      </w:r>
      <w:r w:rsidR="00FA6D54" w:rsidRPr="004D3350">
        <w:rPr>
          <w:rStyle w:val="BodyTextChar"/>
          <w:rFonts w:cs="Times New Roman"/>
          <w:lang w:val="en-AU" w:eastAsia="en-US"/>
        </w:rPr>
        <w:t xml:space="preserve">quality management aspects of the NPAAC requirements </w:t>
      </w:r>
      <w:r w:rsidR="008671A2" w:rsidRPr="004D3350">
        <w:rPr>
          <w:rStyle w:val="BodyTextChar"/>
          <w:rFonts w:cs="Times New Roman"/>
          <w:lang w:val="en-AU" w:eastAsia="en-US"/>
        </w:rPr>
        <w:t>are based on the international standard ISO 15189 Standard for Medical Laboratories</w:t>
      </w:r>
      <w:r w:rsidR="00886EA2" w:rsidRPr="00B50C8F">
        <w:rPr>
          <w:rStyle w:val="BodyTextChar"/>
          <w:lang w:val="en-AU"/>
        </w:rPr>
        <w:t>.</w:t>
      </w:r>
      <w:r w:rsidR="00BB5E52" w:rsidRPr="00A94846">
        <w:rPr>
          <w:rStyle w:val="FootnoteReference"/>
        </w:rPr>
        <w:footnoteReference w:id="163"/>
      </w:r>
    </w:p>
    <w:p w14:paraId="6D58C180" w14:textId="77777777" w:rsidR="00CC75D2" w:rsidRPr="00B50C8F" w:rsidRDefault="007E3F40" w:rsidP="001A22C9">
      <w:pPr>
        <w:pStyle w:val="BodyText"/>
        <w:rPr>
          <w:rFonts w:ascii="Segoe UI" w:eastAsia="Times New Roman" w:hAnsi="Segoe UI" w:cs="Segoe UI"/>
          <w:color w:val="3B3B3B"/>
          <w:sz w:val="21"/>
          <w:szCs w:val="21"/>
          <w:lang w:val="en-AU" w:eastAsia="en-NZ"/>
        </w:rPr>
      </w:pPr>
      <w:r w:rsidRPr="00B50C8F">
        <w:rPr>
          <w:rStyle w:val="BodyTextChar"/>
          <w:lang w:val="en-AU"/>
        </w:rPr>
        <w:t>NATA/RC</w:t>
      </w:r>
      <w:r w:rsidR="005D026D" w:rsidRPr="00B50C8F">
        <w:rPr>
          <w:rStyle w:val="BodyTextChar"/>
          <w:lang w:val="en-AU"/>
        </w:rPr>
        <w:t xml:space="preserve">PA Accredited Laboratories </w:t>
      </w:r>
      <w:r w:rsidR="00814DF0" w:rsidRPr="00B50C8F">
        <w:rPr>
          <w:rStyle w:val="BodyTextChar"/>
          <w:lang w:val="en-AU"/>
        </w:rPr>
        <w:t xml:space="preserve">can detect tick-borne </w:t>
      </w:r>
      <w:r w:rsidR="00CD158A" w:rsidRPr="00B50C8F">
        <w:rPr>
          <w:rStyle w:val="BodyTextChar"/>
          <w:lang w:val="en-AU"/>
        </w:rPr>
        <w:t xml:space="preserve">illnesses. </w:t>
      </w:r>
    </w:p>
    <w:p w14:paraId="01043A19" w14:textId="77777777" w:rsidR="00F56CA5" w:rsidRDefault="00104E6B" w:rsidP="002962EC">
      <w:pPr>
        <w:pStyle w:val="BodyText"/>
        <w:rPr>
          <w:b/>
          <w:bCs/>
          <w:i/>
          <w:iCs/>
          <w:lang w:val="en-AU"/>
        </w:rPr>
      </w:pPr>
      <w:r w:rsidRPr="00661245">
        <w:rPr>
          <w:b/>
          <w:bCs/>
          <w:i/>
          <w:iCs/>
          <w:lang w:val="en-AU"/>
        </w:rPr>
        <w:t>NATA</w:t>
      </w:r>
      <w:r w:rsidR="00D436A9" w:rsidRPr="00CF74AD">
        <w:rPr>
          <w:b/>
          <w:bCs/>
          <w:i/>
          <w:iCs/>
          <w:lang w:val="en-AU"/>
        </w:rPr>
        <w:t xml:space="preserve">/RCPA accredited laboratories follow international best practice in </w:t>
      </w:r>
      <w:r w:rsidR="002962EC" w:rsidRPr="00CF74AD">
        <w:rPr>
          <w:b/>
          <w:bCs/>
          <w:i/>
          <w:iCs/>
          <w:lang w:val="en-AU"/>
        </w:rPr>
        <w:t>diagnostic testing for Lyme disease</w:t>
      </w:r>
    </w:p>
    <w:p w14:paraId="1A358875" w14:textId="77777777" w:rsidR="002962EC" w:rsidRPr="00CF74AD" w:rsidRDefault="002962EC" w:rsidP="002962EC">
      <w:pPr>
        <w:pStyle w:val="BodyText"/>
        <w:rPr>
          <w:lang w:val="en-AU" w:eastAsia="en-AU"/>
        </w:rPr>
      </w:pPr>
      <w:r w:rsidRPr="00CF74AD">
        <w:rPr>
          <w:lang w:val="en-AU"/>
        </w:rPr>
        <w:t xml:space="preserve">The current standard laboratory protocol for diagnosing Lyme disease in Australian </w:t>
      </w:r>
      <w:r w:rsidR="00FA6D54">
        <w:rPr>
          <w:lang w:val="en-AU"/>
        </w:rPr>
        <w:t>d</w:t>
      </w:r>
      <w:r w:rsidR="00FA6D54" w:rsidRPr="00CF74AD">
        <w:rPr>
          <w:lang w:val="en-AU"/>
        </w:rPr>
        <w:t xml:space="preserve">iagnostic </w:t>
      </w:r>
      <w:r w:rsidR="00FA6D54">
        <w:rPr>
          <w:lang w:val="en-AU"/>
        </w:rPr>
        <w:t>l</w:t>
      </w:r>
      <w:r w:rsidR="00FA6D54" w:rsidRPr="00CF74AD">
        <w:rPr>
          <w:lang w:val="en-AU"/>
        </w:rPr>
        <w:t xml:space="preserve">aboratories </w:t>
      </w:r>
      <w:r w:rsidRPr="00CF74AD">
        <w:rPr>
          <w:lang w:val="en-AU"/>
        </w:rPr>
        <w:t xml:space="preserve">follows international best practice and uses a two-tier serology system, the first stage involving screening with an enzyme-linked immunosorbent assay (ELISA) and, if positive, followed by an immunoblot assay (Western blot). </w:t>
      </w:r>
    </w:p>
    <w:p w14:paraId="12C0ACE6" w14:textId="77777777" w:rsidR="002962EC" w:rsidRPr="00661245" w:rsidRDefault="002962EC" w:rsidP="002962EC">
      <w:pPr>
        <w:pStyle w:val="BodyText"/>
        <w:rPr>
          <w:lang w:val="en-AU"/>
        </w:rPr>
      </w:pPr>
      <w:r w:rsidRPr="00CF29E7">
        <w:rPr>
          <w:lang w:val="en-AU"/>
        </w:rPr>
        <w:t>In Aus</w:t>
      </w:r>
      <w:r w:rsidRPr="00D621FF">
        <w:rPr>
          <w:lang w:val="en-AU"/>
        </w:rPr>
        <w:t>tralia, the National Serology Reference Laboratory (NRL) review of serological assays to diagnose Lyme disease determined the tests used by accredited laboratories to diagnose Lyme disease had equivalent reliability to tests used in overseas laboratories</w:t>
      </w:r>
      <w:r w:rsidR="00CA6947">
        <w:rPr>
          <w:lang w:val="en-AU"/>
        </w:rPr>
        <w:t>.</w:t>
      </w:r>
      <w:r w:rsidRPr="00A94846">
        <w:rPr>
          <w:rStyle w:val="FootnoteReference"/>
        </w:rPr>
        <w:footnoteReference w:id="164"/>
      </w:r>
      <w:r w:rsidRPr="00661245">
        <w:rPr>
          <w:lang w:val="en-AU"/>
        </w:rPr>
        <w:t xml:space="preserve"> </w:t>
      </w:r>
      <w:r w:rsidR="00927EAE">
        <w:rPr>
          <w:lang w:val="en-AU"/>
        </w:rPr>
        <w:t xml:space="preserve">This therefore </w:t>
      </w:r>
      <w:r w:rsidRPr="00661245">
        <w:rPr>
          <w:lang w:val="en-AU"/>
        </w:rPr>
        <w:t>mean</w:t>
      </w:r>
      <w:r w:rsidR="00927EAE">
        <w:rPr>
          <w:lang w:val="en-AU"/>
        </w:rPr>
        <w:t>s</w:t>
      </w:r>
      <w:r w:rsidRPr="00661245">
        <w:rPr>
          <w:lang w:val="en-AU"/>
        </w:rPr>
        <w:t xml:space="preserve"> </w:t>
      </w:r>
      <w:r w:rsidRPr="00661245">
        <w:rPr>
          <w:lang w:val="en-AU"/>
        </w:rPr>
        <w:lastRenderedPageBreak/>
        <w:t>Australian NATA/RCPA accredited laboratories are able to confidently diagnose classical Lyme disease acquired in patients who have travelled to endemic area</w:t>
      </w:r>
      <w:r w:rsidR="00CA6947">
        <w:rPr>
          <w:lang w:val="en-AU"/>
        </w:rPr>
        <w:t>s</w:t>
      </w:r>
      <w:r w:rsidRPr="00A94846">
        <w:rPr>
          <w:rStyle w:val="FootnoteReference"/>
        </w:rPr>
        <w:footnoteReference w:id="165"/>
      </w:r>
      <w:r w:rsidRPr="00661245">
        <w:rPr>
          <w:lang w:val="en-AU"/>
        </w:rPr>
        <w:t xml:space="preserve"> and have contracted the infection mo</w:t>
      </w:r>
      <w:r w:rsidRPr="00CF74AD">
        <w:rPr>
          <w:lang w:val="en-AU"/>
        </w:rPr>
        <w:t>re than four weeks prior to testing, noting that most patients seroconvert within four to eight weeks of infection</w:t>
      </w:r>
      <w:r w:rsidR="00927EAE">
        <w:rPr>
          <w:lang w:val="en-AU"/>
        </w:rPr>
        <w:t>.</w:t>
      </w:r>
      <w:r w:rsidRPr="00A94846">
        <w:rPr>
          <w:rStyle w:val="FootnoteReference"/>
        </w:rPr>
        <w:footnoteReference w:id="166"/>
      </w:r>
      <w:r w:rsidRPr="00661245">
        <w:rPr>
          <w:lang w:val="en-AU"/>
        </w:rPr>
        <w:t xml:space="preserve"> A follow up paper to the NRL report noted that in the known negative population, specificities of the immunoassays ranged between 87.7 </w:t>
      </w:r>
      <w:r w:rsidR="00CF74AD">
        <w:rPr>
          <w:lang w:val="en-AU"/>
        </w:rPr>
        <w:t>per cent</w:t>
      </w:r>
      <w:r w:rsidRPr="00CF74AD">
        <w:rPr>
          <w:lang w:val="en-AU"/>
        </w:rPr>
        <w:t xml:space="preserve"> and 99.7 </w:t>
      </w:r>
      <w:r w:rsidR="00CF74AD">
        <w:rPr>
          <w:lang w:val="en-AU"/>
        </w:rPr>
        <w:t>per cent</w:t>
      </w:r>
      <w:r w:rsidR="009577B3">
        <w:rPr>
          <w:lang w:val="en-AU"/>
        </w:rPr>
        <w:t>,</w:t>
      </w:r>
      <w:r w:rsidRPr="00CF74AD">
        <w:rPr>
          <w:lang w:val="en-AU"/>
        </w:rPr>
        <w:t xml:space="preserve"> and in Australia’s low prevalence population this would translate to a positive predictive value of &lt;4 </w:t>
      </w:r>
      <w:r w:rsidR="00CF74AD">
        <w:rPr>
          <w:lang w:val="en-AU"/>
        </w:rPr>
        <w:t>per cent</w:t>
      </w:r>
      <w:r w:rsidRPr="00CF74AD">
        <w:rPr>
          <w:lang w:val="en-AU"/>
        </w:rPr>
        <w:t>.</w:t>
      </w:r>
      <w:r w:rsidRPr="00A94846">
        <w:rPr>
          <w:rStyle w:val="FootnoteReference"/>
        </w:rPr>
        <w:footnoteReference w:id="167"/>
      </w:r>
    </w:p>
    <w:p w14:paraId="04B5C1F9" w14:textId="77777777" w:rsidR="002962EC" w:rsidRPr="00CF74AD" w:rsidRDefault="002962EC" w:rsidP="002962EC">
      <w:pPr>
        <w:pStyle w:val="BodyText"/>
        <w:spacing w:after="80"/>
        <w:rPr>
          <w:lang w:val="en-AU"/>
        </w:rPr>
      </w:pPr>
      <w:r w:rsidRPr="00CF74AD">
        <w:rPr>
          <w:lang w:val="en-AU"/>
        </w:rPr>
        <w:t xml:space="preserve">While the NRL report confirmed that Australian laboratories have equivalent reliability to tests used in overseas laboratories, tests for Lyme disease have limitations whether internationally or in Australia (see </w:t>
      </w:r>
      <w:hyperlink w:anchor="Section_412" w:history="1">
        <w:r w:rsidR="007E4A6E" w:rsidRPr="00E000C3">
          <w:rPr>
            <w:rStyle w:val="Hyperlink"/>
            <w:lang w:val="en-AU"/>
          </w:rPr>
          <w:t>S</w:t>
        </w:r>
        <w:r w:rsidRPr="00E000C3">
          <w:rPr>
            <w:rStyle w:val="Hyperlink"/>
            <w:lang w:val="en-AU"/>
          </w:rPr>
          <w:t>ection 4.1.</w:t>
        </w:r>
        <w:r w:rsidR="003D279B" w:rsidRPr="00E000C3">
          <w:rPr>
            <w:rStyle w:val="Hyperlink"/>
            <w:lang w:val="en-AU"/>
          </w:rPr>
          <w:t>2</w:t>
        </w:r>
      </w:hyperlink>
      <w:r w:rsidRPr="00CF74AD">
        <w:rPr>
          <w:lang w:val="en-AU"/>
        </w:rPr>
        <w:t>). Note that diagnostic tests conducted overseas are not covered under Australia’s Medicare arrangements.</w:t>
      </w:r>
      <w:r w:rsidR="00F423EB" w:rsidRPr="00CF74AD">
        <w:rPr>
          <w:lang w:val="en-AU"/>
        </w:rPr>
        <w:t xml:space="preserve"> </w:t>
      </w:r>
    </w:p>
    <w:p w14:paraId="4BDF1116" w14:textId="77777777" w:rsidR="002962EC" w:rsidRPr="00661245" w:rsidRDefault="002962EC" w:rsidP="002962EC">
      <w:pPr>
        <w:pStyle w:val="BodyText"/>
        <w:spacing w:after="80"/>
        <w:rPr>
          <w:lang w:val="en-AU"/>
        </w:rPr>
      </w:pPr>
      <w:r w:rsidRPr="00CF29E7">
        <w:rPr>
          <w:lang w:val="en-AU"/>
        </w:rPr>
        <w:t>Some people believe that they have acquired Lyme disease in Australia because the results of s</w:t>
      </w:r>
      <w:r w:rsidRPr="00D621FF">
        <w:rPr>
          <w:lang w:val="en-AU"/>
        </w:rPr>
        <w:t xml:space="preserve">creening antibody tests to </w:t>
      </w:r>
      <w:r w:rsidRPr="00D212E3">
        <w:rPr>
          <w:i/>
          <w:lang w:val="en-AU"/>
        </w:rPr>
        <w:t>B</w:t>
      </w:r>
      <w:r w:rsidR="00FA6D54" w:rsidRPr="00D212E3">
        <w:rPr>
          <w:i/>
          <w:lang w:val="en-AU"/>
        </w:rPr>
        <w:t>. </w:t>
      </w:r>
      <w:r w:rsidRPr="00D212E3">
        <w:rPr>
          <w:i/>
          <w:lang w:val="en-AU"/>
        </w:rPr>
        <w:t>burgdorferi</w:t>
      </w:r>
      <w:r w:rsidRPr="00D621FF">
        <w:rPr>
          <w:lang w:val="en-AU"/>
        </w:rPr>
        <w:t xml:space="preserve"> are positive. However, where a patient has not travelled overseas, these positives are all likely to be false positive test results. All diagnostic tests produc</w:t>
      </w:r>
      <w:r w:rsidR="00927EAE">
        <w:rPr>
          <w:lang w:val="en-AU"/>
        </w:rPr>
        <w:t>e</w:t>
      </w:r>
      <w:r w:rsidRPr="00D621FF">
        <w:rPr>
          <w:lang w:val="en-AU"/>
        </w:rPr>
        <w:t xml:space="preserve"> both false positive and false negative results. The frequency depends on the specificity and sensitivity of the test and the prevalence of the disease in the population</w:t>
      </w:r>
      <w:r w:rsidR="00D212E3">
        <w:rPr>
          <w:lang w:val="en-AU"/>
        </w:rPr>
        <w:t xml:space="preserve">. </w:t>
      </w:r>
      <w:r w:rsidRPr="00D621FF">
        <w:rPr>
          <w:lang w:val="en-AU"/>
        </w:rPr>
        <w:t>Even a h</w:t>
      </w:r>
      <w:r w:rsidR="006B32E0">
        <w:rPr>
          <w:lang w:val="en-AU"/>
        </w:rPr>
        <w:t>ighly specific test will produce</w:t>
      </w:r>
      <w:r w:rsidRPr="00D621FF">
        <w:rPr>
          <w:lang w:val="en-AU"/>
        </w:rPr>
        <w:t xml:space="preserve"> some false positives, so that people who have never been exposed to </w:t>
      </w:r>
      <w:r w:rsidRPr="00D212E3">
        <w:rPr>
          <w:i/>
          <w:lang w:val="en-AU"/>
        </w:rPr>
        <w:t>B</w:t>
      </w:r>
      <w:r w:rsidR="00FA6D54" w:rsidRPr="00D212E3">
        <w:rPr>
          <w:i/>
          <w:lang w:val="en-AU"/>
        </w:rPr>
        <w:t>. </w:t>
      </w:r>
      <w:r w:rsidRPr="00D212E3">
        <w:rPr>
          <w:i/>
          <w:lang w:val="en-AU"/>
        </w:rPr>
        <w:t>burgdorferi</w:t>
      </w:r>
      <w:r w:rsidRPr="00D621FF">
        <w:rPr>
          <w:lang w:val="en-AU"/>
        </w:rPr>
        <w:t xml:space="preserve"> can have </w:t>
      </w:r>
      <w:r w:rsidRPr="00FA6D54">
        <w:rPr>
          <w:lang w:val="en-AU"/>
        </w:rPr>
        <w:t>reactive antibody results.</w:t>
      </w:r>
      <w:r w:rsidRPr="00A94846">
        <w:rPr>
          <w:rStyle w:val="FootnoteReference"/>
        </w:rPr>
        <w:footnoteReference w:id="168"/>
      </w:r>
    </w:p>
    <w:p w14:paraId="479F4DD9" w14:textId="77777777" w:rsidR="00D36AE3" w:rsidRPr="00CF74AD" w:rsidRDefault="00656209" w:rsidP="007C2BF6">
      <w:pPr>
        <w:pStyle w:val="Body"/>
        <w:rPr>
          <w:b/>
          <w:bCs/>
          <w:i/>
          <w:iCs/>
          <w:lang w:val="en-AU"/>
        </w:rPr>
      </w:pPr>
      <w:r w:rsidRPr="00CF74AD">
        <w:rPr>
          <w:b/>
          <w:bCs/>
          <w:i/>
          <w:iCs/>
          <w:lang w:val="en-AU"/>
        </w:rPr>
        <w:t xml:space="preserve">Laboratory testing is essential </w:t>
      </w:r>
      <w:r w:rsidR="00D10868" w:rsidRPr="00CF74AD">
        <w:rPr>
          <w:b/>
          <w:bCs/>
          <w:i/>
          <w:iCs/>
          <w:lang w:val="en-AU"/>
        </w:rPr>
        <w:t>to</w:t>
      </w:r>
      <w:r w:rsidR="00F34F29" w:rsidRPr="00CF74AD">
        <w:rPr>
          <w:b/>
          <w:bCs/>
          <w:i/>
          <w:iCs/>
          <w:lang w:val="en-AU"/>
        </w:rPr>
        <w:t xml:space="preserve"> diagnose </w:t>
      </w:r>
      <w:r w:rsidR="00D36AE3" w:rsidRPr="00CF74AD">
        <w:rPr>
          <w:b/>
          <w:bCs/>
          <w:i/>
          <w:iCs/>
          <w:lang w:val="en-AU"/>
        </w:rPr>
        <w:t>Lyme disease in Australia</w:t>
      </w:r>
    </w:p>
    <w:p w14:paraId="457A5FB0" w14:textId="77777777" w:rsidR="00B53075" w:rsidRPr="00661245" w:rsidRDefault="00873A1E" w:rsidP="00B53075">
      <w:pPr>
        <w:pStyle w:val="BodyText"/>
        <w:rPr>
          <w:lang w:val="en-AU"/>
        </w:rPr>
      </w:pPr>
      <w:r w:rsidRPr="00CF74AD">
        <w:rPr>
          <w:lang w:val="en-AU"/>
        </w:rPr>
        <w:t xml:space="preserve">Despite multiple studies which have thoroughly searched for it in Australian ticks </w:t>
      </w:r>
      <w:r w:rsidR="00EA458B" w:rsidRPr="00CF29E7">
        <w:rPr>
          <w:lang w:val="en-AU"/>
        </w:rPr>
        <w:t>and patients, the organism</w:t>
      </w:r>
      <w:r w:rsidR="00927EAE">
        <w:rPr>
          <w:lang w:val="en-AU"/>
        </w:rPr>
        <w:t>s</w:t>
      </w:r>
      <w:r w:rsidR="00EA458B" w:rsidRPr="00CF29E7">
        <w:rPr>
          <w:lang w:val="en-AU"/>
        </w:rPr>
        <w:t xml:space="preserve"> that cause Lyme disease ha</w:t>
      </w:r>
      <w:r w:rsidR="00927EAE">
        <w:rPr>
          <w:lang w:val="en-AU"/>
        </w:rPr>
        <w:t>ve</w:t>
      </w:r>
      <w:r w:rsidR="00EA458B" w:rsidRPr="00CF29E7">
        <w:rPr>
          <w:lang w:val="en-AU"/>
        </w:rPr>
        <w:t xml:space="preserve"> not, to date, been </w:t>
      </w:r>
      <w:r w:rsidR="00EA458B" w:rsidRPr="00D621FF">
        <w:rPr>
          <w:lang w:val="en-AU"/>
        </w:rPr>
        <w:t xml:space="preserve">identified in Australia. This means that Australia is a </w:t>
      </w:r>
      <w:r w:rsidR="00B53075" w:rsidRPr="00D621FF">
        <w:rPr>
          <w:lang w:val="en-AU"/>
        </w:rPr>
        <w:t xml:space="preserve">non-endemic country for Lyme disease, </w:t>
      </w:r>
      <w:r w:rsidR="00EA458B" w:rsidRPr="00D621FF">
        <w:rPr>
          <w:lang w:val="en-AU"/>
        </w:rPr>
        <w:t>and</w:t>
      </w:r>
      <w:r w:rsidR="002463B3" w:rsidRPr="00D621FF">
        <w:rPr>
          <w:lang w:val="en-AU"/>
        </w:rPr>
        <w:t xml:space="preserve"> </w:t>
      </w:r>
      <w:r w:rsidR="00B53075" w:rsidRPr="00FA6D54">
        <w:rPr>
          <w:lang w:val="en-AU"/>
        </w:rPr>
        <w:t>it is not possible to reliably diagnose Lym</w:t>
      </w:r>
      <w:r w:rsidR="00B53075" w:rsidRPr="00F2704A">
        <w:rPr>
          <w:lang w:val="en-AU"/>
        </w:rPr>
        <w:t>e disease on clinical symptoms and signs alone. Laboratory testing is essential, as many other infectious and non-infectious diseases can have similar features to Lyme disease</w:t>
      </w:r>
      <w:r w:rsidR="002871E7" w:rsidRPr="00F2704A">
        <w:rPr>
          <w:lang w:val="en-AU"/>
        </w:rPr>
        <w:t xml:space="preserve"> and all stages of Lyme disease have features that mimic other medical conditions</w:t>
      </w:r>
      <w:r w:rsidR="00837D0C" w:rsidRPr="00F2704A">
        <w:rPr>
          <w:lang w:val="en-AU"/>
        </w:rPr>
        <w:t>.</w:t>
      </w:r>
      <w:r w:rsidR="00CB7BDC" w:rsidRPr="00A94846">
        <w:rPr>
          <w:rStyle w:val="FootnoteReference"/>
        </w:rPr>
        <w:footnoteReference w:id="169"/>
      </w:r>
    </w:p>
    <w:p w14:paraId="02B5C553" w14:textId="77777777" w:rsidR="00497A79" w:rsidRPr="00CF74AD" w:rsidRDefault="00497A79" w:rsidP="00497A79">
      <w:pPr>
        <w:pStyle w:val="BodyText"/>
        <w:rPr>
          <w:lang w:val="en-AU"/>
        </w:rPr>
      </w:pPr>
      <w:r w:rsidRPr="00CF74AD">
        <w:rPr>
          <w:lang w:val="en-AU"/>
        </w:rPr>
        <w:t xml:space="preserve">Infection with </w:t>
      </w:r>
      <w:r w:rsidRPr="00CF74AD">
        <w:rPr>
          <w:i/>
          <w:iCs/>
          <w:lang w:val="en-AU"/>
        </w:rPr>
        <w:t>B. bu</w:t>
      </w:r>
      <w:r w:rsidR="002933C6" w:rsidRPr="00CF74AD">
        <w:rPr>
          <w:i/>
          <w:iCs/>
          <w:lang w:val="en-AU"/>
        </w:rPr>
        <w:t>r</w:t>
      </w:r>
      <w:r w:rsidRPr="00CF74AD">
        <w:rPr>
          <w:i/>
          <w:iCs/>
          <w:lang w:val="en-AU"/>
        </w:rPr>
        <w:t xml:space="preserve">gdorferi </w:t>
      </w:r>
      <w:r w:rsidR="00CF74AD" w:rsidRPr="00CF74AD">
        <w:rPr>
          <w:iCs/>
          <w:lang w:val="en-AU"/>
        </w:rPr>
        <w:t>s.l.</w:t>
      </w:r>
      <w:r w:rsidRPr="00CF74AD">
        <w:rPr>
          <w:i/>
          <w:iCs/>
          <w:lang w:val="en-AU"/>
        </w:rPr>
        <w:t xml:space="preserve"> </w:t>
      </w:r>
      <w:r w:rsidRPr="00CF74AD">
        <w:rPr>
          <w:lang w:val="en-AU"/>
        </w:rPr>
        <w:t>leads initially to an IgM antibody response, followed two weeks later by an IgG antibody response. The IgM response tends to be relatively short-lived in most patients</w:t>
      </w:r>
      <w:r w:rsidR="00A45F99" w:rsidRPr="00CF29E7">
        <w:rPr>
          <w:lang w:val="en-AU"/>
        </w:rPr>
        <w:t>,</w:t>
      </w:r>
      <w:r w:rsidRPr="00D621FF">
        <w:rPr>
          <w:lang w:val="en-AU"/>
        </w:rPr>
        <w:t xml:space="preserve"> but the IgG remains for decades following infection</w:t>
      </w:r>
      <w:r w:rsidR="00640B86" w:rsidRPr="00D621FF">
        <w:rPr>
          <w:lang w:val="en-AU"/>
        </w:rPr>
        <w:t>.</w:t>
      </w:r>
      <w:r w:rsidRPr="00A94846">
        <w:rPr>
          <w:rStyle w:val="FootnoteReference"/>
        </w:rPr>
        <w:footnoteReference w:id="170"/>
      </w:r>
      <w:r w:rsidR="00197A4B" w:rsidRPr="00661245">
        <w:rPr>
          <w:lang w:val="en-AU"/>
        </w:rPr>
        <w:t xml:space="preserve"> </w:t>
      </w:r>
    </w:p>
    <w:p w14:paraId="125FA13A" w14:textId="77777777" w:rsidR="00EB1653" w:rsidRDefault="002B460D" w:rsidP="00497A79">
      <w:pPr>
        <w:pStyle w:val="BodyText"/>
        <w:rPr>
          <w:lang w:val="en-AU" w:eastAsia="en-AU"/>
        </w:rPr>
      </w:pPr>
      <w:r w:rsidRPr="00CF74AD">
        <w:rPr>
          <w:lang w:val="en-AU"/>
        </w:rPr>
        <w:t>In a</w:t>
      </w:r>
      <w:r w:rsidRPr="00CF74AD">
        <w:rPr>
          <w:lang w:val="en-AU" w:eastAsia="en-AU"/>
        </w:rPr>
        <w:t xml:space="preserve"> 2019 review of European and American guidelines (16 guidelines from seven countries) for the diagnosis of Lyme disease</w:t>
      </w:r>
      <w:r w:rsidR="00927EAE">
        <w:rPr>
          <w:lang w:val="en-AU" w:eastAsia="en-AU"/>
        </w:rPr>
        <w:t>,</w:t>
      </w:r>
      <w:r w:rsidRPr="00CF74AD">
        <w:rPr>
          <w:lang w:val="en-AU" w:eastAsia="en-AU"/>
        </w:rPr>
        <w:t xml:space="preserve"> all guidelines indicated that the diagnosis of Lyme disease is currently based on a two-tier serology at all stages of infection, except for the early localised dermatological presentation known as</w:t>
      </w:r>
      <w:r w:rsidR="00BF02C8" w:rsidRPr="00CF74AD">
        <w:rPr>
          <w:lang w:val="en-AU" w:eastAsia="en-AU"/>
        </w:rPr>
        <w:t xml:space="preserve"> EM</w:t>
      </w:r>
      <w:r w:rsidR="00640B86" w:rsidRPr="00CF29E7">
        <w:rPr>
          <w:lang w:val="en-AU" w:eastAsia="en-AU"/>
        </w:rPr>
        <w:t>.</w:t>
      </w:r>
      <w:r w:rsidRPr="00A94846">
        <w:rPr>
          <w:rStyle w:val="FootnoteReference"/>
        </w:rPr>
        <w:footnoteReference w:id="171"/>
      </w:r>
      <w:r w:rsidRPr="00661245">
        <w:rPr>
          <w:lang w:val="en-AU" w:eastAsia="en-AU"/>
        </w:rPr>
        <w:t xml:space="preserve"> </w:t>
      </w:r>
      <w:r w:rsidR="00FD3EED" w:rsidRPr="00CF74AD">
        <w:rPr>
          <w:lang w:val="en-AU" w:eastAsia="en-AU"/>
        </w:rPr>
        <w:t>W</w:t>
      </w:r>
      <w:r w:rsidR="008D0744" w:rsidRPr="00CF74AD">
        <w:rPr>
          <w:lang w:val="en-AU" w:eastAsia="en-AU"/>
        </w:rPr>
        <w:t xml:space="preserve">hile </w:t>
      </w:r>
      <w:r w:rsidRPr="00CF74AD">
        <w:rPr>
          <w:lang w:val="en-AU" w:eastAsia="en-AU"/>
        </w:rPr>
        <w:t xml:space="preserve">the recommendation from 15 of the 16 </w:t>
      </w:r>
      <w:r w:rsidR="000C7B19" w:rsidRPr="00CF74AD">
        <w:rPr>
          <w:lang w:val="en-AU" w:eastAsia="en-AU"/>
        </w:rPr>
        <w:t xml:space="preserve">international </w:t>
      </w:r>
      <w:r w:rsidRPr="00CF29E7">
        <w:rPr>
          <w:lang w:val="en-AU" w:eastAsia="en-AU"/>
        </w:rPr>
        <w:t>guidelines was no serology testing in the case of EM suspicion due to early serology not being sensitive enough (40</w:t>
      </w:r>
      <w:r w:rsidR="00640B86" w:rsidRPr="00CF29E7">
        <w:rPr>
          <w:lang w:val="en-AU" w:eastAsia="en-AU"/>
        </w:rPr>
        <w:t xml:space="preserve"> </w:t>
      </w:r>
      <w:r w:rsidR="00CF74AD">
        <w:rPr>
          <w:lang w:val="en-AU" w:eastAsia="en-AU"/>
        </w:rPr>
        <w:t>per cent</w:t>
      </w:r>
      <w:r w:rsidRPr="00CF74AD">
        <w:rPr>
          <w:lang w:val="en-AU" w:eastAsia="en-AU"/>
        </w:rPr>
        <w:t xml:space="preserve"> to 60</w:t>
      </w:r>
      <w:r w:rsidR="00640B86" w:rsidRPr="00CF74AD">
        <w:rPr>
          <w:lang w:val="en-AU" w:eastAsia="en-AU"/>
        </w:rPr>
        <w:t xml:space="preserve"> </w:t>
      </w:r>
      <w:r w:rsidR="00CF74AD">
        <w:rPr>
          <w:lang w:val="en-AU" w:eastAsia="en-AU"/>
        </w:rPr>
        <w:t>per cent</w:t>
      </w:r>
      <w:r w:rsidRPr="00CF74AD">
        <w:rPr>
          <w:lang w:val="en-AU" w:eastAsia="en-AU"/>
        </w:rPr>
        <w:t>) to confirm Lyme diagnosis at the EM stage</w:t>
      </w:r>
      <w:r w:rsidR="00640B86" w:rsidRPr="00CF74AD">
        <w:rPr>
          <w:lang w:val="en-AU" w:eastAsia="en-AU"/>
        </w:rPr>
        <w:t>,</w:t>
      </w:r>
      <w:r w:rsidRPr="00A94846">
        <w:rPr>
          <w:rStyle w:val="FootnoteReference"/>
        </w:rPr>
        <w:footnoteReference w:id="172"/>
      </w:r>
      <w:r w:rsidR="000C7B19" w:rsidRPr="00661245">
        <w:rPr>
          <w:lang w:val="en-AU" w:eastAsia="en-AU"/>
        </w:rPr>
        <w:t xml:space="preserve"> i</w:t>
      </w:r>
      <w:r w:rsidRPr="00CF74AD">
        <w:rPr>
          <w:lang w:val="en-AU" w:eastAsia="en-AU"/>
        </w:rPr>
        <w:t xml:space="preserve">n Australia, </w:t>
      </w:r>
      <w:r w:rsidR="00EB1653" w:rsidRPr="00CF74AD">
        <w:rPr>
          <w:lang w:val="en-AU" w:eastAsia="en-AU"/>
        </w:rPr>
        <w:t xml:space="preserve">where Lyme disease in not endemic </w:t>
      </w:r>
      <w:r w:rsidRPr="00CF74AD">
        <w:rPr>
          <w:lang w:val="en-AU" w:eastAsia="en-AU"/>
        </w:rPr>
        <w:t xml:space="preserve">diagnostic testing is </w:t>
      </w:r>
      <w:r w:rsidR="00EB1653" w:rsidRPr="00CF74AD">
        <w:rPr>
          <w:lang w:val="en-AU" w:eastAsia="en-AU"/>
        </w:rPr>
        <w:t xml:space="preserve">recommended. </w:t>
      </w:r>
    </w:p>
    <w:p w14:paraId="79B8D7A8" w14:textId="77777777" w:rsidR="00D524A3" w:rsidRDefault="00D524A3" w:rsidP="00497A79">
      <w:pPr>
        <w:pStyle w:val="BodyText"/>
        <w:rPr>
          <w:lang w:val="en-AU" w:eastAsia="en-AU"/>
        </w:rPr>
      </w:pPr>
      <w:r>
        <w:rPr>
          <w:lang w:val="en-AU" w:eastAsia="en-AU"/>
        </w:rPr>
        <w:br w:type="page"/>
      </w:r>
    </w:p>
    <w:tbl>
      <w:tblPr>
        <w:tblW w:w="0" w:type="auto"/>
        <w:tblBorders>
          <w:top w:val="single" w:sz="12" w:space="0" w:color="77B800"/>
          <w:left w:val="single" w:sz="12" w:space="0" w:color="77B800"/>
          <w:bottom w:val="single" w:sz="12" w:space="0" w:color="77B800"/>
          <w:right w:val="single" w:sz="12" w:space="0" w:color="77B800"/>
          <w:insideH w:val="single" w:sz="12" w:space="0" w:color="77B800"/>
          <w:insideV w:val="single" w:sz="12" w:space="0" w:color="77B800"/>
        </w:tblBorders>
        <w:tblLook w:val="04A0" w:firstRow="1" w:lastRow="0" w:firstColumn="1" w:lastColumn="0" w:noHBand="0" w:noVBand="1"/>
      </w:tblPr>
      <w:tblGrid>
        <w:gridCol w:w="9041"/>
      </w:tblGrid>
      <w:tr w:rsidR="00EB1653" w:rsidRPr="004D3350" w14:paraId="725F516D" w14:textId="77777777" w:rsidTr="004D3350">
        <w:trPr>
          <w:tblHeader/>
        </w:trPr>
        <w:tc>
          <w:tcPr>
            <w:tcW w:w="9041" w:type="dxa"/>
            <w:shd w:val="clear" w:color="auto" w:fill="auto"/>
          </w:tcPr>
          <w:p w14:paraId="4336319B" w14:textId="77777777" w:rsidR="00D41360" w:rsidRPr="004D3350" w:rsidRDefault="00D41360" w:rsidP="00497A79">
            <w:pPr>
              <w:pStyle w:val="BodyText"/>
              <w:rPr>
                <w:lang w:val="en-AU" w:eastAsia="en-AU"/>
              </w:rPr>
            </w:pPr>
            <w:r w:rsidRPr="004D3350">
              <w:rPr>
                <w:lang w:val="en-AU" w:eastAsia="en-AU"/>
              </w:rPr>
              <w:lastRenderedPageBreak/>
              <w:t>In Australia, laboratory diagnostic testing for Lyme disease is required for two reasons:</w:t>
            </w:r>
          </w:p>
          <w:p w14:paraId="1119DE9A" w14:textId="77777777" w:rsidR="00D41360" w:rsidRPr="004D3350" w:rsidRDefault="00D41360" w:rsidP="004D3350">
            <w:pPr>
              <w:pStyle w:val="List-AlphanumericLvl1"/>
              <w:spacing w:line="240" w:lineRule="auto"/>
              <w:ind w:left="850"/>
              <w:rPr>
                <w:lang w:val="en-AU" w:eastAsia="en-AU"/>
              </w:rPr>
            </w:pPr>
            <w:r w:rsidRPr="004D3350">
              <w:rPr>
                <w:lang w:val="en-AU" w:eastAsia="en-AU"/>
              </w:rPr>
              <w:t>Unless the clinician is familiar with the pathognomonic EM rash, it is clinically safer to obtain supportive evidence of infection through diagnostic testing</w:t>
            </w:r>
            <w:r w:rsidR="001A73C5" w:rsidRPr="004D3350">
              <w:rPr>
                <w:lang w:val="en-AU" w:eastAsia="en-AU"/>
              </w:rPr>
              <w:t xml:space="preserve"> (</w:t>
            </w:r>
            <w:r w:rsidR="00717D4B" w:rsidRPr="004D3350">
              <w:rPr>
                <w:lang w:val="en-AU" w:eastAsia="en-AU"/>
              </w:rPr>
              <w:t xml:space="preserve">culture or </w:t>
            </w:r>
            <w:r w:rsidR="006A2C0D" w:rsidRPr="004D3350">
              <w:rPr>
                <w:lang w:val="en-AU" w:eastAsia="en-AU"/>
              </w:rPr>
              <w:t>Polymerised Chain Reaction (</w:t>
            </w:r>
            <w:r w:rsidR="00717D4B" w:rsidRPr="004D3350">
              <w:rPr>
                <w:lang w:val="en-AU" w:eastAsia="en-AU"/>
              </w:rPr>
              <w:t>PCR</w:t>
            </w:r>
            <w:r w:rsidR="006A2C0D" w:rsidRPr="004D3350">
              <w:rPr>
                <w:lang w:val="en-AU" w:eastAsia="en-AU"/>
              </w:rPr>
              <w:t>)</w:t>
            </w:r>
            <w:r w:rsidR="00717D4B" w:rsidRPr="004D3350">
              <w:rPr>
                <w:lang w:val="en-AU" w:eastAsia="en-AU"/>
              </w:rPr>
              <w:t xml:space="preserve"> of the tissue or more usually antibody testing on a convalescent sample)</w:t>
            </w:r>
            <w:r w:rsidR="00A12F26" w:rsidRPr="004D3350">
              <w:rPr>
                <w:lang w:val="en-AU" w:eastAsia="en-AU"/>
              </w:rPr>
              <w:t>.</w:t>
            </w:r>
          </w:p>
          <w:p w14:paraId="287D84E0" w14:textId="77777777" w:rsidR="00EB1653" w:rsidRPr="004D3350" w:rsidRDefault="00D41360" w:rsidP="004D3350">
            <w:pPr>
              <w:pStyle w:val="List-AlphanumericLvl1"/>
              <w:spacing w:line="240" w:lineRule="auto"/>
              <w:ind w:left="850"/>
              <w:rPr>
                <w:lang w:val="en-AU" w:eastAsia="en-AU"/>
              </w:rPr>
            </w:pPr>
            <w:r w:rsidRPr="004D3350">
              <w:rPr>
                <w:lang w:val="en-AU" w:eastAsia="en-AU"/>
              </w:rPr>
              <w:t xml:space="preserve">Diagnostic laboratory support </w:t>
            </w:r>
            <w:r w:rsidR="00527AE1" w:rsidRPr="004D3350">
              <w:rPr>
                <w:lang w:val="en-AU" w:eastAsia="en-AU"/>
              </w:rPr>
              <w:t>is preferred for pati</w:t>
            </w:r>
            <w:r w:rsidR="00BF02C8" w:rsidRPr="004D3350">
              <w:rPr>
                <w:lang w:val="en-AU" w:eastAsia="en-AU"/>
              </w:rPr>
              <w:t>en</w:t>
            </w:r>
            <w:r w:rsidR="00527AE1" w:rsidRPr="004D3350">
              <w:rPr>
                <w:lang w:val="en-AU" w:eastAsia="en-AU"/>
              </w:rPr>
              <w:t>ts presenting with non-specific signs and symptoms of a disease syndrome, notwithstanding the limitations of the test</w:t>
            </w:r>
            <w:r w:rsidR="00BF02C8" w:rsidRPr="004D3350">
              <w:rPr>
                <w:lang w:val="en-AU" w:eastAsia="en-AU"/>
              </w:rPr>
              <w:t>s</w:t>
            </w:r>
            <w:r w:rsidR="00A12F26" w:rsidRPr="004D3350">
              <w:rPr>
                <w:lang w:val="en-AU" w:eastAsia="en-AU"/>
              </w:rPr>
              <w:t>.</w:t>
            </w:r>
          </w:p>
        </w:tc>
      </w:tr>
    </w:tbl>
    <w:p w14:paraId="4DC3AA73" w14:textId="77777777" w:rsidR="00EE59BB" w:rsidRPr="00CF74AD" w:rsidRDefault="00EE59BB" w:rsidP="00EE59BB">
      <w:pPr>
        <w:pStyle w:val="NumberedHeading3"/>
        <w:spacing w:after="80"/>
        <w:rPr>
          <w:lang w:val="en-AU"/>
        </w:rPr>
      </w:pPr>
      <w:bookmarkStart w:id="87" w:name="_Toc55464792"/>
      <w:r w:rsidRPr="00CF74AD">
        <w:rPr>
          <w:lang w:val="en-AU"/>
        </w:rPr>
        <w:t>Provide advice to patients about the tests for Lyme disease</w:t>
      </w:r>
      <w:bookmarkStart w:id="88" w:name="Section_412"/>
      <w:bookmarkEnd w:id="87"/>
      <w:bookmarkEnd w:id="88"/>
    </w:p>
    <w:p w14:paraId="666ECE53" w14:textId="77777777" w:rsidR="00EE59BB" w:rsidRPr="00661245" w:rsidRDefault="00470E20" w:rsidP="00FC62C7">
      <w:pPr>
        <w:pStyle w:val="BodyText"/>
        <w:rPr>
          <w:lang w:val="en-AU"/>
        </w:rPr>
      </w:pPr>
      <w:r w:rsidRPr="00CF74AD">
        <w:rPr>
          <w:lang w:val="en-AU"/>
        </w:rPr>
        <w:t>It</w:t>
      </w:r>
      <w:r w:rsidR="00EE59BB" w:rsidRPr="00CF74AD">
        <w:rPr>
          <w:lang w:val="en-AU"/>
        </w:rPr>
        <w:t xml:space="preserve"> should be noted that currently available tests </w:t>
      </w:r>
      <w:r w:rsidRPr="00CF74AD">
        <w:rPr>
          <w:lang w:val="en-AU"/>
        </w:rPr>
        <w:t>for</w:t>
      </w:r>
      <w:r w:rsidR="00F423EB" w:rsidRPr="00CF29E7">
        <w:rPr>
          <w:lang w:val="en-AU"/>
        </w:rPr>
        <w:t xml:space="preserve"> </w:t>
      </w:r>
      <w:r w:rsidRPr="00D621FF">
        <w:rPr>
          <w:lang w:val="en-AU"/>
        </w:rPr>
        <w:t xml:space="preserve">Lyme disease </w:t>
      </w:r>
      <w:r w:rsidR="00EE59BB" w:rsidRPr="00D621FF">
        <w:rPr>
          <w:lang w:val="en-AU"/>
        </w:rPr>
        <w:t xml:space="preserve">carry limitations. The interpretation of serological assays in Lyme </w:t>
      </w:r>
      <w:r w:rsidR="00306728" w:rsidRPr="00D621FF">
        <w:rPr>
          <w:lang w:val="en-AU"/>
        </w:rPr>
        <w:t>disease</w:t>
      </w:r>
      <w:r w:rsidR="00EE59BB" w:rsidRPr="00FA6D54">
        <w:rPr>
          <w:lang w:val="en-AU"/>
        </w:rPr>
        <w:t xml:space="preserve"> requires an understanding of the clinical indications and limitations of the tests</w:t>
      </w:r>
      <w:r w:rsidR="00676F6B">
        <w:rPr>
          <w:lang w:val="en-AU"/>
        </w:rPr>
        <w:t>,</w:t>
      </w:r>
      <w:r w:rsidR="00EE59BB" w:rsidRPr="00FA6D54">
        <w:rPr>
          <w:lang w:val="en-AU"/>
        </w:rPr>
        <w:t xml:space="preserve"> and the usefulness of serological tests for Lyme disease depends on the pre-test probability and subsequent predicative values in the setting where the tests are being used.</w:t>
      </w:r>
      <w:r w:rsidR="00EE59BB" w:rsidRPr="00A94846">
        <w:rPr>
          <w:rStyle w:val="FootnoteReference"/>
        </w:rPr>
        <w:footnoteReference w:id="173"/>
      </w:r>
    </w:p>
    <w:p w14:paraId="43EE2A1B" w14:textId="77777777" w:rsidR="00EE59BB" w:rsidRPr="00CF74AD" w:rsidRDefault="00EE59BB" w:rsidP="00FC62C7">
      <w:pPr>
        <w:pStyle w:val="BodyText"/>
        <w:rPr>
          <w:lang w:val="en-AU"/>
        </w:rPr>
      </w:pPr>
      <w:r w:rsidRPr="00CF74AD">
        <w:rPr>
          <w:lang w:val="en-AU"/>
        </w:rPr>
        <w:t>While both the IDSA/AAN/ACR and NICE identify that the currently available protocol is reliable when used appropriately, both also note the limitations of the testing protocol.</w:t>
      </w:r>
      <w:r w:rsidRPr="00A94846">
        <w:rPr>
          <w:rStyle w:val="FootnoteReference"/>
        </w:rPr>
        <w:footnoteReference w:id="174"/>
      </w:r>
      <w:r w:rsidR="00BF75D5" w:rsidRPr="00BF75D5">
        <w:rPr>
          <w:vertAlign w:val="superscript"/>
          <w:lang w:val="en-AU"/>
        </w:rPr>
        <w:t>,</w:t>
      </w:r>
      <w:r w:rsidR="00BF75D5">
        <w:rPr>
          <w:lang w:val="en-AU"/>
        </w:rPr>
        <w:t xml:space="preserve"> </w:t>
      </w:r>
      <w:r w:rsidR="00BF75D5" w:rsidRPr="00A94846">
        <w:rPr>
          <w:rStyle w:val="FootnoteReference"/>
        </w:rPr>
        <w:footnoteReference w:id="175"/>
      </w:r>
    </w:p>
    <w:p w14:paraId="22D2337D" w14:textId="77777777" w:rsidR="00EE59BB" w:rsidRPr="00661245" w:rsidRDefault="00EE59BB" w:rsidP="00EE59BB">
      <w:pPr>
        <w:pStyle w:val="Body"/>
        <w:spacing w:after="80"/>
        <w:rPr>
          <w:lang w:val="en-AU"/>
        </w:rPr>
      </w:pPr>
      <w:r w:rsidRPr="00CF74AD">
        <w:rPr>
          <w:lang w:val="en-AU"/>
        </w:rPr>
        <w:t>NICE recommends clinicians provide the following information to patients being tested for Lyme disease:</w:t>
      </w:r>
      <w:r w:rsidRPr="00A94846">
        <w:rPr>
          <w:rStyle w:val="FootnoteReference"/>
        </w:rPr>
        <w:footnoteReference w:id="176"/>
      </w:r>
    </w:p>
    <w:p w14:paraId="750E088A" w14:textId="77777777" w:rsidR="00EE59BB" w:rsidRPr="00CF74AD" w:rsidRDefault="00EE59BB" w:rsidP="00BE0913">
      <w:pPr>
        <w:pStyle w:val="List-BulletLvl1"/>
        <w:spacing w:after="60"/>
        <w:rPr>
          <w:lang w:val="en-AU"/>
        </w:rPr>
      </w:pPr>
      <w:r w:rsidRPr="00CF74AD">
        <w:rPr>
          <w:lang w:val="en-AU"/>
        </w:rPr>
        <w:t>tests for Lyme disease have limitations and that false-positive and false-negative results can occur and what this means</w:t>
      </w:r>
    </w:p>
    <w:p w14:paraId="366A96EF" w14:textId="77777777" w:rsidR="00EE59BB" w:rsidRPr="00CF74AD" w:rsidRDefault="00EE59BB" w:rsidP="00BE0913">
      <w:pPr>
        <w:pStyle w:val="List-BulletLvl1"/>
        <w:spacing w:after="60"/>
        <w:rPr>
          <w:lang w:val="en-AU"/>
        </w:rPr>
      </w:pPr>
      <w:r w:rsidRPr="00CF74AD">
        <w:rPr>
          <w:lang w:val="en-AU"/>
        </w:rPr>
        <w:t>most tests for Lyme disease assess for the presence of antibodies and the possible reduction of accuracy of the test if:</w:t>
      </w:r>
    </w:p>
    <w:p w14:paraId="322D31F5" w14:textId="77777777" w:rsidR="00EE59BB" w:rsidRPr="00CF74AD" w:rsidRDefault="00EE59BB" w:rsidP="00764F55">
      <w:pPr>
        <w:pStyle w:val="List-BulletLvl2"/>
        <w:spacing w:before="0" w:after="60"/>
        <w:ind w:left="1531"/>
        <w:rPr>
          <w:lang w:val="en-AU"/>
        </w:rPr>
      </w:pPr>
      <w:r w:rsidRPr="00CF74AD">
        <w:rPr>
          <w:lang w:val="en-AU"/>
        </w:rPr>
        <w:t xml:space="preserve">testing is carried out too early (before antibodies have developed), and </w:t>
      </w:r>
    </w:p>
    <w:p w14:paraId="0AE24366" w14:textId="77777777" w:rsidR="00EE59BB" w:rsidRPr="00CF74AD" w:rsidRDefault="00EE59BB" w:rsidP="00764F55">
      <w:pPr>
        <w:pStyle w:val="List-BulletLvl2"/>
        <w:spacing w:before="0" w:after="60"/>
        <w:ind w:left="1531"/>
        <w:rPr>
          <w:lang w:val="en-AU"/>
        </w:rPr>
      </w:pPr>
      <w:r w:rsidRPr="00CF74AD">
        <w:rPr>
          <w:lang w:val="en-AU"/>
        </w:rPr>
        <w:t>the person has reduced immunity, for example</w:t>
      </w:r>
      <w:r w:rsidR="006933BF">
        <w:rPr>
          <w:lang w:val="en-AU"/>
        </w:rPr>
        <w:t>,</w:t>
      </w:r>
      <w:r w:rsidRPr="00CF74AD">
        <w:rPr>
          <w:lang w:val="en-AU"/>
        </w:rPr>
        <w:t xml:space="preserve"> in people on immunosuppressant treatments, which might affect the development of antibodies</w:t>
      </w:r>
    </w:p>
    <w:p w14:paraId="254046CB" w14:textId="77777777" w:rsidR="00EE59BB" w:rsidRPr="00D621FF" w:rsidRDefault="00EE59BB" w:rsidP="00BE0913">
      <w:pPr>
        <w:pStyle w:val="List-BulletLvl1"/>
        <w:spacing w:after="60"/>
        <w:rPr>
          <w:lang w:val="en-AU"/>
        </w:rPr>
      </w:pPr>
      <w:r w:rsidRPr="00CF29E7">
        <w:rPr>
          <w:lang w:val="en-AU"/>
        </w:rPr>
        <w:t>the symptoms and signs associated with Lyme disea</w:t>
      </w:r>
      <w:r w:rsidRPr="00D621FF">
        <w:rPr>
          <w:lang w:val="en-AU"/>
        </w:rPr>
        <w:t>se overlap with those of other conditions</w:t>
      </w:r>
    </w:p>
    <w:p w14:paraId="2DE8B011" w14:textId="77777777" w:rsidR="00EE59BB" w:rsidRPr="00D621FF" w:rsidRDefault="00EE59BB" w:rsidP="00BE0913">
      <w:pPr>
        <w:pStyle w:val="List-BulletLvl1"/>
        <w:spacing w:after="60"/>
        <w:rPr>
          <w:lang w:val="en-AU"/>
        </w:rPr>
      </w:pPr>
      <w:r w:rsidRPr="00D621FF">
        <w:rPr>
          <w:lang w:val="en-AU"/>
        </w:rPr>
        <w:t>they will be assessed for alternative diagnoses if their tests are negative and their symptoms have not resolved, and</w:t>
      </w:r>
    </w:p>
    <w:p w14:paraId="52B7393E" w14:textId="77777777" w:rsidR="00EE59BB" w:rsidRPr="00FA6D54" w:rsidRDefault="00EE59BB" w:rsidP="00EE59BB">
      <w:pPr>
        <w:pStyle w:val="List-BulletLvl1"/>
        <w:rPr>
          <w:lang w:val="en-AU"/>
        </w:rPr>
      </w:pPr>
      <w:r w:rsidRPr="00FA6D54">
        <w:rPr>
          <w:lang w:val="en-AU"/>
        </w:rPr>
        <w:t xml:space="preserve">symptoms such as tiredness, headache and muscle pain are common, and a specific medical cause is often not found. </w:t>
      </w:r>
    </w:p>
    <w:p w14:paraId="5A1BDAC9" w14:textId="77777777" w:rsidR="00387031" w:rsidRPr="00661245" w:rsidRDefault="00387031" w:rsidP="00D55937">
      <w:pPr>
        <w:pStyle w:val="BodyText"/>
        <w:rPr>
          <w:lang w:val="en-AU"/>
        </w:rPr>
      </w:pPr>
      <w:r w:rsidRPr="00F2704A">
        <w:rPr>
          <w:lang w:val="en-AU"/>
        </w:rPr>
        <w:t>In 2019</w:t>
      </w:r>
      <w:r w:rsidR="00D6065C">
        <w:rPr>
          <w:lang w:val="en-AU"/>
        </w:rPr>
        <w:t>,</w:t>
      </w:r>
      <w:r w:rsidRPr="00F2704A">
        <w:rPr>
          <w:lang w:val="en-AU"/>
        </w:rPr>
        <w:t xml:space="preserve"> </w:t>
      </w:r>
      <w:r w:rsidR="00064D5D" w:rsidRPr="00F2704A">
        <w:rPr>
          <w:lang w:val="en-AU"/>
        </w:rPr>
        <w:t xml:space="preserve">IDSA/AAN/ACR </w:t>
      </w:r>
      <w:r w:rsidRPr="00F2704A">
        <w:rPr>
          <w:lang w:val="en-AU"/>
        </w:rPr>
        <w:t>advise</w:t>
      </w:r>
      <w:r w:rsidR="002B2BA1" w:rsidRPr="00F2704A">
        <w:rPr>
          <w:lang w:val="en-AU"/>
        </w:rPr>
        <w:t>d in the</w:t>
      </w:r>
      <w:r w:rsidR="00306728" w:rsidRPr="00F2704A">
        <w:rPr>
          <w:lang w:val="en-AU"/>
        </w:rPr>
        <w:t>ir</w:t>
      </w:r>
      <w:r w:rsidR="002B2BA1" w:rsidRPr="00F2704A">
        <w:rPr>
          <w:lang w:val="en-AU"/>
        </w:rPr>
        <w:t xml:space="preserve"> draft Lyme disease guid</w:t>
      </w:r>
      <w:r w:rsidR="00EE59BB" w:rsidRPr="00F2704A">
        <w:rPr>
          <w:lang w:val="en-AU"/>
        </w:rPr>
        <w:t>e</w:t>
      </w:r>
      <w:r w:rsidR="002B2BA1" w:rsidRPr="00F2704A">
        <w:rPr>
          <w:lang w:val="en-AU"/>
        </w:rPr>
        <w:t>lines</w:t>
      </w:r>
      <w:r w:rsidR="00FC62C7" w:rsidRPr="00F2704A">
        <w:rPr>
          <w:lang w:val="en-AU"/>
        </w:rPr>
        <w:t>:</w:t>
      </w:r>
      <w:r w:rsidR="00816B91" w:rsidRPr="00A94846">
        <w:rPr>
          <w:rStyle w:val="FootnoteReference"/>
        </w:rPr>
        <w:footnoteReference w:id="177"/>
      </w:r>
    </w:p>
    <w:p w14:paraId="79A533FF" w14:textId="77777777" w:rsidR="00387031" w:rsidRPr="00FA6D54" w:rsidRDefault="00816B91" w:rsidP="00BE0913">
      <w:pPr>
        <w:pStyle w:val="List-BulletLvl1"/>
        <w:spacing w:after="60"/>
        <w:rPr>
          <w:lang w:val="en-AU"/>
        </w:rPr>
      </w:pPr>
      <w:r w:rsidRPr="00CF74AD">
        <w:rPr>
          <w:lang w:val="en-AU"/>
        </w:rPr>
        <w:t>s</w:t>
      </w:r>
      <w:r w:rsidR="00FE1475" w:rsidRPr="00CF74AD">
        <w:rPr>
          <w:lang w:val="en-AU"/>
        </w:rPr>
        <w:t>erologic (s</w:t>
      </w:r>
      <w:r w:rsidR="009D0F51" w:rsidRPr="00CF74AD">
        <w:rPr>
          <w:lang w:val="en-AU"/>
        </w:rPr>
        <w:t>erum antibody</w:t>
      </w:r>
      <w:r w:rsidR="00FE1475" w:rsidRPr="00CF74AD">
        <w:rPr>
          <w:lang w:val="en-AU"/>
        </w:rPr>
        <w:t>)</w:t>
      </w:r>
      <w:r w:rsidR="009D0F51" w:rsidRPr="00CF74AD">
        <w:rPr>
          <w:lang w:val="en-AU"/>
        </w:rPr>
        <w:t xml:space="preserve"> testing is highly sensitive in patie</w:t>
      </w:r>
      <w:r w:rsidR="003B3C54" w:rsidRPr="00CF29E7">
        <w:rPr>
          <w:lang w:val="en-AU"/>
        </w:rPr>
        <w:t>n</w:t>
      </w:r>
      <w:r w:rsidR="009D0F51" w:rsidRPr="00D621FF">
        <w:rPr>
          <w:lang w:val="en-AU"/>
        </w:rPr>
        <w:t xml:space="preserve">ts with non-cutaneous manifestations of </w:t>
      </w:r>
      <w:r w:rsidR="003B3C54" w:rsidRPr="00D621FF">
        <w:rPr>
          <w:lang w:val="en-AU"/>
        </w:rPr>
        <w:t>Lyme disease, as these manifestations typically develop after weeks to months of infection</w:t>
      </w:r>
    </w:p>
    <w:p w14:paraId="51C8BBD1" w14:textId="77777777" w:rsidR="00387031" w:rsidRPr="00F2704A" w:rsidRDefault="00816B91" w:rsidP="00BE0913">
      <w:pPr>
        <w:pStyle w:val="List-BulletLvl1"/>
        <w:spacing w:after="60"/>
        <w:rPr>
          <w:lang w:val="en-AU"/>
        </w:rPr>
      </w:pPr>
      <w:r w:rsidRPr="00F2704A">
        <w:rPr>
          <w:lang w:val="en-AU"/>
        </w:rPr>
        <w:t>s</w:t>
      </w:r>
      <w:r w:rsidR="00FE1475" w:rsidRPr="00F2704A">
        <w:rPr>
          <w:lang w:val="en-AU"/>
        </w:rPr>
        <w:t xml:space="preserve">erologic testing is also </w:t>
      </w:r>
      <w:r w:rsidR="00DE4905" w:rsidRPr="00F2704A">
        <w:rPr>
          <w:lang w:val="en-AU"/>
        </w:rPr>
        <w:t>highly specific when performed and interpreted according to current guidelines</w:t>
      </w:r>
    </w:p>
    <w:p w14:paraId="1CDA1646" w14:textId="77777777" w:rsidR="00DA5594" w:rsidRPr="00F2704A" w:rsidRDefault="00816B91" w:rsidP="00BE0913">
      <w:pPr>
        <w:pStyle w:val="List-BulletLvl1"/>
        <w:spacing w:after="60"/>
        <w:rPr>
          <w:lang w:val="en-AU"/>
        </w:rPr>
      </w:pPr>
      <w:r w:rsidRPr="00F2704A">
        <w:rPr>
          <w:lang w:val="en-AU"/>
        </w:rPr>
        <w:lastRenderedPageBreak/>
        <w:t>p</w:t>
      </w:r>
      <w:r w:rsidR="001A76FC" w:rsidRPr="00F2704A">
        <w:rPr>
          <w:lang w:val="en-AU"/>
        </w:rPr>
        <w:t>redict</w:t>
      </w:r>
      <w:r w:rsidR="00387031" w:rsidRPr="00F2704A">
        <w:rPr>
          <w:lang w:val="en-AU"/>
        </w:rPr>
        <w:t>i</w:t>
      </w:r>
      <w:r w:rsidR="001A76FC" w:rsidRPr="00F2704A">
        <w:rPr>
          <w:lang w:val="en-AU"/>
        </w:rPr>
        <w:t>ve value is increased when results are correlated with clinical features, patient history and risk factors</w:t>
      </w:r>
      <w:r w:rsidRPr="00F2704A">
        <w:rPr>
          <w:lang w:val="en-AU"/>
        </w:rPr>
        <w:t>, and</w:t>
      </w:r>
    </w:p>
    <w:p w14:paraId="75952AA2" w14:textId="77777777" w:rsidR="006F7A11" w:rsidRPr="00F2704A" w:rsidRDefault="00816B91" w:rsidP="00DF50D2">
      <w:pPr>
        <w:pStyle w:val="List-BulletLvl1"/>
        <w:rPr>
          <w:lang w:val="en-AU"/>
        </w:rPr>
      </w:pPr>
      <w:r w:rsidRPr="00F2704A">
        <w:rPr>
          <w:lang w:val="en-AU"/>
        </w:rPr>
        <w:t>c</w:t>
      </w:r>
      <w:r w:rsidR="00AC47B7" w:rsidRPr="00F2704A">
        <w:rPr>
          <w:lang w:val="en-AU"/>
        </w:rPr>
        <w:t xml:space="preserve">urrently, the only </w:t>
      </w:r>
      <w:r w:rsidR="000F3618">
        <w:rPr>
          <w:lang w:val="en-AU"/>
        </w:rPr>
        <w:t xml:space="preserve">Food and Drug Administration </w:t>
      </w:r>
      <w:r w:rsidR="004F0C06">
        <w:rPr>
          <w:lang w:val="en-AU"/>
        </w:rPr>
        <w:t xml:space="preserve">(FDA) </w:t>
      </w:r>
      <w:r w:rsidR="00AC47B7" w:rsidRPr="00F2704A">
        <w:rPr>
          <w:lang w:val="en-AU"/>
        </w:rPr>
        <w:t>cleared or approved diagnostic assays for Lyme disease are antibody tests.</w:t>
      </w:r>
    </w:p>
    <w:p w14:paraId="76917352" w14:textId="77777777" w:rsidR="006F7A11" w:rsidRPr="00F2704A" w:rsidRDefault="00B20C0B" w:rsidP="006F7A11">
      <w:pPr>
        <w:pStyle w:val="NumberedHeading3"/>
        <w:rPr>
          <w:lang w:val="en-AU"/>
        </w:rPr>
      </w:pPr>
      <w:bookmarkStart w:id="89" w:name="_Toc55464793"/>
      <w:r w:rsidRPr="00F2704A">
        <w:rPr>
          <w:lang w:val="en-AU"/>
        </w:rPr>
        <w:t xml:space="preserve">Commercially available </w:t>
      </w:r>
      <w:r w:rsidR="007C6378" w:rsidRPr="00F2704A">
        <w:rPr>
          <w:lang w:val="en-AU"/>
        </w:rPr>
        <w:t>laboratory testing methods to be avoided</w:t>
      </w:r>
      <w:bookmarkEnd w:id="89"/>
      <w:r w:rsidR="007C6378" w:rsidRPr="00F2704A">
        <w:rPr>
          <w:lang w:val="en-AU"/>
        </w:rPr>
        <w:t xml:space="preserve"> </w:t>
      </w:r>
    </w:p>
    <w:p w14:paraId="45021556" w14:textId="77777777" w:rsidR="00DA5594" w:rsidRPr="00F2704A" w:rsidRDefault="002D4008" w:rsidP="00D55937">
      <w:pPr>
        <w:pStyle w:val="BodyText"/>
        <w:rPr>
          <w:lang w:val="en-AU"/>
        </w:rPr>
      </w:pPr>
      <w:r w:rsidRPr="00F2704A">
        <w:rPr>
          <w:lang w:val="en-AU"/>
        </w:rPr>
        <w:t xml:space="preserve">Measurement of CD57 lymphocytes </w:t>
      </w:r>
      <w:r w:rsidR="008271F0" w:rsidRPr="00F2704A">
        <w:rPr>
          <w:lang w:val="en-AU"/>
        </w:rPr>
        <w:t>(by flow cytometry) and PCR for Lyme disease on urine samples is not recommended</w:t>
      </w:r>
      <w:r w:rsidR="00CC35EE" w:rsidRPr="00F2704A">
        <w:rPr>
          <w:lang w:val="en-AU"/>
        </w:rPr>
        <w:t xml:space="preserve"> in the laboratory diagnosis of Lyme disease in Australian laboratories</w:t>
      </w:r>
      <w:r w:rsidR="00DF50D2" w:rsidRPr="00F2704A">
        <w:rPr>
          <w:lang w:val="en-AU"/>
        </w:rPr>
        <w:t>.</w:t>
      </w:r>
      <w:r w:rsidR="00823526" w:rsidRPr="00A94846">
        <w:rPr>
          <w:rStyle w:val="FootnoteReference"/>
        </w:rPr>
        <w:footnoteReference w:id="178"/>
      </w:r>
      <w:r w:rsidR="00CC35EE" w:rsidRPr="00661245">
        <w:rPr>
          <w:lang w:val="en-AU"/>
        </w:rPr>
        <w:t xml:space="preserve"> </w:t>
      </w:r>
      <w:r w:rsidR="009E34CF" w:rsidRPr="00CF74AD">
        <w:rPr>
          <w:lang w:val="en-AU"/>
        </w:rPr>
        <w:t>IDSA/AAN/ACR</w:t>
      </w:r>
      <w:r w:rsidR="00AA394B" w:rsidRPr="00A94846">
        <w:rPr>
          <w:rStyle w:val="FootnoteReference"/>
        </w:rPr>
        <w:footnoteReference w:id="179"/>
      </w:r>
      <w:r w:rsidR="009E34CF" w:rsidRPr="00661245">
        <w:rPr>
          <w:lang w:val="en-AU"/>
        </w:rPr>
        <w:t xml:space="preserve"> </w:t>
      </w:r>
      <w:r w:rsidR="00201A99" w:rsidRPr="00CF74AD">
        <w:rPr>
          <w:lang w:val="en-AU"/>
        </w:rPr>
        <w:t xml:space="preserve">concurred in 2019, </w:t>
      </w:r>
      <w:r w:rsidR="00C5480A" w:rsidRPr="00CF74AD">
        <w:rPr>
          <w:lang w:val="en-AU"/>
        </w:rPr>
        <w:t xml:space="preserve">advising </w:t>
      </w:r>
      <w:r w:rsidR="009E34CF" w:rsidRPr="00CF74AD">
        <w:rPr>
          <w:lang w:val="en-AU"/>
        </w:rPr>
        <w:t>that s</w:t>
      </w:r>
      <w:r w:rsidR="00FB0352" w:rsidRPr="00CF74AD">
        <w:rPr>
          <w:lang w:val="en-AU"/>
        </w:rPr>
        <w:t xml:space="preserve">ome commercially available laboratory testing methods including non-standard serology interpretation, </w:t>
      </w:r>
      <w:r w:rsidR="0029237F" w:rsidRPr="00CF74AD">
        <w:rPr>
          <w:lang w:val="en-AU"/>
        </w:rPr>
        <w:t xml:space="preserve">urine antigen </w:t>
      </w:r>
      <w:r w:rsidR="0029237F" w:rsidRPr="00CF29E7">
        <w:rPr>
          <w:lang w:val="en-AU"/>
        </w:rPr>
        <w:t>or DNA testing, or the use of lymphocyte transformation test or a quantitative CD</w:t>
      </w:r>
      <w:r w:rsidR="006F7A11" w:rsidRPr="00D621FF">
        <w:rPr>
          <w:lang w:val="en-AU"/>
        </w:rPr>
        <w:t xml:space="preserve">57 lymphocyte assay should </w:t>
      </w:r>
      <w:r w:rsidR="009E34CF" w:rsidRPr="00D621FF">
        <w:rPr>
          <w:lang w:val="en-AU"/>
        </w:rPr>
        <w:t xml:space="preserve">be avoided </w:t>
      </w:r>
      <w:r w:rsidR="006E46BD" w:rsidRPr="00D621FF">
        <w:rPr>
          <w:lang w:val="en-AU"/>
        </w:rPr>
        <w:t>for clinical use due to lack of systematic, independent, rep</w:t>
      </w:r>
      <w:r w:rsidR="00823526" w:rsidRPr="00FA6D54">
        <w:rPr>
          <w:lang w:val="en-AU"/>
        </w:rPr>
        <w:t>r</w:t>
      </w:r>
      <w:r w:rsidR="006E46BD" w:rsidRPr="00FA6D54">
        <w:rPr>
          <w:lang w:val="en-AU"/>
        </w:rPr>
        <w:t xml:space="preserve">oducible </w:t>
      </w:r>
      <w:r w:rsidR="00213295" w:rsidRPr="00FA6D54">
        <w:rPr>
          <w:lang w:val="en-AU"/>
        </w:rPr>
        <w:t xml:space="preserve">validation studies. </w:t>
      </w:r>
    </w:p>
    <w:p w14:paraId="7BF96A84" w14:textId="77777777" w:rsidR="00C83441" w:rsidRPr="00661245" w:rsidRDefault="00C83441" w:rsidP="00D55937">
      <w:pPr>
        <w:pStyle w:val="BodyText"/>
        <w:rPr>
          <w:lang w:val="en-AU"/>
        </w:rPr>
      </w:pPr>
      <w:r w:rsidRPr="00F2704A">
        <w:rPr>
          <w:lang w:val="en-AU"/>
        </w:rPr>
        <w:t xml:space="preserve">Likewise, current guidance from the CDC on laboratory tests that are not recommended for Lyme disease due to the accuracy </w:t>
      </w:r>
      <w:r w:rsidR="004A5E1A" w:rsidRPr="00F2704A">
        <w:rPr>
          <w:lang w:val="en-AU"/>
        </w:rPr>
        <w:t xml:space="preserve">and clinical usefulness not having been adequately established is similar to those highlighted by IDSA/AAN/ACR and Australian laboratory guidance. </w:t>
      </w:r>
      <w:r w:rsidR="00E0016A" w:rsidRPr="00F2704A">
        <w:rPr>
          <w:lang w:val="en-AU"/>
        </w:rPr>
        <w:t>Examples of tests that are not recommended by the CDC include:</w:t>
      </w:r>
      <w:r w:rsidR="00D464E6" w:rsidRPr="00A94846">
        <w:rPr>
          <w:rStyle w:val="FootnoteReference"/>
        </w:rPr>
        <w:footnoteReference w:id="180"/>
      </w:r>
    </w:p>
    <w:p w14:paraId="2A7847D6" w14:textId="77777777" w:rsidR="00E0016A" w:rsidRPr="00CF74AD" w:rsidRDefault="00E0016A" w:rsidP="008C1E32">
      <w:pPr>
        <w:pStyle w:val="List-BulletLvl1"/>
        <w:spacing w:after="60"/>
        <w:rPr>
          <w:lang w:val="en-AU"/>
        </w:rPr>
      </w:pPr>
      <w:r w:rsidRPr="00CF74AD">
        <w:rPr>
          <w:lang w:val="en-AU"/>
        </w:rPr>
        <w:t>capture assays for antigens in urine</w:t>
      </w:r>
    </w:p>
    <w:p w14:paraId="63689636" w14:textId="77777777" w:rsidR="00E0016A" w:rsidRPr="00CF74AD" w:rsidRDefault="00E0016A" w:rsidP="008C1E32">
      <w:pPr>
        <w:pStyle w:val="List-BulletLvl1"/>
        <w:spacing w:after="60"/>
        <w:rPr>
          <w:lang w:val="en-AU"/>
        </w:rPr>
      </w:pPr>
      <w:r w:rsidRPr="00CF74AD">
        <w:rPr>
          <w:lang w:val="en-AU"/>
        </w:rPr>
        <w:t>culture, immunofluorescence staining, or cell sorting of cell wall</w:t>
      </w:r>
      <w:r w:rsidR="00F24428" w:rsidRPr="00CF74AD">
        <w:rPr>
          <w:lang w:val="en-AU"/>
        </w:rPr>
        <w:t xml:space="preserve">-deficient or cystic forms of </w:t>
      </w:r>
      <w:r w:rsidR="00F24428" w:rsidRPr="00CF74AD">
        <w:rPr>
          <w:i/>
          <w:iCs/>
          <w:lang w:val="en-AU"/>
        </w:rPr>
        <w:t>B. burgdorferi</w:t>
      </w:r>
    </w:p>
    <w:p w14:paraId="3E577BAC" w14:textId="77777777" w:rsidR="00F24428" w:rsidRPr="00CF29E7" w:rsidRDefault="00F24428" w:rsidP="008C1E32">
      <w:pPr>
        <w:pStyle w:val="List-BulletLvl1"/>
        <w:spacing w:after="60"/>
        <w:rPr>
          <w:lang w:val="en-AU"/>
        </w:rPr>
      </w:pPr>
      <w:r w:rsidRPr="00CF29E7">
        <w:rPr>
          <w:lang w:val="en-AU"/>
        </w:rPr>
        <w:t>lymphocyte transformation tests</w:t>
      </w:r>
    </w:p>
    <w:p w14:paraId="3D303819" w14:textId="77777777" w:rsidR="00F24428" w:rsidRPr="00D621FF" w:rsidRDefault="00F24428" w:rsidP="008C1E32">
      <w:pPr>
        <w:pStyle w:val="List-BulletLvl1"/>
        <w:spacing w:after="60"/>
        <w:rPr>
          <w:lang w:val="en-AU"/>
        </w:rPr>
      </w:pPr>
      <w:r w:rsidRPr="00D621FF">
        <w:rPr>
          <w:lang w:val="en-AU"/>
        </w:rPr>
        <w:t>quantitative CD57 lymphocyte assays</w:t>
      </w:r>
    </w:p>
    <w:p w14:paraId="7DE4DCE9" w14:textId="77777777" w:rsidR="00F24428" w:rsidRPr="00FA6D54" w:rsidRDefault="00F24428" w:rsidP="008C1E32">
      <w:pPr>
        <w:pStyle w:val="List-BulletLvl1"/>
        <w:spacing w:after="60"/>
        <w:rPr>
          <w:lang w:val="en-AU"/>
        </w:rPr>
      </w:pPr>
      <w:r w:rsidRPr="00FA6D54">
        <w:rPr>
          <w:lang w:val="en-AU"/>
        </w:rPr>
        <w:t>“Reverse Western blots”</w:t>
      </w:r>
    </w:p>
    <w:p w14:paraId="4FFBE1F0" w14:textId="77777777" w:rsidR="00F24428" w:rsidRPr="00F2704A" w:rsidRDefault="00F24428" w:rsidP="008C1E32">
      <w:pPr>
        <w:pStyle w:val="List-BulletLvl1"/>
        <w:spacing w:after="60"/>
        <w:rPr>
          <w:lang w:val="en-AU"/>
        </w:rPr>
      </w:pPr>
      <w:r w:rsidRPr="00F2704A">
        <w:rPr>
          <w:lang w:val="en-AU"/>
        </w:rPr>
        <w:t>in-house criteria for interpretation of immunoblots</w:t>
      </w:r>
    </w:p>
    <w:p w14:paraId="0D178171" w14:textId="77777777" w:rsidR="00F24428" w:rsidRPr="00F2704A" w:rsidRDefault="00F24428" w:rsidP="008C1E32">
      <w:pPr>
        <w:pStyle w:val="List-BulletLvl1"/>
        <w:spacing w:after="60"/>
        <w:rPr>
          <w:lang w:val="en-AU"/>
        </w:rPr>
      </w:pPr>
      <w:r w:rsidRPr="00F2704A">
        <w:rPr>
          <w:lang w:val="en-AU"/>
        </w:rPr>
        <w:t>measurements of antibodies in joint fluid</w:t>
      </w:r>
      <w:r w:rsidR="005C7233" w:rsidRPr="00F2704A">
        <w:rPr>
          <w:lang w:val="en-AU"/>
        </w:rPr>
        <w:t xml:space="preserve"> (synovial fluid)</w:t>
      </w:r>
      <w:r w:rsidR="00816B91" w:rsidRPr="00F2704A">
        <w:rPr>
          <w:lang w:val="en-AU"/>
        </w:rPr>
        <w:t>,</w:t>
      </w:r>
      <w:r w:rsidR="00095B8E" w:rsidRPr="00F2704A">
        <w:rPr>
          <w:lang w:val="en-AU"/>
        </w:rPr>
        <w:t xml:space="preserve"> and</w:t>
      </w:r>
    </w:p>
    <w:p w14:paraId="59CD89F1" w14:textId="77777777" w:rsidR="005C7233" w:rsidRPr="00F2704A" w:rsidRDefault="005C7233" w:rsidP="00AB52CC">
      <w:pPr>
        <w:pStyle w:val="List-BulletLvl1"/>
        <w:rPr>
          <w:lang w:val="en-AU"/>
        </w:rPr>
      </w:pPr>
      <w:r w:rsidRPr="00F2704A">
        <w:rPr>
          <w:lang w:val="en-AU"/>
        </w:rPr>
        <w:t>IgM or IgG tests without previous ELISA/EIA/IFA</w:t>
      </w:r>
      <w:r w:rsidR="00D464E6" w:rsidRPr="00F2704A">
        <w:rPr>
          <w:lang w:val="en-AU"/>
        </w:rPr>
        <w:t>.</w:t>
      </w:r>
    </w:p>
    <w:p w14:paraId="3D31BDBD" w14:textId="77777777" w:rsidR="00DE22C9" w:rsidRPr="00F2704A" w:rsidRDefault="001A213C" w:rsidP="00DE22C9">
      <w:pPr>
        <w:pStyle w:val="NumberedHeading2"/>
        <w:rPr>
          <w:lang w:val="en-AU"/>
        </w:rPr>
      </w:pPr>
      <w:bookmarkStart w:id="90" w:name="_Toc55464794"/>
      <w:r w:rsidRPr="00F2704A">
        <w:rPr>
          <w:lang w:val="en-AU"/>
        </w:rPr>
        <w:t>T</w:t>
      </w:r>
      <w:r w:rsidR="00DE22C9" w:rsidRPr="00F2704A">
        <w:rPr>
          <w:lang w:val="en-AU"/>
        </w:rPr>
        <w:t>ick-borne disease</w:t>
      </w:r>
      <w:r w:rsidRPr="00F2704A">
        <w:rPr>
          <w:lang w:val="en-AU"/>
        </w:rPr>
        <w:t xml:space="preserve"> known to be acquired in Australia</w:t>
      </w:r>
      <w:bookmarkEnd w:id="90"/>
    </w:p>
    <w:p w14:paraId="3848D7AC" w14:textId="77777777" w:rsidR="00B21745" w:rsidRPr="00F2704A" w:rsidRDefault="00B21745" w:rsidP="00B21745">
      <w:pPr>
        <w:pStyle w:val="NumberedHeading3"/>
        <w:rPr>
          <w:lang w:val="en-AU"/>
        </w:rPr>
      </w:pPr>
      <w:bookmarkStart w:id="91" w:name="_Toc55464795"/>
      <w:r w:rsidRPr="00F2704A">
        <w:rPr>
          <w:lang w:val="en-AU"/>
        </w:rPr>
        <w:t xml:space="preserve">Refer for testing </w:t>
      </w:r>
      <w:r w:rsidR="00B06E39" w:rsidRPr="00F2704A">
        <w:rPr>
          <w:lang w:val="en-AU"/>
        </w:rPr>
        <w:t xml:space="preserve">for known </w:t>
      </w:r>
      <w:r w:rsidR="000C1D21" w:rsidRPr="00F2704A">
        <w:rPr>
          <w:lang w:val="en-AU"/>
        </w:rPr>
        <w:t xml:space="preserve">Australian </w:t>
      </w:r>
      <w:r w:rsidR="00B06E39" w:rsidRPr="00F2704A">
        <w:rPr>
          <w:lang w:val="en-AU"/>
        </w:rPr>
        <w:t>tic</w:t>
      </w:r>
      <w:r w:rsidR="000C1D21" w:rsidRPr="00F2704A">
        <w:rPr>
          <w:lang w:val="en-AU"/>
        </w:rPr>
        <w:t>k-borne diseases</w:t>
      </w:r>
      <w:bookmarkEnd w:id="91"/>
    </w:p>
    <w:p w14:paraId="5D86BD6B" w14:textId="77777777" w:rsidR="00AB0CCC" w:rsidRPr="00F2704A" w:rsidRDefault="00AB0CCC" w:rsidP="00D50321">
      <w:pPr>
        <w:pStyle w:val="BodyText"/>
        <w:rPr>
          <w:lang w:val="en-AU"/>
        </w:rPr>
      </w:pPr>
      <w:r w:rsidRPr="00F2704A">
        <w:rPr>
          <w:lang w:val="en-AU"/>
        </w:rPr>
        <w:t xml:space="preserve">For patients presenting with tick bite and systemic symptoms (e.g. fever) consult with an appropriate expert in tick-borne diseases such as a </w:t>
      </w:r>
      <w:r w:rsidR="00581535" w:rsidRPr="00F2704A">
        <w:rPr>
          <w:lang w:val="en-AU"/>
        </w:rPr>
        <w:t>specialist</w:t>
      </w:r>
      <w:r w:rsidRPr="00F2704A">
        <w:rPr>
          <w:lang w:val="en-AU"/>
        </w:rPr>
        <w:t xml:space="preserve"> microbiologist with diagnostic expertise </w:t>
      </w:r>
      <w:r w:rsidR="0076529B" w:rsidRPr="00F2704A">
        <w:rPr>
          <w:lang w:val="en-AU"/>
        </w:rPr>
        <w:t xml:space="preserve">or an ID physician </w:t>
      </w:r>
      <w:r w:rsidRPr="00F2704A">
        <w:rPr>
          <w:lang w:val="en-AU"/>
        </w:rPr>
        <w:t>for appropriate test referral and follow advice for requests for testing for known Australian tick-borne infections and treatment of infections found. If th</w:t>
      </w:r>
      <w:r w:rsidR="004B6E02">
        <w:rPr>
          <w:lang w:val="en-AU"/>
        </w:rPr>
        <w:t>e results do not show arthropod-</w:t>
      </w:r>
      <w:r w:rsidRPr="00F2704A">
        <w:rPr>
          <w:lang w:val="en-AU"/>
        </w:rPr>
        <w:t>borne infection, consider an alternative diagnosis</w:t>
      </w:r>
      <w:r w:rsidR="00EC2784" w:rsidRPr="00F2704A">
        <w:rPr>
          <w:lang w:val="en-AU"/>
        </w:rPr>
        <w:t>.</w:t>
      </w:r>
      <w:r w:rsidRPr="00F2704A">
        <w:rPr>
          <w:lang w:val="en-AU"/>
        </w:rPr>
        <w:t xml:space="preserve"> </w:t>
      </w:r>
    </w:p>
    <w:p w14:paraId="151DAD35" w14:textId="77777777" w:rsidR="004A5F51" w:rsidRPr="00F2704A" w:rsidRDefault="00BD6915" w:rsidP="00D50321">
      <w:pPr>
        <w:pStyle w:val="BodyText"/>
        <w:rPr>
          <w:lang w:val="en-AU"/>
        </w:rPr>
      </w:pPr>
      <w:r w:rsidRPr="00F2704A">
        <w:rPr>
          <w:lang w:val="en-AU"/>
        </w:rPr>
        <w:t xml:space="preserve">It is important to note that DSCATT is a </w:t>
      </w:r>
      <w:r w:rsidR="00D30531" w:rsidRPr="00F2704A">
        <w:rPr>
          <w:lang w:val="en-AU"/>
        </w:rPr>
        <w:t xml:space="preserve">term used to describe </w:t>
      </w:r>
      <w:r w:rsidR="00181121" w:rsidRPr="00F2704A">
        <w:rPr>
          <w:lang w:val="en-AU"/>
        </w:rPr>
        <w:t xml:space="preserve">a </w:t>
      </w:r>
      <w:r w:rsidRPr="00F2704A">
        <w:rPr>
          <w:lang w:val="en-AU"/>
        </w:rPr>
        <w:t>symptom complex</w:t>
      </w:r>
      <w:r w:rsidR="00181121" w:rsidRPr="00F2704A">
        <w:rPr>
          <w:lang w:val="en-AU"/>
        </w:rPr>
        <w:t xml:space="preserve"> with the symptoms often attributed to a tick bite.</w:t>
      </w:r>
      <w:r w:rsidR="00F423EB" w:rsidRPr="00F2704A">
        <w:rPr>
          <w:lang w:val="en-AU"/>
        </w:rPr>
        <w:t xml:space="preserve"> </w:t>
      </w:r>
      <w:r w:rsidR="009C2BFA" w:rsidRPr="00F2704A">
        <w:rPr>
          <w:lang w:val="en-AU"/>
        </w:rPr>
        <w:t xml:space="preserve">DSCATT is </w:t>
      </w:r>
      <w:r w:rsidRPr="00F2704A">
        <w:rPr>
          <w:lang w:val="en-AU"/>
        </w:rPr>
        <w:t xml:space="preserve">not a diagnosable disease. </w:t>
      </w:r>
      <w:r w:rsidR="00D10FBD" w:rsidRPr="00F2704A">
        <w:rPr>
          <w:lang w:val="en-AU"/>
        </w:rPr>
        <w:t>As such, there is no diagnostic test to diagnose DSCATT.</w:t>
      </w:r>
      <w:r w:rsidR="00536757" w:rsidRPr="00F2704A">
        <w:rPr>
          <w:lang w:val="en-AU"/>
        </w:rPr>
        <w:t xml:space="preserve"> </w:t>
      </w:r>
    </w:p>
    <w:p w14:paraId="2E8A7CFB" w14:textId="77777777" w:rsidR="00BD6915" w:rsidRPr="00CF74AD" w:rsidRDefault="004A5F51" w:rsidP="00D50321">
      <w:pPr>
        <w:pStyle w:val="BodyText"/>
        <w:rPr>
          <w:lang w:val="en-AU"/>
        </w:rPr>
      </w:pPr>
      <w:r w:rsidRPr="00F2704A">
        <w:rPr>
          <w:lang w:val="en-AU"/>
        </w:rPr>
        <w:lastRenderedPageBreak/>
        <w:t>Further information on the tests for known Australian tick-borne</w:t>
      </w:r>
      <w:r w:rsidR="00384123" w:rsidRPr="00F2704A">
        <w:rPr>
          <w:lang w:val="en-AU"/>
        </w:rPr>
        <w:t xml:space="preserve"> diseases </w:t>
      </w:r>
      <w:r w:rsidRPr="00F2704A">
        <w:rPr>
          <w:lang w:val="en-AU"/>
        </w:rPr>
        <w:t xml:space="preserve">is available </w:t>
      </w:r>
      <w:r w:rsidR="00384123" w:rsidRPr="00F2704A">
        <w:rPr>
          <w:lang w:val="en-AU"/>
        </w:rPr>
        <w:t>on the</w:t>
      </w:r>
      <w:r w:rsidR="00F423EB" w:rsidRPr="00F2704A">
        <w:rPr>
          <w:lang w:val="en-AU"/>
        </w:rPr>
        <w:t xml:space="preserve"> </w:t>
      </w:r>
      <w:r w:rsidR="00755879" w:rsidRPr="00F2704A">
        <w:rPr>
          <w:lang w:val="en-AU"/>
        </w:rPr>
        <w:t>Australian Rickettsial References Laboratory</w:t>
      </w:r>
      <w:r w:rsidR="00384123" w:rsidRPr="00F2704A">
        <w:rPr>
          <w:lang w:val="en-AU"/>
        </w:rPr>
        <w:t xml:space="preserve"> website</w:t>
      </w:r>
      <w:r w:rsidR="00B21CAE">
        <w:rPr>
          <w:lang w:val="en-AU"/>
        </w:rPr>
        <w:t>.</w:t>
      </w:r>
      <w:r w:rsidR="00D10FBD" w:rsidRPr="00A94846">
        <w:rPr>
          <w:rStyle w:val="FootnoteReference"/>
        </w:rPr>
        <w:footnoteReference w:id="181"/>
      </w:r>
      <w:r w:rsidR="00D10FBD" w:rsidRPr="00661245">
        <w:rPr>
          <w:lang w:val="en-AU"/>
        </w:rPr>
        <w:t xml:space="preserve"> </w:t>
      </w:r>
    </w:p>
    <w:p w14:paraId="11E981E7" w14:textId="77777777" w:rsidR="00DE22C9" w:rsidRPr="00CF74AD" w:rsidRDefault="00DE22C9" w:rsidP="000C1D21">
      <w:pPr>
        <w:pStyle w:val="Body"/>
        <w:rPr>
          <w:b/>
          <w:bCs/>
          <w:i/>
          <w:iCs/>
          <w:lang w:val="en-AU"/>
        </w:rPr>
      </w:pPr>
      <w:r w:rsidRPr="00CF74AD">
        <w:rPr>
          <w:b/>
          <w:bCs/>
          <w:i/>
          <w:iCs/>
          <w:lang w:val="en-AU"/>
        </w:rPr>
        <w:t xml:space="preserve">Queensland </w:t>
      </w:r>
      <w:r w:rsidR="00921C51">
        <w:rPr>
          <w:b/>
          <w:bCs/>
          <w:i/>
          <w:iCs/>
          <w:lang w:val="en-AU"/>
        </w:rPr>
        <w:t>T</w:t>
      </w:r>
      <w:r w:rsidRPr="00CF74AD">
        <w:rPr>
          <w:b/>
          <w:bCs/>
          <w:i/>
          <w:iCs/>
          <w:lang w:val="en-AU"/>
        </w:rPr>
        <w:t xml:space="preserve">ick </w:t>
      </w:r>
      <w:r w:rsidR="00921C51">
        <w:rPr>
          <w:b/>
          <w:bCs/>
          <w:i/>
          <w:iCs/>
          <w:lang w:val="en-AU"/>
        </w:rPr>
        <w:t>T</w:t>
      </w:r>
      <w:r w:rsidRPr="00CF74AD">
        <w:rPr>
          <w:b/>
          <w:bCs/>
          <w:i/>
          <w:iCs/>
          <w:lang w:val="en-AU"/>
        </w:rPr>
        <w:t>yphus (QTT)</w:t>
      </w:r>
    </w:p>
    <w:p w14:paraId="462930CB" w14:textId="77777777" w:rsidR="00DE22C9" w:rsidRPr="00CF74AD" w:rsidRDefault="00DE22C9" w:rsidP="00DE22C9">
      <w:pPr>
        <w:pStyle w:val="BodyText"/>
        <w:rPr>
          <w:lang w:val="en-AU"/>
        </w:rPr>
      </w:pPr>
      <w:r w:rsidRPr="00CF74AD">
        <w:rPr>
          <w:lang w:val="en-AU"/>
        </w:rPr>
        <w:t xml:space="preserve">Serological assays remain the main diagnostic test modality for diagnosing </w:t>
      </w:r>
      <w:r w:rsidR="00384CFA" w:rsidRPr="00CF74AD">
        <w:rPr>
          <w:lang w:val="en-AU"/>
        </w:rPr>
        <w:t>Rickettsial</w:t>
      </w:r>
      <w:r w:rsidRPr="00CF74AD">
        <w:rPr>
          <w:lang w:val="en-AU"/>
        </w:rPr>
        <w:t xml:space="preserve"> infections</w:t>
      </w:r>
      <w:r w:rsidR="00B861F0" w:rsidRPr="00CF74AD">
        <w:rPr>
          <w:lang w:val="en-AU"/>
        </w:rPr>
        <w:t>.</w:t>
      </w:r>
      <w:r w:rsidRPr="00CF74AD">
        <w:rPr>
          <w:lang w:val="en-AU"/>
        </w:rPr>
        <w:t xml:space="preserve"> Currently, the indirect m</w:t>
      </w:r>
      <w:r w:rsidRPr="00CF29E7">
        <w:rPr>
          <w:lang w:val="en-AU"/>
        </w:rPr>
        <w:t>icroimmunofluoresence assay (IFA) is considered the gold standard assay for diagnosing QTT. Acute and convalescent serum samples are taken 10-14 days apart and a four-fold rise in SFG antibody titre or a single positive titre of 1:256 is used to indicate a</w:t>
      </w:r>
      <w:r w:rsidRPr="00D621FF">
        <w:rPr>
          <w:lang w:val="en-AU"/>
        </w:rPr>
        <w:t>cute or recent infection</w:t>
      </w:r>
      <w:r w:rsidR="00095B8E" w:rsidRPr="00D621FF">
        <w:rPr>
          <w:lang w:val="en-AU"/>
        </w:rPr>
        <w:t>.</w:t>
      </w:r>
      <w:r w:rsidRPr="00A94846">
        <w:rPr>
          <w:rStyle w:val="FootnoteReference"/>
        </w:rPr>
        <w:footnoteReference w:id="182"/>
      </w:r>
      <w:r w:rsidR="00714A2F" w:rsidRPr="00661245">
        <w:rPr>
          <w:lang w:val="en-AU"/>
        </w:rPr>
        <w:t xml:space="preserve"> </w:t>
      </w:r>
    </w:p>
    <w:p w14:paraId="3541A63A" w14:textId="77777777" w:rsidR="00061950" w:rsidRPr="00661245" w:rsidRDefault="00DD1941" w:rsidP="00061950">
      <w:pPr>
        <w:pStyle w:val="Body"/>
        <w:rPr>
          <w:lang w:val="en-AU"/>
        </w:rPr>
      </w:pPr>
      <w:r w:rsidRPr="00CF74AD">
        <w:rPr>
          <w:lang w:val="en-AU"/>
        </w:rPr>
        <w:t xml:space="preserve">See also </w:t>
      </w:r>
      <w:r w:rsidR="00D328E0" w:rsidRPr="00CF74AD">
        <w:rPr>
          <w:lang w:val="en-AU"/>
        </w:rPr>
        <w:t>Update on Rickettsial infections</w:t>
      </w:r>
      <w:r w:rsidR="00213643" w:rsidRPr="00CF74AD">
        <w:rPr>
          <w:lang w:val="en-AU"/>
        </w:rPr>
        <w:t>.</w:t>
      </w:r>
      <w:r w:rsidR="00D328E0" w:rsidRPr="00A94846">
        <w:rPr>
          <w:rStyle w:val="FootnoteReference"/>
        </w:rPr>
        <w:footnoteReference w:id="183"/>
      </w:r>
    </w:p>
    <w:p w14:paraId="3292C7AD" w14:textId="77777777" w:rsidR="00D328E0" w:rsidRPr="00CF74AD" w:rsidRDefault="00D328E0" w:rsidP="00061950">
      <w:pPr>
        <w:pStyle w:val="Body"/>
        <w:rPr>
          <w:b/>
          <w:bCs/>
          <w:i/>
          <w:iCs/>
          <w:lang w:val="en-AU"/>
        </w:rPr>
      </w:pPr>
      <w:r w:rsidRPr="00CF74AD">
        <w:rPr>
          <w:b/>
          <w:bCs/>
          <w:i/>
          <w:iCs/>
          <w:lang w:val="en-AU"/>
        </w:rPr>
        <w:t>Austra</w:t>
      </w:r>
      <w:r w:rsidR="00110759" w:rsidRPr="00CF74AD">
        <w:rPr>
          <w:b/>
          <w:bCs/>
          <w:i/>
          <w:iCs/>
          <w:lang w:val="en-AU"/>
        </w:rPr>
        <w:t>lian Spotted Fever</w:t>
      </w:r>
    </w:p>
    <w:p w14:paraId="44031210" w14:textId="77777777" w:rsidR="00110759" w:rsidRPr="00661245" w:rsidRDefault="00092D6D" w:rsidP="00061950">
      <w:pPr>
        <w:pStyle w:val="Body"/>
        <w:rPr>
          <w:lang w:val="en-AU"/>
        </w:rPr>
      </w:pPr>
      <w:r w:rsidRPr="00CF74AD">
        <w:rPr>
          <w:lang w:val="en-AU"/>
        </w:rPr>
        <w:t>See Update on Rickettsial infections</w:t>
      </w:r>
      <w:r w:rsidR="00213643" w:rsidRPr="00CF74AD">
        <w:rPr>
          <w:lang w:val="en-AU"/>
        </w:rPr>
        <w:t>.</w:t>
      </w:r>
      <w:r w:rsidR="00423EEC" w:rsidRPr="00A94846">
        <w:rPr>
          <w:rStyle w:val="FootnoteReference"/>
        </w:rPr>
        <w:footnoteReference w:id="184"/>
      </w:r>
    </w:p>
    <w:p w14:paraId="44D8BDF6" w14:textId="77777777" w:rsidR="00110759" w:rsidRPr="00CF74AD" w:rsidRDefault="00110759" w:rsidP="00061950">
      <w:pPr>
        <w:pStyle w:val="Body"/>
        <w:rPr>
          <w:b/>
          <w:bCs/>
          <w:i/>
          <w:iCs/>
          <w:lang w:val="en-AU"/>
        </w:rPr>
      </w:pPr>
      <w:r w:rsidRPr="00CF74AD">
        <w:rPr>
          <w:b/>
          <w:bCs/>
          <w:i/>
          <w:iCs/>
          <w:lang w:val="en-AU"/>
        </w:rPr>
        <w:t xml:space="preserve">Flinders Island Spotted Fever </w:t>
      </w:r>
    </w:p>
    <w:p w14:paraId="49FC7184" w14:textId="77777777" w:rsidR="00092D6D" w:rsidRPr="00661245" w:rsidRDefault="0072412C" w:rsidP="00061950">
      <w:pPr>
        <w:pStyle w:val="Body"/>
        <w:rPr>
          <w:lang w:val="en-AU"/>
        </w:rPr>
      </w:pPr>
      <w:r w:rsidRPr="00CF74AD">
        <w:rPr>
          <w:lang w:val="en-AU"/>
        </w:rPr>
        <w:t>See Update on Rickettsial infections</w:t>
      </w:r>
      <w:r w:rsidR="00213643" w:rsidRPr="00CF74AD">
        <w:rPr>
          <w:lang w:val="en-AU"/>
        </w:rPr>
        <w:t>.</w:t>
      </w:r>
      <w:r w:rsidR="00C7158E" w:rsidRPr="00A94846">
        <w:rPr>
          <w:rStyle w:val="FootnoteReference"/>
        </w:rPr>
        <w:footnoteReference w:id="185"/>
      </w:r>
    </w:p>
    <w:p w14:paraId="749BA50C" w14:textId="77777777" w:rsidR="00DE22C9" w:rsidRPr="00CF74AD" w:rsidRDefault="00DE22C9" w:rsidP="00DE22C9">
      <w:pPr>
        <w:pStyle w:val="BodyText"/>
        <w:rPr>
          <w:b/>
          <w:bCs/>
          <w:i/>
          <w:iCs/>
          <w:lang w:val="en-AU"/>
        </w:rPr>
      </w:pPr>
      <w:r w:rsidRPr="00CF74AD">
        <w:rPr>
          <w:b/>
          <w:bCs/>
          <w:i/>
          <w:iCs/>
          <w:lang w:val="en-AU"/>
        </w:rPr>
        <w:t>Q fever</w:t>
      </w:r>
    </w:p>
    <w:p w14:paraId="1217C43C" w14:textId="77777777" w:rsidR="00DE22C9" w:rsidRPr="00F2704A" w:rsidRDefault="00DE22C9" w:rsidP="00DE22C9">
      <w:pPr>
        <w:pStyle w:val="BodyText"/>
        <w:spacing w:after="80"/>
        <w:rPr>
          <w:lang w:val="en-AU"/>
        </w:rPr>
      </w:pPr>
      <w:r w:rsidRPr="00CF74AD">
        <w:rPr>
          <w:lang w:val="en-AU"/>
        </w:rPr>
        <w:t xml:space="preserve">The Q fever </w:t>
      </w:r>
      <w:r w:rsidRPr="00CF74AD">
        <w:rPr>
          <w:i/>
          <w:iCs/>
          <w:lang w:val="en-AU"/>
        </w:rPr>
        <w:t>National Guidelines for Public Health Units</w:t>
      </w:r>
      <w:r w:rsidRPr="00CF74AD">
        <w:rPr>
          <w:lang w:val="en-AU"/>
        </w:rPr>
        <w:t xml:space="preserve"> </w:t>
      </w:r>
      <w:r w:rsidR="000A72D8" w:rsidRPr="00CF29E7">
        <w:rPr>
          <w:lang w:val="en-AU"/>
        </w:rPr>
        <w:t xml:space="preserve">developed by CDNA </w:t>
      </w:r>
      <w:r w:rsidRPr="00D621FF">
        <w:rPr>
          <w:lang w:val="en-AU"/>
        </w:rPr>
        <w:t>specif</w:t>
      </w:r>
      <w:r w:rsidR="000A72D8" w:rsidRPr="00D621FF">
        <w:rPr>
          <w:lang w:val="en-AU"/>
        </w:rPr>
        <w:t>y</w:t>
      </w:r>
      <w:r w:rsidRPr="00FA6D54">
        <w:rPr>
          <w:lang w:val="en-AU"/>
        </w:rPr>
        <w:t xml:space="preserve"> that</w:t>
      </w:r>
      <w:r w:rsidR="00866807" w:rsidRPr="00FA6D54">
        <w:rPr>
          <w:lang w:val="en-AU"/>
        </w:rPr>
        <w:t>,</w:t>
      </w:r>
      <w:r w:rsidRPr="00FA6D54">
        <w:rPr>
          <w:lang w:val="en-AU"/>
        </w:rPr>
        <w:t xml:space="preserve"> if acute Q fever infection</w:t>
      </w:r>
      <w:r w:rsidRPr="00F2704A">
        <w:rPr>
          <w:lang w:val="en-AU"/>
        </w:rPr>
        <w:t xml:space="preserve"> is suspected, a series of blood specimens should be requested and should include:</w:t>
      </w:r>
    </w:p>
    <w:p w14:paraId="34CFE37A" w14:textId="77777777" w:rsidR="00DE22C9" w:rsidRPr="00F2704A" w:rsidRDefault="00DE22C9" w:rsidP="008C1E32">
      <w:pPr>
        <w:pStyle w:val="List-BulletLvl1"/>
        <w:spacing w:after="60"/>
        <w:rPr>
          <w:lang w:val="en-AU"/>
        </w:rPr>
      </w:pPr>
      <w:r w:rsidRPr="00F2704A">
        <w:rPr>
          <w:lang w:val="en-AU"/>
        </w:rPr>
        <w:t>unclotted blood or serum for Q fever PCR (and possible culture)</w:t>
      </w:r>
      <w:r w:rsidR="00213643" w:rsidRPr="00F2704A">
        <w:rPr>
          <w:lang w:val="en-AU"/>
        </w:rPr>
        <w:t>;</w:t>
      </w:r>
      <w:r w:rsidRPr="00F2704A">
        <w:rPr>
          <w:lang w:val="en-AU"/>
        </w:rPr>
        <w:t xml:space="preserve"> </w:t>
      </w:r>
      <w:r w:rsidR="00764F55">
        <w:rPr>
          <w:lang w:val="en-AU"/>
        </w:rPr>
        <w:t>AND</w:t>
      </w:r>
    </w:p>
    <w:p w14:paraId="26568335" w14:textId="77777777" w:rsidR="00866807" w:rsidRPr="00F2704A" w:rsidRDefault="00866807" w:rsidP="00DE22C9">
      <w:pPr>
        <w:pStyle w:val="List-BulletLvl1"/>
        <w:rPr>
          <w:lang w:val="en-AU"/>
        </w:rPr>
      </w:pPr>
      <w:r w:rsidRPr="00F2704A">
        <w:rPr>
          <w:lang w:val="en-AU"/>
        </w:rPr>
        <w:t>p</w:t>
      </w:r>
      <w:r w:rsidR="00DE22C9" w:rsidRPr="00F2704A">
        <w:rPr>
          <w:lang w:val="en-AU"/>
        </w:rPr>
        <w:t xml:space="preserve">aired (acute and convalescent) serum/clotted blood specimens taken 2-3 weeks apart for serology. </w:t>
      </w:r>
    </w:p>
    <w:p w14:paraId="5FF45175" w14:textId="77777777" w:rsidR="00423EEC" w:rsidRPr="00661245" w:rsidRDefault="00DE22C9" w:rsidP="00B6053A">
      <w:pPr>
        <w:pStyle w:val="List-BulletLvl1"/>
        <w:numPr>
          <w:ilvl w:val="0"/>
          <w:numId w:val="0"/>
        </w:numPr>
        <w:rPr>
          <w:lang w:val="en-AU"/>
        </w:rPr>
      </w:pPr>
      <w:r w:rsidRPr="00660FAC">
        <w:rPr>
          <w:rStyle w:val="BodyChar"/>
          <w:lang w:val="en-AU"/>
        </w:rPr>
        <w:t xml:space="preserve">The collection of convalescent sera from all cases is critical, even </w:t>
      </w:r>
      <w:r w:rsidR="00D946C1" w:rsidRPr="00660FAC">
        <w:rPr>
          <w:rStyle w:val="BodyChar"/>
          <w:lang w:val="en-AU"/>
        </w:rPr>
        <w:t>i</w:t>
      </w:r>
      <w:r w:rsidRPr="00660FAC">
        <w:rPr>
          <w:rStyle w:val="BodyChar"/>
          <w:lang w:val="en-AU"/>
        </w:rPr>
        <w:t xml:space="preserve">f the patient has since recovered. See Q fever CDNA National Guidelines for Public Health Units </w:t>
      </w:r>
      <w:r w:rsidR="00504EBC">
        <w:rPr>
          <w:rStyle w:val="BodyChar"/>
          <w:lang w:val="en-AU"/>
        </w:rPr>
        <w:t>S</w:t>
      </w:r>
      <w:r w:rsidRPr="00660FAC">
        <w:rPr>
          <w:rStyle w:val="BodyChar"/>
          <w:lang w:val="en-AU"/>
        </w:rPr>
        <w:t>ection 8 Laborat</w:t>
      </w:r>
      <w:r w:rsidR="00B05F0A">
        <w:rPr>
          <w:rStyle w:val="BodyChar"/>
          <w:lang w:val="en-AU"/>
        </w:rPr>
        <w:t>ory testing for specific detail</w:t>
      </w:r>
      <w:r w:rsidR="00866807" w:rsidRPr="00660FAC">
        <w:rPr>
          <w:rStyle w:val="BodyChar"/>
          <w:lang w:val="en-AU"/>
        </w:rPr>
        <w:t>.</w:t>
      </w:r>
      <w:r w:rsidRPr="00A94846">
        <w:rPr>
          <w:rStyle w:val="FootnoteReference"/>
        </w:rPr>
        <w:footnoteReference w:id="186"/>
      </w:r>
      <w:r w:rsidR="00F423EB" w:rsidRPr="00660FAC">
        <w:rPr>
          <w:rStyle w:val="BodyChar"/>
          <w:lang w:val="en-AU"/>
        </w:rPr>
        <w:t xml:space="preserve"> </w:t>
      </w:r>
    </w:p>
    <w:p w14:paraId="3AE5E11A" w14:textId="77777777" w:rsidR="00964734" w:rsidRPr="00F2704A" w:rsidRDefault="00964734" w:rsidP="00C54B16">
      <w:pPr>
        <w:pStyle w:val="NumberedHeading2"/>
        <w:spacing w:line="240" w:lineRule="auto"/>
        <w:rPr>
          <w:lang w:val="en-AU"/>
        </w:rPr>
      </w:pPr>
      <w:bookmarkStart w:id="92" w:name="_Toc55464796"/>
      <w:r w:rsidRPr="00F2704A">
        <w:rPr>
          <w:lang w:val="en-AU"/>
        </w:rPr>
        <w:t xml:space="preserve">Patient presenting with </w:t>
      </w:r>
      <w:r w:rsidR="00683F2E">
        <w:rPr>
          <w:lang w:val="en-AU"/>
        </w:rPr>
        <w:t>persistent</w:t>
      </w:r>
      <w:r w:rsidRPr="00F2704A">
        <w:rPr>
          <w:lang w:val="en-AU"/>
        </w:rPr>
        <w:t xml:space="preserve"> debilitating symptoms and no diagnosis</w:t>
      </w:r>
      <w:bookmarkEnd w:id="92"/>
    </w:p>
    <w:p w14:paraId="1FF975FE" w14:textId="77777777" w:rsidR="00964734" w:rsidRPr="00F2704A" w:rsidRDefault="00964734" w:rsidP="00D50321">
      <w:pPr>
        <w:pStyle w:val="List-BulletLvl1"/>
        <w:numPr>
          <w:ilvl w:val="0"/>
          <w:numId w:val="0"/>
        </w:numPr>
        <w:rPr>
          <w:lang w:val="en-AU" w:eastAsia="en-GB"/>
        </w:rPr>
      </w:pPr>
      <w:r w:rsidRPr="004D3350">
        <w:rPr>
          <w:rFonts w:cs="Cambria"/>
          <w:lang w:val="en-AU"/>
        </w:rPr>
        <w:t xml:space="preserve">Investigations should be underpinned by clinical evidence. </w:t>
      </w:r>
      <w:r w:rsidRPr="00F2704A">
        <w:rPr>
          <w:lang w:val="en-AU" w:eastAsia="en-GB"/>
        </w:rPr>
        <w:t xml:space="preserve">International evidence indicates patients with </w:t>
      </w:r>
      <w:r w:rsidR="001D15C2">
        <w:rPr>
          <w:lang w:val="en-AU" w:eastAsia="en-GB"/>
        </w:rPr>
        <w:t xml:space="preserve">MUS </w:t>
      </w:r>
      <w:r w:rsidRPr="00F2704A">
        <w:rPr>
          <w:lang w:val="en-AU" w:eastAsia="en-GB"/>
        </w:rPr>
        <w:t xml:space="preserve">are at risk of potentially harmful additional testing and are often subjected to repeated diagnostic investigations, and unnecessary and costly referrals and interventions. Unnecessary investigations that do not show anything are often not reassuring. They can make someone worry </w:t>
      </w:r>
      <w:r w:rsidR="00866807" w:rsidRPr="00F2704A">
        <w:rPr>
          <w:lang w:val="en-AU" w:eastAsia="en-GB"/>
        </w:rPr>
        <w:t>that</w:t>
      </w:r>
      <w:r w:rsidRPr="00F2704A">
        <w:rPr>
          <w:lang w:val="en-AU" w:eastAsia="en-GB"/>
        </w:rPr>
        <w:t xml:space="preserve"> there is something still to be found and more tests are needed. </w:t>
      </w:r>
    </w:p>
    <w:p w14:paraId="4030590E" w14:textId="77777777" w:rsidR="001175BF" w:rsidRPr="009F2D9E" w:rsidRDefault="001175BF" w:rsidP="001175BF">
      <w:pPr>
        <w:pStyle w:val="BodyText"/>
        <w:rPr>
          <w:lang w:val="en-AU"/>
        </w:rPr>
      </w:pPr>
      <w:r w:rsidRPr="00F2704A">
        <w:rPr>
          <w:lang w:val="en-AU" w:eastAsia="en-GB"/>
        </w:rPr>
        <w:t xml:space="preserve">For fatigue, </w:t>
      </w:r>
      <w:r w:rsidRPr="00F2704A">
        <w:rPr>
          <w:lang w:val="en-AU"/>
        </w:rPr>
        <w:t xml:space="preserve">diagnostic testing is determined by the differential diagnosis as per normal clinical </w:t>
      </w:r>
      <w:r w:rsidRPr="009F2D9E">
        <w:rPr>
          <w:lang w:val="en-AU"/>
        </w:rPr>
        <w:t>practice</w:t>
      </w:r>
      <w:r w:rsidR="00B6053A" w:rsidRPr="009F2D9E">
        <w:rPr>
          <w:lang w:val="en-AU"/>
        </w:rPr>
        <w:t>.</w:t>
      </w:r>
      <w:r w:rsidRPr="00A94846">
        <w:rPr>
          <w:rStyle w:val="FootnoteReference"/>
        </w:rPr>
        <w:footnoteReference w:id="187"/>
      </w:r>
    </w:p>
    <w:p w14:paraId="19D54861" w14:textId="77777777" w:rsidR="007152FA" w:rsidRPr="00CF74AD" w:rsidRDefault="007152FA" w:rsidP="009707CE">
      <w:pPr>
        <w:pStyle w:val="NumberedHeading1"/>
        <w:spacing w:before="0"/>
        <w:rPr>
          <w:lang w:val="en-AU"/>
        </w:rPr>
      </w:pPr>
      <w:bookmarkStart w:id="93" w:name="_Toc55464797"/>
      <w:r w:rsidRPr="00CF74AD">
        <w:rPr>
          <w:lang w:val="en-AU"/>
        </w:rPr>
        <w:lastRenderedPageBreak/>
        <w:t>Diagnosis</w:t>
      </w:r>
      <w:bookmarkEnd w:id="93"/>
    </w:p>
    <w:p w14:paraId="26465FFF" w14:textId="77777777" w:rsidR="00594ED2" w:rsidRPr="00CF74AD" w:rsidRDefault="00594ED2" w:rsidP="00635B0F">
      <w:pPr>
        <w:pStyle w:val="NumberedHeading2"/>
        <w:rPr>
          <w:lang w:val="en-AU"/>
        </w:rPr>
      </w:pPr>
      <w:bookmarkStart w:id="94" w:name="_Toc55464798"/>
      <w:r w:rsidRPr="00CF74AD">
        <w:rPr>
          <w:lang w:val="en-AU"/>
        </w:rPr>
        <w:t>Lyme disease</w:t>
      </w:r>
      <w:bookmarkEnd w:id="94"/>
    </w:p>
    <w:p w14:paraId="74DD7A4C" w14:textId="77777777" w:rsidR="0042261A" w:rsidRPr="00D621FF" w:rsidRDefault="00D55937" w:rsidP="00D55937">
      <w:pPr>
        <w:pStyle w:val="BodyText"/>
        <w:rPr>
          <w:lang w:val="en-AU"/>
        </w:rPr>
      </w:pPr>
      <w:r w:rsidRPr="00CF29E7">
        <w:rPr>
          <w:lang w:val="en-AU"/>
        </w:rPr>
        <w:t>Lyme disease is not a</w:t>
      </w:r>
      <w:r w:rsidRPr="00D621FF">
        <w:rPr>
          <w:lang w:val="en-AU"/>
        </w:rPr>
        <w:t xml:space="preserve"> notifiable disease in Australia. </w:t>
      </w:r>
    </w:p>
    <w:p w14:paraId="6FA9AC71" w14:textId="77777777" w:rsidR="0042261A" w:rsidRPr="00FA6D54" w:rsidRDefault="0042261A" w:rsidP="0042261A">
      <w:pPr>
        <w:pStyle w:val="NumberedHeading3"/>
        <w:rPr>
          <w:lang w:val="en-AU"/>
        </w:rPr>
      </w:pPr>
      <w:bookmarkStart w:id="95" w:name="_Toc55464799"/>
      <w:r w:rsidRPr="00FA6D54">
        <w:rPr>
          <w:lang w:val="en-AU"/>
        </w:rPr>
        <w:t>Confirmed diagnosis</w:t>
      </w:r>
      <w:bookmarkEnd w:id="95"/>
    </w:p>
    <w:p w14:paraId="5B496E8C" w14:textId="77777777" w:rsidR="00D55937" w:rsidRPr="00F2704A" w:rsidRDefault="00D55937" w:rsidP="00D55937">
      <w:pPr>
        <w:pStyle w:val="BodyText"/>
        <w:rPr>
          <w:lang w:val="en-AU"/>
        </w:rPr>
      </w:pPr>
      <w:r w:rsidRPr="00F2704A">
        <w:rPr>
          <w:lang w:val="en-AU"/>
        </w:rPr>
        <w:t>A confirmed case of Lyme disease in Australia requires laboratory evidence AND clinical evidence AND epidemiological evidence</w:t>
      </w:r>
      <w:r w:rsidR="000E7BD7" w:rsidRPr="00F2704A">
        <w:rPr>
          <w:lang w:val="en-AU"/>
        </w:rPr>
        <w:t>.</w:t>
      </w:r>
      <w:r w:rsidR="00437865" w:rsidRPr="00F2704A">
        <w:rPr>
          <w:lang w:val="en-AU"/>
        </w:rPr>
        <w:t xml:space="preserve"> </w:t>
      </w:r>
    </w:p>
    <w:p w14:paraId="2B22E8AC" w14:textId="77777777" w:rsidR="00B430D9" w:rsidRPr="00CF74AD" w:rsidRDefault="00F96DE9" w:rsidP="009B4756">
      <w:pPr>
        <w:pStyle w:val="BodyText"/>
        <w:rPr>
          <w:lang w:val="en-AU"/>
        </w:rPr>
      </w:pPr>
      <w:r w:rsidRPr="00F2704A">
        <w:rPr>
          <w:lang w:val="en-AU"/>
        </w:rPr>
        <w:t xml:space="preserve">The Royal College of Pathologists of </w:t>
      </w:r>
      <w:r w:rsidR="00BC7652" w:rsidRPr="00F2704A">
        <w:rPr>
          <w:lang w:val="en-AU"/>
        </w:rPr>
        <w:t xml:space="preserve">Australasia </w:t>
      </w:r>
      <w:r w:rsidR="00BC5AC7" w:rsidRPr="00F2704A">
        <w:rPr>
          <w:lang w:val="en-AU"/>
        </w:rPr>
        <w:t xml:space="preserve">notes </w:t>
      </w:r>
      <w:r w:rsidR="00D56C8E" w:rsidRPr="00F2704A">
        <w:rPr>
          <w:lang w:val="en-AU"/>
        </w:rPr>
        <w:t xml:space="preserve">that </w:t>
      </w:r>
      <w:r w:rsidR="00BC5AC7" w:rsidRPr="00F2704A">
        <w:rPr>
          <w:lang w:val="en-AU"/>
        </w:rPr>
        <w:t xml:space="preserve">caution </w:t>
      </w:r>
      <w:r w:rsidR="00D56C8E" w:rsidRPr="00F2704A">
        <w:rPr>
          <w:lang w:val="en-AU"/>
        </w:rPr>
        <w:t>is important in dealing with specimens for Lyme dis</w:t>
      </w:r>
      <w:r w:rsidR="00B20DC4" w:rsidRPr="00F2704A">
        <w:rPr>
          <w:lang w:val="en-AU"/>
        </w:rPr>
        <w:t>ease testing and in interpreting of positive or indeterminate laboratory results</w:t>
      </w:r>
      <w:r w:rsidR="00E90E27" w:rsidRPr="00F2704A">
        <w:rPr>
          <w:lang w:val="en-AU"/>
        </w:rPr>
        <w:t xml:space="preserve"> and </w:t>
      </w:r>
      <w:r w:rsidR="00830CCF" w:rsidRPr="00F2704A">
        <w:rPr>
          <w:lang w:val="en-AU"/>
        </w:rPr>
        <w:t xml:space="preserve">advises </w:t>
      </w:r>
      <w:r w:rsidR="00E90E27" w:rsidRPr="00F2704A">
        <w:rPr>
          <w:lang w:val="en-AU"/>
        </w:rPr>
        <w:t>that medical microbiologist</w:t>
      </w:r>
      <w:r w:rsidR="00830CCF" w:rsidRPr="00F2704A">
        <w:rPr>
          <w:lang w:val="en-AU"/>
        </w:rPr>
        <w:t>s</w:t>
      </w:r>
      <w:r w:rsidR="005857F7" w:rsidRPr="00F2704A">
        <w:rPr>
          <w:lang w:val="en-AU"/>
        </w:rPr>
        <w:t xml:space="preserve"> should add explanatory </w:t>
      </w:r>
      <w:r w:rsidR="0053796E" w:rsidRPr="00F2704A">
        <w:rPr>
          <w:lang w:val="en-AU"/>
        </w:rPr>
        <w:t>comments to all such reports to ass</w:t>
      </w:r>
      <w:r w:rsidR="00BF0A9B" w:rsidRPr="00F2704A">
        <w:rPr>
          <w:lang w:val="en-AU"/>
        </w:rPr>
        <w:t>is</w:t>
      </w:r>
      <w:r w:rsidR="0053796E" w:rsidRPr="00F2704A">
        <w:rPr>
          <w:lang w:val="en-AU"/>
        </w:rPr>
        <w:t>t the referring doctor to interpret the laboratory findings correctly</w:t>
      </w:r>
      <w:r w:rsidR="00B6053A" w:rsidRPr="00F2704A">
        <w:rPr>
          <w:lang w:val="en-AU"/>
        </w:rPr>
        <w:t>.</w:t>
      </w:r>
      <w:r w:rsidR="0053796E" w:rsidRPr="00A94846">
        <w:rPr>
          <w:rStyle w:val="FootnoteReference"/>
        </w:rPr>
        <w:footnoteReference w:id="188"/>
      </w:r>
      <w:r w:rsidR="0053796E" w:rsidRPr="00661245">
        <w:rPr>
          <w:lang w:val="en-AU"/>
        </w:rPr>
        <w:t xml:space="preserve"> </w:t>
      </w:r>
    </w:p>
    <w:p w14:paraId="7544D2F7" w14:textId="77777777" w:rsidR="0042261A" w:rsidRPr="00CF74AD" w:rsidRDefault="0042261A" w:rsidP="0042261A">
      <w:pPr>
        <w:pStyle w:val="BodyText"/>
        <w:rPr>
          <w:lang w:val="en-AU"/>
        </w:rPr>
      </w:pPr>
      <w:r w:rsidRPr="00CF74AD">
        <w:rPr>
          <w:lang w:val="en-AU"/>
        </w:rPr>
        <w:t>In addition to the sensitivity and specificity of the diagnostic tests recommended in international guidelines for Lyme disease, the prevalence of the disease or the pre-test probability of a disease strongly influences interpretation of any diagnostic test result.</w:t>
      </w:r>
      <w:r w:rsidR="00F423EB" w:rsidRPr="00CF74AD">
        <w:rPr>
          <w:lang w:val="en-AU"/>
        </w:rPr>
        <w:t xml:space="preserve"> </w:t>
      </w:r>
      <w:r w:rsidRPr="00CF29E7">
        <w:rPr>
          <w:lang w:val="en-AU"/>
        </w:rPr>
        <w:t>In a region where Lyme disease is uncommon, patients with highly characteristic clinical presentations are rarely found to have Lyme disease and positive test results are seldom associated with clini</w:t>
      </w:r>
      <w:r w:rsidRPr="00D621FF">
        <w:rPr>
          <w:lang w:val="en-AU"/>
        </w:rPr>
        <w:t>cally probable infection, although the negative predictive value of Lyme disease testing will be very high</w:t>
      </w:r>
      <w:r w:rsidR="00B6053A" w:rsidRPr="00D621FF">
        <w:rPr>
          <w:lang w:val="en-AU"/>
        </w:rPr>
        <w:t>.</w:t>
      </w:r>
      <w:r w:rsidRPr="00A94846">
        <w:rPr>
          <w:rStyle w:val="FootnoteReference"/>
        </w:rPr>
        <w:footnoteReference w:id="189"/>
      </w:r>
      <w:r w:rsidRPr="00661245">
        <w:rPr>
          <w:lang w:val="en-AU"/>
        </w:rPr>
        <w:t xml:space="preserve"> In an area of low Lyme disease incidence in the U</w:t>
      </w:r>
      <w:r w:rsidR="00B35D3E">
        <w:rPr>
          <w:lang w:val="en-AU"/>
        </w:rPr>
        <w:t xml:space="preserve">nited </w:t>
      </w:r>
      <w:r w:rsidRPr="00661245">
        <w:rPr>
          <w:lang w:val="en-AU"/>
        </w:rPr>
        <w:t>S</w:t>
      </w:r>
      <w:r w:rsidR="00B35D3E">
        <w:rPr>
          <w:lang w:val="en-AU"/>
        </w:rPr>
        <w:t>tates</w:t>
      </w:r>
      <w:r w:rsidRPr="00661245">
        <w:rPr>
          <w:lang w:val="en-AU"/>
        </w:rPr>
        <w:t>, a study of Lyme disease testing showed an 80</w:t>
      </w:r>
      <w:r w:rsidR="00B6053A" w:rsidRPr="00CF74AD">
        <w:rPr>
          <w:lang w:val="en-AU"/>
        </w:rPr>
        <w:t xml:space="preserve"> </w:t>
      </w:r>
      <w:r w:rsidR="00CF74AD">
        <w:rPr>
          <w:lang w:val="en-AU"/>
        </w:rPr>
        <w:t>per cent</w:t>
      </w:r>
      <w:r w:rsidRPr="00CF74AD">
        <w:rPr>
          <w:lang w:val="en-AU"/>
        </w:rPr>
        <w:t xml:space="preserve"> </w:t>
      </w:r>
      <w:r w:rsidR="006E4BFB" w:rsidRPr="00CF74AD">
        <w:rPr>
          <w:lang w:val="en-AU"/>
        </w:rPr>
        <w:t xml:space="preserve">false-positive </w:t>
      </w:r>
      <w:r w:rsidRPr="00CF74AD">
        <w:rPr>
          <w:lang w:val="en-AU"/>
        </w:rPr>
        <w:t xml:space="preserve">rate which puts patients at risk of incorrect Lyme </w:t>
      </w:r>
      <w:r w:rsidR="006B32E0">
        <w:rPr>
          <w:lang w:val="en-AU"/>
        </w:rPr>
        <w:t xml:space="preserve">disease </w:t>
      </w:r>
      <w:r w:rsidRPr="00CF74AD">
        <w:rPr>
          <w:lang w:val="en-AU"/>
        </w:rPr>
        <w:t>diagnos</w:t>
      </w:r>
      <w:r w:rsidR="006B32E0">
        <w:rPr>
          <w:lang w:val="en-AU"/>
        </w:rPr>
        <w:t>i</w:t>
      </w:r>
      <w:r w:rsidRPr="00CF74AD">
        <w:rPr>
          <w:lang w:val="en-AU"/>
        </w:rPr>
        <w:t>s and adverse drug reactions from inappropriate treatment</w:t>
      </w:r>
      <w:r w:rsidR="00B6053A" w:rsidRPr="00CF29E7">
        <w:rPr>
          <w:lang w:val="en-AU"/>
        </w:rPr>
        <w:t>.</w:t>
      </w:r>
      <w:r w:rsidRPr="00A94846">
        <w:rPr>
          <w:rStyle w:val="FootnoteReference"/>
        </w:rPr>
        <w:footnoteReference w:id="190"/>
      </w:r>
      <w:r w:rsidRPr="00661245">
        <w:rPr>
          <w:lang w:val="en-AU"/>
        </w:rPr>
        <w:t xml:space="preserve"> </w:t>
      </w:r>
      <w:r w:rsidRPr="00CF74AD">
        <w:rPr>
          <w:lang w:val="en-AU"/>
        </w:rPr>
        <w:t>Therefore, awareness of epidemiological context and the absence of an alternative diagnosis are necessary for a clinician to decide whether a positive test is explanatory or coincidental.</w:t>
      </w:r>
      <w:r w:rsidR="00F423EB" w:rsidRPr="00CF74AD">
        <w:rPr>
          <w:lang w:val="en-AU"/>
        </w:rPr>
        <w:t xml:space="preserve"> </w:t>
      </w:r>
      <w:r w:rsidRPr="00CF74AD">
        <w:rPr>
          <w:lang w:val="en-AU"/>
        </w:rPr>
        <w:t xml:space="preserve">The difficulties in interpreting diagnostic tests for Lyme disease as described above, coupled with the difficulties clinicians in Lyme </w:t>
      </w:r>
      <w:r w:rsidR="006B32E0">
        <w:rPr>
          <w:lang w:val="en-AU"/>
        </w:rPr>
        <w:t xml:space="preserve">disease </w:t>
      </w:r>
      <w:r w:rsidRPr="00CF74AD">
        <w:rPr>
          <w:lang w:val="en-AU"/>
        </w:rPr>
        <w:t>endemic countries experience in diagnosing Lyme disease</w:t>
      </w:r>
      <w:r w:rsidRPr="00A94846">
        <w:rPr>
          <w:rStyle w:val="FootnoteReference"/>
        </w:rPr>
        <w:footnoteReference w:id="191"/>
      </w:r>
      <w:r w:rsidRPr="00661245">
        <w:rPr>
          <w:lang w:val="en-AU"/>
        </w:rPr>
        <w:t xml:space="preserve"> underpin the recommendation that medical professionals seek advice from appropriate experts in infectious diseases or pathology. </w:t>
      </w:r>
    </w:p>
    <w:p w14:paraId="6C5E4EAE" w14:textId="77777777" w:rsidR="001C3312" w:rsidRPr="00CF74AD" w:rsidRDefault="00EF3CB7" w:rsidP="00EF3CB7">
      <w:pPr>
        <w:pStyle w:val="NumberedHeading3"/>
        <w:rPr>
          <w:lang w:val="en-AU"/>
        </w:rPr>
      </w:pPr>
      <w:bookmarkStart w:id="96" w:name="_Toc55464800"/>
      <w:r w:rsidRPr="00CF74AD">
        <w:rPr>
          <w:lang w:val="en-AU"/>
        </w:rPr>
        <w:t xml:space="preserve">No confirmed diagnosis </w:t>
      </w:r>
      <w:r w:rsidR="001C3312" w:rsidRPr="00CF74AD">
        <w:rPr>
          <w:lang w:val="en-AU"/>
        </w:rPr>
        <w:t>of Lyme disease and symptoms resolve</w:t>
      </w:r>
      <w:bookmarkEnd w:id="96"/>
      <w:r w:rsidR="001C3312" w:rsidRPr="00CF74AD">
        <w:rPr>
          <w:lang w:val="en-AU"/>
        </w:rPr>
        <w:t xml:space="preserve"> </w:t>
      </w:r>
    </w:p>
    <w:p w14:paraId="78FD5A46" w14:textId="77777777" w:rsidR="008E5518" w:rsidRPr="00661245" w:rsidRDefault="008E5518" w:rsidP="001C3312">
      <w:pPr>
        <w:pStyle w:val="Body"/>
        <w:rPr>
          <w:lang w:val="en-AU"/>
        </w:rPr>
      </w:pPr>
      <w:r w:rsidRPr="00CF74AD">
        <w:rPr>
          <w:lang w:val="en-AU"/>
        </w:rPr>
        <w:t>If the immunoblot test for Lyme disease is negative and symptoms have resolved, explain to the patient that no treatment is required</w:t>
      </w:r>
      <w:r w:rsidR="00B6053A" w:rsidRPr="00CF29E7">
        <w:rPr>
          <w:lang w:val="en-AU"/>
        </w:rPr>
        <w:t>.</w:t>
      </w:r>
      <w:r w:rsidRPr="00A94846">
        <w:rPr>
          <w:rStyle w:val="FootnoteReference"/>
        </w:rPr>
        <w:footnoteReference w:id="192"/>
      </w:r>
    </w:p>
    <w:p w14:paraId="2A7D3361" w14:textId="77777777" w:rsidR="008E5518" w:rsidRPr="00CF74AD" w:rsidRDefault="001C3312" w:rsidP="00770E5C">
      <w:pPr>
        <w:pStyle w:val="NumberedHeading3"/>
        <w:rPr>
          <w:lang w:val="en-AU"/>
        </w:rPr>
      </w:pPr>
      <w:bookmarkStart w:id="97" w:name="_Toc55464801"/>
      <w:r w:rsidRPr="00CF74AD">
        <w:rPr>
          <w:lang w:val="en-AU"/>
        </w:rPr>
        <w:t>No confirmed diagnosis of Lyme disease and symptoms persist</w:t>
      </w:r>
      <w:bookmarkEnd w:id="97"/>
    </w:p>
    <w:p w14:paraId="2028E522" w14:textId="77777777" w:rsidR="00B068D2" w:rsidRPr="00CF74AD" w:rsidRDefault="00B068D2" w:rsidP="00B068D2">
      <w:pPr>
        <w:pStyle w:val="BodyText"/>
        <w:spacing w:after="80"/>
        <w:rPr>
          <w:lang w:val="en-AU"/>
        </w:rPr>
      </w:pPr>
      <w:r w:rsidRPr="00CF74AD">
        <w:rPr>
          <w:lang w:val="en-AU"/>
        </w:rPr>
        <w:t>If the immunoblot test for Lyme disease is negative (regardless of the ELISA result) but symptoms persist, NICE recommends considering a discussion with, or referral to, a specialist appropriate to the patient’s history and symptoms (</w:t>
      </w:r>
      <w:r w:rsidR="006933BF">
        <w:rPr>
          <w:lang w:val="en-AU"/>
        </w:rPr>
        <w:t>e.g.</w:t>
      </w:r>
      <w:r w:rsidRPr="00CF74AD">
        <w:rPr>
          <w:lang w:val="en-AU"/>
        </w:rPr>
        <w:t xml:space="preserve"> adult or paediatric </w:t>
      </w:r>
      <w:r w:rsidR="002D680B" w:rsidRPr="00CF74AD">
        <w:rPr>
          <w:lang w:val="en-AU"/>
        </w:rPr>
        <w:t xml:space="preserve">specialist microbiologist or </w:t>
      </w:r>
      <w:r w:rsidR="00C64A5E" w:rsidRPr="00CF29E7">
        <w:rPr>
          <w:lang w:val="en-AU"/>
        </w:rPr>
        <w:t>ID</w:t>
      </w:r>
      <w:r w:rsidRPr="00D621FF">
        <w:rPr>
          <w:lang w:val="en-AU"/>
        </w:rPr>
        <w:t xml:space="preserve"> physician, rheumatologist or neurologist) to</w:t>
      </w:r>
      <w:r w:rsidR="00B861F0" w:rsidRPr="00D621FF">
        <w:rPr>
          <w:lang w:val="en-AU"/>
        </w:rPr>
        <w:t>:</w:t>
      </w:r>
      <w:r w:rsidR="00B6053A" w:rsidRPr="00A94846">
        <w:rPr>
          <w:rStyle w:val="FootnoteReference"/>
        </w:rPr>
        <w:footnoteReference w:id="193"/>
      </w:r>
      <w:r w:rsidR="00F423EB" w:rsidRPr="00CF74AD">
        <w:rPr>
          <w:lang w:val="en-AU"/>
        </w:rPr>
        <w:t xml:space="preserve"> </w:t>
      </w:r>
    </w:p>
    <w:p w14:paraId="5BEB1B79" w14:textId="77777777" w:rsidR="00B068D2" w:rsidRPr="00D621FF" w:rsidRDefault="00B068D2" w:rsidP="00817F81">
      <w:pPr>
        <w:pStyle w:val="List-BulletLvl1"/>
        <w:spacing w:after="60"/>
        <w:rPr>
          <w:lang w:val="en-AU"/>
        </w:rPr>
      </w:pPr>
      <w:r w:rsidRPr="00CF74AD">
        <w:rPr>
          <w:lang w:val="en-AU"/>
        </w:rPr>
        <w:t>review whether further</w:t>
      </w:r>
      <w:r w:rsidR="00F759C7" w:rsidRPr="00CF74AD">
        <w:rPr>
          <w:lang w:val="en-AU"/>
        </w:rPr>
        <w:t xml:space="preserve"> testing</w:t>
      </w:r>
      <w:r w:rsidRPr="00CF74AD">
        <w:rPr>
          <w:lang w:val="en-AU"/>
        </w:rPr>
        <w:t xml:space="preserve"> may be required for suspected Lyme dis</w:t>
      </w:r>
      <w:r w:rsidRPr="00CF29E7">
        <w:rPr>
          <w:lang w:val="en-AU"/>
        </w:rPr>
        <w:t>ease (</w:t>
      </w:r>
      <w:r w:rsidR="006933BF">
        <w:rPr>
          <w:lang w:val="en-AU"/>
        </w:rPr>
        <w:t>e.g.</w:t>
      </w:r>
      <w:r w:rsidRPr="00CF29E7">
        <w:rPr>
          <w:lang w:val="en-AU"/>
        </w:rPr>
        <w:t xml:space="preserve"> synovial fluid aspirate, or biopsy, or lumbar puncture for cerebrospinal fluid analysis</w:t>
      </w:r>
      <w:r w:rsidR="006933BF">
        <w:rPr>
          <w:lang w:val="en-AU"/>
        </w:rPr>
        <w:t>)</w:t>
      </w:r>
      <w:r w:rsidR="00BA3C2B" w:rsidRPr="00D621FF">
        <w:rPr>
          <w:lang w:val="en-AU"/>
        </w:rPr>
        <w:t>,</w:t>
      </w:r>
      <w:r w:rsidRPr="00D621FF">
        <w:rPr>
          <w:lang w:val="en-AU"/>
        </w:rPr>
        <w:t xml:space="preserve"> OR</w:t>
      </w:r>
    </w:p>
    <w:p w14:paraId="6589CDCB" w14:textId="77777777" w:rsidR="00B068D2" w:rsidRPr="00F2704A" w:rsidRDefault="00B068D2" w:rsidP="00B068D2">
      <w:pPr>
        <w:pStyle w:val="List-BulletLvl1"/>
        <w:rPr>
          <w:lang w:val="en-AU"/>
        </w:rPr>
      </w:pPr>
      <w:r w:rsidRPr="00FA6D54">
        <w:rPr>
          <w:lang w:val="en-AU"/>
        </w:rPr>
        <w:lastRenderedPageBreak/>
        <w:t>consider alternative diagnoses including both infectious (including other tick-borne diseases</w:t>
      </w:r>
      <w:r w:rsidR="00F1791B" w:rsidRPr="00F2704A">
        <w:rPr>
          <w:lang w:val="en-AU"/>
        </w:rPr>
        <w:t>)</w:t>
      </w:r>
      <w:r w:rsidRPr="00F2704A">
        <w:rPr>
          <w:lang w:val="en-AU"/>
        </w:rPr>
        <w:t xml:space="preserve"> and non-infectious diseases</w:t>
      </w:r>
      <w:r w:rsidR="00B6053A" w:rsidRPr="00F2704A">
        <w:rPr>
          <w:lang w:val="en-AU"/>
        </w:rPr>
        <w:t>.</w:t>
      </w:r>
      <w:r w:rsidRPr="00F2704A">
        <w:rPr>
          <w:lang w:val="en-AU"/>
        </w:rPr>
        <w:t xml:space="preserve"> </w:t>
      </w:r>
    </w:p>
    <w:p w14:paraId="72A8C09B" w14:textId="77777777" w:rsidR="00355B90" w:rsidRPr="00F2704A" w:rsidRDefault="00355B90" w:rsidP="00DC6C81">
      <w:pPr>
        <w:pStyle w:val="NumberedHeading2"/>
        <w:rPr>
          <w:lang w:val="en-AU"/>
        </w:rPr>
      </w:pPr>
      <w:bookmarkStart w:id="98" w:name="_Toc55464802"/>
      <w:r w:rsidRPr="00F2704A">
        <w:rPr>
          <w:lang w:val="en-AU"/>
        </w:rPr>
        <w:t xml:space="preserve">Tick-borne diseases known to be acquired in </w:t>
      </w:r>
      <w:r w:rsidR="009E3895" w:rsidRPr="00F2704A">
        <w:rPr>
          <w:lang w:val="en-AU"/>
        </w:rPr>
        <w:t>Australia</w:t>
      </w:r>
      <w:bookmarkEnd w:id="98"/>
      <w:r w:rsidR="009E3895" w:rsidRPr="00F2704A">
        <w:rPr>
          <w:lang w:val="en-AU"/>
        </w:rPr>
        <w:t xml:space="preserve"> </w:t>
      </w:r>
    </w:p>
    <w:p w14:paraId="4EF1EEAC" w14:textId="77777777" w:rsidR="00412E6B" w:rsidRPr="000C57EE" w:rsidRDefault="00AC04CF" w:rsidP="00F8316D">
      <w:pPr>
        <w:pStyle w:val="Body"/>
        <w:rPr>
          <w:b/>
          <w:bCs/>
          <w:i/>
          <w:iCs/>
          <w:lang w:val="en-AU"/>
        </w:rPr>
      </w:pPr>
      <w:r w:rsidRPr="000C57EE">
        <w:rPr>
          <w:b/>
          <w:bCs/>
          <w:i/>
          <w:iCs/>
          <w:lang w:val="en-AU"/>
        </w:rPr>
        <w:t>Queensland Tick Typhus</w:t>
      </w:r>
    </w:p>
    <w:p w14:paraId="325E19C5" w14:textId="77777777" w:rsidR="009C4252" w:rsidRPr="000C57EE" w:rsidRDefault="00F8316D" w:rsidP="00355B90">
      <w:pPr>
        <w:pStyle w:val="Body"/>
        <w:rPr>
          <w:lang w:val="en-AU"/>
        </w:rPr>
      </w:pPr>
      <w:r w:rsidRPr="000C57EE">
        <w:rPr>
          <w:lang w:val="en-AU"/>
        </w:rPr>
        <w:t>For diagnosis of QTT, l</w:t>
      </w:r>
      <w:r w:rsidR="009F499E" w:rsidRPr="000C57EE">
        <w:rPr>
          <w:lang w:val="en-AU"/>
        </w:rPr>
        <w:t xml:space="preserve">aboratory investigations </w:t>
      </w:r>
      <w:r w:rsidR="0007510C" w:rsidRPr="000C57EE">
        <w:rPr>
          <w:lang w:val="en-AU"/>
        </w:rPr>
        <w:t xml:space="preserve">of cases </w:t>
      </w:r>
      <w:r w:rsidR="009C4252" w:rsidRPr="000C57EE">
        <w:rPr>
          <w:lang w:val="en-AU"/>
        </w:rPr>
        <w:t>include:</w:t>
      </w:r>
      <w:r w:rsidR="002D36C8" w:rsidRPr="00A94846">
        <w:rPr>
          <w:rStyle w:val="FootnoteReference"/>
        </w:rPr>
        <w:footnoteReference w:id="194"/>
      </w:r>
    </w:p>
    <w:p w14:paraId="5F0F79E0" w14:textId="77777777" w:rsidR="009C4252" w:rsidRPr="000C57EE" w:rsidRDefault="00F276AD" w:rsidP="00817F81">
      <w:pPr>
        <w:pStyle w:val="List-BulletLvl1"/>
        <w:spacing w:after="60"/>
        <w:rPr>
          <w:lang w:val="en-AU"/>
        </w:rPr>
      </w:pPr>
      <w:r w:rsidRPr="000C57EE">
        <w:rPr>
          <w:lang w:val="en-AU"/>
        </w:rPr>
        <w:t>mild</w:t>
      </w:r>
      <w:r w:rsidR="009C4252" w:rsidRPr="000C57EE">
        <w:rPr>
          <w:lang w:val="en-AU"/>
        </w:rPr>
        <w:t xml:space="preserve">-to-moderate </w:t>
      </w:r>
      <w:r w:rsidR="006E08F8" w:rsidRPr="000C57EE">
        <w:rPr>
          <w:lang w:val="en-AU"/>
        </w:rPr>
        <w:t xml:space="preserve">thrombocytopaenia </w:t>
      </w:r>
      <w:r w:rsidR="00981A55" w:rsidRPr="000C57EE">
        <w:rPr>
          <w:lang w:val="en-AU"/>
        </w:rPr>
        <w:t xml:space="preserve">commonly early in the disease course transforming into a reactive </w:t>
      </w:r>
      <w:r w:rsidR="00FA2A66" w:rsidRPr="000C57EE">
        <w:rPr>
          <w:lang w:val="en-AU"/>
        </w:rPr>
        <w:t>thrombocytosis during recovery from the disease</w:t>
      </w:r>
    </w:p>
    <w:p w14:paraId="6FC36202" w14:textId="77777777" w:rsidR="00FA2A66" w:rsidRPr="000C57EE" w:rsidRDefault="00F276AD" w:rsidP="00817F81">
      <w:pPr>
        <w:pStyle w:val="List-BulletLvl1"/>
        <w:spacing w:after="60"/>
        <w:rPr>
          <w:lang w:val="en-AU"/>
        </w:rPr>
      </w:pPr>
      <w:r w:rsidRPr="000C57EE">
        <w:rPr>
          <w:lang w:val="en-AU"/>
        </w:rPr>
        <w:t xml:space="preserve">a </w:t>
      </w:r>
      <w:r w:rsidR="00FA2A66" w:rsidRPr="000C57EE">
        <w:rPr>
          <w:lang w:val="en-AU"/>
        </w:rPr>
        <w:t xml:space="preserve">transient and mild elevation of hepatic transaminases early in the disease </w:t>
      </w:r>
    </w:p>
    <w:p w14:paraId="3593EC8D" w14:textId="77777777" w:rsidR="00FA2A66" w:rsidRPr="000C57EE" w:rsidRDefault="00F276AD" w:rsidP="00817F81">
      <w:pPr>
        <w:pStyle w:val="List-BulletLvl1"/>
        <w:spacing w:after="60"/>
        <w:rPr>
          <w:lang w:val="en-AU"/>
        </w:rPr>
      </w:pPr>
      <w:r w:rsidRPr="000C57EE">
        <w:rPr>
          <w:lang w:val="en-AU"/>
        </w:rPr>
        <w:t xml:space="preserve">leukopenia </w:t>
      </w:r>
      <w:r w:rsidR="00DF5CAD" w:rsidRPr="000C57EE">
        <w:rPr>
          <w:lang w:val="en-AU"/>
        </w:rPr>
        <w:t>in mild cases</w:t>
      </w:r>
    </w:p>
    <w:p w14:paraId="06E6A096" w14:textId="77777777" w:rsidR="00DF5CAD" w:rsidRPr="000C57EE" w:rsidRDefault="00F276AD" w:rsidP="00817F81">
      <w:pPr>
        <w:pStyle w:val="List-BulletLvl1"/>
        <w:spacing w:after="60"/>
        <w:rPr>
          <w:lang w:val="en-AU"/>
        </w:rPr>
      </w:pPr>
      <w:r w:rsidRPr="000C57EE">
        <w:rPr>
          <w:lang w:val="en-AU"/>
        </w:rPr>
        <w:t xml:space="preserve">neutrophilia </w:t>
      </w:r>
      <w:r w:rsidR="00DF5CAD" w:rsidRPr="000C57EE">
        <w:rPr>
          <w:lang w:val="en-AU"/>
        </w:rPr>
        <w:t>and to</w:t>
      </w:r>
      <w:r w:rsidR="00D5749E" w:rsidRPr="000C57EE">
        <w:rPr>
          <w:lang w:val="en-AU"/>
        </w:rPr>
        <w:t>xic changes on blood film in patie</w:t>
      </w:r>
      <w:r w:rsidR="00D74BD1" w:rsidRPr="000C57EE">
        <w:rPr>
          <w:lang w:val="en-AU"/>
        </w:rPr>
        <w:t>n</w:t>
      </w:r>
      <w:r w:rsidR="00D5749E" w:rsidRPr="000C57EE">
        <w:rPr>
          <w:lang w:val="en-AU"/>
        </w:rPr>
        <w:t>ts presenting with severe infection</w:t>
      </w:r>
      <w:r w:rsidRPr="000C57EE">
        <w:rPr>
          <w:lang w:val="en-AU"/>
        </w:rPr>
        <w:t>, and</w:t>
      </w:r>
    </w:p>
    <w:p w14:paraId="58AB5948" w14:textId="77777777" w:rsidR="00D5749E" w:rsidRPr="000C57EE" w:rsidRDefault="00F276AD" w:rsidP="002D36C8">
      <w:pPr>
        <w:pStyle w:val="List-BulletLvl1"/>
        <w:rPr>
          <w:lang w:val="en-AU"/>
        </w:rPr>
      </w:pPr>
      <w:r w:rsidRPr="000C57EE">
        <w:rPr>
          <w:lang w:val="en-AU"/>
        </w:rPr>
        <w:t xml:space="preserve">significantly </w:t>
      </w:r>
      <w:r w:rsidR="001C5095" w:rsidRPr="000C57EE">
        <w:rPr>
          <w:lang w:val="en-AU"/>
        </w:rPr>
        <w:t xml:space="preserve">raised </w:t>
      </w:r>
      <w:r w:rsidR="000D3A10" w:rsidRPr="000C57EE">
        <w:rPr>
          <w:lang w:val="en-AU"/>
        </w:rPr>
        <w:t xml:space="preserve">C-reactive protein </w:t>
      </w:r>
      <w:r w:rsidR="00D74BD1" w:rsidRPr="000C57EE">
        <w:rPr>
          <w:lang w:val="en-AU"/>
        </w:rPr>
        <w:t xml:space="preserve">measurements in systemic </w:t>
      </w:r>
      <w:r w:rsidR="00A50912" w:rsidRPr="000C57EE">
        <w:rPr>
          <w:lang w:val="en-AU"/>
        </w:rPr>
        <w:t>Rickettsial</w:t>
      </w:r>
      <w:r w:rsidR="00D74BD1" w:rsidRPr="000C57EE">
        <w:rPr>
          <w:lang w:val="en-AU"/>
        </w:rPr>
        <w:t xml:space="preserve"> infection in contrast to uncomplicated viral infections</w:t>
      </w:r>
      <w:r w:rsidR="002D36C8" w:rsidRPr="000C57EE">
        <w:rPr>
          <w:lang w:val="en-AU"/>
        </w:rPr>
        <w:t>.</w:t>
      </w:r>
      <w:r w:rsidR="00D74BD1" w:rsidRPr="000C57EE">
        <w:rPr>
          <w:lang w:val="en-AU"/>
        </w:rPr>
        <w:t xml:space="preserve"> </w:t>
      </w:r>
    </w:p>
    <w:p w14:paraId="408D013D" w14:textId="77777777" w:rsidR="004B26A7" w:rsidRPr="00661245" w:rsidRDefault="005B539F" w:rsidP="002E1343">
      <w:pPr>
        <w:pStyle w:val="BodyText"/>
        <w:spacing w:after="80"/>
        <w:rPr>
          <w:lang w:val="en-AU"/>
        </w:rPr>
      </w:pPr>
      <w:r w:rsidRPr="00661245">
        <w:rPr>
          <w:lang w:val="en-AU"/>
        </w:rPr>
        <w:t>A number of factors can complicate the diagnosis</w:t>
      </w:r>
      <w:r w:rsidR="002D36C8" w:rsidRPr="00CF74AD">
        <w:rPr>
          <w:lang w:val="en-AU"/>
        </w:rPr>
        <w:t>:</w:t>
      </w:r>
      <w:r w:rsidR="002D36C8" w:rsidRPr="00A94846">
        <w:rPr>
          <w:rStyle w:val="FootnoteReference"/>
        </w:rPr>
        <w:footnoteReference w:id="195"/>
      </w:r>
    </w:p>
    <w:p w14:paraId="7C755214" w14:textId="77777777" w:rsidR="005B539F" w:rsidRPr="00D621FF" w:rsidRDefault="002D36C8" w:rsidP="00817F81">
      <w:pPr>
        <w:pStyle w:val="List-BulletLvl1"/>
        <w:spacing w:after="60"/>
        <w:rPr>
          <w:lang w:val="en-AU"/>
        </w:rPr>
      </w:pPr>
      <w:r w:rsidRPr="00CF74AD">
        <w:rPr>
          <w:lang w:val="en-AU"/>
        </w:rPr>
        <w:t>s</w:t>
      </w:r>
      <w:r w:rsidR="005B539F" w:rsidRPr="00CF74AD">
        <w:rPr>
          <w:lang w:val="en-AU"/>
        </w:rPr>
        <w:t xml:space="preserve">ubstantial cross-reactivity of antibodies can occur between some rickettsia and with other species of bacteria such as </w:t>
      </w:r>
      <w:r w:rsidR="005B539F" w:rsidRPr="00CF74AD">
        <w:rPr>
          <w:i/>
          <w:iCs/>
          <w:lang w:val="en-AU"/>
        </w:rPr>
        <w:t xml:space="preserve">Proteus </w:t>
      </w:r>
      <w:r w:rsidR="005B539F" w:rsidRPr="00CF74AD">
        <w:rPr>
          <w:lang w:val="en-AU"/>
        </w:rPr>
        <w:t xml:space="preserve">and </w:t>
      </w:r>
      <w:r w:rsidR="005B539F" w:rsidRPr="00CF29E7">
        <w:rPr>
          <w:i/>
          <w:iCs/>
          <w:lang w:val="en-AU"/>
        </w:rPr>
        <w:t>Legionella</w:t>
      </w:r>
    </w:p>
    <w:p w14:paraId="3BDAD010" w14:textId="77777777" w:rsidR="005B539F" w:rsidRPr="00FA6D54" w:rsidRDefault="002D36C8" w:rsidP="00817F81">
      <w:pPr>
        <w:pStyle w:val="List-BulletLvl1"/>
        <w:spacing w:after="60"/>
        <w:rPr>
          <w:lang w:val="en-AU"/>
        </w:rPr>
      </w:pPr>
      <w:r w:rsidRPr="00FA6D54">
        <w:rPr>
          <w:lang w:val="en-AU"/>
        </w:rPr>
        <w:t>c</w:t>
      </w:r>
      <w:r w:rsidR="005B539F" w:rsidRPr="00FA6D54">
        <w:rPr>
          <w:lang w:val="en-AU"/>
        </w:rPr>
        <w:t xml:space="preserve">oncomitant illnesses such as rheumatologic- and immune-mediated disorders can yield false-positive </w:t>
      </w:r>
      <w:r w:rsidR="00A50912" w:rsidRPr="00FA6D54">
        <w:rPr>
          <w:lang w:val="en-AU"/>
        </w:rPr>
        <w:t>Rickettsial</w:t>
      </w:r>
      <w:r w:rsidR="005B539F" w:rsidRPr="00FA6D54">
        <w:rPr>
          <w:lang w:val="en-AU"/>
        </w:rPr>
        <w:t xml:space="preserve"> serological tests</w:t>
      </w:r>
    </w:p>
    <w:p w14:paraId="546CC6F5" w14:textId="77777777" w:rsidR="005B539F" w:rsidRPr="00F2704A" w:rsidRDefault="002D36C8" w:rsidP="00817F81">
      <w:pPr>
        <w:pStyle w:val="List-BulletLvl1"/>
        <w:spacing w:after="60"/>
        <w:rPr>
          <w:lang w:val="en-AU"/>
        </w:rPr>
      </w:pPr>
      <w:r w:rsidRPr="00F2704A">
        <w:rPr>
          <w:lang w:val="en-AU"/>
        </w:rPr>
        <w:t>o</w:t>
      </w:r>
      <w:r w:rsidR="005B539F" w:rsidRPr="00F2704A">
        <w:rPr>
          <w:lang w:val="en-AU"/>
        </w:rPr>
        <w:t xml:space="preserve">ccasionally, patients infected with </w:t>
      </w:r>
      <w:r w:rsidR="005B539F" w:rsidRPr="00F2704A">
        <w:rPr>
          <w:i/>
          <w:iCs/>
          <w:lang w:val="en-AU"/>
        </w:rPr>
        <w:t xml:space="preserve">R. australis </w:t>
      </w:r>
      <w:r w:rsidR="005B539F" w:rsidRPr="00F2704A">
        <w:rPr>
          <w:lang w:val="en-AU"/>
        </w:rPr>
        <w:t>do not seroconvert</w:t>
      </w:r>
      <w:r w:rsidRPr="00F2704A">
        <w:rPr>
          <w:lang w:val="en-AU"/>
        </w:rPr>
        <w:t>, and</w:t>
      </w:r>
    </w:p>
    <w:p w14:paraId="6C199A57" w14:textId="77777777" w:rsidR="005B539F" w:rsidRPr="00F2704A" w:rsidRDefault="002D36C8" w:rsidP="002D36C8">
      <w:pPr>
        <w:pStyle w:val="List-BulletLvl1"/>
        <w:rPr>
          <w:lang w:val="en-AU"/>
        </w:rPr>
      </w:pPr>
      <w:r w:rsidRPr="00F2704A">
        <w:rPr>
          <w:lang w:val="en-AU"/>
        </w:rPr>
        <w:t>s</w:t>
      </w:r>
      <w:r w:rsidR="005B539F" w:rsidRPr="00F2704A">
        <w:rPr>
          <w:lang w:val="en-AU"/>
        </w:rPr>
        <w:t xml:space="preserve">erology tests can be difficult to interpret in acute illness; low level titres are associated with previous SFG </w:t>
      </w:r>
      <w:r w:rsidR="005B539F" w:rsidRPr="00F2704A">
        <w:rPr>
          <w:i/>
          <w:iCs/>
          <w:lang w:val="en-AU"/>
        </w:rPr>
        <w:t xml:space="preserve">Rickettsia </w:t>
      </w:r>
      <w:r w:rsidR="005B539F" w:rsidRPr="00F2704A">
        <w:rPr>
          <w:lang w:val="en-AU"/>
        </w:rPr>
        <w:t>exposure and to a patient’s current non</w:t>
      </w:r>
      <w:r w:rsidR="00A50912">
        <w:rPr>
          <w:lang w:val="en-AU"/>
        </w:rPr>
        <w:t>-R</w:t>
      </w:r>
      <w:r w:rsidR="005B539F" w:rsidRPr="00F2704A">
        <w:rPr>
          <w:lang w:val="en-AU"/>
        </w:rPr>
        <w:t>ickettsial infection</w:t>
      </w:r>
      <w:r w:rsidRPr="00F2704A">
        <w:rPr>
          <w:lang w:val="en-AU"/>
        </w:rPr>
        <w:t>.</w:t>
      </w:r>
    </w:p>
    <w:p w14:paraId="2D42E6AE" w14:textId="77777777" w:rsidR="003C45E7" w:rsidRPr="000C57EE" w:rsidRDefault="000D0186" w:rsidP="00DA6897">
      <w:pPr>
        <w:pStyle w:val="Body"/>
        <w:rPr>
          <w:lang w:val="en-AU"/>
        </w:rPr>
      </w:pPr>
      <w:r w:rsidRPr="000C57EE">
        <w:rPr>
          <w:lang w:val="en-AU"/>
        </w:rPr>
        <w:t>Initial negative serological studies do not rule ou</w:t>
      </w:r>
      <w:r w:rsidR="00AD5999" w:rsidRPr="000C57EE">
        <w:rPr>
          <w:lang w:val="en-AU"/>
        </w:rPr>
        <w:t>t</w:t>
      </w:r>
      <w:r w:rsidRPr="000C57EE">
        <w:rPr>
          <w:lang w:val="en-AU"/>
        </w:rPr>
        <w:t xml:space="preserve"> </w:t>
      </w:r>
      <w:r w:rsidR="00A50912" w:rsidRPr="000C57EE">
        <w:rPr>
          <w:lang w:val="en-AU"/>
        </w:rPr>
        <w:t>Rickettsial</w:t>
      </w:r>
      <w:r w:rsidRPr="000C57EE">
        <w:rPr>
          <w:lang w:val="en-AU"/>
        </w:rPr>
        <w:t xml:space="preserve"> infection </w:t>
      </w:r>
      <w:r w:rsidR="004F3180" w:rsidRPr="000C57EE">
        <w:rPr>
          <w:lang w:val="en-AU"/>
        </w:rPr>
        <w:t>and should not alter treatment completion in potentially infected patients</w:t>
      </w:r>
      <w:r w:rsidR="002D36C8" w:rsidRPr="000C57EE">
        <w:rPr>
          <w:lang w:val="en-AU"/>
        </w:rPr>
        <w:t>.</w:t>
      </w:r>
      <w:r w:rsidR="004E11F7" w:rsidRPr="00A94846">
        <w:rPr>
          <w:rStyle w:val="FootnoteReference"/>
        </w:rPr>
        <w:footnoteReference w:id="196"/>
      </w:r>
    </w:p>
    <w:p w14:paraId="7A986A6A" w14:textId="77777777" w:rsidR="00A527F6" w:rsidRPr="000C57EE" w:rsidRDefault="00A527F6" w:rsidP="00DA6897">
      <w:pPr>
        <w:pStyle w:val="Body"/>
        <w:rPr>
          <w:lang w:val="en-AU"/>
        </w:rPr>
      </w:pPr>
      <w:r w:rsidRPr="000C57EE">
        <w:rPr>
          <w:lang w:val="en-AU"/>
        </w:rPr>
        <w:t xml:space="preserve">See also </w:t>
      </w:r>
      <w:r w:rsidR="00812EC2" w:rsidRPr="000C57EE">
        <w:rPr>
          <w:lang w:val="en-AU"/>
        </w:rPr>
        <w:t>Update on Australian Rickettsial Infections</w:t>
      </w:r>
      <w:r w:rsidR="002D36C8" w:rsidRPr="000C57EE">
        <w:rPr>
          <w:lang w:val="en-AU"/>
        </w:rPr>
        <w:t>.</w:t>
      </w:r>
      <w:r w:rsidR="00812EC2" w:rsidRPr="00A94846">
        <w:rPr>
          <w:rStyle w:val="FootnoteReference"/>
        </w:rPr>
        <w:footnoteReference w:id="197"/>
      </w:r>
    </w:p>
    <w:p w14:paraId="4437501B" w14:textId="77777777" w:rsidR="00AC04CF" w:rsidRPr="000C57EE" w:rsidRDefault="000A08B3" w:rsidP="004C7D9D">
      <w:pPr>
        <w:pStyle w:val="Body"/>
        <w:spacing w:before="200"/>
        <w:rPr>
          <w:b/>
          <w:bCs/>
          <w:i/>
          <w:iCs/>
          <w:lang w:val="en-AU"/>
        </w:rPr>
      </w:pPr>
      <w:r w:rsidRPr="000C57EE">
        <w:rPr>
          <w:b/>
          <w:bCs/>
          <w:i/>
          <w:iCs/>
          <w:lang w:val="en-AU"/>
        </w:rPr>
        <w:t>Australian Spotted Fever</w:t>
      </w:r>
    </w:p>
    <w:p w14:paraId="1908EF5B" w14:textId="77777777" w:rsidR="005F46C7" w:rsidRPr="000C57EE" w:rsidRDefault="00812EC2" w:rsidP="00355B90">
      <w:pPr>
        <w:pStyle w:val="Body"/>
        <w:rPr>
          <w:lang w:val="en-AU"/>
        </w:rPr>
      </w:pPr>
      <w:r w:rsidRPr="000C57EE">
        <w:rPr>
          <w:lang w:val="en-AU"/>
        </w:rPr>
        <w:t>See</w:t>
      </w:r>
      <w:r w:rsidRPr="000C57EE">
        <w:rPr>
          <w:b/>
          <w:bCs/>
          <w:lang w:val="en-AU"/>
        </w:rPr>
        <w:t xml:space="preserve"> </w:t>
      </w:r>
      <w:r w:rsidRPr="000C57EE">
        <w:rPr>
          <w:lang w:val="en-AU"/>
        </w:rPr>
        <w:t>Update on Australian Rickettsial Infections</w:t>
      </w:r>
      <w:r w:rsidR="002D36C8" w:rsidRPr="000C57EE">
        <w:rPr>
          <w:lang w:val="en-AU"/>
        </w:rPr>
        <w:t>.</w:t>
      </w:r>
      <w:r w:rsidRPr="00A94846">
        <w:rPr>
          <w:rStyle w:val="FootnoteReference"/>
        </w:rPr>
        <w:footnoteReference w:id="198"/>
      </w:r>
    </w:p>
    <w:p w14:paraId="06D33DD8" w14:textId="77777777" w:rsidR="000A08B3" w:rsidRPr="000C57EE" w:rsidRDefault="000A08B3" w:rsidP="004C7D9D">
      <w:pPr>
        <w:pStyle w:val="Body"/>
        <w:spacing w:before="200"/>
        <w:rPr>
          <w:b/>
          <w:bCs/>
          <w:i/>
          <w:iCs/>
          <w:lang w:val="en-AU"/>
        </w:rPr>
      </w:pPr>
      <w:r w:rsidRPr="000C57EE">
        <w:rPr>
          <w:b/>
          <w:bCs/>
          <w:i/>
          <w:iCs/>
          <w:lang w:val="en-AU"/>
        </w:rPr>
        <w:t>Flinders Island Spotted Fever</w:t>
      </w:r>
    </w:p>
    <w:p w14:paraId="70F83B64" w14:textId="77777777" w:rsidR="00412E6B" w:rsidRDefault="00812EC2" w:rsidP="00355B90">
      <w:pPr>
        <w:pStyle w:val="Body"/>
        <w:rPr>
          <w:lang w:val="en-AU"/>
        </w:rPr>
      </w:pPr>
      <w:r w:rsidRPr="000C57EE">
        <w:rPr>
          <w:lang w:val="en-AU"/>
        </w:rPr>
        <w:t>See</w:t>
      </w:r>
      <w:r w:rsidRPr="000C57EE">
        <w:rPr>
          <w:b/>
          <w:bCs/>
          <w:lang w:val="en-AU"/>
        </w:rPr>
        <w:t xml:space="preserve"> </w:t>
      </w:r>
      <w:r w:rsidRPr="000C57EE">
        <w:rPr>
          <w:lang w:val="en-AU"/>
        </w:rPr>
        <w:t>Update on Australian Rickettsial Infections</w:t>
      </w:r>
      <w:r w:rsidR="002D36C8" w:rsidRPr="000C57EE">
        <w:rPr>
          <w:lang w:val="en-AU"/>
        </w:rPr>
        <w:t>.</w:t>
      </w:r>
      <w:r w:rsidRPr="00A94846">
        <w:rPr>
          <w:rStyle w:val="FootnoteReference"/>
        </w:rPr>
        <w:footnoteReference w:id="199"/>
      </w:r>
    </w:p>
    <w:p w14:paraId="7E0B66CE" w14:textId="77777777" w:rsidR="006C2572" w:rsidRDefault="006C2572" w:rsidP="00355B90">
      <w:pPr>
        <w:pStyle w:val="Body"/>
        <w:rPr>
          <w:b/>
          <w:bCs/>
          <w:lang w:val="en-AU"/>
        </w:rPr>
      </w:pPr>
      <w:r>
        <w:rPr>
          <w:b/>
          <w:bCs/>
          <w:lang w:val="en-AU"/>
        </w:rPr>
        <w:br w:type="page"/>
      </w:r>
    </w:p>
    <w:p w14:paraId="1673FA3A" w14:textId="77777777" w:rsidR="00412E6B" w:rsidRPr="00B50C8F" w:rsidRDefault="009E3895" w:rsidP="00355B90">
      <w:pPr>
        <w:pStyle w:val="Body"/>
        <w:rPr>
          <w:i/>
          <w:iCs/>
          <w:lang w:val="en-AU"/>
        </w:rPr>
      </w:pPr>
      <w:r w:rsidRPr="00B50C8F">
        <w:rPr>
          <w:b/>
          <w:bCs/>
          <w:i/>
          <w:iCs/>
          <w:lang w:val="en-AU"/>
        </w:rPr>
        <w:lastRenderedPageBreak/>
        <w:t>Q fever</w:t>
      </w:r>
    </w:p>
    <w:p w14:paraId="7A53539D" w14:textId="77777777" w:rsidR="00451113" w:rsidRPr="00661245" w:rsidRDefault="00451113" w:rsidP="00451113">
      <w:pPr>
        <w:pStyle w:val="BodyText"/>
        <w:rPr>
          <w:lang w:val="en-AU"/>
        </w:rPr>
      </w:pPr>
      <w:r w:rsidRPr="00661245">
        <w:rPr>
          <w:lang w:val="en-AU"/>
        </w:rPr>
        <w:t xml:space="preserve">Diagnosis of Q fever can be made by a medical professional based on symptoms, clinical examination, and laboratory tests on blood samples. Two or more blood samples on separate </w:t>
      </w:r>
      <w:r w:rsidRPr="00CF74AD">
        <w:rPr>
          <w:lang w:val="en-AU"/>
        </w:rPr>
        <w:t>occasions are often required to confirm a Q fever diagnosis</w:t>
      </w:r>
      <w:r w:rsidR="002D36C8" w:rsidRPr="00CF74AD">
        <w:rPr>
          <w:lang w:val="en-AU"/>
        </w:rPr>
        <w:t>.</w:t>
      </w:r>
      <w:r w:rsidRPr="00A94846">
        <w:rPr>
          <w:rStyle w:val="FootnoteReference"/>
        </w:rPr>
        <w:footnoteReference w:id="200"/>
      </w:r>
    </w:p>
    <w:p w14:paraId="69BBB85A" w14:textId="77777777" w:rsidR="00F563A8" w:rsidRPr="00661245" w:rsidRDefault="00543953" w:rsidP="00A47E66">
      <w:pPr>
        <w:pStyle w:val="BodyText"/>
        <w:rPr>
          <w:lang w:val="en-AU"/>
        </w:rPr>
      </w:pPr>
      <w:r w:rsidRPr="00CF74AD">
        <w:rPr>
          <w:lang w:val="en-AU"/>
        </w:rPr>
        <w:t>CDNA provide d</w:t>
      </w:r>
      <w:r w:rsidR="00650236" w:rsidRPr="00CF74AD">
        <w:rPr>
          <w:lang w:val="en-AU"/>
        </w:rPr>
        <w:t xml:space="preserve">etails on </w:t>
      </w:r>
      <w:r w:rsidR="00351567" w:rsidRPr="00CF74AD">
        <w:rPr>
          <w:lang w:val="en-AU"/>
        </w:rPr>
        <w:t xml:space="preserve">laboratory tests </w:t>
      </w:r>
      <w:r w:rsidR="00DF417A" w:rsidRPr="00CF74AD">
        <w:rPr>
          <w:lang w:val="en-AU"/>
        </w:rPr>
        <w:t xml:space="preserve">(PCR and serology testing) </w:t>
      </w:r>
      <w:r w:rsidR="00351567" w:rsidRPr="00CF74AD">
        <w:rPr>
          <w:lang w:val="en-AU"/>
        </w:rPr>
        <w:t>and interpreting results</w:t>
      </w:r>
      <w:r w:rsidRPr="00CF29E7">
        <w:rPr>
          <w:lang w:val="en-AU"/>
        </w:rPr>
        <w:t xml:space="preserve"> for Q fever</w:t>
      </w:r>
      <w:r w:rsidR="002D36C8" w:rsidRPr="00D621FF">
        <w:rPr>
          <w:lang w:val="en-AU"/>
        </w:rPr>
        <w:t>.</w:t>
      </w:r>
      <w:r w:rsidR="001443F1" w:rsidRPr="00A94846">
        <w:rPr>
          <w:rStyle w:val="FootnoteReference"/>
        </w:rPr>
        <w:footnoteReference w:id="201"/>
      </w:r>
    </w:p>
    <w:p w14:paraId="619C3A85" w14:textId="77777777" w:rsidR="00A47E66" w:rsidRPr="00661245" w:rsidRDefault="00C106DC" w:rsidP="00A47E66">
      <w:pPr>
        <w:pStyle w:val="BodyText"/>
        <w:rPr>
          <w:lang w:val="en-AU"/>
        </w:rPr>
      </w:pPr>
      <w:r w:rsidRPr="00CF74AD">
        <w:rPr>
          <w:lang w:val="en-AU"/>
        </w:rPr>
        <w:t>A</w:t>
      </w:r>
      <w:r w:rsidR="00AC48D3" w:rsidRPr="00CF74AD">
        <w:rPr>
          <w:lang w:val="en-AU"/>
        </w:rPr>
        <w:t>dv</w:t>
      </w:r>
      <w:r w:rsidRPr="00CF74AD">
        <w:rPr>
          <w:lang w:val="en-AU"/>
        </w:rPr>
        <w:t xml:space="preserve">ice </w:t>
      </w:r>
      <w:r w:rsidR="007D13D8" w:rsidRPr="00CF74AD">
        <w:rPr>
          <w:lang w:val="en-AU"/>
        </w:rPr>
        <w:t xml:space="preserve">by RACGP </w:t>
      </w:r>
      <w:r w:rsidRPr="00CF74AD">
        <w:rPr>
          <w:lang w:val="en-AU"/>
        </w:rPr>
        <w:t>to assist GP</w:t>
      </w:r>
      <w:r w:rsidR="00AC48D3" w:rsidRPr="00CF29E7">
        <w:rPr>
          <w:lang w:val="en-AU"/>
        </w:rPr>
        <w:t xml:space="preserve">s in </w:t>
      </w:r>
      <w:r w:rsidR="00A47E66" w:rsidRPr="00D621FF">
        <w:rPr>
          <w:lang w:val="en-AU"/>
        </w:rPr>
        <w:t xml:space="preserve">diagnosing Q fever, including </w:t>
      </w:r>
      <w:r w:rsidR="00B43805" w:rsidRPr="00D621FF">
        <w:rPr>
          <w:lang w:val="en-AU"/>
        </w:rPr>
        <w:t xml:space="preserve">in aspects of diagnostic tests </w:t>
      </w:r>
      <w:r w:rsidR="00A47E66" w:rsidRPr="00FA6D54">
        <w:rPr>
          <w:lang w:val="en-AU"/>
        </w:rPr>
        <w:t xml:space="preserve">is </w:t>
      </w:r>
      <w:r w:rsidR="001443F1" w:rsidRPr="00FA6D54">
        <w:rPr>
          <w:lang w:val="en-AU"/>
        </w:rPr>
        <w:t xml:space="preserve">also </w:t>
      </w:r>
      <w:r w:rsidR="00A47E66" w:rsidRPr="00F2704A">
        <w:rPr>
          <w:lang w:val="en-AU"/>
        </w:rPr>
        <w:t>available</w:t>
      </w:r>
      <w:r w:rsidR="005D6EE7">
        <w:rPr>
          <w:lang w:val="en-AU"/>
        </w:rPr>
        <w:t>.</w:t>
      </w:r>
      <w:r w:rsidR="007D13D8" w:rsidRPr="00A94846">
        <w:rPr>
          <w:rStyle w:val="FootnoteReference"/>
        </w:rPr>
        <w:footnoteReference w:id="202"/>
      </w:r>
    </w:p>
    <w:p w14:paraId="417DFAC0" w14:textId="77777777" w:rsidR="004C6AD0" w:rsidRPr="00A01762" w:rsidRDefault="004C6AD0" w:rsidP="00E74981">
      <w:pPr>
        <w:pStyle w:val="NumberedHeading2"/>
        <w:spacing w:line="240" w:lineRule="auto"/>
        <w:rPr>
          <w:lang w:val="en-AU"/>
        </w:rPr>
      </w:pPr>
      <w:bookmarkStart w:id="99" w:name="_Toc55464803"/>
      <w:r w:rsidRPr="00CF74AD">
        <w:rPr>
          <w:lang w:val="en-AU"/>
        </w:rPr>
        <w:t xml:space="preserve">Patient presenting with </w:t>
      </w:r>
      <w:r w:rsidR="00415DD2">
        <w:rPr>
          <w:lang w:val="en-AU"/>
        </w:rPr>
        <w:t xml:space="preserve">persistent </w:t>
      </w:r>
      <w:r w:rsidR="00E97F47" w:rsidRPr="00CF74AD">
        <w:rPr>
          <w:lang w:val="en-AU"/>
        </w:rPr>
        <w:t xml:space="preserve">debilitating </w:t>
      </w:r>
      <w:r w:rsidR="009C22EA" w:rsidRPr="00CF74AD">
        <w:rPr>
          <w:lang w:val="en-AU"/>
        </w:rPr>
        <w:t xml:space="preserve">symptoms </w:t>
      </w:r>
      <w:r w:rsidR="00A84D16" w:rsidRPr="00CF74AD">
        <w:rPr>
          <w:lang w:val="en-AU"/>
        </w:rPr>
        <w:t xml:space="preserve">- </w:t>
      </w:r>
      <w:r w:rsidR="009C22EA" w:rsidRPr="00CF29E7">
        <w:rPr>
          <w:lang w:val="en-AU"/>
        </w:rPr>
        <w:t xml:space="preserve">diagnosis </w:t>
      </w:r>
      <w:r w:rsidR="006245AC" w:rsidRPr="00D621FF">
        <w:rPr>
          <w:lang w:val="en-AU"/>
        </w:rPr>
        <w:t>of specific disease</w:t>
      </w:r>
      <w:r w:rsidR="002870AC" w:rsidRPr="00D621FF">
        <w:rPr>
          <w:lang w:val="en-AU"/>
        </w:rPr>
        <w:t>(</w:t>
      </w:r>
      <w:r w:rsidR="006245AC" w:rsidRPr="00FA6D54">
        <w:rPr>
          <w:lang w:val="en-AU"/>
        </w:rPr>
        <w:t>s</w:t>
      </w:r>
      <w:r w:rsidR="002870AC" w:rsidRPr="00FA6D54">
        <w:rPr>
          <w:lang w:val="en-AU"/>
        </w:rPr>
        <w:t>)</w:t>
      </w:r>
      <w:r w:rsidR="006245AC" w:rsidRPr="00FA6D54">
        <w:rPr>
          <w:lang w:val="en-AU"/>
        </w:rPr>
        <w:t xml:space="preserve"> is </w:t>
      </w:r>
      <w:r w:rsidR="009C22EA" w:rsidRPr="00A01762">
        <w:rPr>
          <w:lang w:val="en-AU"/>
        </w:rPr>
        <w:t>established</w:t>
      </w:r>
      <w:bookmarkEnd w:id="99"/>
      <w:r w:rsidR="009C22EA" w:rsidRPr="00A01762">
        <w:rPr>
          <w:lang w:val="en-AU"/>
        </w:rPr>
        <w:t xml:space="preserve"> </w:t>
      </w:r>
    </w:p>
    <w:p w14:paraId="190969F3" w14:textId="77777777" w:rsidR="009C22EA" w:rsidRPr="00F2704A" w:rsidRDefault="009C22EA" w:rsidP="004826E4">
      <w:pPr>
        <w:pStyle w:val="Body"/>
        <w:rPr>
          <w:lang w:val="en-AU"/>
        </w:rPr>
      </w:pPr>
      <w:r w:rsidRPr="00F2704A">
        <w:rPr>
          <w:lang w:val="en-AU"/>
        </w:rPr>
        <w:t>Where a specific disease or diseases are diagnosed, with or without specialist input, treat accordingly, as per usual clinical practice. When symptoms resolve, the patient exits this DSCATT Clinical Pathway.</w:t>
      </w:r>
    </w:p>
    <w:p w14:paraId="19324CB9" w14:textId="77777777" w:rsidR="00964734" w:rsidRPr="00F2704A" w:rsidRDefault="00964734" w:rsidP="005953DE">
      <w:pPr>
        <w:pStyle w:val="NumberedHeading2"/>
        <w:spacing w:line="240" w:lineRule="auto"/>
        <w:rPr>
          <w:lang w:val="en-AU"/>
        </w:rPr>
      </w:pPr>
      <w:bookmarkStart w:id="100" w:name="_Toc20480318"/>
      <w:bookmarkStart w:id="101" w:name="_Toc55464804"/>
      <w:bookmarkEnd w:id="100"/>
      <w:r w:rsidRPr="00F2704A">
        <w:rPr>
          <w:lang w:val="en-AU"/>
        </w:rPr>
        <w:t xml:space="preserve">Patient presenting with </w:t>
      </w:r>
      <w:r w:rsidR="00415DD2">
        <w:rPr>
          <w:lang w:val="en-AU"/>
        </w:rPr>
        <w:t xml:space="preserve">persistent </w:t>
      </w:r>
      <w:r w:rsidRPr="00F2704A">
        <w:rPr>
          <w:lang w:val="en-AU"/>
        </w:rPr>
        <w:t>debilitating symptoms</w:t>
      </w:r>
      <w:r w:rsidR="00A84D16" w:rsidRPr="00F2704A">
        <w:rPr>
          <w:lang w:val="en-AU"/>
        </w:rPr>
        <w:t xml:space="preserve"> - </w:t>
      </w:r>
      <w:r w:rsidR="0069386B" w:rsidRPr="00F2704A">
        <w:rPr>
          <w:lang w:val="en-AU"/>
        </w:rPr>
        <w:t xml:space="preserve">no </w:t>
      </w:r>
      <w:r w:rsidRPr="00F2704A">
        <w:rPr>
          <w:lang w:val="en-AU"/>
        </w:rPr>
        <w:t>diagnosis</w:t>
      </w:r>
      <w:r w:rsidR="0069386B" w:rsidRPr="00F2704A">
        <w:rPr>
          <w:lang w:val="en-AU"/>
        </w:rPr>
        <w:t xml:space="preserve"> is established</w:t>
      </w:r>
      <w:r w:rsidR="005953DE" w:rsidRPr="00F2704A">
        <w:rPr>
          <w:lang w:val="en-AU"/>
        </w:rPr>
        <w:t xml:space="preserve"> </w:t>
      </w:r>
      <w:r w:rsidR="00A41B19" w:rsidRPr="00F2704A">
        <w:rPr>
          <w:lang w:val="en-AU"/>
        </w:rPr>
        <w:t>and medically unexplained symptoms persist</w:t>
      </w:r>
      <w:bookmarkEnd w:id="101"/>
    </w:p>
    <w:p w14:paraId="39B60696" w14:textId="77777777" w:rsidR="00964734" w:rsidRPr="00F2704A" w:rsidRDefault="00964734" w:rsidP="00964734">
      <w:pPr>
        <w:pStyle w:val="BodyText"/>
        <w:rPr>
          <w:lang w:val="en-AU"/>
        </w:rPr>
      </w:pPr>
      <w:r w:rsidRPr="00F2704A">
        <w:rPr>
          <w:lang w:val="en-AU"/>
        </w:rPr>
        <w:t>If no diagnosis of a specific disease(s) is established through this phase of the pathway and symptoms persist, move to next phase</w:t>
      </w:r>
      <w:r w:rsidR="008547AD" w:rsidRPr="00F2704A">
        <w:rPr>
          <w:lang w:val="en-AU"/>
        </w:rPr>
        <w:t xml:space="preserve">, the stepped care approach. </w:t>
      </w:r>
    </w:p>
    <w:p w14:paraId="172776DF" w14:textId="77777777" w:rsidR="00594ED2" w:rsidRPr="004D3350" w:rsidRDefault="00543932">
      <w:pPr>
        <w:rPr>
          <w:rFonts w:ascii="Calibri" w:hAnsi="Calibri"/>
          <w:b/>
          <w:color w:val="36424A"/>
          <w:sz w:val="28"/>
          <w:lang w:val="en-AU"/>
        </w:rPr>
      </w:pPr>
      <w:r w:rsidRPr="00F2704A">
        <w:rPr>
          <w:lang w:val="en-AU"/>
        </w:rPr>
        <w:t xml:space="preserve">People with </w:t>
      </w:r>
      <w:r w:rsidR="00C57C0A" w:rsidRPr="00F2704A">
        <w:rPr>
          <w:lang w:val="en-AU"/>
        </w:rPr>
        <w:t>medically unexplained symptoms</w:t>
      </w:r>
      <w:r w:rsidRPr="00F2704A">
        <w:rPr>
          <w:lang w:val="en-AU"/>
        </w:rPr>
        <w:t xml:space="preserve"> may obtain a diagnosis over time as symptoms develop and guide to the origin of the illness. Others may find that symptoms resolve over time without ever identifying a cause. </w:t>
      </w:r>
      <w:r w:rsidR="00594ED2" w:rsidRPr="00F2704A">
        <w:rPr>
          <w:lang w:val="en-AU"/>
        </w:rPr>
        <w:br w:type="page"/>
      </w:r>
    </w:p>
    <w:p w14:paraId="6007FC56" w14:textId="77777777" w:rsidR="007152FA" w:rsidRPr="00F2704A" w:rsidRDefault="007152FA" w:rsidP="009707CE">
      <w:pPr>
        <w:pStyle w:val="NumberedHeading1"/>
        <w:spacing w:before="0"/>
        <w:rPr>
          <w:lang w:val="en-AU"/>
        </w:rPr>
      </w:pPr>
      <w:bookmarkStart w:id="102" w:name="_Toc55464805"/>
      <w:r w:rsidRPr="00F2704A">
        <w:rPr>
          <w:lang w:val="en-AU"/>
        </w:rPr>
        <w:lastRenderedPageBreak/>
        <w:t>Initial management</w:t>
      </w:r>
      <w:bookmarkEnd w:id="102"/>
      <w:r w:rsidR="00FA128B" w:rsidRPr="00F2704A">
        <w:rPr>
          <w:lang w:val="en-AU"/>
        </w:rPr>
        <w:t xml:space="preserve"> </w:t>
      </w:r>
    </w:p>
    <w:p w14:paraId="2D685958" w14:textId="77777777" w:rsidR="00C951F7" w:rsidRPr="00F2704A" w:rsidRDefault="00594ED2" w:rsidP="00D50321">
      <w:pPr>
        <w:pStyle w:val="NumberedHeading2"/>
        <w:rPr>
          <w:lang w:val="en-AU"/>
        </w:rPr>
      </w:pPr>
      <w:bookmarkStart w:id="103" w:name="_Toc55464806"/>
      <w:r w:rsidRPr="00F2704A">
        <w:rPr>
          <w:lang w:val="en-AU"/>
        </w:rPr>
        <w:t>Lyme disease</w:t>
      </w:r>
      <w:bookmarkStart w:id="104" w:name="Section_6"/>
      <w:bookmarkStart w:id="105" w:name="Section_61"/>
      <w:bookmarkEnd w:id="103"/>
      <w:bookmarkEnd w:id="104"/>
      <w:bookmarkEnd w:id="105"/>
    </w:p>
    <w:p w14:paraId="1738403D" w14:textId="77777777" w:rsidR="00655ACE" w:rsidRPr="00F2704A" w:rsidRDefault="00655ACE" w:rsidP="00655ACE">
      <w:pPr>
        <w:pStyle w:val="NumberedHeading3"/>
        <w:rPr>
          <w:lang w:val="en-AU"/>
        </w:rPr>
      </w:pPr>
      <w:bookmarkStart w:id="106" w:name="_Toc55464807"/>
      <w:r w:rsidRPr="00F2704A">
        <w:rPr>
          <w:lang w:val="en-AU"/>
        </w:rPr>
        <w:t xml:space="preserve">International guidelines for the </w:t>
      </w:r>
      <w:r w:rsidR="00851176" w:rsidRPr="00F2704A">
        <w:rPr>
          <w:lang w:val="en-AU"/>
        </w:rPr>
        <w:t>treatment of Lyme disease</w:t>
      </w:r>
      <w:bookmarkEnd w:id="106"/>
      <w:r w:rsidR="00851176" w:rsidRPr="00F2704A">
        <w:rPr>
          <w:lang w:val="en-AU"/>
        </w:rPr>
        <w:t xml:space="preserve"> </w:t>
      </w:r>
    </w:p>
    <w:p w14:paraId="640531A2" w14:textId="77777777" w:rsidR="00536C1A" w:rsidRPr="00661245" w:rsidRDefault="00536C1A" w:rsidP="00D50321">
      <w:pPr>
        <w:pStyle w:val="BodyText"/>
        <w:rPr>
          <w:lang w:val="en-AU"/>
        </w:rPr>
      </w:pPr>
      <w:r w:rsidRPr="00F2704A">
        <w:rPr>
          <w:lang w:val="en-AU"/>
        </w:rPr>
        <w:t xml:space="preserve">Lyme disease is treated with antimicrobials </w:t>
      </w:r>
      <w:r w:rsidR="00D72701" w:rsidRPr="00F2704A">
        <w:rPr>
          <w:lang w:val="en-AU"/>
        </w:rPr>
        <w:t xml:space="preserve">from several classes </w:t>
      </w:r>
      <w:r w:rsidR="00CD3CEB" w:rsidRPr="00F2704A">
        <w:rPr>
          <w:lang w:val="en-AU"/>
        </w:rPr>
        <w:t xml:space="preserve">with activity against </w:t>
      </w:r>
      <w:r w:rsidR="00CD3CEB" w:rsidRPr="00F2704A">
        <w:rPr>
          <w:i/>
          <w:iCs/>
          <w:lang w:val="en-AU"/>
        </w:rPr>
        <w:t>B. burgdorferi</w:t>
      </w:r>
      <w:r w:rsidR="00D72701" w:rsidRPr="00F2704A">
        <w:rPr>
          <w:i/>
          <w:iCs/>
          <w:lang w:val="en-AU"/>
        </w:rPr>
        <w:t xml:space="preserve">, </w:t>
      </w:r>
      <w:r w:rsidR="00D72701" w:rsidRPr="00F2704A">
        <w:rPr>
          <w:lang w:val="en-AU"/>
        </w:rPr>
        <w:t xml:space="preserve">including </w:t>
      </w:r>
      <w:r w:rsidR="003007D1" w:rsidRPr="00F2704A">
        <w:rPr>
          <w:lang w:val="en-AU"/>
        </w:rPr>
        <w:t>doxycycline, penicillin, amoxicillin, cefuroxime, ceft</w:t>
      </w:r>
      <w:r w:rsidR="001C5B2F" w:rsidRPr="00F2704A">
        <w:rPr>
          <w:lang w:val="en-AU"/>
        </w:rPr>
        <w:t>riaxone and azithromycin</w:t>
      </w:r>
      <w:r w:rsidR="00D05213" w:rsidRPr="00F2704A">
        <w:rPr>
          <w:lang w:val="en-AU"/>
        </w:rPr>
        <w:t xml:space="preserve">, with the goals of treatment being the resolution of objective signs and symptoms of infection with prevention of relapsed active infection or new complications of infection. Under most </w:t>
      </w:r>
      <w:r w:rsidR="00EE0284" w:rsidRPr="00F2704A">
        <w:rPr>
          <w:lang w:val="en-AU"/>
        </w:rPr>
        <w:t>circumstances, oral therapy is effective and preferred over intravenous therapy due to equivalent efficacies, tolerability, and cost</w:t>
      </w:r>
      <w:r w:rsidR="002D36C8" w:rsidRPr="00F2704A">
        <w:rPr>
          <w:lang w:val="en-AU"/>
        </w:rPr>
        <w:t>.</w:t>
      </w:r>
      <w:r w:rsidR="001335E9" w:rsidRPr="00A94846">
        <w:rPr>
          <w:rStyle w:val="FootnoteReference"/>
        </w:rPr>
        <w:footnoteReference w:id="203"/>
      </w:r>
    </w:p>
    <w:p w14:paraId="364E0D03" w14:textId="77777777" w:rsidR="006E272E" w:rsidRPr="00661245" w:rsidRDefault="006E272E" w:rsidP="00D50321">
      <w:pPr>
        <w:pStyle w:val="BodyText"/>
        <w:rPr>
          <w:lang w:val="en-AU"/>
        </w:rPr>
      </w:pPr>
      <w:r w:rsidRPr="001C072C">
        <w:rPr>
          <w:lang w:val="en-AU"/>
        </w:rPr>
        <w:t>Treatment recommendations, based on available randomised controlled trials (RCTs) published by American professional bodies such as the IDSA, the American Academy of Paediatrics and a variety of national and supranational associations in Europe (EUCLAB) indicate</w:t>
      </w:r>
      <w:r w:rsidR="005B7100" w:rsidRPr="001C072C">
        <w:rPr>
          <w:lang w:val="en-AU"/>
        </w:rPr>
        <w:t xml:space="preserve"> that</w:t>
      </w:r>
      <w:r w:rsidRPr="001C072C">
        <w:rPr>
          <w:lang w:val="en-AU"/>
        </w:rPr>
        <w:t xml:space="preserve"> the approaches to therapy are largely similar on both sides of the Atlantic with some minor differences in the recommended dosage and treatment duration</w:t>
      </w:r>
      <w:r w:rsidR="002D36C8" w:rsidRPr="001C072C">
        <w:rPr>
          <w:lang w:val="en-AU"/>
        </w:rPr>
        <w:t>.</w:t>
      </w:r>
      <w:r w:rsidR="001335E9" w:rsidRPr="00A94846">
        <w:rPr>
          <w:rStyle w:val="FootnoteReference"/>
        </w:rPr>
        <w:footnoteReference w:id="204"/>
      </w:r>
    </w:p>
    <w:p w14:paraId="6B55FAE9" w14:textId="77777777" w:rsidR="00B23345" w:rsidRPr="00CF74AD" w:rsidRDefault="00B23345" w:rsidP="00D50321">
      <w:pPr>
        <w:pStyle w:val="BodyText"/>
        <w:rPr>
          <w:lang w:val="en-AU"/>
        </w:rPr>
      </w:pPr>
      <w:r w:rsidRPr="00CF74AD">
        <w:rPr>
          <w:lang w:val="en-AU"/>
        </w:rPr>
        <w:t>The majority of international guidelines, including IDSA</w:t>
      </w:r>
      <w:r w:rsidR="002D36C8" w:rsidRPr="00CF74AD">
        <w:rPr>
          <w:lang w:val="en-AU"/>
        </w:rPr>
        <w:t>,</w:t>
      </w:r>
      <w:r w:rsidR="008C1564" w:rsidRPr="00A94846">
        <w:rPr>
          <w:rStyle w:val="FootnoteReference"/>
        </w:rPr>
        <w:footnoteReference w:id="205"/>
      </w:r>
      <w:r w:rsidR="008C1564" w:rsidRPr="00661245">
        <w:rPr>
          <w:vertAlign w:val="superscript"/>
          <w:lang w:val="en-AU"/>
        </w:rPr>
        <w:t>,</w:t>
      </w:r>
      <w:r w:rsidR="005D6EE7">
        <w:rPr>
          <w:vertAlign w:val="superscript"/>
          <w:lang w:val="en-AU"/>
        </w:rPr>
        <w:t xml:space="preserve"> </w:t>
      </w:r>
      <w:r w:rsidRPr="00A94846">
        <w:rPr>
          <w:rStyle w:val="FootnoteReference"/>
        </w:rPr>
        <w:footnoteReference w:id="206"/>
      </w:r>
      <w:r w:rsidRPr="00661245">
        <w:rPr>
          <w:lang w:val="en-AU"/>
        </w:rPr>
        <w:t xml:space="preserve"> </w:t>
      </w:r>
      <w:r w:rsidRPr="00CF74AD">
        <w:rPr>
          <w:lang w:val="en-AU"/>
        </w:rPr>
        <w:t>NICE</w:t>
      </w:r>
      <w:r w:rsidRPr="00A94846">
        <w:rPr>
          <w:rStyle w:val="FootnoteReference"/>
        </w:rPr>
        <w:footnoteReference w:id="207"/>
      </w:r>
      <w:r w:rsidRPr="00661245">
        <w:rPr>
          <w:lang w:val="en-AU"/>
        </w:rPr>
        <w:t xml:space="preserve"> </w:t>
      </w:r>
      <w:r w:rsidR="00FE1413" w:rsidRPr="00CF74AD">
        <w:rPr>
          <w:lang w:val="en-AU"/>
        </w:rPr>
        <w:t>and IDSA/AAN/ACR</w:t>
      </w:r>
      <w:r w:rsidR="00FE1413" w:rsidRPr="00A94846">
        <w:rPr>
          <w:rStyle w:val="FootnoteReference"/>
        </w:rPr>
        <w:footnoteReference w:id="208"/>
      </w:r>
      <w:r w:rsidR="00FE1413" w:rsidRPr="00661245">
        <w:rPr>
          <w:lang w:val="en-AU"/>
        </w:rPr>
        <w:t xml:space="preserve"> </w:t>
      </w:r>
      <w:r w:rsidRPr="00CF74AD">
        <w:rPr>
          <w:lang w:val="en-AU"/>
        </w:rPr>
        <w:t xml:space="preserve">recommend one course of antibiotic therapy for all presentations of Lyme disease. </w:t>
      </w:r>
    </w:p>
    <w:p w14:paraId="5C87C024" w14:textId="77777777" w:rsidR="00A50477" w:rsidRPr="00661245" w:rsidRDefault="00A50477" w:rsidP="00D50321">
      <w:pPr>
        <w:pStyle w:val="BodyText"/>
        <w:rPr>
          <w:lang w:val="en-AU"/>
        </w:rPr>
      </w:pPr>
      <w:r w:rsidRPr="00CF74AD">
        <w:rPr>
          <w:lang w:val="en-AU"/>
        </w:rPr>
        <w:t>The NICE guideline covers diagnosing and managing Lyme disease, and aims to raise awareness of Lyme disease should it be suspected</w:t>
      </w:r>
      <w:r w:rsidR="00786877" w:rsidRPr="00CF74AD">
        <w:rPr>
          <w:lang w:val="en-AU"/>
        </w:rPr>
        <w:t>,</w:t>
      </w:r>
      <w:r w:rsidRPr="00CF74AD">
        <w:rPr>
          <w:lang w:val="en-AU"/>
        </w:rPr>
        <w:t xml:space="preserve"> and ensure people have prompt and consistent diagnosis and treatment. The recommendations aim to standardise antibiotic treatment</w:t>
      </w:r>
      <w:r w:rsidRPr="00CF29E7">
        <w:rPr>
          <w:lang w:val="en-AU"/>
        </w:rPr>
        <w:t xml:space="preserve"> and to provide a consistent framework for good practice in managing Lyme disease</w:t>
      </w:r>
      <w:r w:rsidR="005D6EE7">
        <w:rPr>
          <w:lang w:val="en-AU"/>
        </w:rPr>
        <w:t>.</w:t>
      </w:r>
      <w:r w:rsidRPr="00A94846">
        <w:rPr>
          <w:rStyle w:val="FootnoteReference"/>
        </w:rPr>
        <w:footnoteReference w:id="209"/>
      </w:r>
    </w:p>
    <w:p w14:paraId="5EE31CE3" w14:textId="77777777" w:rsidR="00EE4BB4" w:rsidRPr="00CF74AD" w:rsidRDefault="00CC6665" w:rsidP="00A50477">
      <w:pPr>
        <w:pStyle w:val="BodyText"/>
        <w:rPr>
          <w:lang w:val="en-AU"/>
        </w:rPr>
      </w:pPr>
      <w:r w:rsidRPr="00CF74AD">
        <w:rPr>
          <w:lang w:val="en-AU"/>
        </w:rPr>
        <w:t>The latest guidelines from NICE (2018) recommend antibiotic therapy of 21 days for all presentations except Lyme arthritis (28 days).</w:t>
      </w:r>
      <w:r w:rsidR="00FF2669" w:rsidRPr="00CF74AD">
        <w:rPr>
          <w:lang w:val="en-AU"/>
        </w:rPr>
        <w:t xml:space="preserve"> </w:t>
      </w:r>
    </w:p>
    <w:p w14:paraId="49D81B50" w14:textId="77777777" w:rsidR="00D53694" w:rsidRPr="00FA6D54" w:rsidRDefault="00860D4F" w:rsidP="00786877">
      <w:pPr>
        <w:pStyle w:val="BodyText"/>
        <w:spacing w:after="80"/>
        <w:rPr>
          <w:lang w:val="en-AU"/>
        </w:rPr>
      </w:pPr>
      <w:r w:rsidRPr="00CF74AD">
        <w:rPr>
          <w:lang w:val="en-AU"/>
        </w:rPr>
        <w:t>Th</w:t>
      </w:r>
      <w:r w:rsidR="00C34170" w:rsidRPr="00CF74AD">
        <w:rPr>
          <w:lang w:val="en-AU"/>
        </w:rPr>
        <w:t>e 2018 NICE guidelines were underpi</w:t>
      </w:r>
      <w:r w:rsidR="00C34170" w:rsidRPr="00CF29E7">
        <w:rPr>
          <w:lang w:val="en-AU"/>
        </w:rPr>
        <w:t>nned by the following evidence</w:t>
      </w:r>
      <w:r w:rsidR="008848A7" w:rsidRPr="00D621FF">
        <w:rPr>
          <w:lang w:val="en-AU"/>
        </w:rPr>
        <w:t>-</w:t>
      </w:r>
      <w:r w:rsidR="00C34170" w:rsidRPr="00D621FF">
        <w:rPr>
          <w:lang w:val="en-AU"/>
        </w:rPr>
        <w:t>based reviews</w:t>
      </w:r>
      <w:r w:rsidR="0095185D" w:rsidRPr="00FA6D54">
        <w:rPr>
          <w:lang w:val="en-AU"/>
        </w:rPr>
        <w:t xml:space="preserve">: </w:t>
      </w:r>
    </w:p>
    <w:p w14:paraId="029CA6A8" w14:textId="77777777" w:rsidR="00D53694" w:rsidRPr="00661245" w:rsidRDefault="00D53694" w:rsidP="005D6EE7">
      <w:pPr>
        <w:pStyle w:val="List-BulletLvl1"/>
        <w:spacing w:after="60"/>
        <w:rPr>
          <w:lang w:val="en-AU"/>
        </w:rPr>
      </w:pPr>
      <w:r w:rsidRPr="00F2704A">
        <w:rPr>
          <w:lang w:val="en-AU"/>
        </w:rPr>
        <w:t>Management of erythema migrans</w:t>
      </w:r>
      <w:r w:rsidRPr="00A94846">
        <w:rPr>
          <w:rStyle w:val="FootnoteReference"/>
        </w:rPr>
        <w:footnoteReference w:id="210"/>
      </w:r>
    </w:p>
    <w:p w14:paraId="4EB21F4C" w14:textId="77777777" w:rsidR="00B63796" w:rsidRPr="00661245" w:rsidRDefault="00B63796" w:rsidP="005D6EE7">
      <w:pPr>
        <w:pStyle w:val="List-BulletLvl1"/>
        <w:spacing w:after="60"/>
        <w:rPr>
          <w:lang w:val="en-AU"/>
        </w:rPr>
      </w:pPr>
      <w:r w:rsidRPr="00CF74AD">
        <w:rPr>
          <w:lang w:val="en-AU"/>
        </w:rPr>
        <w:t>Management of non-specific symptoms related to Lyme disease</w:t>
      </w:r>
      <w:r w:rsidRPr="00A94846">
        <w:rPr>
          <w:rStyle w:val="FootnoteReference"/>
        </w:rPr>
        <w:footnoteReference w:id="211"/>
      </w:r>
    </w:p>
    <w:p w14:paraId="22677D28" w14:textId="77777777" w:rsidR="00B63796" w:rsidRPr="00661245" w:rsidRDefault="008E2700" w:rsidP="005D6EE7">
      <w:pPr>
        <w:pStyle w:val="List-BulletLvl1"/>
        <w:spacing w:after="60"/>
        <w:rPr>
          <w:lang w:val="en-AU"/>
        </w:rPr>
      </w:pPr>
      <w:r w:rsidRPr="00CF74AD">
        <w:rPr>
          <w:lang w:val="en-AU"/>
        </w:rPr>
        <w:t>Management of neuroborreliosis</w:t>
      </w:r>
      <w:r w:rsidRPr="00A94846">
        <w:rPr>
          <w:rStyle w:val="FootnoteReference"/>
        </w:rPr>
        <w:footnoteReference w:id="212"/>
      </w:r>
    </w:p>
    <w:p w14:paraId="77392A24" w14:textId="77777777" w:rsidR="008E2700" w:rsidRPr="00661245" w:rsidRDefault="00360CD8" w:rsidP="005D6EE7">
      <w:pPr>
        <w:pStyle w:val="List-BulletLvl1"/>
        <w:spacing w:after="60"/>
        <w:rPr>
          <w:lang w:val="en-AU"/>
        </w:rPr>
      </w:pPr>
      <w:r w:rsidRPr="00661245">
        <w:rPr>
          <w:lang w:val="en-AU"/>
        </w:rPr>
        <w:t>Management of Lyme arthriti</w:t>
      </w:r>
      <w:r w:rsidR="005D6EE7">
        <w:rPr>
          <w:lang w:val="en-AU"/>
        </w:rPr>
        <w:t>s</w:t>
      </w:r>
      <w:r w:rsidRPr="00A94846">
        <w:rPr>
          <w:rStyle w:val="FootnoteReference"/>
        </w:rPr>
        <w:footnoteReference w:id="213"/>
      </w:r>
    </w:p>
    <w:p w14:paraId="67129346" w14:textId="77777777" w:rsidR="00EA4672" w:rsidRPr="00CF74AD" w:rsidRDefault="00EA4672" w:rsidP="005D6EE7">
      <w:pPr>
        <w:pStyle w:val="List-BulletLvl1"/>
        <w:spacing w:after="60"/>
        <w:rPr>
          <w:lang w:val="en-AU"/>
        </w:rPr>
      </w:pPr>
      <w:r w:rsidRPr="00CF74AD">
        <w:rPr>
          <w:lang w:val="en-AU"/>
        </w:rPr>
        <w:t xml:space="preserve">Management of </w:t>
      </w:r>
      <w:r w:rsidR="00A5190C" w:rsidRPr="00CF74AD">
        <w:rPr>
          <w:lang w:val="en-AU"/>
        </w:rPr>
        <w:t xml:space="preserve">Acrodermatitis </w:t>
      </w:r>
      <w:r w:rsidR="00EB773B" w:rsidRPr="00CF74AD">
        <w:rPr>
          <w:lang w:val="en-AU"/>
        </w:rPr>
        <w:t>chronica atrophicans</w:t>
      </w:r>
      <w:r w:rsidR="002D36C8" w:rsidRPr="00CF74AD">
        <w:rPr>
          <w:lang w:val="en-AU"/>
        </w:rPr>
        <w:t>,</w:t>
      </w:r>
      <w:r w:rsidR="00A5190C" w:rsidRPr="00A94846">
        <w:rPr>
          <w:rStyle w:val="FootnoteReference"/>
        </w:rPr>
        <w:footnoteReference w:id="214"/>
      </w:r>
      <w:r w:rsidR="00786877" w:rsidRPr="00661245">
        <w:rPr>
          <w:lang w:val="en-AU"/>
        </w:rPr>
        <w:t xml:space="preserve"> and</w:t>
      </w:r>
    </w:p>
    <w:p w14:paraId="4EA8C95C" w14:textId="77777777" w:rsidR="00F66E3C" w:rsidRPr="00661245" w:rsidRDefault="00F66E3C" w:rsidP="00507D7C">
      <w:pPr>
        <w:pStyle w:val="List-BulletLvl1"/>
        <w:rPr>
          <w:lang w:val="en-AU"/>
        </w:rPr>
      </w:pPr>
      <w:r w:rsidRPr="00CF74AD">
        <w:rPr>
          <w:lang w:val="en-AU"/>
        </w:rPr>
        <w:t>Management of Lyme carditis</w:t>
      </w:r>
      <w:r w:rsidR="002D36C8" w:rsidRPr="00CF74AD">
        <w:rPr>
          <w:lang w:val="en-AU"/>
        </w:rPr>
        <w:t>.</w:t>
      </w:r>
      <w:r w:rsidRPr="00A94846">
        <w:rPr>
          <w:rStyle w:val="FootnoteReference"/>
        </w:rPr>
        <w:footnoteReference w:id="215"/>
      </w:r>
    </w:p>
    <w:p w14:paraId="3C419B99" w14:textId="77777777" w:rsidR="00826568" w:rsidRPr="00661245" w:rsidRDefault="00F01F89" w:rsidP="004F6412">
      <w:pPr>
        <w:pStyle w:val="BodyText"/>
        <w:rPr>
          <w:lang w:val="en-AU"/>
        </w:rPr>
      </w:pPr>
      <w:r w:rsidRPr="00CF74AD">
        <w:rPr>
          <w:lang w:val="en-AU"/>
        </w:rPr>
        <w:lastRenderedPageBreak/>
        <w:t xml:space="preserve">Subsequent to </w:t>
      </w:r>
      <w:r w:rsidR="005F4C26" w:rsidRPr="00CF74AD">
        <w:rPr>
          <w:lang w:val="en-AU"/>
        </w:rPr>
        <w:t xml:space="preserve">the </w:t>
      </w:r>
      <w:r w:rsidR="001B22FA" w:rsidRPr="00CF74AD">
        <w:rPr>
          <w:lang w:val="en-AU"/>
        </w:rPr>
        <w:t xml:space="preserve">2018 </w:t>
      </w:r>
      <w:r w:rsidR="005F4C26" w:rsidRPr="00CF74AD">
        <w:rPr>
          <w:lang w:val="en-AU"/>
        </w:rPr>
        <w:t xml:space="preserve">NICE guidelines, </w:t>
      </w:r>
      <w:r w:rsidR="00993AE7" w:rsidRPr="00CF74AD">
        <w:rPr>
          <w:lang w:val="en-AU"/>
        </w:rPr>
        <w:t xml:space="preserve">draft clinical practice guidelines </w:t>
      </w:r>
      <w:r w:rsidR="006E35DB" w:rsidRPr="00CF29E7">
        <w:rPr>
          <w:lang w:val="en-AU"/>
        </w:rPr>
        <w:t xml:space="preserve">for the prevention, diagnosis and management of Lyme disease </w:t>
      </w:r>
      <w:r w:rsidR="00E966C9" w:rsidRPr="00D621FF">
        <w:rPr>
          <w:lang w:val="en-AU"/>
        </w:rPr>
        <w:t xml:space="preserve">were </w:t>
      </w:r>
      <w:r w:rsidR="005F2DBA" w:rsidRPr="00D621FF">
        <w:rPr>
          <w:lang w:val="en-AU"/>
        </w:rPr>
        <w:t xml:space="preserve">published </w:t>
      </w:r>
      <w:r w:rsidR="000D474B" w:rsidRPr="00FA6D54">
        <w:rPr>
          <w:lang w:val="en-AU"/>
        </w:rPr>
        <w:t xml:space="preserve">by </w:t>
      </w:r>
      <w:r w:rsidR="003A2316" w:rsidRPr="00FA6D54">
        <w:rPr>
          <w:lang w:val="en-AU"/>
        </w:rPr>
        <w:t>IDSA/</w:t>
      </w:r>
      <w:r w:rsidR="00486A6A" w:rsidRPr="00FA6D54">
        <w:rPr>
          <w:lang w:val="en-AU"/>
        </w:rPr>
        <w:t>AA</w:t>
      </w:r>
      <w:r w:rsidR="00F023C2" w:rsidRPr="00FA6D54">
        <w:rPr>
          <w:lang w:val="en-AU"/>
        </w:rPr>
        <w:t>N</w:t>
      </w:r>
      <w:r w:rsidR="00D93BC7" w:rsidRPr="00F2704A">
        <w:rPr>
          <w:lang w:val="en-AU"/>
        </w:rPr>
        <w:t>/ACR</w:t>
      </w:r>
      <w:r w:rsidR="004B2BED" w:rsidRPr="00F2704A">
        <w:rPr>
          <w:lang w:val="en-AU"/>
        </w:rPr>
        <w:t xml:space="preserve">, </w:t>
      </w:r>
      <w:r w:rsidR="00E966C9" w:rsidRPr="00F2704A">
        <w:rPr>
          <w:lang w:val="en-AU"/>
        </w:rPr>
        <w:t xml:space="preserve">with the recommendations </w:t>
      </w:r>
      <w:r w:rsidR="005E6A29" w:rsidRPr="00F2704A">
        <w:rPr>
          <w:lang w:val="en-AU"/>
        </w:rPr>
        <w:t xml:space="preserve">informed by </w:t>
      </w:r>
      <w:r w:rsidR="004B2BED" w:rsidRPr="00F2704A">
        <w:rPr>
          <w:lang w:val="en-AU"/>
        </w:rPr>
        <w:t xml:space="preserve">a systematic review </w:t>
      </w:r>
      <w:r w:rsidR="005E6A29" w:rsidRPr="00F2704A">
        <w:rPr>
          <w:lang w:val="en-AU"/>
        </w:rPr>
        <w:t xml:space="preserve">and </w:t>
      </w:r>
      <w:r w:rsidR="00E059FD" w:rsidRPr="00F2704A">
        <w:rPr>
          <w:lang w:val="en-AU"/>
        </w:rPr>
        <w:t xml:space="preserve">an assessment of the benefits of harms and alternative care options. </w:t>
      </w:r>
      <w:r w:rsidR="00A746B0" w:rsidRPr="00F2704A">
        <w:rPr>
          <w:lang w:val="en-AU"/>
        </w:rPr>
        <w:t>In contrast to NIC</w:t>
      </w:r>
      <w:r w:rsidR="00331BD6" w:rsidRPr="00F2704A">
        <w:rPr>
          <w:lang w:val="en-AU"/>
        </w:rPr>
        <w:t>E</w:t>
      </w:r>
      <w:r w:rsidR="00A746B0" w:rsidRPr="00F2704A">
        <w:rPr>
          <w:lang w:val="en-AU"/>
        </w:rPr>
        <w:t xml:space="preserve"> recommendations</w:t>
      </w:r>
      <w:r w:rsidR="00DA5F54" w:rsidRPr="00F2704A">
        <w:rPr>
          <w:lang w:val="en-AU"/>
        </w:rPr>
        <w:t>,</w:t>
      </w:r>
      <w:r w:rsidR="00A746B0" w:rsidRPr="00F2704A">
        <w:rPr>
          <w:lang w:val="en-AU"/>
        </w:rPr>
        <w:t xml:space="preserve"> </w:t>
      </w:r>
      <w:r w:rsidR="00331BD6" w:rsidRPr="00F2704A">
        <w:rPr>
          <w:lang w:val="en-AU"/>
        </w:rPr>
        <w:t xml:space="preserve">IDSA/AAN/ACR </w:t>
      </w:r>
      <w:r w:rsidR="004D33AA" w:rsidRPr="00F2704A">
        <w:rPr>
          <w:lang w:val="en-AU"/>
        </w:rPr>
        <w:t>recommended</w:t>
      </w:r>
      <w:r w:rsidR="00450E31" w:rsidRPr="00F2704A">
        <w:rPr>
          <w:lang w:val="en-AU"/>
        </w:rPr>
        <w:t xml:space="preserve"> for patients with EM, </w:t>
      </w:r>
      <w:r w:rsidR="0047117B" w:rsidRPr="00F2704A">
        <w:rPr>
          <w:lang w:val="en-AU"/>
        </w:rPr>
        <w:t>treat with either a 10-day course of doxycycline or a 14-day course of amoxicillin, cefuroxime axetil or phenoxymethylpenicillin rather than longer treatment courses (</w:t>
      </w:r>
      <w:r w:rsidR="0047117B" w:rsidRPr="00F2704A">
        <w:rPr>
          <w:b/>
          <w:bCs/>
          <w:lang w:val="en-AU"/>
        </w:rPr>
        <w:t>strong recommendation; moderate quality of evidence</w:t>
      </w:r>
      <w:r w:rsidR="0047117B" w:rsidRPr="00F2704A">
        <w:rPr>
          <w:lang w:val="en-AU"/>
        </w:rPr>
        <w:t>)</w:t>
      </w:r>
      <w:r w:rsidR="002D36C8" w:rsidRPr="00F2704A">
        <w:rPr>
          <w:lang w:val="en-AU"/>
        </w:rPr>
        <w:t>.</w:t>
      </w:r>
      <w:r w:rsidR="005E2444" w:rsidRPr="00A94846">
        <w:rPr>
          <w:rStyle w:val="FootnoteReference"/>
        </w:rPr>
        <w:footnoteReference w:id="216"/>
      </w:r>
      <w:r w:rsidR="0047117B" w:rsidRPr="00661245">
        <w:rPr>
          <w:lang w:val="en-AU"/>
        </w:rPr>
        <w:t xml:space="preserve"> </w:t>
      </w:r>
      <w:r w:rsidR="005E2444" w:rsidRPr="00CF74AD">
        <w:rPr>
          <w:lang w:val="en-AU"/>
        </w:rPr>
        <w:t xml:space="preserve">The </w:t>
      </w:r>
      <w:r w:rsidR="00692351" w:rsidRPr="00CF74AD">
        <w:rPr>
          <w:lang w:val="en-AU"/>
        </w:rPr>
        <w:t>ISDA</w:t>
      </w:r>
      <w:r w:rsidR="004A03DD" w:rsidRPr="00CF74AD">
        <w:rPr>
          <w:lang w:val="en-AU"/>
        </w:rPr>
        <w:t>/AAN/ACR</w:t>
      </w:r>
      <w:r w:rsidR="00150256" w:rsidRPr="00CF74AD">
        <w:rPr>
          <w:lang w:val="en-AU"/>
        </w:rPr>
        <w:t>, citing the systematic review by Lantos et al. (2014)</w:t>
      </w:r>
      <w:r w:rsidR="00150256" w:rsidRPr="00A94846">
        <w:rPr>
          <w:rStyle w:val="FootnoteReference"/>
        </w:rPr>
        <w:footnoteReference w:id="217"/>
      </w:r>
      <w:r w:rsidR="00150256" w:rsidRPr="00661245">
        <w:rPr>
          <w:lang w:val="en-AU"/>
        </w:rPr>
        <w:t>,</w:t>
      </w:r>
      <w:r w:rsidR="00F423EB" w:rsidRPr="00CF74AD">
        <w:rPr>
          <w:lang w:val="en-AU"/>
        </w:rPr>
        <w:t xml:space="preserve"> </w:t>
      </w:r>
      <w:r w:rsidR="004A03DD" w:rsidRPr="00CF74AD">
        <w:rPr>
          <w:lang w:val="en-AU"/>
        </w:rPr>
        <w:t xml:space="preserve">advised </w:t>
      </w:r>
      <w:r w:rsidR="00A07975" w:rsidRPr="00CF74AD">
        <w:rPr>
          <w:lang w:val="en-AU"/>
        </w:rPr>
        <w:t>there is</w:t>
      </w:r>
      <w:r w:rsidR="005E2444" w:rsidRPr="00CF29E7">
        <w:rPr>
          <w:lang w:val="en-AU"/>
        </w:rPr>
        <w:t xml:space="preserve"> </w:t>
      </w:r>
      <w:r w:rsidR="006F7B97" w:rsidRPr="00D621FF">
        <w:rPr>
          <w:lang w:val="en-AU"/>
        </w:rPr>
        <w:t xml:space="preserve">no clinical evidence to support regimens intended to treat fastidious states of </w:t>
      </w:r>
      <w:r w:rsidR="006F7B97" w:rsidRPr="00FA6D54">
        <w:rPr>
          <w:i/>
          <w:iCs/>
          <w:lang w:val="en-AU"/>
        </w:rPr>
        <w:t>B</w:t>
      </w:r>
      <w:r w:rsidR="008C1564" w:rsidRPr="00FA6D54">
        <w:rPr>
          <w:i/>
          <w:iCs/>
          <w:lang w:val="en-AU"/>
        </w:rPr>
        <w:t>.</w:t>
      </w:r>
      <w:r w:rsidR="006F7B97" w:rsidRPr="00FA6D54">
        <w:rPr>
          <w:i/>
          <w:iCs/>
          <w:lang w:val="en-AU"/>
        </w:rPr>
        <w:t xml:space="preserve"> burgdorferi</w:t>
      </w:r>
      <w:r w:rsidR="00F423EB" w:rsidRPr="00F2704A">
        <w:rPr>
          <w:i/>
          <w:iCs/>
          <w:lang w:val="en-AU"/>
        </w:rPr>
        <w:t xml:space="preserve"> </w:t>
      </w:r>
      <w:r w:rsidR="006F7B97" w:rsidRPr="00F2704A">
        <w:rPr>
          <w:lang w:val="en-AU"/>
        </w:rPr>
        <w:t>infection, such as morphologic variants (aka “cyst” forms, “round” bodies, or “L-forms”), or to treat biofilms</w:t>
      </w:r>
      <w:r w:rsidR="002D36C8" w:rsidRPr="00F2704A">
        <w:rPr>
          <w:lang w:val="en-AU"/>
        </w:rPr>
        <w:t>.</w:t>
      </w:r>
      <w:r w:rsidR="009F2EB0" w:rsidRPr="00A94846">
        <w:rPr>
          <w:rStyle w:val="FootnoteReference"/>
        </w:rPr>
        <w:footnoteReference w:id="218"/>
      </w:r>
    </w:p>
    <w:p w14:paraId="3BFB19DE" w14:textId="77777777" w:rsidR="00072E77" w:rsidRPr="00CF74AD" w:rsidRDefault="00851176" w:rsidP="00851176">
      <w:pPr>
        <w:pStyle w:val="NumberedHeading3"/>
        <w:rPr>
          <w:lang w:val="en-AU"/>
        </w:rPr>
      </w:pPr>
      <w:bookmarkStart w:id="107" w:name="_Toc55464808"/>
      <w:r w:rsidRPr="00CF74AD">
        <w:rPr>
          <w:lang w:val="en-AU"/>
        </w:rPr>
        <w:t>Relevance of international guidelines to the Australian setting</w:t>
      </w:r>
      <w:bookmarkEnd w:id="107"/>
    </w:p>
    <w:tbl>
      <w:tblPr>
        <w:tblW w:w="0" w:type="auto"/>
        <w:tblBorders>
          <w:top w:val="single" w:sz="12" w:space="0" w:color="77B800"/>
          <w:left w:val="single" w:sz="12" w:space="0" w:color="77B800"/>
          <w:bottom w:val="single" w:sz="12" w:space="0" w:color="77B800"/>
          <w:right w:val="single" w:sz="12" w:space="0" w:color="77B800"/>
          <w:insideH w:val="single" w:sz="4" w:space="0" w:color="auto"/>
          <w:insideV w:val="single" w:sz="4" w:space="0" w:color="auto"/>
        </w:tblBorders>
        <w:tblLook w:val="04A0" w:firstRow="1" w:lastRow="0" w:firstColumn="1" w:lastColumn="0" w:noHBand="0" w:noVBand="1"/>
      </w:tblPr>
      <w:tblGrid>
        <w:gridCol w:w="9041"/>
      </w:tblGrid>
      <w:tr w:rsidR="00072E77" w:rsidRPr="004D3350" w14:paraId="4E537509" w14:textId="77777777" w:rsidTr="004D3350">
        <w:trPr>
          <w:tblHeader/>
        </w:trPr>
        <w:tc>
          <w:tcPr>
            <w:tcW w:w="9061" w:type="dxa"/>
            <w:shd w:val="clear" w:color="auto" w:fill="auto"/>
          </w:tcPr>
          <w:p w14:paraId="2B1C38F5" w14:textId="77777777" w:rsidR="00072E77" w:rsidRPr="004D3350" w:rsidRDefault="00072E77" w:rsidP="00DC6C81">
            <w:pPr>
              <w:pStyle w:val="BodyText"/>
              <w:rPr>
                <w:rFonts w:ascii="Calibri" w:hAnsi="Calibri"/>
                <w:b/>
                <w:color w:val="283137"/>
                <w:sz w:val="24"/>
                <w:szCs w:val="24"/>
                <w:lang w:val="en-AU"/>
              </w:rPr>
            </w:pPr>
            <w:r w:rsidRPr="004D3350">
              <w:rPr>
                <w:rFonts w:ascii="Calibri" w:hAnsi="Calibri"/>
                <w:b/>
                <w:color w:val="283137"/>
                <w:sz w:val="24"/>
                <w:szCs w:val="24"/>
                <w:lang w:val="en-AU"/>
              </w:rPr>
              <w:t>International treatment guidelines may not be entirely applicable in the Australian health care setting even in patients whom have a travel history overseas to an endemic area</w:t>
            </w:r>
            <w:r w:rsidR="00E36194" w:rsidRPr="004D3350">
              <w:rPr>
                <w:rFonts w:ascii="Calibri" w:hAnsi="Calibri"/>
                <w:b/>
                <w:color w:val="283137"/>
                <w:sz w:val="24"/>
                <w:szCs w:val="24"/>
                <w:lang w:val="en-AU"/>
              </w:rPr>
              <w:t>.</w:t>
            </w:r>
          </w:p>
          <w:p w14:paraId="74C1EAA3" w14:textId="77777777" w:rsidR="00072E77" w:rsidRPr="004D3350" w:rsidRDefault="00072E77" w:rsidP="00DC6C81">
            <w:pPr>
              <w:pStyle w:val="BodyText"/>
              <w:rPr>
                <w:lang w:val="en-AU"/>
              </w:rPr>
            </w:pPr>
            <w:r w:rsidRPr="004D3350">
              <w:rPr>
                <w:rFonts w:ascii="Calibri" w:hAnsi="Calibri"/>
                <w:b/>
                <w:color w:val="283137"/>
                <w:sz w:val="24"/>
                <w:szCs w:val="24"/>
                <w:lang w:val="en-AU"/>
              </w:rPr>
              <w:t>Treatment for Lyme disease in the Australian health care context should only be initiated based on the expert advice of either a consulta</w:t>
            </w:r>
            <w:r w:rsidR="003275F6" w:rsidRPr="004D3350">
              <w:rPr>
                <w:rFonts w:ascii="Calibri" w:hAnsi="Calibri"/>
                <w:b/>
                <w:color w:val="283137"/>
                <w:sz w:val="24"/>
                <w:szCs w:val="24"/>
                <w:lang w:val="en-AU"/>
              </w:rPr>
              <w:t>nt</w:t>
            </w:r>
            <w:r w:rsidRPr="004D3350">
              <w:rPr>
                <w:rFonts w:ascii="Calibri" w:hAnsi="Calibri"/>
                <w:b/>
                <w:color w:val="283137"/>
                <w:sz w:val="24"/>
                <w:szCs w:val="24"/>
                <w:lang w:val="en-AU"/>
              </w:rPr>
              <w:t xml:space="preserve"> physician practi</w:t>
            </w:r>
            <w:r w:rsidR="008A4494" w:rsidRPr="004D3350">
              <w:rPr>
                <w:rFonts w:ascii="Calibri" w:hAnsi="Calibri"/>
                <w:b/>
                <w:color w:val="283137"/>
                <w:sz w:val="24"/>
                <w:szCs w:val="24"/>
                <w:lang w:val="en-AU"/>
              </w:rPr>
              <w:t>s</w:t>
            </w:r>
            <w:r w:rsidRPr="004D3350">
              <w:rPr>
                <w:rFonts w:ascii="Calibri" w:hAnsi="Calibri"/>
                <w:b/>
                <w:color w:val="283137"/>
                <w:sz w:val="24"/>
                <w:szCs w:val="24"/>
                <w:lang w:val="en-AU"/>
              </w:rPr>
              <w:t xml:space="preserve">ing in his or her speciality of infectious disease or a specialist </w:t>
            </w:r>
            <w:r w:rsidR="00637431" w:rsidRPr="004D3350">
              <w:rPr>
                <w:rFonts w:ascii="Calibri" w:hAnsi="Calibri"/>
                <w:b/>
                <w:color w:val="283137"/>
                <w:sz w:val="24"/>
                <w:szCs w:val="24"/>
                <w:lang w:val="en-AU"/>
              </w:rPr>
              <w:t>microbiologist</w:t>
            </w:r>
            <w:r w:rsidRPr="004D3350">
              <w:rPr>
                <w:rFonts w:ascii="Calibri" w:hAnsi="Calibri"/>
                <w:b/>
                <w:color w:val="283137"/>
                <w:sz w:val="24"/>
                <w:szCs w:val="24"/>
                <w:lang w:val="en-AU"/>
              </w:rPr>
              <w:t>. This advice will be based upon results of confirmatory testing conducted in a NATA/RCPA accredited laboratory and/or other clinical findings relevant to informing a treatment decision.</w:t>
            </w:r>
            <w:r w:rsidRPr="004D3350">
              <w:rPr>
                <w:rFonts w:ascii="Calibri" w:hAnsi="Calibri"/>
                <w:color w:val="283137"/>
                <w:sz w:val="20"/>
                <w:szCs w:val="20"/>
                <w:lang w:val="en-AU"/>
              </w:rPr>
              <w:t xml:space="preserve"> </w:t>
            </w:r>
          </w:p>
        </w:tc>
      </w:tr>
    </w:tbl>
    <w:p w14:paraId="72BDC3FE" w14:textId="77777777" w:rsidR="005E18FF" w:rsidRPr="008B60AA" w:rsidRDefault="005E18FF" w:rsidP="004826E4">
      <w:pPr>
        <w:pStyle w:val="NumberedHeading3"/>
        <w:spacing w:line="240" w:lineRule="auto"/>
        <w:rPr>
          <w:bCs/>
          <w:lang w:val="en-AU"/>
        </w:rPr>
      </w:pPr>
      <w:bookmarkStart w:id="108" w:name="_Toc20137591"/>
      <w:bookmarkStart w:id="109" w:name="_Toc20221089"/>
      <w:bookmarkStart w:id="110" w:name="_Toc55464809"/>
      <w:r w:rsidRPr="008B60AA">
        <w:rPr>
          <w:lang w:val="en-AU"/>
        </w:rPr>
        <w:t>Therapeutic modalities not recommended for treatment of patients with any manifestation of Lyme disease</w:t>
      </w:r>
      <w:bookmarkEnd w:id="108"/>
      <w:bookmarkEnd w:id="109"/>
      <w:bookmarkEnd w:id="110"/>
      <w:r w:rsidRPr="008B60AA">
        <w:rPr>
          <w:lang w:val="en-AU"/>
        </w:rPr>
        <w:t xml:space="preserve"> </w:t>
      </w:r>
      <w:bookmarkStart w:id="111" w:name="Section_613"/>
      <w:bookmarkEnd w:id="111"/>
    </w:p>
    <w:p w14:paraId="7514CC6C" w14:textId="77777777" w:rsidR="00851176" w:rsidRPr="00BD2B8D" w:rsidRDefault="00851176" w:rsidP="00851176">
      <w:pPr>
        <w:pStyle w:val="Body"/>
        <w:rPr>
          <w:lang w:val="en-AU"/>
        </w:rPr>
      </w:pPr>
      <w:r w:rsidRPr="00661245">
        <w:rPr>
          <w:lang w:val="en-AU"/>
        </w:rPr>
        <w:t>There is no evidence to support the use of combination antibiotics, immunoglobulin, hyperbaric oxygen, specific nutritional supplements o</w:t>
      </w:r>
      <w:r w:rsidRPr="00CF74AD">
        <w:rPr>
          <w:lang w:val="en-AU"/>
        </w:rPr>
        <w:t>r prolonged courses of antibiotics for the management of Lyme disease</w:t>
      </w:r>
      <w:r w:rsidR="002D36C8" w:rsidRPr="00CF74AD">
        <w:rPr>
          <w:lang w:val="en-AU"/>
        </w:rPr>
        <w:t>.</w:t>
      </w:r>
      <w:r w:rsidRPr="00A94846">
        <w:rPr>
          <w:rStyle w:val="FootnoteReference"/>
        </w:rPr>
        <w:footnoteReference w:id="219"/>
      </w:r>
      <w:r w:rsidRPr="00661245">
        <w:rPr>
          <w:vertAlign w:val="superscript"/>
          <w:lang w:val="en-AU"/>
        </w:rPr>
        <w:t>,</w:t>
      </w:r>
      <w:r w:rsidR="005D6EE7">
        <w:rPr>
          <w:vertAlign w:val="superscript"/>
          <w:lang w:val="en-AU"/>
        </w:rPr>
        <w:t xml:space="preserve"> </w:t>
      </w:r>
      <w:r w:rsidRPr="00A94846">
        <w:rPr>
          <w:rStyle w:val="FootnoteReference"/>
        </w:rPr>
        <w:footnoteReference w:id="220"/>
      </w:r>
      <w:r w:rsidRPr="00661245">
        <w:rPr>
          <w:vertAlign w:val="superscript"/>
          <w:lang w:val="en-AU"/>
        </w:rPr>
        <w:t>,</w:t>
      </w:r>
      <w:r w:rsidR="005D6EE7">
        <w:rPr>
          <w:vertAlign w:val="superscript"/>
          <w:lang w:val="en-AU"/>
        </w:rPr>
        <w:t xml:space="preserve"> </w:t>
      </w:r>
      <w:r w:rsidRPr="00720D67">
        <w:rPr>
          <w:rStyle w:val="FootnoteReference"/>
        </w:rPr>
        <w:footnoteReference w:id="221"/>
      </w:r>
      <w:r w:rsidR="00DA0E9E">
        <w:rPr>
          <w:vertAlign w:val="superscript"/>
          <w:lang w:val="en-AU"/>
        </w:rPr>
        <w:t xml:space="preserve">, </w:t>
      </w:r>
      <w:r w:rsidR="00DD0174" w:rsidRPr="00720D67">
        <w:rPr>
          <w:rStyle w:val="FootnoteReference"/>
        </w:rPr>
        <w:footnoteReference w:id="222"/>
      </w:r>
      <w:r w:rsidR="003E1243">
        <w:rPr>
          <w:vertAlign w:val="superscript"/>
          <w:lang w:val="en-AU"/>
        </w:rPr>
        <w:t>,</w:t>
      </w:r>
      <w:r w:rsidR="001B2929">
        <w:rPr>
          <w:vertAlign w:val="superscript"/>
          <w:lang w:val="en-AU"/>
        </w:rPr>
        <w:t xml:space="preserve"> </w:t>
      </w:r>
      <w:r w:rsidR="001B2929" w:rsidRPr="00720D67">
        <w:rPr>
          <w:rStyle w:val="FootnoteReference"/>
        </w:rPr>
        <w:footnoteReference w:id="223"/>
      </w:r>
      <w:r w:rsidR="00BD2B8D">
        <w:rPr>
          <w:vertAlign w:val="superscript"/>
          <w:lang w:val="en-AU"/>
        </w:rPr>
        <w:t xml:space="preserve">  </w:t>
      </w:r>
    </w:p>
    <w:p w14:paraId="39F353D4" w14:textId="77777777" w:rsidR="005E18FF" w:rsidRPr="008B60AA" w:rsidRDefault="006D7585" w:rsidP="004826E4">
      <w:pPr>
        <w:pStyle w:val="BodyText"/>
        <w:spacing w:after="80"/>
        <w:rPr>
          <w:lang w:val="en-AU"/>
        </w:rPr>
      </w:pPr>
      <w:r w:rsidRPr="008B60AA">
        <w:rPr>
          <w:lang w:val="en-AU"/>
        </w:rPr>
        <w:t xml:space="preserve">IDSA </w:t>
      </w:r>
      <w:r w:rsidR="00C605F6" w:rsidRPr="008B60AA">
        <w:rPr>
          <w:lang w:val="en-AU"/>
        </w:rPr>
        <w:t>does not recommend t</w:t>
      </w:r>
      <w:r w:rsidR="005E18FF" w:rsidRPr="008B60AA">
        <w:rPr>
          <w:lang w:val="en-AU"/>
        </w:rPr>
        <w:t>he following therapeutic modalities for treatment of patients with any manifestation of Lyme disease because of a lack of biologic plausibility, lack of efficacy, absence of supporting data, or the potential for harm to the patient:</w:t>
      </w:r>
      <w:r w:rsidR="002D36C8" w:rsidRPr="00A94846">
        <w:rPr>
          <w:rStyle w:val="FootnoteReference"/>
        </w:rPr>
        <w:footnoteReference w:id="224"/>
      </w:r>
      <w:r w:rsidR="005E18FF" w:rsidRPr="008B60AA">
        <w:rPr>
          <w:lang w:val="en-AU"/>
        </w:rPr>
        <w:t xml:space="preserve"> </w:t>
      </w:r>
    </w:p>
    <w:p w14:paraId="46E3CAF3" w14:textId="77777777" w:rsidR="005E18FF" w:rsidRPr="008B60AA" w:rsidRDefault="005E18FF" w:rsidP="00EA7D9A">
      <w:pPr>
        <w:pStyle w:val="List-BulletLvl1"/>
        <w:spacing w:after="60"/>
        <w:jc w:val="left"/>
        <w:rPr>
          <w:lang w:val="en-AU"/>
        </w:rPr>
      </w:pPr>
      <w:r w:rsidRPr="008B60AA">
        <w:rPr>
          <w:lang w:val="en-AU"/>
        </w:rPr>
        <w:t>first-generation cephalosporins, fluoroquinolones, carbapenems, vancomycin, metronidazole, tinidazole, amantadine, ketolides, isoniazid, trimethoprim-sulfamethoxazole, fluconazole, benzathine penicillin G</w:t>
      </w:r>
    </w:p>
    <w:p w14:paraId="2BEDAB70" w14:textId="77777777" w:rsidR="005E18FF" w:rsidRPr="00675B97" w:rsidRDefault="005E18FF" w:rsidP="00EA7D9A">
      <w:pPr>
        <w:pStyle w:val="List-BulletLvl1"/>
        <w:spacing w:after="60"/>
        <w:rPr>
          <w:lang w:val="en-AU"/>
        </w:rPr>
      </w:pPr>
      <w:r w:rsidRPr="00675B97">
        <w:rPr>
          <w:lang w:val="en-AU"/>
        </w:rPr>
        <w:t>combinations of antimicrobials</w:t>
      </w:r>
    </w:p>
    <w:p w14:paraId="57D6B563" w14:textId="77777777" w:rsidR="005E18FF" w:rsidRPr="00675B97" w:rsidRDefault="005E18FF" w:rsidP="00EA7D9A">
      <w:pPr>
        <w:pStyle w:val="List-BulletLvl1"/>
        <w:spacing w:after="60"/>
        <w:rPr>
          <w:lang w:val="en-AU"/>
        </w:rPr>
      </w:pPr>
      <w:r w:rsidRPr="00675B97">
        <w:rPr>
          <w:lang w:val="en-AU"/>
        </w:rPr>
        <w:t>pulsed-dosing (i.e., dosing on some days but not others)</w:t>
      </w:r>
    </w:p>
    <w:p w14:paraId="62F97EAA" w14:textId="77777777" w:rsidR="005E18FF" w:rsidRPr="00675B97" w:rsidRDefault="005E18FF" w:rsidP="00EA7D9A">
      <w:pPr>
        <w:pStyle w:val="List-BulletLvl1"/>
        <w:spacing w:after="60"/>
        <w:rPr>
          <w:lang w:val="en-AU"/>
        </w:rPr>
      </w:pPr>
      <w:r w:rsidRPr="00675B97">
        <w:rPr>
          <w:lang w:val="en-AU"/>
        </w:rPr>
        <w:t xml:space="preserve">long-term antibiotic therapy </w:t>
      </w:r>
    </w:p>
    <w:p w14:paraId="187D2896" w14:textId="77777777" w:rsidR="005E18FF" w:rsidRPr="00675B97" w:rsidRDefault="005E18FF" w:rsidP="00EA7D9A">
      <w:pPr>
        <w:pStyle w:val="List-BulletLvl1"/>
        <w:spacing w:after="60"/>
        <w:rPr>
          <w:lang w:val="en-AU"/>
        </w:rPr>
      </w:pPr>
      <w:r w:rsidRPr="00675B97">
        <w:rPr>
          <w:lang w:val="en-AU"/>
        </w:rPr>
        <w:t>empirical antibabesiosis therapy in the absence of documentation of active babesiosis</w:t>
      </w:r>
    </w:p>
    <w:p w14:paraId="148ABA64" w14:textId="77777777" w:rsidR="005E18FF" w:rsidRPr="00675B97" w:rsidRDefault="005E18FF" w:rsidP="00EA7D9A">
      <w:pPr>
        <w:pStyle w:val="List-BulletLvl1"/>
        <w:spacing w:after="60"/>
        <w:rPr>
          <w:lang w:val="en-AU"/>
        </w:rPr>
      </w:pPr>
      <w:r w:rsidRPr="00675B97">
        <w:rPr>
          <w:lang w:val="en-AU"/>
        </w:rPr>
        <w:t>anti-</w:t>
      </w:r>
      <w:r w:rsidRPr="00675B97">
        <w:rPr>
          <w:i/>
          <w:iCs/>
          <w:lang w:val="en-AU"/>
        </w:rPr>
        <w:t>Bartonella</w:t>
      </w:r>
      <w:r w:rsidRPr="00675B97">
        <w:rPr>
          <w:lang w:val="en-AU"/>
        </w:rPr>
        <w:t xml:space="preserve"> therapies</w:t>
      </w:r>
    </w:p>
    <w:p w14:paraId="291D5523" w14:textId="77777777" w:rsidR="005E18FF" w:rsidRPr="00B50C8F" w:rsidRDefault="005E18FF" w:rsidP="00EA7D9A">
      <w:pPr>
        <w:pStyle w:val="List-BulletLvl1"/>
        <w:spacing w:after="60"/>
        <w:rPr>
          <w:lang w:val="en-AU"/>
        </w:rPr>
      </w:pPr>
      <w:r w:rsidRPr="00B50C8F">
        <w:rPr>
          <w:lang w:val="en-AU"/>
        </w:rPr>
        <w:lastRenderedPageBreak/>
        <w:t>hyperbaric oxygen</w:t>
      </w:r>
    </w:p>
    <w:p w14:paraId="6557EC24" w14:textId="77777777" w:rsidR="005E18FF" w:rsidRPr="00B50C8F" w:rsidRDefault="005E18FF" w:rsidP="00EA7D9A">
      <w:pPr>
        <w:pStyle w:val="List-BulletLvl1"/>
        <w:spacing w:after="60"/>
        <w:rPr>
          <w:lang w:val="en-AU"/>
        </w:rPr>
      </w:pPr>
      <w:r w:rsidRPr="00B50C8F">
        <w:rPr>
          <w:lang w:val="en-AU"/>
        </w:rPr>
        <w:t>fever therapy (with or without malaria induction)</w:t>
      </w:r>
    </w:p>
    <w:p w14:paraId="790B0567" w14:textId="77777777" w:rsidR="005E18FF" w:rsidRPr="00B50C8F" w:rsidRDefault="005E18FF" w:rsidP="00EA7D9A">
      <w:pPr>
        <w:pStyle w:val="List-BulletLvl1"/>
        <w:spacing w:after="60"/>
        <w:rPr>
          <w:lang w:val="en-AU"/>
        </w:rPr>
      </w:pPr>
      <w:r w:rsidRPr="00B50C8F">
        <w:rPr>
          <w:lang w:val="en-AU"/>
        </w:rPr>
        <w:t>intravenous immunoglobulin</w:t>
      </w:r>
    </w:p>
    <w:p w14:paraId="36DB48F0" w14:textId="77777777" w:rsidR="005E18FF" w:rsidRPr="00B50C8F" w:rsidRDefault="005E18FF" w:rsidP="00EA7D9A">
      <w:pPr>
        <w:pStyle w:val="List-BulletLvl1"/>
        <w:spacing w:after="60"/>
        <w:rPr>
          <w:lang w:val="en-AU"/>
        </w:rPr>
      </w:pPr>
      <w:r w:rsidRPr="00B50C8F">
        <w:rPr>
          <w:lang w:val="en-AU"/>
        </w:rPr>
        <w:t>ozone</w:t>
      </w:r>
    </w:p>
    <w:p w14:paraId="1589F73B" w14:textId="77777777" w:rsidR="005E18FF" w:rsidRPr="00B50C8F" w:rsidRDefault="005E18FF" w:rsidP="00EA7D9A">
      <w:pPr>
        <w:pStyle w:val="List-BulletLvl1"/>
        <w:spacing w:after="60"/>
        <w:rPr>
          <w:lang w:val="en-AU"/>
        </w:rPr>
      </w:pPr>
      <w:r w:rsidRPr="00B50C8F">
        <w:rPr>
          <w:lang w:val="en-AU"/>
        </w:rPr>
        <w:t>cholestyramine</w:t>
      </w:r>
    </w:p>
    <w:p w14:paraId="68DE5651" w14:textId="77777777" w:rsidR="005E18FF" w:rsidRPr="00B50C8F" w:rsidRDefault="005E18FF" w:rsidP="00EA7D9A">
      <w:pPr>
        <w:pStyle w:val="List-BulletLvl1"/>
        <w:spacing w:after="60"/>
        <w:rPr>
          <w:lang w:val="en-AU"/>
        </w:rPr>
      </w:pPr>
      <w:r w:rsidRPr="00B50C8F">
        <w:rPr>
          <w:lang w:val="en-AU"/>
        </w:rPr>
        <w:t>intravenous hydrogen peroxide</w:t>
      </w:r>
    </w:p>
    <w:p w14:paraId="34A250FF" w14:textId="77777777" w:rsidR="005E18FF" w:rsidRPr="00B50C8F" w:rsidRDefault="005E18FF" w:rsidP="00EA7D9A">
      <w:pPr>
        <w:pStyle w:val="List-BulletLvl1"/>
        <w:spacing w:after="60"/>
        <w:rPr>
          <w:lang w:val="en-AU"/>
        </w:rPr>
      </w:pPr>
      <w:r w:rsidRPr="00B50C8F">
        <w:rPr>
          <w:lang w:val="en-AU"/>
        </w:rPr>
        <w:t>vitamins and nutritional managements</w:t>
      </w:r>
      <w:r w:rsidR="002D36C8" w:rsidRPr="00B50C8F">
        <w:rPr>
          <w:lang w:val="en-AU"/>
        </w:rPr>
        <w:t>, and</w:t>
      </w:r>
    </w:p>
    <w:p w14:paraId="520A0BDF" w14:textId="77777777" w:rsidR="005E18FF" w:rsidRPr="00B50C8F" w:rsidRDefault="005E18FF" w:rsidP="002D36C8">
      <w:pPr>
        <w:pStyle w:val="List-BulletLvl1"/>
        <w:rPr>
          <w:lang w:val="en-AU"/>
        </w:rPr>
      </w:pPr>
      <w:r w:rsidRPr="00B50C8F">
        <w:rPr>
          <w:lang w:val="en-AU"/>
        </w:rPr>
        <w:t>magnesium or bismuth injections</w:t>
      </w:r>
      <w:r w:rsidR="002D36C8" w:rsidRPr="00B50C8F">
        <w:rPr>
          <w:lang w:val="en-AU"/>
        </w:rPr>
        <w:t>.</w:t>
      </w:r>
      <w:r w:rsidRPr="00B50C8F">
        <w:rPr>
          <w:lang w:val="en-AU"/>
        </w:rPr>
        <w:t xml:space="preserve"> </w:t>
      </w:r>
    </w:p>
    <w:p w14:paraId="66763D8E" w14:textId="77777777" w:rsidR="005E18FF" w:rsidRPr="00E95374" w:rsidRDefault="005E18FF" w:rsidP="005E18FF">
      <w:pPr>
        <w:pStyle w:val="BodyText"/>
        <w:rPr>
          <w:lang w:val="en-AU"/>
        </w:rPr>
      </w:pPr>
      <w:r w:rsidRPr="00B50C8F">
        <w:rPr>
          <w:lang w:val="en-AU"/>
        </w:rPr>
        <w:t xml:space="preserve">The </w:t>
      </w:r>
      <w:r w:rsidR="00B67A8F" w:rsidRPr="00B50C8F">
        <w:rPr>
          <w:lang w:val="en-AU"/>
        </w:rPr>
        <w:t xml:space="preserve">strength of recommendation and quality of evidence for this </w:t>
      </w:r>
      <w:r w:rsidR="004C78BA" w:rsidRPr="00B50C8F">
        <w:rPr>
          <w:lang w:val="en-AU"/>
        </w:rPr>
        <w:t xml:space="preserve">IDSA </w:t>
      </w:r>
      <w:r w:rsidRPr="00B50C8F">
        <w:rPr>
          <w:lang w:val="en-AU"/>
        </w:rPr>
        <w:t xml:space="preserve">recommendation </w:t>
      </w:r>
      <w:r w:rsidR="003C2B44" w:rsidRPr="00B50C8F">
        <w:rPr>
          <w:lang w:val="en-AU"/>
        </w:rPr>
        <w:t>for</w:t>
      </w:r>
      <w:r w:rsidR="0093570F" w:rsidRPr="00B50C8F">
        <w:rPr>
          <w:lang w:val="en-AU"/>
        </w:rPr>
        <w:t xml:space="preserve"> the </w:t>
      </w:r>
      <w:r w:rsidR="00543DC2" w:rsidRPr="00B50C8F">
        <w:rPr>
          <w:lang w:val="en-AU"/>
        </w:rPr>
        <w:t xml:space="preserve">therapeutic modalities listed above </w:t>
      </w:r>
      <w:r w:rsidRPr="00B50C8F">
        <w:rPr>
          <w:lang w:val="en-AU"/>
        </w:rPr>
        <w:t>was E-III</w:t>
      </w:r>
      <w:r w:rsidR="006D63C4" w:rsidRPr="00B50C8F">
        <w:rPr>
          <w:lang w:val="en-AU"/>
        </w:rPr>
        <w:t xml:space="preserve"> </w:t>
      </w:r>
      <w:r w:rsidRPr="00B50C8F">
        <w:rPr>
          <w:lang w:val="en-AU"/>
        </w:rPr>
        <w:t xml:space="preserve">(Strongly against; </w:t>
      </w:r>
      <w:r w:rsidR="003D5D2B" w:rsidRPr="00B50C8F">
        <w:rPr>
          <w:lang w:val="en-AU"/>
        </w:rPr>
        <w:t>E</w:t>
      </w:r>
      <w:r w:rsidRPr="00B50C8F">
        <w:rPr>
          <w:lang w:val="en-AU"/>
        </w:rPr>
        <w:t>vidence from</w:t>
      </w:r>
      <w:r w:rsidR="00A325E7" w:rsidRPr="00B50C8F">
        <w:rPr>
          <w:lang w:val="en-AU"/>
        </w:rPr>
        <w:t xml:space="preserve"> </w:t>
      </w:r>
      <w:r w:rsidR="00ED4713" w:rsidRPr="00B50C8F">
        <w:rPr>
          <w:lang w:val="en-AU"/>
        </w:rPr>
        <w:t>opinions of respected authorities</w:t>
      </w:r>
      <w:r w:rsidR="003D5D2B" w:rsidRPr="00B50C8F">
        <w:rPr>
          <w:lang w:val="en-AU"/>
        </w:rPr>
        <w:t>, based on clinical experience, descriptive studies, or rep</w:t>
      </w:r>
      <w:r w:rsidR="001277C9" w:rsidRPr="00B50C8F">
        <w:rPr>
          <w:lang w:val="en-AU"/>
        </w:rPr>
        <w:t>o</w:t>
      </w:r>
      <w:r w:rsidR="003D5D2B" w:rsidRPr="00B50C8F">
        <w:rPr>
          <w:lang w:val="en-AU"/>
        </w:rPr>
        <w:t>rts of expert committees</w:t>
      </w:r>
      <w:r w:rsidRPr="00B50C8F">
        <w:rPr>
          <w:lang w:val="en-AU"/>
        </w:rPr>
        <w:t>)</w:t>
      </w:r>
      <w:r w:rsidR="002D36C8" w:rsidRPr="00B50C8F">
        <w:rPr>
          <w:lang w:val="en-AU"/>
        </w:rPr>
        <w:t>.</w:t>
      </w:r>
      <w:r w:rsidR="006814D6" w:rsidRPr="00A94846">
        <w:rPr>
          <w:rStyle w:val="FootnoteReference"/>
        </w:rPr>
        <w:footnoteReference w:id="225"/>
      </w:r>
    </w:p>
    <w:p w14:paraId="61245EBB" w14:textId="77777777" w:rsidR="005E18FF" w:rsidRDefault="005E18FF" w:rsidP="00FD2BAE">
      <w:pPr>
        <w:spacing w:after="0"/>
        <w:jc w:val="both"/>
        <w:rPr>
          <w:rFonts w:ascii="ZWAdobeF" w:hAnsi="ZWAdobeF" w:cs="ZWAdobeF"/>
          <w:sz w:val="2"/>
          <w:szCs w:val="2"/>
          <w:lang w:val="en-AU"/>
        </w:rPr>
      </w:pPr>
      <w:r w:rsidRPr="00E95374">
        <w:rPr>
          <w:lang w:val="en-AU"/>
        </w:rPr>
        <w:t xml:space="preserve">More recently </w:t>
      </w:r>
      <w:r w:rsidR="00BA34C6" w:rsidRPr="00E95374">
        <w:rPr>
          <w:lang w:val="en-AU"/>
        </w:rPr>
        <w:t>a</w:t>
      </w:r>
      <w:r w:rsidRPr="00E95374">
        <w:rPr>
          <w:lang w:val="en-AU"/>
        </w:rPr>
        <w:t xml:space="preserve"> study in 2015 looking to identify websites of clinics that marketed non</w:t>
      </w:r>
      <w:r w:rsidR="00E95374">
        <w:rPr>
          <w:lang w:val="en-AU"/>
        </w:rPr>
        <w:t>-</w:t>
      </w:r>
      <w:r w:rsidRPr="00E95374">
        <w:rPr>
          <w:lang w:val="en-AU"/>
        </w:rPr>
        <w:t>antimicrobial therapies for Lyme disease identified more than 30 alternative treatments</w:t>
      </w:r>
      <w:r w:rsidR="002D36C8" w:rsidRPr="00E95374">
        <w:rPr>
          <w:lang w:val="en-AU"/>
        </w:rPr>
        <w:t>.</w:t>
      </w:r>
      <w:r w:rsidR="00907678" w:rsidRPr="00A94846">
        <w:rPr>
          <w:rStyle w:val="FootnoteReference"/>
        </w:rPr>
        <w:footnoteReference w:id="226"/>
      </w:r>
      <w:r w:rsidR="00505FC7" w:rsidRPr="00E95374">
        <w:rPr>
          <w:lang w:val="en-AU"/>
        </w:rPr>
        <w:t xml:space="preserve"> A review of the medical literature </w:t>
      </w:r>
      <w:r w:rsidR="00D2066B" w:rsidRPr="00E95374">
        <w:rPr>
          <w:lang w:val="en-AU"/>
        </w:rPr>
        <w:t xml:space="preserve">by the authors </w:t>
      </w:r>
      <w:r w:rsidR="00505FC7" w:rsidRPr="00E95374">
        <w:rPr>
          <w:lang w:val="en-AU"/>
        </w:rPr>
        <w:t xml:space="preserve">did not substantiate efficacy or in most cases any rational for the advertised treatments </w:t>
      </w:r>
      <w:r w:rsidRPr="00E95374">
        <w:rPr>
          <w:lang w:val="en-AU"/>
        </w:rPr>
        <w:t xml:space="preserve">which fell into </w:t>
      </w:r>
      <w:r w:rsidR="00505FC7" w:rsidRPr="00E95374">
        <w:rPr>
          <w:lang w:val="en-AU"/>
        </w:rPr>
        <w:t xml:space="preserve">following </w:t>
      </w:r>
      <w:r w:rsidRPr="00E95374">
        <w:rPr>
          <w:lang w:val="en-AU"/>
        </w:rPr>
        <w:t xml:space="preserve">several broad categories: </w:t>
      </w:r>
      <w:r w:rsidR="00BA34C6" w:rsidRPr="00E95374">
        <w:rPr>
          <w:lang w:val="en-AU"/>
        </w:rPr>
        <w:t>o</w:t>
      </w:r>
      <w:r w:rsidRPr="00E95374">
        <w:rPr>
          <w:lang w:val="en-AU"/>
        </w:rPr>
        <w:t>xygen and reactive oxygen therapy</w:t>
      </w:r>
      <w:r w:rsidR="00BA34C6" w:rsidRPr="00E95374">
        <w:rPr>
          <w:lang w:val="en-AU"/>
        </w:rPr>
        <w:t>; e</w:t>
      </w:r>
      <w:r w:rsidRPr="00E95374">
        <w:rPr>
          <w:lang w:val="en-AU"/>
        </w:rPr>
        <w:t>nergy and radiation-based therapies</w:t>
      </w:r>
      <w:r w:rsidR="00BA34C6" w:rsidRPr="00E95374">
        <w:rPr>
          <w:lang w:val="en-AU"/>
        </w:rPr>
        <w:t>;</w:t>
      </w:r>
      <w:r w:rsidRPr="00E95374">
        <w:rPr>
          <w:lang w:val="en-AU"/>
        </w:rPr>
        <w:t xml:space="preserve"> nutritional therapy</w:t>
      </w:r>
      <w:r w:rsidR="00BA34C6" w:rsidRPr="00E95374">
        <w:rPr>
          <w:lang w:val="en-AU"/>
        </w:rPr>
        <w:t xml:space="preserve">; </w:t>
      </w:r>
      <w:r w:rsidRPr="00E95374">
        <w:rPr>
          <w:lang w:val="en-AU"/>
        </w:rPr>
        <w:t>chelation and heavy metal</w:t>
      </w:r>
      <w:r w:rsidR="008C1564" w:rsidRPr="00E95374">
        <w:rPr>
          <w:lang w:val="en-AU"/>
        </w:rPr>
        <w:t xml:space="preserve"> therapy</w:t>
      </w:r>
      <w:r w:rsidR="00BA34C6" w:rsidRPr="00E95374">
        <w:rPr>
          <w:lang w:val="en-AU"/>
        </w:rPr>
        <w:t>;</w:t>
      </w:r>
      <w:r w:rsidRPr="00E95374">
        <w:rPr>
          <w:lang w:val="en-AU"/>
        </w:rPr>
        <w:t xml:space="preserve"> biological and pharmacological therapies ranging from certain medication without recognised therapeutic effects on </w:t>
      </w:r>
      <w:r w:rsidRPr="00E95374">
        <w:rPr>
          <w:i/>
          <w:iCs/>
          <w:lang w:val="en-AU"/>
        </w:rPr>
        <w:t xml:space="preserve">B. burgdorferi </w:t>
      </w:r>
      <w:r w:rsidRPr="00E95374">
        <w:rPr>
          <w:lang w:val="en-AU"/>
        </w:rPr>
        <w:t>to stem cell transplantation</w:t>
      </w:r>
      <w:r w:rsidR="002D36C8" w:rsidRPr="00E95374">
        <w:rPr>
          <w:lang w:val="en-AU"/>
        </w:rPr>
        <w:t>.</w:t>
      </w:r>
      <w:r w:rsidR="00505FC7" w:rsidRPr="00A94846">
        <w:rPr>
          <w:rStyle w:val="FootnoteReference"/>
        </w:rPr>
        <w:footnoteReference w:id="227"/>
      </w:r>
      <w:r w:rsidR="003646CD">
        <w:rPr>
          <w:rFonts w:ascii="ZWAdobeF" w:hAnsi="ZWAdobeF" w:cs="ZWAdobeF"/>
          <w:sz w:val="2"/>
          <w:szCs w:val="2"/>
          <w:lang w:val="en-AU"/>
        </w:rPr>
        <w:br w:type="page"/>
      </w:r>
    </w:p>
    <w:p w14:paraId="4B530639" w14:textId="77777777" w:rsidR="00DE22C9" w:rsidRPr="00CF74AD" w:rsidRDefault="00B132D9" w:rsidP="003E36F9">
      <w:pPr>
        <w:pStyle w:val="NumberedHeading2"/>
        <w:rPr>
          <w:lang w:val="en-AU"/>
        </w:rPr>
      </w:pPr>
      <w:bookmarkStart w:id="112" w:name="_Toc20480325"/>
      <w:bookmarkStart w:id="113" w:name="_Toc20480326"/>
      <w:bookmarkStart w:id="114" w:name="_Toc55464810"/>
      <w:bookmarkEnd w:id="112"/>
      <w:bookmarkEnd w:id="113"/>
      <w:r w:rsidRPr="00661245">
        <w:rPr>
          <w:lang w:val="en-AU"/>
        </w:rPr>
        <w:lastRenderedPageBreak/>
        <w:t xml:space="preserve">Tick-borne disease </w:t>
      </w:r>
      <w:r w:rsidR="00297026" w:rsidRPr="00CF74AD">
        <w:rPr>
          <w:lang w:val="en-AU"/>
        </w:rPr>
        <w:t xml:space="preserve">known to be acquired in </w:t>
      </w:r>
      <w:r w:rsidR="00DE22C9" w:rsidRPr="00CF74AD">
        <w:rPr>
          <w:lang w:val="en-AU"/>
        </w:rPr>
        <w:t>Australia</w:t>
      </w:r>
      <w:bookmarkStart w:id="115" w:name="Section_62"/>
      <w:bookmarkEnd w:id="114"/>
      <w:bookmarkEnd w:id="115"/>
    </w:p>
    <w:p w14:paraId="4B228DD3" w14:textId="50F86BE6" w:rsidR="00DE22C9" w:rsidRPr="00CF74AD" w:rsidRDefault="00DE22C9" w:rsidP="00DE22C9">
      <w:pPr>
        <w:pStyle w:val="Caption"/>
        <w:rPr>
          <w:lang w:val="en-AU"/>
        </w:rPr>
      </w:pPr>
      <w:bookmarkStart w:id="116" w:name="_Toc55460092"/>
      <w:r w:rsidRPr="00CF74AD">
        <w:rPr>
          <w:lang w:val="en-AU"/>
        </w:rPr>
        <w:t xml:space="preserve">Table </w:t>
      </w:r>
      <w:r w:rsidRPr="00CF74AD">
        <w:rPr>
          <w:lang w:val="en-AU"/>
        </w:rPr>
        <w:fldChar w:fldCharType="begin"/>
      </w:r>
      <w:r w:rsidRPr="00F2704A">
        <w:rPr>
          <w:lang w:val="en-AU"/>
        </w:rPr>
        <w:instrText xml:space="preserve"> SEQ Table \* ARABIC </w:instrText>
      </w:r>
      <w:r w:rsidRPr="00CF74AD">
        <w:rPr>
          <w:lang w:val="en-AU"/>
        </w:rPr>
        <w:fldChar w:fldCharType="separate"/>
      </w:r>
      <w:r w:rsidR="00822580">
        <w:rPr>
          <w:noProof/>
          <w:lang w:val="en-AU"/>
        </w:rPr>
        <w:t>3</w:t>
      </w:r>
      <w:r w:rsidRPr="00CF74AD">
        <w:rPr>
          <w:lang w:val="en-AU"/>
        </w:rPr>
        <w:fldChar w:fldCharType="end"/>
      </w:r>
      <w:r w:rsidRPr="00661245">
        <w:rPr>
          <w:lang w:val="en-AU"/>
        </w:rPr>
        <w:t xml:space="preserve">: Initial </w:t>
      </w:r>
      <w:r w:rsidRPr="00CF74AD">
        <w:rPr>
          <w:lang w:val="en-AU"/>
        </w:rPr>
        <w:t>treatment of Australian tick-borne diseases</w:t>
      </w:r>
      <w:bookmarkEnd w:id="116"/>
    </w:p>
    <w:tbl>
      <w:tblPr>
        <w:tblW w:w="0" w:type="auto"/>
        <w:tblBorders>
          <w:bottom w:val="single" w:sz="4" w:space="0" w:color="77B800"/>
        </w:tblBorders>
        <w:tblLook w:val="04A0" w:firstRow="1" w:lastRow="0" w:firstColumn="1" w:lastColumn="0" w:noHBand="0" w:noVBand="1"/>
      </w:tblPr>
      <w:tblGrid>
        <w:gridCol w:w="9051"/>
      </w:tblGrid>
      <w:tr w:rsidR="00DE22C9" w:rsidRPr="004D3350" w14:paraId="494AE9AF" w14:textId="77777777" w:rsidTr="004D3350">
        <w:trPr>
          <w:tblHeader/>
        </w:trPr>
        <w:tc>
          <w:tcPr>
            <w:tcW w:w="9051" w:type="dxa"/>
            <w:shd w:val="clear" w:color="auto" w:fill="77B800"/>
          </w:tcPr>
          <w:p w14:paraId="07A7BEAF" w14:textId="77777777" w:rsidR="00DE22C9" w:rsidRPr="004D3350" w:rsidRDefault="00DE22C9" w:rsidP="004D3350">
            <w:pPr>
              <w:pStyle w:val="BodyText"/>
              <w:spacing w:before="60" w:after="60"/>
              <w:rPr>
                <w:rFonts w:ascii="Calibri" w:hAnsi="Calibri" w:cs="Calibri"/>
                <w:b/>
                <w:bCs/>
                <w:color w:val="FFFFFF"/>
                <w:sz w:val="24"/>
                <w:szCs w:val="24"/>
                <w:lang w:val="en-AU"/>
              </w:rPr>
            </w:pPr>
            <w:r w:rsidRPr="004D3350">
              <w:rPr>
                <w:rFonts w:ascii="Calibri" w:hAnsi="Calibri" w:cs="Calibri"/>
                <w:b/>
                <w:bCs/>
                <w:color w:val="FFFFFF"/>
                <w:sz w:val="24"/>
                <w:szCs w:val="24"/>
                <w:lang w:val="en-AU"/>
              </w:rPr>
              <w:t xml:space="preserve">Queensland </w:t>
            </w:r>
            <w:r w:rsidR="00B7075C" w:rsidRPr="004D3350">
              <w:rPr>
                <w:rFonts w:ascii="Calibri" w:hAnsi="Calibri" w:cs="Calibri"/>
                <w:b/>
                <w:bCs/>
                <w:color w:val="FFFFFF"/>
                <w:sz w:val="24"/>
                <w:szCs w:val="24"/>
                <w:lang w:val="en-AU"/>
              </w:rPr>
              <w:t>T</w:t>
            </w:r>
            <w:r w:rsidRPr="004D3350">
              <w:rPr>
                <w:rFonts w:ascii="Calibri" w:hAnsi="Calibri" w:cs="Calibri"/>
                <w:b/>
                <w:bCs/>
                <w:color w:val="FFFFFF"/>
                <w:sz w:val="24"/>
                <w:szCs w:val="24"/>
                <w:lang w:val="en-AU"/>
              </w:rPr>
              <w:t xml:space="preserve">ick </w:t>
            </w:r>
            <w:r w:rsidR="00B7075C" w:rsidRPr="004D3350">
              <w:rPr>
                <w:rFonts w:ascii="Calibri" w:hAnsi="Calibri" w:cs="Calibri"/>
                <w:b/>
                <w:bCs/>
                <w:color w:val="FFFFFF"/>
                <w:sz w:val="24"/>
                <w:szCs w:val="24"/>
                <w:lang w:val="en-AU"/>
              </w:rPr>
              <w:t>T</w:t>
            </w:r>
            <w:r w:rsidRPr="004D3350">
              <w:rPr>
                <w:rFonts w:ascii="Calibri" w:hAnsi="Calibri" w:cs="Calibri"/>
                <w:b/>
                <w:bCs/>
                <w:color w:val="FFFFFF"/>
                <w:sz w:val="24"/>
                <w:szCs w:val="24"/>
                <w:lang w:val="en-AU"/>
              </w:rPr>
              <w:t>yphus</w:t>
            </w:r>
          </w:p>
        </w:tc>
      </w:tr>
      <w:tr w:rsidR="00DE22C9" w:rsidRPr="004D3350" w14:paraId="6826B89A" w14:textId="77777777" w:rsidTr="004D3350">
        <w:tc>
          <w:tcPr>
            <w:tcW w:w="9051" w:type="dxa"/>
            <w:shd w:val="clear" w:color="auto" w:fill="auto"/>
          </w:tcPr>
          <w:p w14:paraId="59F3BB8F" w14:textId="77777777" w:rsidR="00DE22C9" w:rsidRPr="004D3350" w:rsidRDefault="00936269" w:rsidP="004D3350">
            <w:pPr>
              <w:pStyle w:val="BodyText"/>
              <w:spacing w:before="60" w:after="60" w:line="240" w:lineRule="auto"/>
              <w:rPr>
                <w:rFonts w:ascii="Calibri" w:hAnsi="Calibri" w:cs="Calibri"/>
                <w:lang w:val="en-AU"/>
              </w:rPr>
            </w:pPr>
            <w:r w:rsidRPr="004D3350">
              <w:rPr>
                <w:rFonts w:ascii="Calibri" w:hAnsi="Calibri" w:cs="Calibri"/>
                <w:lang w:val="en-AU"/>
              </w:rPr>
              <w:t>QTT is readily treated with a short course of doxycycline</w:t>
            </w:r>
            <w:r w:rsidR="003D055D" w:rsidRPr="004D3350">
              <w:rPr>
                <w:rFonts w:ascii="Calibri" w:hAnsi="Calibri" w:cs="Calibri"/>
                <w:lang w:val="en-AU"/>
              </w:rPr>
              <w:t xml:space="preserve">. </w:t>
            </w:r>
            <w:r w:rsidR="00DE22C9" w:rsidRPr="004D3350">
              <w:rPr>
                <w:rFonts w:ascii="Calibri" w:hAnsi="Calibri" w:cs="Calibri"/>
                <w:lang w:val="en-AU"/>
              </w:rPr>
              <w:t>Early initiation of doxycycline is critical - a delay in appropriate antimicrobial therapy is associated with increased likelihood of progression to severe disease and complications</w:t>
            </w:r>
            <w:r w:rsidR="004501BF" w:rsidRPr="004D3350">
              <w:rPr>
                <w:rFonts w:ascii="Calibri" w:hAnsi="Calibri" w:cs="Calibri"/>
                <w:lang w:val="en-AU"/>
              </w:rPr>
              <w:t>.</w:t>
            </w:r>
            <w:r w:rsidR="00F82C67" w:rsidRPr="004D3350">
              <w:rPr>
                <w:rStyle w:val="FootnoteReference"/>
              </w:rPr>
              <w:footnoteReference w:id="228"/>
            </w:r>
          </w:p>
          <w:p w14:paraId="766F46BF" w14:textId="77777777" w:rsidR="00DE22C9" w:rsidRPr="004D3350" w:rsidRDefault="00DE22C9" w:rsidP="004D3350">
            <w:pPr>
              <w:pStyle w:val="BodyText"/>
              <w:spacing w:before="60" w:after="60" w:line="240" w:lineRule="auto"/>
              <w:rPr>
                <w:rFonts w:ascii="Calibri" w:hAnsi="Calibri" w:cs="Calibri"/>
                <w:lang w:val="en-AU"/>
              </w:rPr>
            </w:pPr>
            <w:r w:rsidRPr="004D3350">
              <w:rPr>
                <w:rFonts w:ascii="Calibri" w:hAnsi="Calibri" w:cs="Calibri"/>
                <w:lang w:val="en-AU"/>
              </w:rPr>
              <w:t xml:space="preserve">Doxycycline should be administered orally in mild-to-moderate infection and intravenously in severe infection. There are no published data on the importance of antibiotics in mild </w:t>
            </w:r>
            <w:r w:rsidRPr="004D3350">
              <w:rPr>
                <w:rFonts w:ascii="Calibri" w:hAnsi="Calibri" w:cs="Calibri"/>
                <w:i/>
                <w:iCs/>
                <w:lang w:val="en-AU"/>
              </w:rPr>
              <w:t xml:space="preserve">R. australis </w:t>
            </w:r>
            <w:r w:rsidRPr="004D3350">
              <w:rPr>
                <w:rFonts w:ascii="Calibri" w:hAnsi="Calibri" w:cs="Calibri"/>
                <w:lang w:val="en-AU"/>
              </w:rPr>
              <w:t>infection although early administration probably prevents hospitalisation and morbidity</w:t>
            </w:r>
            <w:r w:rsidR="002D36C8" w:rsidRPr="004D3350">
              <w:rPr>
                <w:rFonts w:ascii="Calibri" w:hAnsi="Calibri" w:cs="Calibri"/>
                <w:lang w:val="en-AU"/>
              </w:rPr>
              <w:t>.</w:t>
            </w:r>
            <w:r w:rsidRPr="004D3350">
              <w:rPr>
                <w:rStyle w:val="FootnoteReference"/>
              </w:rPr>
              <w:footnoteReference w:id="229"/>
            </w:r>
          </w:p>
          <w:p w14:paraId="25F9F983" w14:textId="77777777" w:rsidR="003D055D" w:rsidRPr="004D3350" w:rsidRDefault="00764E79" w:rsidP="004D3350">
            <w:pPr>
              <w:pStyle w:val="BodyText"/>
              <w:spacing w:before="60" w:after="60" w:line="240" w:lineRule="auto"/>
              <w:rPr>
                <w:rFonts w:ascii="Calibri" w:hAnsi="Calibri" w:cs="Calibri"/>
                <w:lang w:val="en-AU"/>
              </w:rPr>
            </w:pPr>
            <w:r w:rsidRPr="004D3350">
              <w:rPr>
                <w:rFonts w:ascii="Calibri" w:hAnsi="Calibri" w:cs="Calibri"/>
                <w:lang w:val="en-AU"/>
              </w:rPr>
              <w:t>Patients usually show marked clinical improvement after 48 hours of antimicrobial therapy</w:t>
            </w:r>
            <w:r w:rsidR="002D36C8" w:rsidRPr="004D3350">
              <w:rPr>
                <w:rFonts w:ascii="Calibri" w:hAnsi="Calibri" w:cs="Calibri"/>
                <w:lang w:val="en-AU"/>
              </w:rPr>
              <w:t>.</w:t>
            </w:r>
            <w:r w:rsidR="00480BCD" w:rsidRPr="004D3350">
              <w:rPr>
                <w:rStyle w:val="FootnoteReference"/>
              </w:rPr>
              <w:footnoteReference w:id="230"/>
            </w:r>
            <w:r w:rsidR="00480BCD" w:rsidRPr="004D3350">
              <w:rPr>
                <w:rFonts w:ascii="Calibri" w:hAnsi="Calibri" w:cs="Calibri"/>
                <w:vertAlign w:val="superscript"/>
                <w:lang w:val="en-AU"/>
              </w:rPr>
              <w:t>,</w:t>
            </w:r>
            <w:r w:rsidR="00DF1521" w:rsidRPr="004D3350">
              <w:rPr>
                <w:rFonts w:ascii="Calibri" w:hAnsi="Calibri" w:cs="Calibri"/>
                <w:vertAlign w:val="superscript"/>
                <w:lang w:val="en-AU"/>
              </w:rPr>
              <w:t xml:space="preserve"> </w:t>
            </w:r>
            <w:r w:rsidR="00480BCD" w:rsidRPr="004D3350">
              <w:rPr>
                <w:rStyle w:val="FootnoteReference"/>
              </w:rPr>
              <w:footnoteReference w:id="231"/>
            </w:r>
            <w:r w:rsidR="004501BF" w:rsidRPr="004D3350">
              <w:rPr>
                <w:rFonts w:ascii="Calibri" w:hAnsi="Calibri" w:cs="Calibri"/>
                <w:lang w:val="en-AU"/>
              </w:rPr>
              <w:t xml:space="preserve"> </w:t>
            </w:r>
          </w:p>
          <w:p w14:paraId="01E5CE44" w14:textId="77777777" w:rsidR="003D055D" w:rsidRPr="004D3350" w:rsidRDefault="00951F96" w:rsidP="004D3350">
            <w:pPr>
              <w:pStyle w:val="BodyText"/>
              <w:spacing w:before="60" w:after="60" w:line="240" w:lineRule="auto"/>
              <w:rPr>
                <w:rFonts w:ascii="Calibri" w:hAnsi="Calibri" w:cs="Calibri"/>
                <w:i/>
                <w:lang w:val="en-AU"/>
              </w:rPr>
            </w:pPr>
            <w:r w:rsidRPr="004D3350">
              <w:rPr>
                <w:rFonts w:ascii="Calibri" w:hAnsi="Calibri" w:cs="Calibri"/>
                <w:lang w:val="en-AU"/>
              </w:rPr>
              <w:t xml:space="preserve">Refer </w:t>
            </w:r>
            <w:r w:rsidRPr="004D3350">
              <w:rPr>
                <w:rFonts w:ascii="Calibri" w:hAnsi="Calibri" w:cs="Calibri"/>
                <w:i/>
                <w:iCs/>
                <w:lang w:val="en-AU"/>
              </w:rPr>
              <w:t>Therap</w:t>
            </w:r>
            <w:r w:rsidR="00736BF6" w:rsidRPr="004D3350">
              <w:rPr>
                <w:rFonts w:ascii="Calibri" w:hAnsi="Calibri" w:cs="Calibri"/>
                <w:i/>
                <w:iCs/>
                <w:lang w:val="en-AU"/>
              </w:rPr>
              <w:t xml:space="preserve">eutic </w:t>
            </w:r>
            <w:r w:rsidR="00A8705B" w:rsidRPr="004D3350">
              <w:rPr>
                <w:rFonts w:ascii="Calibri" w:hAnsi="Calibri" w:cs="Calibri"/>
                <w:i/>
                <w:iCs/>
                <w:lang w:val="en-AU"/>
              </w:rPr>
              <w:t>G</w:t>
            </w:r>
            <w:r w:rsidR="00736BF6" w:rsidRPr="004D3350">
              <w:rPr>
                <w:rFonts w:ascii="Calibri" w:hAnsi="Calibri" w:cs="Calibri"/>
                <w:i/>
                <w:iCs/>
                <w:lang w:val="en-AU"/>
              </w:rPr>
              <w:t>uidelines: Antibiotic</w:t>
            </w:r>
            <w:r w:rsidR="00720D67" w:rsidRPr="004D3350">
              <w:rPr>
                <w:rFonts w:ascii="Calibri" w:hAnsi="Calibri" w:cs="Calibri"/>
                <w:i/>
                <w:iCs/>
                <w:lang w:val="en-AU"/>
              </w:rPr>
              <w:t>.</w:t>
            </w:r>
            <w:r w:rsidR="00C42601" w:rsidRPr="004D3350">
              <w:rPr>
                <w:rFonts w:ascii="Calibri" w:hAnsi="Calibri" w:cs="Calibri"/>
                <w:i/>
                <w:iCs/>
                <w:lang w:val="en-AU"/>
              </w:rPr>
              <w:t xml:space="preserve"> </w:t>
            </w:r>
            <w:r w:rsidR="00F261EC" w:rsidRPr="004D3350">
              <w:rPr>
                <w:rStyle w:val="FootnoteReference"/>
              </w:rPr>
              <w:footnoteReference w:id="232"/>
            </w:r>
            <w:r w:rsidR="00736BF6" w:rsidRPr="004D3350">
              <w:rPr>
                <w:rFonts w:ascii="Calibri" w:hAnsi="Calibri" w:cs="Calibri"/>
                <w:i/>
                <w:iCs/>
                <w:lang w:val="en-AU"/>
              </w:rPr>
              <w:t xml:space="preserve"> </w:t>
            </w:r>
          </w:p>
        </w:tc>
      </w:tr>
      <w:tr w:rsidR="00DE22C9" w:rsidRPr="004D3350" w14:paraId="763C1849" w14:textId="77777777" w:rsidTr="004D3350">
        <w:tc>
          <w:tcPr>
            <w:tcW w:w="9051" w:type="dxa"/>
            <w:shd w:val="clear" w:color="auto" w:fill="77B800"/>
          </w:tcPr>
          <w:p w14:paraId="3084EB1A" w14:textId="77777777" w:rsidR="00DE22C9" w:rsidRPr="004D3350" w:rsidRDefault="00DE22C9" w:rsidP="004D3350">
            <w:pPr>
              <w:pStyle w:val="BodyText"/>
              <w:spacing w:before="60" w:after="60"/>
              <w:rPr>
                <w:rFonts w:ascii="Calibri" w:hAnsi="Calibri" w:cs="Calibri"/>
                <w:b/>
                <w:bCs/>
                <w:sz w:val="24"/>
                <w:szCs w:val="24"/>
                <w:lang w:val="en-AU"/>
              </w:rPr>
            </w:pPr>
            <w:r w:rsidRPr="004D3350">
              <w:rPr>
                <w:rFonts w:ascii="Calibri" w:hAnsi="Calibri" w:cs="Calibri"/>
                <w:b/>
                <w:bCs/>
                <w:color w:val="FFFFFF"/>
                <w:sz w:val="24"/>
                <w:szCs w:val="24"/>
                <w:lang w:val="en-AU"/>
              </w:rPr>
              <w:t>Q Fever</w:t>
            </w:r>
          </w:p>
        </w:tc>
      </w:tr>
      <w:tr w:rsidR="00DE22C9" w:rsidRPr="004D3350" w14:paraId="775A8A9E" w14:textId="77777777" w:rsidTr="004D3350">
        <w:tc>
          <w:tcPr>
            <w:tcW w:w="9051" w:type="dxa"/>
            <w:shd w:val="clear" w:color="auto" w:fill="auto"/>
          </w:tcPr>
          <w:p w14:paraId="7A7CB289" w14:textId="77777777" w:rsidR="00CD4FB0" w:rsidRPr="004D3350" w:rsidRDefault="00DE22C9" w:rsidP="004D3350">
            <w:pPr>
              <w:pStyle w:val="BodyText"/>
              <w:spacing w:before="60" w:after="60"/>
              <w:rPr>
                <w:rFonts w:ascii="Calibri" w:hAnsi="Calibri" w:cs="Calibri"/>
                <w:b/>
                <w:bCs/>
                <w:lang w:val="en-AU"/>
              </w:rPr>
            </w:pPr>
            <w:r w:rsidRPr="004D3350">
              <w:rPr>
                <w:rFonts w:ascii="Calibri" w:hAnsi="Calibri" w:cs="Calibri"/>
                <w:lang w:val="en-AU"/>
              </w:rPr>
              <w:t>The Q fever CDNA National Guidelines for Public Health Units specifies that if Q fever is suspected clinically, empirical treatment should be commenced without waiting for laboratory tests.</w:t>
            </w:r>
            <w:r w:rsidRPr="004D3350">
              <w:rPr>
                <w:rStyle w:val="FootnoteReference"/>
              </w:rPr>
              <w:footnoteReference w:id="233"/>
            </w:r>
            <w:r w:rsidRPr="004D3350">
              <w:rPr>
                <w:rFonts w:ascii="Calibri" w:hAnsi="Calibri" w:cs="Calibri"/>
                <w:b/>
                <w:bCs/>
                <w:i/>
                <w:iCs/>
                <w:lang w:val="en-AU"/>
              </w:rPr>
              <w:t xml:space="preserve"> </w:t>
            </w:r>
            <w:r w:rsidR="00530697" w:rsidRPr="004D3350">
              <w:rPr>
                <w:rFonts w:ascii="Calibri" w:hAnsi="Calibri" w:cs="Calibri"/>
                <w:lang w:val="en-AU"/>
              </w:rPr>
              <w:t xml:space="preserve">This recommendation is in the context of </w:t>
            </w:r>
            <w:r w:rsidR="00B6447C" w:rsidRPr="004D3350">
              <w:rPr>
                <w:rFonts w:ascii="Calibri" w:hAnsi="Calibri" w:cs="Calibri"/>
                <w:lang w:val="en-AU"/>
              </w:rPr>
              <w:t>a patient with appropriate sympt</w:t>
            </w:r>
            <w:r w:rsidR="00CD4FB0" w:rsidRPr="004D3350">
              <w:rPr>
                <w:rFonts w:ascii="Calibri" w:hAnsi="Calibri" w:cs="Calibri"/>
                <w:lang w:val="en-AU"/>
              </w:rPr>
              <w:t>o</w:t>
            </w:r>
            <w:r w:rsidR="00B6447C" w:rsidRPr="004D3350">
              <w:rPr>
                <w:rFonts w:ascii="Calibri" w:hAnsi="Calibri" w:cs="Calibri"/>
                <w:lang w:val="en-AU"/>
              </w:rPr>
              <w:t xml:space="preserve">ms AND who are at high risk </w:t>
            </w:r>
            <w:r w:rsidR="008C1564" w:rsidRPr="004D3350">
              <w:rPr>
                <w:rFonts w:ascii="Calibri" w:hAnsi="Calibri" w:cs="Calibri"/>
                <w:lang w:val="en-AU"/>
              </w:rPr>
              <w:t>o</w:t>
            </w:r>
            <w:r w:rsidR="00B6447C" w:rsidRPr="004D3350">
              <w:rPr>
                <w:rFonts w:ascii="Calibri" w:hAnsi="Calibri" w:cs="Calibri"/>
                <w:lang w:val="en-AU"/>
              </w:rPr>
              <w:t xml:space="preserve">f </w:t>
            </w:r>
            <w:r w:rsidR="00CD4FB0" w:rsidRPr="004D3350">
              <w:rPr>
                <w:rFonts w:ascii="Calibri" w:hAnsi="Calibri" w:cs="Calibri"/>
                <w:lang w:val="en-AU"/>
              </w:rPr>
              <w:t>contracting the disease.</w:t>
            </w:r>
            <w:r w:rsidR="00CD4FB0" w:rsidRPr="004D3350">
              <w:rPr>
                <w:rFonts w:ascii="Calibri" w:hAnsi="Calibri" w:cs="Calibri"/>
                <w:b/>
                <w:bCs/>
                <w:lang w:val="en-AU"/>
              </w:rPr>
              <w:t xml:space="preserve"> </w:t>
            </w:r>
          </w:p>
          <w:p w14:paraId="1CDA2217" w14:textId="77777777" w:rsidR="00635161" w:rsidRPr="004D3350" w:rsidRDefault="00F769D1" w:rsidP="004D3350">
            <w:pPr>
              <w:pStyle w:val="BodyText"/>
              <w:spacing w:before="60" w:after="60"/>
              <w:rPr>
                <w:rFonts w:ascii="Calibri" w:hAnsi="Calibri" w:cs="Calibri"/>
                <w:lang w:val="en-AU"/>
              </w:rPr>
            </w:pPr>
            <w:r w:rsidRPr="004D3350">
              <w:rPr>
                <w:rFonts w:ascii="Calibri" w:hAnsi="Calibri" w:cs="Calibri"/>
                <w:lang w:val="en-AU"/>
              </w:rPr>
              <w:t>R</w:t>
            </w:r>
            <w:r w:rsidR="00DE22C9" w:rsidRPr="004D3350">
              <w:rPr>
                <w:rFonts w:ascii="Calibri" w:hAnsi="Calibri" w:cs="Calibri"/>
                <w:lang w:val="en-AU"/>
              </w:rPr>
              <w:t xml:space="preserve">efer </w:t>
            </w:r>
            <w:r w:rsidR="00DE22C9" w:rsidRPr="004D3350">
              <w:rPr>
                <w:rFonts w:ascii="Calibri" w:hAnsi="Calibri" w:cs="Calibri"/>
                <w:i/>
                <w:iCs/>
                <w:lang w:val="en-AU"/>
              </w:rPr>
              <w:t xml:space="preserve">Therapeutic </w:t>
            </w:r>
            <w:r w:rsidR="00A55F1A" w:rsidRPr="004D3350">
              <w:rPr>
                <w:rFonts w:ascii="Calibri" w:hAnsi="Calibri" w:cs="Calibri"/>
                <w:i/>
                <w:iCs/>
                <w:lang w:val="en-AU"/>
              </w:rPr>
              <w:t>G</w:t>
            </w:r>
            <w:r w:rsidR="00DE22C9" w:rsidRPr="004D3350">
              <w:rPr>
                <w:rFonts w:ascii="Calibri" w:hAnsi="Calibri" w:cs="Calibri"/>
                <w:i/>
                <w:iCs/>
                <w:lang w:val="en-AU"/>
              </w:rPr>
              <w:t>uidelines: Antibioti</w:t>
            </w:r>
            <w:r w:rsidR="00A55F1A" w:rsidRPr="004D3350">
              <w:rPr>
                <w:rFonts w:ascii="Calibri" w:hAnsi="Calibri" w:cs="Calibri"/>
                <w:i/>
                <w:iCs/>
                <w:lang w:val="en-AU"/>
              </w:rPr>
              <w:t>c</w:t>
            </w:r>
            <w:r w:rsidR="00720D67" w:rsidRPr="004D3350">
              <w:rPr>
                <w:rFonts w:ascii="Calibri" w:hAnsi="Calibri" w:cs="Calibri"/>
                <w:i/>
                <w:iCs/>
                <w:lang w:val="en-AU"/>
              </w:rPr>
              <w:t>.</w:t>
            </w:r>
            <w:r w:rsidR="009642F1" w:rsidRPr="004D3350">
              <w:rPr>
                <w:rFonts w:ascii="Calibri" w:hAnsi="Calibri" w:cs="Calibri"/>
                <w:i/>
                <w:iCs/>
                <w:lang w:val="en-AU"/>
              </w:rPr>
              <w:t xml:space="preserve"> </w:t>
            </w:r>
            <w:r w:rsidR="00C42601" w:rsidRPr="004D3350">
              <w:rPr>
                <w:rStyle w:val="FootnoteReference"/>
              </w:rPr>
              <w:footnoteReference w:id="234"/>
            </w:r>
            <w:r w:rsidR="00720D67" w:rsidRPr="004D3350">
              <w:rPr>
                <w:rFonts w:ascii="Calibri" w:hAnsi="Calibri" w:cs="Calibri"/>
                <w:i/>
                <w:iCs/>
                <w:lang w:val="en-AU"/>
              </w:rPr>
              <w:t xml:space="preserve"> </w:t>
            </w:r>
            <w:r w:rsidR="00635161" w:rsidRPr="004D3350">
              <w:rPr>
                <w:rFonts w:ascii="Calibri" w:hAnsi="Calibri" w:cs="Calibri"/>
                <w:lang w:val="en-AU"/>
              </w:rPr>
              <w:t xml:space="preserve">A two-week course of oral doxycycline is generally used to treat Q fever. </w:t>
            </w:r>
          </w:p>
        </w:tc>
      </w:tr>
      <w:tr w:rsidR="003D055D" w:rsidRPr="004D3350" w14:paraId="6CC9BC84" w14:textId="77777777" w:rsidTr="004D3350">
        <w:tc>
          <w:tcPr>
            <w:tcW w:w="9051" w:type="dxa"/>
            <w:shd w:val="clear" w:color="auto" w:fill="77B800"/>
          </w:tcPr>
          <w:p w14:paraId="6784CD6D" w14:textId="77777777" w:rsidR="003D055D" w:rsidRPr="004D3350" w:rsidRDefault="003D055D" w:rsidP="004D3350">
            <w:pPr>
              <w:pStyle w:val="BodyText"/>
              <w:spacing w:before="60" w:after="60"/>
              <w:rPr>
                <w:rFonts w:ascii="Calibri" w:hAnsi="Calibri" w:cs="Calibri"/>
                <w:lang w:val="en-AU"/>
              </w:rPr>
            </w:pPr>
            <w:r w:rsidRPr="004D3350">
              <w:rPr>
                <w:rFonts w:ascii="Calibri" w:hAnsi="Calibri" w:cs="Calibri"/>
                <w:b/>
                <w:bCs/>
                <w:color w:val="FFFFFF"/>
                <w:sz w:val="24"/>
                <w:szCs w:val="24"/>
                <w:lang w:val="en-AU"/>
              </w:rPr>
              <w:t>Flinders Island Spotted Fever and Australian Spotted Fever</w:t>
            </w:r>
          </w:p>
        </w:tc>
      </w:tr>
      <w:tr w:rsidR="003D055D" w:rsidRPr="004D3350" w14:paraId="6ECB57A8" w14:textId="77777777" w:rsidTr="004D3350">
        <w:tc>
          <w:tcPr>
            <w:tcW w:w="9051" w:type="dxa"/>
            <w:shd w:val="clear" w:color="auto" w:fill="auto"/>
          </w:tcPr>
          <w:p w14:paraId="1251FFB4" w14:textId="77777777" w:rsidR="003D055D" w:rsidRPr="004D3350" w:rsidRDefault="003D055D" w:rsidP="004D3350">
            <w:pPr>
              <w:pStyle w:val="BodyText"/>
              <w:spacing w:before="60" w:after="60"/>
              <w:rPr>
                <w:rFonts w:ascii="Calibri" w:hAnsi="Calibri" w:cs="Calibri"/>
                <w:lang w:val="en-AU"/>
              </w:rPr>
            </w:pPr>
            <w:r w:rsidRPr="004D3350">
              <w:rPr>
                <w:rFonts w:ascii="Calibri" w:hAnsi="Calibri" w:cs="Calibri"/>
                <w:lang w:val="en-AU"/>
              </w:rPr>
              <w:t xml:space="preserve">Patients with </w:t>
            </w:r>
            <w:r w:rsidR="00AA30FB" w:rsidRPr="004D3350">
              <w:rPr>
                <w:rFonts w:ascii="Calibri" w:hAnsi="Calibri" w:cs="Calibri"/>
                <w:lang w:val="en-AU"/>
              </w:rPr>
              <w:t>FISF</w:t>
            </w:r>
            <w:r w:rsidRPr="004D3350">
              <w:rPr>
                <w:rFonts w:ascii="Calibri" w:hAnsi="Calibri" w:cs="Calibri"/>
                <w:lang w:val="en-AU"/>
              </w:rPr>
              <w:t xml:space="preserve"> and </w:t>
            </w:r>
            <w:r w:rsidR="00AA30FB" w:rsidRPr="004D3350">
              <w:rPr>
                <w:rFonts w:ascii="Calibri" w:hAnsi="Calibri" w:cs="Calibri"/>
                <w:lang w:val="en-AU"/>
              </w:rPr>
              <w:t>ASF</w:t>
            </w:r>
            <w:r w:rsidRPr="004D3350">
              <w:rPr>
                <w:rFonts w:ascii="Calibri" w:hAnsi="Calibri" w:cs="Calibri"/>
                <w:lang w:val="en-AU"/>
              </w:rPr>
              <w:t xml:space="preserve"> are treated with </w:t>
            </w:r>
            <w:r w:rsidR="0001203E" w:rsidRPr="004D3350">
              <w:rPr>
                <w:rFonts w:ascii="Calibri" w:hAnsi="Calibri" w:cs="Calibri"/>
                <w:lang w:val="en-AU"/>
              </w:rPr>
              <w:t>d</w:t>
            </w:r>
            <w:r w:rsidRPr="004D3350">
              <w:rPr>
                <w:rFonts w:ascii="Calibri" w:hAnsi="Calibri" w:cs="Calibri"/>
                <w:lang w:val="en-AU"/>
              </w:rPr>
              <w:t xml:space="preserve">oxycycline. Refer </w:t>
            </w:r>
            <w:r w:rsidRPr="004D3350">
              <w:rPr>
                <w:rFonts w:ascii="Calibri" w:hAnsi="Calibri" w:cs="Calibri"/>
                <w:i/>
                <w:iCs/>
                <w:lang w:val="en-AU"/>
              </w:rPr>
              <w:t xml:space="preserve">Therapeutic </w:t>
            </w:r>
            <w:r w:rsidR="00A55F1A" w:rsidRPr="004D3350">
              <w:rPr>
                <w:rFonts w:ascii="Calibri" w:hAnsi="Calibri" w:cs="Calibri"/>
                <w:i/>
                <w:iCs/>
                <w:lang w:val="en-AU"/>
              </w:rPr>
              <w:t>G</w:t>
            </w:r>
            <w:r w:rsidRPr="004D3350">
              <w:rPr>
                <w:rFonts w:ascii="Calibri" w:hAnsi="Calibri" w:cs="Calibri"/>
                <w:i/>
                <w:iCs/>
                <w:lang w:val="en-AU"/>
              </w:rPr>
              <w:t>uidelines: Antibiotic.</w:t>
            </w:r>
            <w:r w:rsidR="00C42601" w:rsidRPr="004D3350">
              <w:rPr>
                <w:rStyle w:val="FootnoteReference"/>
              </w:rPr>
              <w:footnoteReference w:id="235"/>
            </w:r>
          </w:p>
        </w:tc>
      </w:tr>
    </w:tbl>
    <w:p w14:paraId="09EEBBE0" w14:textId="77777777" w:rsidR="00D70225" w:rsidRPr="00D621FF" w:rsidRDefault="00D70225" w:rsidP="001C1D02">
      <w:pPr>
        <w:pStyle w:val="NumberedHeading2"/>
        <w:spacing w:line="240" w:lineRule="auto"/>
        <w:rPr>
          <w:lang w:val="en-AU"/>
        </w:rPr>
      </w:pPr>
      <w:bookmarkStart w:id="117" w:name="_Toc55464811"/>
      <w:r w:rsidRPr="00D621FF">
        <w:rPr>
          <w:lang w:val="en-AU"/>
        </w:rPr>
        <w:t>Management of patients with persistent symptoms and who remain undiagnosed</w:t>
      </w:r>
      <w:bookmarkEnd w:id="117"/>
    </w:p>
    <w:p w14:paraId="26AA2CF6" w14:textId="77777777" w:rsidR="00862F80" w:rsidRPr="00FA6D54" w:rsidRDefault="00862F80" w:rsidP="00862F80">
      <w:pPr>
        <w:pStyle w:val="BodyText"/>
        <w:rPr>
          <w:lang w:val="en-AU"/>
        </w:rPr>
      </w:pPr>
      <w:r w:rsidRPr="00FA6D54">
        <w:rPr>
          <w:lang w:val="en-AU"/>
        </w:rPr>
        <w:t xml:space="preserve">This part of the pathway pertains to management of patients who have debilitating symptoms that cannot be attributed to tick-borne disease or another diagnosable condition. </w:t>
      </w:r>
    </w:p>
    <w:p w14:paraId="698B8FC3" w14:textId="77777777" w:rsidR="002B22A0" w:rsidRPr="00F2704A" w:rsidRDefault="002B22A0" w:rsidP="00543932">
      <w:pPr>
        <w:pStyle w:val="BodyText"/>
        <w:rPr>
          <w:lang w:val="en-AU" w:eastAsia="en-GB"/>
        </w:rPr>
      </w:pPr>
      <w:r w:rsidRPr="00F2704A">
        <w:rPr>
          <w:lang w:val="en-AU" w:eastAsia="en-GB"/>
        </w:rPr>
        <w:t>Where there is no diagnosis and the patient is</w:t>
      </w:r>
      <w:r w:rsidR="008203F0" w:rsidRPr="00F2704A">
        <w:rPr>
          <w:lang w:val="en-AU" w:eastAsia="en-GB"/>
        </w:rPr>
        <w:t xml:space="preserve"> </w:t>
      </w:r>
      <w:r w:rsidRPr="00F2704A">
        <w:rPr>
          <w:lang w:val="en-AU" w:eastAsia="en-GB"/>
        </w:rPr>
        <w:t xml:space="preserve">experiencing symptoms that are medically unexplained, it is especially important to ensure that person-centred care is provided that validates, addresses and manages their symptoms as well as possible. </w:t>
      </w:r>
    </w:p>
    <w:p w14:paraId="2A172719" w14:textId="77777777" w:rsidR="002B22A0" w:rsidRPr="00661245" w:rsidRDefault="002B22A0" w:rsidP="002B22A0">
      <w:pPr>
        <w:pStyle w:val="Body"/>
        <w:rPr>
          <w:lang w:val="en-AU"/>
        </w:rPr>
      </w:pPr>
      <w:r w:rsidRPr="00F2704A">
        <w:rPr>
          <w:lang w:val="en-AU"/>
        </w:rPr>
        <w:t xml:space="preserve">The </w:t>
      </w:r>
      <w:r w:rsidR="00D17302" w:rsidRPr="00D17302">
        <w:rPr>
          <w:lang w:val="en-AU"/>
        </w:rPr>
        <w:t xml:space="preserve">Australian Commission </w:t>
      </w:r>
      <w:r w:rsidR="00D17302">
        <w:rPr>
          <w:lang w:val="en-AU"/>
        </w:rPr>
        <w:t>o</w:t>
      </w:r>
      <w:r w:rsidR="00D17302" w:rsidRPr="00D17302">
        <w:rPr>
          <w:lang w:val="en-AU"/>
        </w:rPr>
        <w:t xml:space="preserve">n Safety </w:t>
      </w:r>
      <w:r w:rsidR="00D17302">
        <w:rPr>
          <w:lang w:val="en-AU"/>
        </w:rPr>
        <w:t>a</w:t>
      </w:r>
      <w:r w:rsidR="00D17302" w:rsidRPr="00D17302">
        <w:rPr>
          <w:lang w:val="en-AU"/>
        </w:rPr>
        <w:t xml:space="preserve">nd Quality </w:t>
      </w:r>
      <w:r w:rsidR="00D17302">
        <w:rPr>
          <w:lang w:val="en-AU"/>
        </w:rPr>
        <w:t>i</w:t>
      </w:r>
      <w:r w:rsidR="00D17302" w:rsidRPr="00D17302">
        <w:rPr>
          <w:lang w:val="en-AU"/>
        </w:rPr>
        <w:t xml:space="preserve">n Health Care </w:t>
      </w:r>
      <w:r w:rsidRPr="00F2704A">
        <w:rPr>
          <w:lang w:val="en-AU"/>
        </w:rPr>
        <w:t>advises that “Person centred-care” involves</w:t>
      </w:r>
      <w:r w:rsidR="002D36C8" w:rsidRPr="00F2704A">
        <w:rPr>
          <w:lang w:val="en-AU"/>
        </w:rPr>
        <w:t>:</w:t>
      </w:r>
      <w:r w:rsidR="002D36C8" w:rsidRPr="00A94846">
        <w:rPr>
          <w:rStyle w:val="FootnoteReference"/>
        </w:rPr>
        <w:footnoteReference w:id="236"/>
      </w:r>
    </w:p>
    <w:p w14:paraId="5543BC34" w14:textId="77777777" w:rsidR="002B22A0" w:rsidRPr="00CF74AD" w:rsidRDefault="002B22A0" w:rsidP="00DF1521">
      <w:pPr>
        <w:pStyle w:val="List-BulletLvl1"/>
        <w:spacing w:after="60"/>
        <w:rPr>
          <w:lang w:val="en-AU"/>
        </w:rPr>
      </w:pPr>
      <w:r w:rsidRPr="00CF74AD">
        <w:rPr>
          <w:lang w:val="en-AU"/>
        </w:rPr>
        <w:t>seeking out and understanding what is important to the patient</w:t>
      </w:r>
    </w:p>
    <w:p w14:paraId="2297F3BB" w14:textId="77777777" w:rsidR="002B22A0" w:rsidRPr="00CF74AD" w:rsidRDefault="002B22A0" w:rsidP="00DF1521">
      <w:pPr>
        <w:pStyle w:val="List-BulletLvl1"/>
        <w:spacing w:after="60"/>
        <w:rPr>
          <w:lang w:val="en-AU"/>
        </w:rPr>
      </w:pPr>
      <w:r w:rsidRPr="00CF74AD">
        <w:rPr>
          <w:lang w:val="en-AU"/>
        </w:rPr>
        <w:t>fostering trust</w:t>
      </w:r>
    </w:p>
    <w:p w14:paraId="3A6E026F" w14:textId="77777777" w:rsidR="002B22A0" w:rsidRPr="00CF74AD" w:rsidRDefault="002B22A0" w:rsidP="00DF1521">
      <w:pPr>
        <w:pStyle w:val="List-BulletLvl1"/>
        <w:spacing w:after="60"/>
        <w:rPr>
          <w:lang w:val="en-AU"/>
        </w:rPr>
      </w:pPr>
      <w:r w:rsidRPr="00CF74AD">
        <w:rPr>
          <w:lang w:val="en-AU"/>
        </w:rPr>
        <w:t>establishing mutual respect</w:t>
      </w:r>
      <w:r w:rsidR="002D36C8" w:rsidRPr="00CF74AD">
        <w:rPr>
          <w:lang w:val="en-AU"/>
        </w:rPr>
        <w:t>,</w:t>
      </w:r>
      <w:r w:rsidRPr="00CF74AD">
        <w:rPr>
          <w:lang w:val="en-AU"/>
        </w:rPr>
        <w:t xml:space="preserve"> and </w:t>
      </w:r>
    </w:p>
    <w:p w14:paraId="29602A54" w14:textId="77777777" w:rsidR="002B22A0" w:rsidRPr="00D621FF" w:rsidRDefault="002B22A0" w:rsidP="002B22A0">
      <w:pPr>
        <w:pStyle w:val="List-BulletLvl1"/>
        <w:rPr>
          <w:lang w:val="en-AU"/>
        </w:rPr>
      </w:pPr>
      <w:r w:rsidRPr="00CF74AD">
        <w:rPr>
          <w:lang w:val="en-AU"/>
        </w:rPr>
        <w:lastRenderedPageBreak/>
        <w:t>working together to share decisions and plan care</w:t>
      </w:r>
      <w:r w:rsidR="002D36C8" w:rsidRPr="00D621FF">
        <w:rPr>
          <w:lang w:val="en-AU"/>
        </w:rPr>
        <w:t>.</w:t>
      </w:r>
    </w:p>
    <w:p w14:paraId="69448F5C" w14:textId="77777777" w:rsidR="002B22A0" w:rsidRPr="004D3350" w:rsidRDefault="002B22A0" w:rsidP="00543932">
      <w:pPr>
        <w:pStyle w:val="BodyText"/>
        <w:rPr>
          <w:rFonts w:cs="Cambria"/>
          <w:lang w:val="en-AU"/>
        </w:rPr>
      </w:pPr>
      <w:r w:rsidRPr="004D3350">
        <w:rPr>
          <w:rFonts w:cs="Cambria"/>
          <w:color w:val="191919"/>
          <w:lang w:val="en-AU"/>
        </w:rPr>
        <w:t>Key dimensions include respect, emotional support, physical comfort, information and communication, continuity and transition, care coordination, access to care, and partnerships with patients, carers and family in the design and delivery of care</w:t>
      </w:r>
      <w:r w:rsidR="002D36C8" w:rsidRPr="004D3350">
        <w:rPr>
          <w:rFonts w:cs="Cambria"/>
          <w:color w:val="191919"/>
          <w:lang w:val="en-AU"/>
        </w:rPr>
        <w:t>.</w:t>
      </w:r>
      <w:r w:rsidRPr="00A94846">
        <w:rPr>
          <w:rStyle w:val="FootnoteReference"/>
        </w:rPr>
        <w:footnoteReference w:id="237"/>
      </w:r>
    </w:p>
    <w:p w14:paraId="063CBB21" w14:textId="77777777" w:rsidR="007D44F8" w:rsidRPr="00D621FF" w:rsidRDefault="003B2A8D" w:rsidP="00543932">
      <w:pPr>
        <w:pStyle w:val="BodyText"/>
        <w:rPr>
          <w:lang w:val="en-AU"/>
        </w:rPr>
      </w:pPr>
      <w:r w:rsidRPr="00CF74AD">
        <w:rPr>
          <w:lang w:val="en-AU" w:eastAsia="en-GB"/>
        </w:rPr>
        <w:t>Patients should be treated symptomatically and are also encouraged to consider the potential for harm with complementary medicines</w:t>
      </w:r>
      <w:r w:rsidR="001207C8" w:rsidRPr="00CF74AD">
        <w:rPr>
          <w:lang w:val="en-AU" w:eastAsia="en-GB"/>
        </w:rPr>
        <w:t xml:space="preserve"> for which there is no evidence</w:t>
      </w:r>
      <w:r w:rsidRPr="00CF74AD">
        <w:rPr>
          <w:lang w:val="en-AU" w:eastAsia="en-GB"/>
        </w:rPr>
        <w:t xml:space="preserve"> in those with comorbidities. </w:t>
      </w:r>
      <w:r w:rsidR="00543932" w:rsidRPr="00CF74AD">
        <w:rPr>
          <w:lang w:val="en-AU"/>
        </w:rPr>
        <w:t>All people with</w:t>
      </w:r>
      <w:r w:rsidR="00E95374">
        <w:rPr>
          <w:lang w:val="en-AU"/>
        </w:rPr>
        <w:t xml:space="preserve"> MUS</w:t>
      </w:r>
      <w:r w:rsidR="00543932" w:rsidRPr="00CF74AD">
        <w:rPr>
          <w:lang w:val="en-AU"/>
        </w:rPr>
        <w:t xml:space="preserve">, (including those </w:t>
      </w:r>
      <w:r w:rsidR="00356807">
        <w:rPr>
          <w:lang w:val="en-AU"/>
        </w:rPr>
        <w:t>identifying as experiencing</w:t>
      </w:r>
      <w:r w:rsidR="007C3F3A">
        <w:rPr>
          <w:lang w:val="en-AU"/>
        </w:rPr>
        <w:t xml:space="preserve"> </w:t>
      </w:r>
      <w:r w:rsidR="006118E9">
        <w:rPr>
          <w:lang w:val="en-AU"/>
        </w:rPr>
        <w:t xml:space="preserve">the symptoms associated with </w:t>
      </w:r>
      <w:r w:rsidR="00543932" w:rsidRPr="00CF74AD">
        <w:rPr>
          <w:lang w:val="en-AU"/>
        </w:rPr>
        <w:t>DSCATT) can be assist</w:t>
      </w:r>
      <w:r w:rsidR="00543932" w:rsidRPr="00D621FF">
        <w:rPr>
          <w:lang w:val="en-AU"/>
        </w:rPr>
        <w:t>ed to have an improved quality of life with good care in a partnership between patient and the health care team.</w:t>
      </w:r>
    </w:p>
    <w:p w14:paraId="62E39A62" w14:textId="77777777" w:rsidR="002B22A0" w:rsidRPr="004D3350" w:rsidRDefault="00862F80" w:rsidP="00862F80">
      <w:pPr>
        <w:pStyle w:val="BodyText"/>
        <w:rPr>
          <w:rFonts w:cs="Cambria"/>
          <w:lang w:val="en-AU"/>
        </w:rPr>
      </w:pPr>
      <w:r w:rsidRPr="004D3350">
        <w:rPr>
          <w:rFonts w:cs="Cambria"/>
          <w:lang w:val="en-AU"/>
        </w:rPr>
        <w:t xml:space="preserve">International and Australian guidelines provide evidence-based, practical and consistent recommendations for people that can be applied to patients with </w:t>
      </w:r>
      <w:r w:rsidR="00CB2888" w:rsidRPr="004D3350">
        <w:rPr>
          <w:rFonts w:cs="Cambria"/>
          <w:lang w:val="en-AU"/>
        </w:rPr>
        <w:t xml:space="preserve">the symptom complex described as </w:t>
      </w:r>
      <w:r w:rsidRPr="004D3350">
        <w:rPr>
          <w:rFonts w:cs="Cambria"/>
          <w:lang w:val="en-AU"/>
        </w:rPr>
        <w:t>DSCATT. Good communication and empathy are important. Patients’ concerns need to be taken seriously and their symptoms acknowledged and alleviated.</w:t>
      </w:r>
      <w:r w:rsidR="002B22A0" w:rsidRPr="004D3350">
        <w:rPr>
          <w:rFonts w:cs="Cambria"/>
          <w:lang w:val="en-AU"/>
        </w:rPr>
        <w:t xml:space="preserve"> </w:t>
      </w:r>
    </w:p>
    <w:p w14:paraId="50A680AF" w14:textId="77777777" w:rsidR="00785719" w:rsidRDefault="00862F80" w:rsidP="00862F80">
      <w:pPr>
        <w:pStyle w:val="BodyText"/>
        <w:rPr>
          <w:lang w:val="en-AU"/>
        </w:rPr>
      </w:pPr>
      <w:r w:rsidRPr="001F23F4">
        <w:rPr>
          <w:lang w:val="en-AU"/>
        </w:rPr>
        <w:t xml:space="preserve">The most common unexplained symptoms reported by patients experiencing DSCATT include fatigue, disordered thinking, sensory disturbance, arthralgia, </w:t>
      </w:r>
      <w:r w:rsidR="00DC548E" w:rsidRPr="001F23F4">
        <w:rPr>
          <w:lang w:val="en-AU"/>
        </w:rPr>
        <w:t>and headache</w:t>
      </w:r>
      <w:r w:rsidR="002D36C8" w:rsidRPr="001F23F4">
        <w:rPr>
          <w:lang w:val="en-AU"/>
        </w:rPr>
        <w:t>.</w:t>
      </w:r>
      <w:r w:rsidRPr="00A94846">
        <w:rPr>
          <w:rStyle w:val="FootnoteReference"/>
        </w:rPr>
        <w:footnoteReference w:id="238"/>
      </w:r>
      <w:r w:rsidR="00BA35CB" w:rsidRPr="001F23F4">
        <w:rPr>
          <w:lang w:val="en-AU"/>
        </w:rPr>
        <w:t xml:space="preserve"> </w:t>
      </w:r>
      <w:r w:rsidRPr="001F23F4">
        <w:rPr>
          <w:lang w:val="en-AU"/>
        </w:rPr>
        <w:t xml:space="preserve">These </w:t>
      </w:r>
      <w:r w:rsidR="00C447AF" w:rsidRPr="001F23F4">
        <w:rPr>
          <w:lang w:val="en-AU"/>
        </w:rPr>
        <w:t xml:space="preserve">symptoms </w:t>
      </w:r>
      <w:r w:rsidRPr="001F23F4">
        <w:rPr>
          <w:lang w:val="en-AU"/>
        </w:rPr>
        <w:t xml:space="preserve">can </w:t>
      </w:r>
      <w:r w:rsidR="00C447AF" w:rsidRPr="00E6548B">
        <w:rPr>
          <w:lang w:val="en-AU"/>
        </w:rPr>
        <w:t xml:space="preserve">have </w:t>
      </w:r>
      <w:r w:rsidRPr="001F23F4">
        <w:rPr>
          <w:lang w:val="en-AU"/>
        </w:rPr>
        <w:t>multiple different causes, depending on the particular symptoms</w:t>
      </w:r>
      <w:r w:rsidR="00C447AF" w:rsidRPr="001F23F4">
        <w:rPr>
          <w:lang w:val="en-AU"/>
        </w:rPr>
        <w:t>,</w:t>
      </w:r>
      <w:r w:rsidRPr="001F23F4">
        <w:rPr>
          <w:lang w:val="en-AU"/>
        </w:rPr>
        <w:t xml:space="preserve"> cluster, </w:t>
      </w:r>
      <w:r w:rsidR="00C447AF" w:rsidRPr="001F23F4">
        <w:rPr>
          <w:lang w:val="en-AU"/>
        </w:rPr>
        <w:t xml:space="preserve">and </w:t>
      </w:r>
      <w:r w:rsidRPr="001F23F4">
        <w:rPr>
          <w:lang w:val="en-AU"/>
        </w:rPr>
        <w:t>timeframe of symptom</w:t>
      </w:r>
      <w:r w:rsidR="00C447AF" w:rsidRPr="001F23F4">
        <w:rPr>
          <w:lang w:val="en-AU"/>
        </w:rPr>
        <w:t>(s).</w:t>
      </w:r>
      <w:r w:rsidR="00C447AF" w:rsidRPr="00F2704A">
        <w:rPr>
          <w:lang w:val="en-AU"/>
        </w:rPr>
        <w:t xml:space="preserve"> </w:t>
      </w:r>
      <w:r w:rsidR="000219E0">
        <w:rPr>
          <w:lang w:val="en-AU"/>
        </w:rPr>
        <w:t xml:space="preserve">For patients with MUS, and </w:t>
      </w:r>
      <w:r w:rsidR="00D17A06">
        <w:rPr>
          <w:lang w:val="en-AU"/>
        </w:rPr>
        <w:t xml:space="preserve">equally </w:t>
      </w:r>
      <w:r w:rsidR="001F23F4">
        <w:rPr>
          <w:lang w:val="en-AU"/>
        </w:rPr>
        <w:t xml:space="preserve">for </w:t>
      </w:r>
      <w:r w:rsidR="00B50C8F">
        <w:rPr>
          <w:lang w:val="en-AU"/>
        </w:rPr>
        <w:t xml:space="preserve">patients </w:t>
      </w:r>
      <w:r w:rsidR="000219E0">
        <w:rPr>
          <w:lang w:val="en-AU"/>
        </w:rPr>
        <w:t xml:space="preserve">identifying as </w:t>
      </w:r>
      <w:r w:rsidR="00B50C8F">
        <w:rPr>
          <w:lang w:val="en-AU"/>
        </w:rPr>
        <w:t xml:space="preserve">experiencing </w:t>
      </w:r>
      <w:r w:rsidR="000219E0">
        <w:rPr>
          <w:lang w:val="en-AU"/>
        </w:rPr>
        <w:t xml:space="preserve">symptoms associated with </w:t>
      </w:r>
      <w:r w:rsidR="00B50C8F">
        <w:rPr>
          <w:lang w:val="en-AU"/>
        </w:rPr>
        <w:t xml:space="preserve">DSCATT, </w:t>
      </w:r>
      <w:r w:rsidR="000219E0">
        <w:rPr>
          <w:lang w:val="en-AU"/>
        </w:rPr>
        <w:t>it is also important to provide support to assist them to manage distressing symptoms and</w:t>
      </w:r>
      <w:r w:rsidR="0049649B">
        <w:rPr>
          <w:lang w:val="en-AU"/>
        </w:rPr>
        <w:t xml:space="preserve"> any</w:t>
      </w:r>
      <w:r w:rsidR="000219E0">
        <w:rPr>
          <w:lang w:val="en-AU"/>
        </w:rPr>
        <w:t xml:space="preserve"> disability that accompanies them</w:t>
      </w:r>
      <w:r w:rsidR="003F008F">
        <w:rPr>
          <w:lang w:val="en-AU"/>
        </w:rPr>
        <w:t>.</w:t>
      </w:r>
      <w:r w:rsidR="00785719" w:rsidRPr="00A94846">
        <w:rPr>
          <w:rStyle w:val="FootnoteReference"/>
        </w:rPr>
        <w:footnoteReference w:id="239"/>
      </w:r>
      <w:r w:rsidR="00785719">
        <w:rPr>
          <w:lang w:val="en-AU"/>
        </w:rPr>
        <w:t xml:space="preserve"> </w:t>
      </w:r>
    </w:p>
    <w:p w14:paraId="1EA3A6AC" w14:textId="77777777" w:rsidR="00862F80" w:rsidRPr="00F2704A" w:rsidRDefault="00785719" w:rsidP="00862F80">
      <w:pPr>
        <w:pStyle w:val="BodyText"/>
        <w:rPr>
          <w:lang w:val="en-AU"/>
        </w:rPr>
      </w:pPr>
      <w:r>
        <w:rPr>
          <w:lang w:val="en-AU"/>
        </w:rPr>
        <w:t>It is important to help patients understand that the mind and body are interconnected in complex ways, and that holistic care is often essential to improve health. It may be useful for the patient to encourage psychological care to address the impact of the illness and underlying issues that may exacerbate symptoms</w:t>
      </w:r>
      <w:r w:rsidR="003F008F">
        <w:rPr>
          <w:lang w:val="en-AU"/>
        </w:rPr>
        <w:t>.</w:t>
      </w:r>
      <w:r w:rsidR="000219E0" w:rsidRPr="00A94846">
        <w:rPr>
          <w:rStyle w:val="FootnoteReference"/>
        </w:rPr>
        <w:footnoteReference w:id="240"/>
      </w:r>
    </w:p>
    <w:p w14:paraId="073DD9F2" w14:textId="77777777" w:rsidR="00C63A41" w:rsidRPr="00F2704A" w:rsidRDefault="00C63A41" w:rsidP="00862F80">
      <w:pPr>
        <w:pStyle w:val="BodyText"/>
        <w:rPr>
          <w:lang w:val="en-AU"/>
        </w:rPr>
      </w:pPr>
      <w:r w:rsidRPr="00F2704A">
        <w:rPr>
          <w:lang w:val="en-AU"/>
        </w:rPr>
        <w:t xml:space="preserve">It is important to note that DSCATT is a symptom complex, not a diagnosable disease, and therefore, </w:t>
      </w:r>
      <w:r w:rsidRPr="00F2704A">
        <w:rPr>
          <w:b/>
          <w:lang w:val="en-AU"/>
        </w:rPr>
        <w:t>a patient</w:t>
      </w:r>
      <w:r w:rsidRPr="00F2704A">
        <w:rPr>
          <w:lang w:val="en-AU"/>
        </w:rPr>
        <w:t xml:space="preserve"> </w:t>
      </w:r>
      <w:r w:rsidRPr="00F2704A">
        <w:rPr>
          <w:b/>
          <w:lang w:val="en-AU"/>
        </w:rPr>
        <w:t>cannot be given a</w:t>
      </w:r>
      <w:r w:rsidRPr="00F2704A">
        <w:rPr>
          <w:lang w:val="en-AU"/>
        </w:rPr>
        <w:t xml:space="preserve"> </w:t>
      </w:r>
      <w:r w:rsidRPr="00F2704A">
        <w:rPr>
          <w:b/>
          <w:bCs/>
          <w:lang w:val="en-AU"/>
        </w:rPr>
        <w:t xml:space="preserve">diagnosis </w:t>
      </w:r>
      <w:r w:rsidRPr="00F2704A">
        <w:rPr>
          <w:b/>
          <w:lang w:val="en-AU"/>
        </w:rPr>
        <w:t>of DSCATT.</w:t>
      </w:r>
      <w:r w:rsidRPr="00F2704A">
        <w:rPr>
          <w:lang w:val="en-AU"/>
        </w:rPr>
        <w:t xml:space="preserve"> </w:t>
      </w:r>
    </w:p>
    <w:p w14:paraId="6ADEDB00" w14:textId="77777777" w:rsidR="000E3796" w:rsidRPr="004D3350" w:rsidRDefault="000E3796" w:rsidP="000E3796">
      <w:pPr>
        <w:pStyle w:val="BodyText"/>
        <w:rPr>
          <w:rFonts w:cs="Cambria"/>
          <w:color w:val="221E20"/>
          <w:lang w:val="en-AU"/>
        </w:rPr>
      </w:pPr>
      <w:r w:rsidRPr="004D3350">
        <w:rPr>
          <w:rFonts w:cs="Cambria"/>
          <w:color w:val="221E20"/>
          <w:lang w:val="en-AU"/>
        </w:rPr>
        <w:t>For children for whom no diagnosis can be established and who have unresolved symptoms, referral to a paediatrician should be considered.</w:t>
      </w:r>
    </w:p>
    <w:p w14:paraId="028470C9" w14:textId="77777777" w:rsidR="00DB1B05" w:rsidRPr="00F2704A" w:rsidRDefault="00DB1B05" w:rsidP="00DB1B05">
      <w:pPr>
        <w:pStyle w:val="NumberedHeading3"/>
        <w:rPr>
          <w:lang w:val="en-AU"/>
        </w:rPr>
      </w:pPr>
      <w:bookmarkStart w:id="118" w:name="_Toc55464812"/>
      <w:r w:rsidRPr="00F2704A">
        <w:rPr>
          <w:lang w:val="en-AU"/>
        </w:rPr>
        <w:t>Medically Unexplained Symptoms</w:t>
      </w:r>
      <w:bookmarkEnd w:id="118"/>
    </w:p>
    <w:p w14:paraId="2DE78425" w14:textId="77777777" w:rsidR="00DB1B05" w:rsidRPr="00CF74AD" w:rsidRDefault="00DB1B05" w:rsidP="00DB1B05">
      <w:pPr>
        <w:pStyle w:val="BodyText"/>
        <w:rPr>
          <w:lang w:val="en-AU"/>
        </w:rPr>
      </w:pPr>
      <w:r w:rsidRPr="00F2704A">
        <w:rPr>
          <w:lang w:val="en-AU"/>
        </w:rPr>
        <w:t>MUS are defined as physical symptoms persisting for more than several weeks and for which adequate medical examination has not revealed a condition that adequately explains the symptoms.</w:t>
      </w:r>
      <w:r w:rsidRPr="00A94846">
        <w:rPr>
          <w:rStyle w:val="FootnoteReference"/>
        </w:rPr>
        <w:footnoteReference w:id="241"/>
      </w:r>
      <w:r w:rsidRPr="00661245">
        <w:rPr>
          <w:lang w:val="en-AU"/>
        </w:rPr>
        <w:t xml:space="preserve"> Patients with </w:t>
      </w:r>
      <w:r w:rsidR="00E95374">
        <w:rPr>
          <w:lang w:val="en-AU"/>
        </w:rPr>
        <w:t xml:space="preserve">MUS </w:t>
      </w:r>
      <w:r w:rsidRPr="00CF74AD">
        <w:rPr>
          <w:lang w:val="en-AU"/>
        </w:rPr>
        <w:t xml:space="preserve">may be very unwell and require complex care. People experiencing debilitating symptoms attributed to ticks, without any definitive diagnosis could be considered to fall within the definition of MUS. A recent review of </w:t>
      </w:r>
      <w:r w:rsidR="00E95374">
        <w:rPr>
          <w:lang w:val="en-AU"/>
        </w:rPr>
        <w:t xml:space="preserve">MUS </w:t>
      </w:r>
      <w:r w:rsidRPr="00CF74AD">
        <w:rPr>
          <w:lang w:val="en-AU"/>
        </w:rPr>
        <w:t>guidelines in Europe</w:t>
      </w:r>
      <w:r w:rsidRPr="00A94846">
        <w:rPr>
          <w:rStyle w:val="FootnoteReference"/>
        </w:rPr>
        <w:footnoteReference w:id="242"/>
      </w:r>
      <w:r w:rsidRPr="00661245">
        <w:rPr>
          <w:lang w:val="en-AU"/>
        </w:rPr>
        <w:t xml:space="preserve"> estimates that between 3-11</w:t>
      </w:r>
      <w:r w:rsidRPr="00CF74AD">
        <w:rPr>
          <w:lang w:val="en-AU"/>
        </w:rPr>
        <w:t xml:space="preserve"> </w:t>
      </w:r>
      <w:r w:rsidR="00CF74AD">
        <w:rPr>
          <w:lang w:val="en-AU"/>
        </w:rPr>
        <w:t>per cent</w:t>
      </w:r>
      <w:r w:rsidRPr="00CF74AD">
        <w:rPr>
          <w:lang w:val="en-AU"/>
        </w:rPr>
        <w:t xml:space="preserve"> of patients visiting general practice repeatedly consult their GP for MUS. However, this finding might not be entirely applicable to Australia. </w:t>
      </w:r>
      <w:r w:rsidR="00E95374">
        <w:rPr>
          <w:lang w:val="en-AU"/>
        </w:rPr>
        <w:t xml:space="preserve">MUS </w:t>
      </w:r>
      <w:r w:rsidRPr="00CF74AD">
        <w:rPr>
          <w:lang w:val="en-AU"/>
        </w:rPr>
        <w:t xml:space="preserve">exist along a continuum ranging from self-limiting symptoms to recurrent and persistent symptoms through to symptom disorders. </w:t>
      </w:r>
    </w:p>
    <w:p w14:paraId="25C550F8" w14:textId="77777777" w:rsidR="00DB1B05" w:rsidRPr="004D3350" w:rsidRDefault="00DB1B05" w:rsidP="00DB1B05">
      <w:pPr>
        <w:pStyle w:val="BodyText"/>
        <w:spacing w:after="80"/>
        <w:rPr>
          <w:rFonts w:cs="Cambria"/>
          <w:lang w:val="en-AU"/>
        </w:rPr>
      </w:pPr>
      <w:r w:rsidRPr="004D3350">
        <w:rPr>
          <w:rFonts w:cs="Cambria"/>
          <w:lang w:val="en-AU"/>
        </w:rPr>
        <w:lastRenderedPageBreak/>
        <w:t>Advice from the RACGP</w:t>
      </w:r>
      <w:r w:rsidRPr="00A94846">
        <w:rPr>
          <w:rStyle w:val="FootnoteReference"/>
        </w:rPr>
        <w:footnoteReference w:id="243"/>
      </w:r>
      <w:r w:rsidRPr="004D3350">
        <w:rPr>
          <w:rFonts w:cs="Cambria"/>
          <w:lang w:val="en-AU"/>
        </w:rPr>
        <w:t xml:space="preserve"> and the review of the international </w:t>
      </w:r>
      <w:r w:rsidR="00B10F70" w:rsidRPr="004D3350">
        <w:rPr>
          <w:rFonts w:cs="Cambria"/>
          <w:lang w:val="en-AU"/>
        </w:rPr>
        <w:t xml:space="preserve">MUS </w:t>
      </w:r>
      <w:r w:rsidRPr="004D3350">
        <w:rPr>
          <w:rFonts w:cs="Cambria"/>
          <w:lang w:val="en-AU"/>
        </w:rPr>
        <w:t>guidelines by Olde Hartman et al</w:t>
      </w:r>
      <w:r w:rsidRPr="00A94846">
        <w:rPr>
          <w:rStyle w:val="FootnoteReference"/>
        </w:rPr>
        <w:footnoteReference w:id="244"/>
      </w:r>
      <w:r w:rsidRPr="004D3350">
        <w:rPr>
          <w:rFonts w:cs="Cambria"/>
          <w:lang w:val="en-AU"/>
        </w:rPr>
        <w:t xml:space="preserve"> summarising guidelines from the Netherlands, Denmark, UK and Germany (two of which provide evidence graded recommendations) is consistent. Patients with </w:t>
      </w:r>
      <w:r w:rsidR="00E95374" w:rsidRPr="004D3350">
        <w:rPr>
          <w:rFonts w:cs="Cambria"/>
          <w:lang w:val="en-AU"/>
        </w:rPr>
        <w:t xml:space="preserve">MUS </w:t>
      </w:r>
      <w:r w:rsidRPr="004D3350">
        <w:rPr>
          <w:rFonts w:cs="Cambria"/>
          <w:lang w:val="en-AU"/>
        </w:rPr>
        <w:t>often feel stigmatised and not taken seriously. To manage these concerns, all guidelines recommend:</w:t>
      </w:r>
    </w:p>
    <w:p w14:paraId="1DBFF630" w14:textId="77777777" w:rsidR="00DB1B05" w:rsidRPr="00CF74AD" w:rsidRDefault="00DB1B05" w:rsidP="00DB129C">
      <w:pPr>
        <w:pStyle w:val="List-BulletLvl1"/>
        <w:spacing w:after="60"/>
        <w:rPr>
          <w:lang w:val="en-AU"/>
        </w:rPr>
      </w:pPr>
      <w:r w:rsidRPr="00CF74AD">
        <w:rPr>
          <w:lang w:val="en-AU"/>
        </w:rPr>
        <w:t>highlighting the importance of paying attention to the doctor-patient relationship</w:t>
      </w:r>
    </w:p>
    <w:p w14:paraId="68545CD6" w14:textId="77777777" w:rsidR="00DB1B05" w:rsidRPr="00CF74AD" w:rsidRDefault="00DB1B05" w:rsidP="00DB129C">
      <w:pPr>
        <w:pStyle w:val="List-BulletLvl1"/>
        <w:spacing w:after="60"/>
        <w:rPr>
          <w:lang w:val="en-AU"/>
        </w:rPr>
      </w:pPr>
      <w:r w:rsidRPr="00CF74AD">
        <w:rPr>
          <w:lang w:val="en-AU"/>
        </w:rPr>
        <w:t>providing an individualised approach that recognises the patient’s illness and taking the patient’s symptoms seriously</w:t>
      </w:r>
    </w:p>
    <w:p w14:paraId="077A6FF0" w14:textId="77777777" w:rsidR="00DB1B05" w:rsidRPr="00D621FF" w:rsidRDefault="00DB1B05" w:rsidP="00DB129C">
      <w:pPr>
        <w:pStyle w:val="List-BulletLvl1"/>
        <w:spacing w:after="60"/>
        <w:rPr>
          <w:lang w:val="en-AU"/>
        </w:rPr>
      </w:pPr>
      <w:r w:rsidRPr="00CF74AD">
        <w:rPr>
          <w:lang w:val="en-AU"/>
        </w:rPr>
        <w:t>demonstra</w:t>
      </w:r>
      <w:r w:rsidRPr="00D621FF">
        <w:rPr>
          <w:lang w:val="en-AU"/>
        </w:rPr>
        <w:t>ting empathy with consultations aiming to validate the patient’s distress</w:t>
      </w:r>
    </w:p>
    <w:p w14:paraId="7F24F6C4" w14:textId="77777777" w:rsidR="00DB1B05" w:rsidRPr="00CF74AD" w:rsidRDefault="00DB1B05" w:rsidP="00DB129C">
      <w:pPr>
        <w:pStyle w:val="List-BulletLvl1"/>
        <w:spacing w:after="60"/>
        <w:rPr>
          <w:lang w:val="en-AU"/>
        </w:rPr>
      </w:pPr>
      <w:r w:rsidRPr="00D621FF">
        <w:rPr>
          <w:lang w:val="en-AU"/>
        </w:rPr>
        <w:t xml:space="preserve">highlighting the importance of providing an explanation in the patient’s language about the possible causes of their symptoms (Patients benefit from an explanation that makes sense, </w:t>
      </w:r>
      <w:r w:rsidRPr="00FA6D54">
        <w:rPr>
          <w:lang w:val="en-AU"/>
        </w:rPr>
        <w:t>removes blame from the patient, generates ideas on how to manage the symptoms. The 2011 UK guidance published by the Royal College of General Practitioners in the UK, advises that GPs should be explicit about their thoughts, uncertainties and expectations of referrals to specialist care</w:t>
      </w:r>
      <w:r w:rsidRPr="00A94846">
        <w:rPr>
          <w:rStyle w:val="FootnoteReference"/>
        </w:rPr>
        <w:footnoteReference w:id="245"/>
      </w:r>
      <w:r w:rsidRPr="00661245">
        <w:rPr>
          <w:lang w:val="en-AU"/>
        </w:rPr>
        <w:t>)</w:t>
      </w:r>
      <w:r w:rsidRPr="00CF74AD">
        <w:rPr>
          <w:lang w:val="en-AU"/>
        </w:rPr>
        <w:t>, and</w:t>
      </w:r>
    </w:p>
    <w:p w14:paraId="481BC054" w14:textId="77777777" w:rsidR="00DB1B05" w:rsidRPr="00CF74AD" w:rsidRDefault="00DB1B05" w:rsidP="00DB1B05">
      <w:pPr>
        <w:pStyle w:val="List-BulletLvl1"/>
        <w:rPr>
          <w:lang w:val="en-AU"/>
        </w:rPr>
      </w:pPr>
      <w:r w:rsidRPr="00CF74AD">
        <w:rPr>
          <w:lang w:val="en-AU"/>
        </w:rPr>
        <w:t>caution that “</w:t>
      </w:r>
      <w:r w:rsidRPr="00CF74AD">
        <w:rPr>
          <w:i/>
          <w:iCs/>
          <w:lang w:val="en-AU"/>
        </w:rPr>
        <w:t>patients with persistent [medically unexplained symptoms] suffer from their symptoms, are functionally impaired, and are at risk of potentially harmful additional testing and treatment”</w:t>
      </w:r>
      <w:r w:rsidR="00452EE3">
        <w:rPr>
          <w:lang w:val="en-AU"/>
        </w:rPr>
        <w:t>.</w:t>
      </w:r>
      <w:r w:rsidRPr="00A94846">
        <w:rPr>
          <w:rStyle w:val="FootnoteReference"/>
        </w:rPr>
        <w:footnoteReference w:id="246"/>
      </w:r>
      <w:r w:rsidRPr="00661245">
        <w:rPr>
          <w:lang w:val="en-AU"/>
        </w:rPr>
        <w:t xml:space="preserve"> </w:t>
      </w:r>
    </w:p>
    <w:p w14:paraId="6BAE2B8F" w14:textId="77777777" w:rsidR="00DB1B05" w:rsidRPr="004D3350" w:rsidRDefault="00DB1B05" w:rsidP="00DB1B05">
      <w:pPr>
        <w:pStyle w:val="BodyText"/>
        <w:rPr>
          <w:rFonts w:cs="Cambria"/>
          <w:color w:val="221E20"/>
          <w:lang w:val="en-AU"/>
        </w:rPr>
      </w:pPr>
      <w:r w:rsidRPr="004D3350">
        <w:rPr>
          <w:rFonts w:cs="Cambria"/>
          <w:color w:val="221E20"/>
          <w:lang w:val="en-AU"/>
        </w:rPr>
        <w:t xml:space="preserve">A qualitative study into the experiences of patients identifying with </w:t>
      </w:r>
      <w:r w:rsidR="00927701" w:rsidRPr="004D3350">
        <w:rPr>
          <w:rFonts w:cs="Cambria"/>
          <w:color w:val="221E20"/>
          <w:lang w:val="en-AU"/>
        </w:rPr>
        <w:t>‘</w:t>
      </w:r>
      <w:r w:rsidRPr="004D3350">
        <w:rPr>
          <w:rFonts w:cs="Cambria"/>
          <w:color w:val="221E20"/>
          <w:lang w:val="en-AU"/>
        </w:rPr>
        <w:t>chronic Lyme disease</w:t>
      </w:r>
      <w:r w:rsidR="00927701" w:rsidRPr="004D3350">
        <w:rPr>
          <w:rFonts w:cs="Cambria"/>
          <w:color w:val="221E20"/>
          <w:lang w:val="en-AU"/>
        </w:rPr>
        <w:t>’</w:t>
      </w:r>
      <w:r w:rsidRPr="004D3350">
        <w:rPr>
          <w:rFonts w:cs="Cambria"/>
          <w:color w:val="221E20"/>
          <w:lang w:val="en-AU"/>
        </w:rPr>
        <w:t xml:space="preserve"> reported on the importance of actively engaged and sympathetic clinical encounters. They showed that where patient concerns are fully acknowledged and addressed, they experience greater satisfaction with their healthcare.</w:t>
      </w:r>
      <w:r w:rsidRPr="00A94846">
        <w:rPr>
          <w:rStyle w:val="FootnoteReference"/>
        </w:rPr>
        <w:footnoteReference w:id="247"/>
      </w:r>
    </w:p>
    <w:p w14:paraId="13C9ED03" w14:textId="77777777" w:rsidR="001F23F4" w:rsidRPr="004D3350" w:rsidRDefault="001F23F4" w:rsidP="00DB1B05">
      <w:pPr>
        <w:pStyle w:val="BodyText"/>
        <w:rPr>
          <w:rFonts w:cs="Cambria"/>
          <w:color w:val="221E20"/>
          <w:lang w:val="en-AU"/>
        </w:rPr>
      </w:pPr>
      <w:r w:rsidRPr="00661245">
        <w:rPr>
          <w:lang w:val="en-AU"/>
        </w:rPr>
        <w:t>Having a</w:t>
      </w:r>
      <w:r w:rsidR="00292DD9">
        <w:rPr>
          <w:lang w:val="en-AU"/>
        </w:rPr>
        <w:t>ny</w:t>
      </w:r>
      <w:r w:rsidRPr="00661245">
        <w:rPr>
          <w:lang w:val="en-AU"/>
        </w:rPr>
        <w:t xml:space="preserve"> chronic medical condition of any cause increases the likelihood of mental</w:t>
      </w:r>
      <w:r w:rsidRPr="00CF74AD">
        <w:rPr>
          <w:lang w:val="en-AU"/>
        </w:rPr>
        <w:t xml:space="preserve"> health conditions, which in turn can lead to poorer outcomes. </w:t>
      </w:r>
      <w:r>
        <w:rPr>
          <w:lang w:val="en-AU"/>
        </w:rPr>
        <w:t>An article on managing medically unexplained illness in general practice published by RACGP</w:t>
      </w:r>
      <w:r w:rsidR="00292DD9">
        <w:rPr>
          <w:lang w:val="en-AU"/>
        </w:rPr>
        <w:t>,</w:t>
      </w:r>
      <w:r>
        <w:rPr>
          <w:lang w:val="en-AU"/>
        </w:rPr>
        <w:t xml:space="preserve"> notes </w:t>
      </w:r>
      <w:r w:rsidR="00292DD9">
        <w:rPr>
          <w:lang w:val="en-AU"/>
        </w:rPr>
        <w:t xml:space="preserve">that </w:t>
      </w:r>
      <w:r>
        <w:rPr>
          <w:lang w:val="en-AU"/>
        </w:rPr>
        <w:t>a</w:t>
      </w:r>
      <w:r w:rsidRPr="00CF74AD">
        <w:rPr>
          <w:lang w:val="en-AU"/>
        </w:rPr>
        <w:t>cknowledging the difficulty of chronic symptoms and supporting the important mental health strategies is vital to person centred care in chronic disease.</w:t>
      </w:r>
      <w:r w:rsidRPr="00A94846">
        <w:rPr>
          <w:rStyle w:val="FootnoteReference"/>
        </w:rPr>
        <w:footnoteReference w:id="248"/>
      </w:r>
      <w:r w:rsidRPr="00661245">
        <w:rPr>
          <w:lang w:val="en-AU"/>
        </w:rPr>
        <w:t xml:space="preserve"> </w:t>
      </w:r>
      <w:r>
        <w:rPr>
          <w:lang w:val="en-AU"/>
        </w:rPr>
        <w:t>Additionally, all patients with MUS need support to manage distressing symptoms and the disability that accompanies them</w:t>
      </w:r>
      <w:r w:rsidR="003F008F">
        <w:rPr>
          <w:lang w:val="en-AU"/>
        </w:rPr>
        <w:t>.</w:t>
      </w:r>
      <w:r w:rsidRPr="00A94846">
        <w:rPr>
          <w:rStyle w:val="FootnoteReference"/>
        </w:rPr>
        <w:footnoteReference w:id="249"/>
      </w:r>
      <w:r w:rsidR="003F008F">
        <w:rPr>
          <w:lang w:val="en-AU"/>
        </w:rPr>
        <w:t xml:space="preserve"> </w:t>
      </w:r>
      <w:r>
        <w:rPr>
          <w:lang w:val="en-AU"/>
        </w:rPr>
        <w:t>Helping patients understand that the mind and body are interconnected in complex ways and that holistic care is often essential to improve health is important. Reattribution</w:t>
      </w:r>
      <w:r w:rsidR="00924B5F">
        <w:rPr>
          <w:lang w:val="en-AU"/>
        </w:rPr>
        <w:t xml:space="preserve">, </w:t>
      </w:r>
      <w:r>
        <w:rPr>
          <w:lang w:val="en-AU"/>
        </w:rPr>
        <w:t>the technique of shifting the focus away from only physical symptoms and biomedical diagnoses to a more holistic understanding of illness</w:t>
      </w:r>
      <w:r w:rsidR="00D51330">
        <w:rPr>
          <w:lang w:val="en-AU"/>
        </w:rPr>
        <w:t>,</w:t>
      </w:r>
      <w:r>
        <w:rPr>
          <w:lang w:val="en-AU"/>
        </w:rPr>
        <w:t xml:space="preserve"> was noted as a useful technique in primary care.</w:t>
      </w:r>
      <w:r w:rsidRPr="00A94846">
        <w:rPr>
          <w:rStyle w:val="FootnoteReference"/>
        </w:rPr>
        <w:footnoteReference w:id="250"/>
      </w:r>
    </w:p>
    <w:p w14:paraId="44963A78" w14:textId="77777777" w:rsidR="003211E6" w:rsidRPr="00CF74AD" w:rsidRDefault="003211E6" w:rsidP="003211E6">
      <w:pPr>
        <w:pStyle w:val="NumberedHeading3"/>
        <w:rPr>
          <w:lang w:val="en-AU" w:eastAsia="en-GB"/>
        </w:rPr>
      </w:pPr>
      <w:bookmarkStart w:id="119" w:name="_Toc20047398"/>
      <w:bookmarkStart w:id="120" w:name="_Toc16863035"/>
      <w:bookmarkStart w:id="121" w:name="_Toc16869541"/>
      <w:bookmarkStart w:id="122" w:name="_Toc20221098"/>
      <w:bookmarkStart w:id="123" w:name="_Toc55464813"/>
      <w:r w:rsidRPr="00CF74AD">
        <w:rPr>
          <w:lang w:val="en-AU" w:eastAsia="en-GB"/>
        </w:rPr>
        <w:t>Practice Harm Minimisation</w:t>
      </w:r>
      <w:bookmarkEnd w:id="119"/>
      <w:bookmarkEnd w:id="120"/>
      <w:bookmarkEnd w:id="121"/>
      <w:bookmarkEnd w:id="122"/>
      <w:bookmarkEnd w:id="123"/>
    </w:p>
    <w:p w14:paraId="524DF824" w14:textId="77777777" w:rsidR="003211E6" w:rsidRPr="00661245" w:rsidRDefault="003211E6" w:rsidP="003211E6">
      <w:pPr>
        <w:pStyle w:val="BodyText"/>
        <w:rPr>
          <w:lang w:val="en-AU"/>
        </w:rPr>
      </w:pPr>
      <w:r w:rsidRPr="00CF74AD">
        <w:rPr>
          <w:lang w:val="en-AU" w:eastAsia="en-GB"/>
        </w:rPr>
        <w:t xml:space="preserve">International evidence indicates patients with </w:t>
      </w:r>
      <w:r w:rsidR="00B10F70">
        <w:rPr>
          <w:lang w:val="en-AU" w:eastAsia="en-GB"/>
        </w:rPr>
        <w:t xml:space="preserve">MUS </w:t>
      </w:r>
      <w:r w:rsidRPr="00CF74AD">
        <w:rPr>
          <w:lang w:val="en-AU" w:eastAsia="en-GB"/>
        </w:rPr>
        <w:t>are at risk of potentially harmful additional testing</w:t>
      </w:r>
      <w:r w:rsidRPr="00A94846">
        <w:rPr>
          <w:rStyle w:val="FootnoteReference"/>
        </w:rPr>
        <w:footnoteReference w:id="251"/>
      </w:r>
      <w:r w:rsidRPr="00661245">
        <w:rPr>
          <w:lang w:val="en-AU" w:eastAsia="en-GB"/>
        </w:rPr>
        <w:t xml:space="preserve"> and are often subjected to repeated diagnostic investigations, and unnecessary and costly referrals and interventions</w:t>
      </w:r>
      <w:r w:rsidR="002D36C8" w:rsidRPr="00CF74AD">
        <w:rPr>
          <w:lang w:val="en-AU" w:eastAsia="en-GB"/>
        </w:rPr>
        <w:t>.</w:t>
      </w:r>
      <w:r w:rsidRPr="00A94846">
        <w:rPr>
          <w:rStyle w:val="FootnoteReference"/>
        </w:rPr>
        <w:footnoteReference w:id="252"/>
      </w:r>
      <w:r w:rsidR="00CC462C" w:rsidRPr="00661245">
        <w:rPr>
          <w:lang w:val="en-AU" w:eastAsia="en-GB"/>
        </w:rPr>
        <w:t xml:space="preserve"> </w:t>
      </w:r>
      <w:r w:rsidR="002C0252" w:rsidRPr="00CF74AD">
        <w:rPr>
          <w:lang w:val="en-AU"/>
        </w:rPr>
        <w:t xml:space="preserve">An analysis of the Senate submissions noted patients </w:t>
      </w:r>
      <w:r w:rsidR="0067478C" w:rsidRPr="00CF74AD">
        <w:rPr>
          <w:lang w:val="en-AU"/>
        </w:rPr>
        <w:t xml:space="preserve">that identified as having DSCATT </w:t>
      </w:r>
      <w:r w:rsidR="002C0252" w:rsidRPr="00CF74AD">
        <w:rPr>
          <w:lang w:val="en-AU"/>
        </w:rPr>
        <w:t xml:space="preserve">experience social and financial harms and are at risk of nosocomial </w:t>
      </w:r>
      <w:r w:rsidR="002C0252" w:rsidRPr="00CF74AD">
        <w:rPr>
          <w:lang w:val="en-AU"/>
        </w:rPr>
        <w:lastRenderedPageBreak/>
        <w:t>harms</w:t>
      </w:r>
      <w:r w:rsidR="0067478C" w:rsidRPr="00CF74AD">
        <w:rPr>
          <w:lang w:val="en-AU"/>
        </w:rPr>
        <w:t xml:space="preserve"> and </w:t>
      </w:r>
      <w:r w:rsidR="002C0252" w:rsidRPr="00CF74AD">
        <w:rPr>
          <w:lang w:val="en-AU"/>
        </w:rPr>
        <w:t>may also have sought al</w:t>
      </w:r>
      <w:r w:rsidR="002C0252" w:rsidRPr="00D621FF">
        <w:rPr>
          <w:lang w:val="en-AU"/>
        </w:rPr>
        <w:t>ternative and potentially non-evidence-based diagnoses and treatments</w:t>
      </w:r>
      <w:r w:rsidR="00033CCA" w:rsidRPr="00D621FF">
        <w:rPr>
          <w:lang w:val="en-AU"/>
        </w:rPr>
        <w:t>.</w:t>
      </w:r>
      <w:r w:rsidR="002C0252" w:rsidRPr="00A94846">
        <w:rPr>
          <w:rStyle w:val="FootnoteReference"/>
        </w:rPr>
        <w:footnoteReference w:id="253"/>
      </w:r>
    </w:p>
    <w:p w14:paraId="14356229" w14:textId="77777777" w:rsidR="004A7348" w:rsidRDefault="00B909E6" w:rsidP="003211E6">
      <w:pPr>
        <w:pStyle w:val="BodyText"/>
        <w:rPr>
          <w:lang w:val="en-AU"/>
        </w:rPr>
      </w:pPr>
      <w:r w:rsidRPr="00CF74AD">
        <w:rPr>
          <w:lang w:val="en-AU"/>
        </w:rPr>
        <w:t xml:space="preserve">In </w:t>
      </w:r>
      <w:r w:rsidR="00AD0A0D" w:rsidRPr="00CF74AD">
        <w:rPr>
          <w:lang w:val="en-AU"/>
        </w:rPr>
        <w:t xml:space="preserve">managing </w:t>
      </w:r>
      <w:r w:rsidR="00B10F70">
        <w:rPr>
          <w:lang w:val="en-AU"/>
        </w:rPr>
        <w:t xml:space="preserve">MUS </w:t>
      </w:r>
      <w:r w:rsidR="00AD0A0D" w:rsidRPr="00CF74AD">
        <w:rPr>
          <w:lang w:val="en-AU"/>
        </w:rPr>
        <w:t>in general practice</w:t>
      </w:r>
      <w:r w:rsidR="00292DD9">
        <w:rPr>
          <w:lang w:val="en-AU"/>
        </w:rPr>
        <w:t>,</w:t>
      </w:r>
      <w:r w:rsidR="00AD0A0D" w:rsidRPr="00CF74AD">
        <w:rPr>
          <w:lang w:val="en-AU"/>
        </w:rPr>
        <w:t xml:space="preserve"> </w:t>
      </w:r>
      <w:r w:rsidR="00CD4FB0" w:rsidRPr="00CF74AD">
        <w:rPr>
          <w:lang w:val="en-AU"/>
        </w:rPr>
        <w:t>b</w:t>
      </w:r>
      <w:r w:rsidR="00DC4195" w:rsidRPr="00D621FF">
        <w:rPr>
          <w:lang w:val="en-AU"/>
        </w:rPr>
        <w:t xml:space="preserve">alancing </w:t>
      </w:r>
      <w:r w:rsidR="00286774" w:rsidRPr="00D621FF">
        <w:rPr>
          <w:lang w:val="en-AU"/>
        </w:rPr>
        <w:t>the iatrogenic risk of investigation with the therap</w:t>
      </w:r>
      <w:r w:rsidR="005A5AE3" w:rsidRPr="00FA6D54">
        <w:rPr>
          <w:lang w:val="en-AU"/>
        </w:rPr>
        <w:t>e</w:t>
      </w:r>
      <w:r w:rsidR="00286774" w:rsidRPr="00FA6D54">
        <w:rPr>
          <w:lang w:val="en-AU"/>
        </w:rPr>
        <w:t>utic risk of missing something important</w:t>
      </w:r>
      <w:r w:rsidR="00292DD9">
        <w:rPr>
          <w:lang w:val="en-AU"/>
        </w:rPr>
        <w:t>,</w:t>
      </w:r>
      <w:r w:rsidR="004C7696" w:rsidRPr="00A01762">
        <w:rPr>
          <w:lang w:val="en-AU"/>
        </w:rPr>
        <w:t xml:space="preserve"> is a challenge for GPs</w:t>
      </w:r>
      <w:r w:rsidR="00033CCA" w:rsidRPr="00F2704A">
        <w:rPr>
          <w:lang w:val="en-AU"/>
        </w:rPr>
        <w:t>.</w:t>
      </w:r>
      <w:r w:rsidRPr="00A94846">
        <w:rPr>
          <w:rStyle w:val="FootnoteReference"/>
        </w:rPr>
        <w:footnoteReference w:id="254"/>
      </w:r>
      <w:r w:rsidR="000338FD" w:rsidRPr="00661245">
        <w:rPr>
          <w:lang w:val="en-AU"/>
        </w:rPr>
        <w:t xml:space="preserve"> </w:t>
      </w:r>
    </w:p>
    <w:p w14:paraId="5F0373A4" w14:textId="77777777" w:rsidR="00452EE3" w:rsidRDefault="00452EE3" w:rsidP="003211E6">
      <w:pPr>
        <w:pStyle w:val="BodyText"/>
        <w:rPr>
          <w:lang w:val="en-AU"/>
        </w:rPr>
      </w:pPr>
      <w:r>
        <w:rPr>
          <w:lang w:val="en-AU"/>
        </w:rPr>
        <w:br w:type="page"/>
      </w:r>
    </w:p>
    <w:p w14:paraId="227855FD" w14:textId="46211D54" w:rsidR="001C1D02" w:rsidRPr="00CF74AD" w:rsidRDefault="001D57FD" w:rsidP="001D57FD">
      <w:pPr>
        <w:pStyle w:val="Caption"/>
        <w:rPr>
          <w:lang w:val="en-AU" w:eastAsia="en-GB"/>
        </w:rPr>
      </w:pPr>
      <w:bookmarkStart w:id="124" w:name="_Toc55460093"/>
      <w:r>
        <w:lastRenderedPageBreak/>
        <w:t xml:space="preserve">Table </w:t>
      </w:r>
      <w:r>
        <w:fldChar w:fldCharType="begin"/>
      </w:r>
      <w:r>
        <w:instrText xml:space="preserve"> SEQ Table \* ARABIC </w:instrText>
      </w:r>
      <w:r>
        <w:fldChar w:fldCharType="separate"/>
      </w:r>
      <w:r w:rsidR="00822580">
        <w:rPr>
          <w:noProof/>
        </w:rPr>
        <w:t>4</w:t>
      </w:r>
      <w:r>
        <w:fldChar w:fldCharType="end"/>
      </w:r>
      <w:r>
        <w:t xml:space="preserve">: Recommendations for managing </w:t>
      </w:r>
      <w:r w:rsidR="00D501B4">
        <w:t>medically unexplained symptoms</w:t>
      </w:r>
      <w:bookmarkEnd w:id="124"/>
    </w:p>
    <w:tbl>
      <w:tblPr>
        <w:tblW w:w="0" w:type="auto"/>
        <w:tblBorders>
          <w:bottom w:val="single" w:sz="4" w:space="0" w:color="77B800"/>
        </w:tblBorders>
        <w:tblLook w:val="04A0" w:firstRow="1" w:lastRow="0" w:firstColumn="1" w:lastColumn="0" w:noHBand="0" w:noVBand="1"/>
      </w:tblPr>
      <w:tblGrid>
        <w:gridCol w:w="9061"/>
      </w:tblGrid>
      <w:tr w:rsidR="001C1D02" w:rsidRPr="004D3350" w14:paraId="52F702E7" w14:textId="77777777" w:rsidTr="004D3350">
        <w:trPr>
          <w:tblHeader/>
        </w:trPr>
        <w:tc>
          <w:tcPr>
            <w:tcW w:w="9061" w:type="dxa"/>
            <w:shd w:val="clear" w:color="auto" w:fill="77B800"/>
          </w:tcPr>
          <w:p w14:paraId="7D87849A" w14:textId="77777777" w:rsidR="001C1D02" w:rsidRPr="004D3350" w:rsidRDefault="001C1D02" w:rsidP="004D3350">
            <w:pPr>
              <w:pStyle w:val="BodyText"/>
              <w:spacing w:before="60" w:after="60" w:line="240" w:lineRule="auto"/>
              <w:rPr>
                <w:rFonts w:ascii="Calibri" w:hAnsi="Calibri" w:cs="Calibri"/>
                <w:b/>
                <w:bCs/>
                <w:lang w:val="en-AU" w:eastAsia="en-GB"/>
              </w:rPr>
            </w:pPr>
            <w:r w:rsidRPr="004D3350">
              <w:rPr>
                <w:rFonts w:ascii="Calibri" w:hAnsi="Calibri" w:cs="Calibri"/>
                <w:b/>
                <w:bCs/>
                <w:color w:val="FFFFFF"/>
                <w:lang w:val="en-AU" w:eastAsia="en-GB"/>
              </w:rPr>
              <w:t>Avoid</w:t>
            </w:r>
            <w:r w:rsidR="00292DD9" w:rsidRPr="004D3350">
              <w:rPr>
                <w:rFonts w:ascii="Calibri" w:hAnsi="Calibri" w:cs="Calibri"/>
                <w:b/>
                <w:bCs/>
                <w:color w:val="FFFFFF"/>
                <w:lang w:val="en-AU" w:eastAsia="en-GB"/>
              </w:rPr>
              <w:t xml:space="preserve"> </w:t>
            </w:r>
          </w:p>
        </w:tc>
      </w:tr>
      <w:tr w:rsidR="001C1D02" w:rsidRPr="004D3350" w14:paraId="1B5AAC19" w14:textId="77777777" w:rsidTr="004D3350">
        <w:tc>
          <w:tcPr>
            <w:tcW w:w="9061" w:type="dxa"/>
            <w:shd w:val="clear" w:color="auto" w:fill="auto"/>
          </w:tcPr>
          <w:p w14:paraId="6937349A" w14:textId="77777777" w:rsidR="00292DD9" w:rsidRPr="004D3350" w:rsidRDefault="00292DD9" w:rsidP="004D3350">
            <w:pPr>
              <w:pStyle w:val="BodyText"/>
              <w:spacing w:before="60" w:after="20" w:line="240" w:lineRule="auto"/>
              <w:rPr>
                <w:rFonts w:ascii="Calibri" w:hAnsi="Calibri" w:cs="Calibri"/>
                <w:b/>
                <w:bCs/>
                <w:lang w:val="en-AU" w:eastAsia="en-GB"/>
              </w:rPr>
            </w:pPr>
            <w:r w:rsidRPr="004D3350">
              <w:rPr>
                <w:rFonts w:ascii="Calibri" w:hAnsi="Calibri" w:cs="Calibri"/>
                <w:b/>
                <w:bCs/>
                <w:lang w:val="en-AU" w:eastAsia="en-GB"/>
              </w:rPr>
              <w:t>Avoid:</w:t>
            </w:r>
          </w:p>
          <w:p w14:paraId="05E9EC3D" w14:textId="77777777" w:rsidR="001C1D02" w:rsidRPr="004D3350" w:rsidRDefault="001C1D02" w:rsidP="004D3350">
            <w:pPr>
              <w:pStyle w:val="BodyText"/>
              <w:numPr>
                <w:ilvl w:val="0"/>
                <w:numId w:val="22"/>
              </w:numPr>
              <w:spacing w:before="60" w:after="20" w:line="240" w:lineRule="auto"/>
              <w:ind w:left="363" w:hanging="306"/>
              <w:rPr>
                <w:rFonts w:ascii="Calibri" w:hAnsi="Calibri" w:cs="Calibri"/>
                <w:lang w:val="en-AU" w:eastAsia="en-GB"/>
              </w:rPr>
            </w:pPr>
            <w:r w:rsidRPr="004D3350">
              <w:rPr>
                <w:rFonts w:ascii="Calibri" w:hAnsi="Calibri" w:cs="Calibri"/>
                <w:lang w:val="en-AU" w:eastAsia="en-GB"/>
              </w:rPr>
              <w:t>Repeated diagnostic testing.</w:t>
            </w:r>
          </w:p>
          <w:p w14:paraId="7A189009" w14:textId="77777777" w:rsidR="001C1D02" w:rsidRPr="004D3350" w:rsidRDefault="001C1D02" w:rsidP="004D3350">
            <w:pPr>
              <w:pStyle w:val="BodyText"/>
              <w:numPr>
                <w:ilvl w:val="1"/>
                <w:numId w:val="22"/>
              </w:numPr>
              <w:spacing w:before="20" w:after="60" w:line="240" w:lineRule="auto"/>
              <w:ind w:left="738" w:hanging="284"/>
              <w:rPr>
                <w:rFonts w:ascii="Calibri" w:hAnsi="Calibri" w:cs="Calibri"/>
                <w:b/>
                <w:bCs/>
                <w:lang w:val="en-AU" w:eastAsia="en-GB"/>
              </w:rPr>
            </w:pPr>
            <w:r w:rsidRPr="004D3350">
              <w:rPr>
                <w:rFonts w:ascii="Calibri" w:hAnsi="Calibri" w:cs="Calibri"/>
                <w:lang w:val="en-AU" w:eastAsia="en-GB"/>
              </w:rPr>
              <w:t xml:space="preserve">Harms include worry that there is still something to be found that hasn’t been tested for yet, </w:t>
            </w:r>
            <w:r w:rsidR="00D416E3" w:rsidRPr="004D3350">
              <w:rPr>
                <w:rFonts w:ascii="Calibri" w:hAnsi="Calibri" w:cs="Calibri"/>
                <w:lang w:val="en-AU" w:eastAsia="en-GB"/>
              </w:rPr>
              <w:t xml:space="preserve">repeated investigations and treatment, </w:t>
            </w:r>
            <w:r w:rsidR="00790842" w:rsidRPr="004D3350">
              <w:rPr>
                <w:rFonts w:ascii="Calibri" w:hAnsi="Calibri" w:cs="Calibri"/>
                <w:lang w:val="en-AU" w:eastAsia="en-GB"/>
              </w:rPr>
              <w:t xml:space="preserve">multiple primary care practitioners </w:t>
            </w:r>
            <w:r w:rsidRPr="004D3350">
              <w:rPr>
                <w:rFonts w:ascii="Calibri" w:hAnsi="Calibri" w:cs="Calibri"/>
                <w:lang w:val="en-AU" w:eastAsia="en-GB"/>
              </w:rPr>
              <w:t>increased likelihood of false positives, and the finding of minor, non</w:t>
            </w:r>
            <w:r w:rsidR="00DC11C4" w:rsidRPr="004D3350">
              <w:rPr>
                <w:rFonts w:ascii="Calibri" w:hAnsi="Calibri" w:cs="Calibri"/>
                <w:lang w:val="en-AU" w:eastAsia="en-GB"/>
              </w:rPr>
              <w:t>-</w:t>
            </w:r>
            <w:r w:rsidRPr="004D3350">
              <w:rPr>
                <w:rFonts w:ascii="Calibri" w:hAnsi="Calibri" w:cs="Calibri"/>
                <w:lang w:val="en-AU" w:eastAsia="en-GB"/>
              </w:rPr>
              <w:t>significant abnormalities in test results that increase anxiety.</w:t>
            </w:r>
          </w:p>
        </w:tc>
      </w:tr>
      <w:tr w:rsidR="001C1D02" w:rsidRPr="004D3350" w14:paraId="5E0FDDD7" w14:textId="77777777" w:rsidTr="004D3350">
        <w:tc>
          <w:tcPr>
            <w:tcW w:w="9061" w:type="dxa"/>
            <w:shd w:val="clear" w:color="auto" w:fill="auto"/>
          </w:tcPr>
          <w:p w14:paraId="0088F442" w14:textId="77777777" w:rsidR="001C1D02" w:rsidRPr="004D3350" w:rsidRDefault="001C1D02" w:rsidP="004D3350">
            <w:pPr>
              <w:pStyle w:val="BodyText"/>
              <w:numPr>
                <w:ilvl w:val="0"/>
                <w:numId w:val="22"/>
              </w:numPr>
              <w:spacing w:before="60" w:after="20" w:line="240" w:lineRule="auto"/>
              <w:ind w:left="341" w:hanging="284"/>
              <w:rPr>
                <w:rFonts w:ascii="Calibri" w:hAnsi="Calibri" w:cs="Calibri"/>
                <w:lang w:val="en-AU" w:eastAsia="en-GB"/>
              </w:rPr>
            </w:pPr>
            <w:r w:rsidRPr="004D3350">
              <w:rPr>
                <w:rFonts w:ascii="Calibri" w:hAnsi="Calibri" w:cs="Calibri"/>
                <w:lang w:val="en-AU" w:eastAsia="en-GB"/>
              </w:rPr>
              <w:t xml:space="preserve">Use of non-accredited laboratories for diagnostic testing and use of unconventional diagnostic techniques </w:t>
            </w:r>
            <w:r w:rsidR="00BB4261" w:rsidRPr="004D3350">
              <w:rPr>
                <w:rFonts w:ascii="Calibri" w:hAnsi="Calibri" w:cs="Calibri"/>
                <w:lang w:val="en-AU" w:eastAsia="en-GB"/>
              </w:rPr>
              <w:t>(</w:t>
            </w:r>
            <w:r w:rsidRPr="004D3350">
              <w:rPr>
                <w:rFonts w:ascii="Calibri" w:hAnsi="Calibri" w:cs="Calibri"/>
                <w:lang w:val="en-AU" w:eastAsia="en-GB"/>
              </w:rPr>
              <w:t>e</w:t>
            </w:r>
            <w:r w:rsidR="00F65B30" w:rsidRPr="004D3350">
              <w:rPr>
                <w:rFonts w:ascii="Calibri" w:hAnsi="Calibri" w:cs="Calibri"/>
                <w:lang w:val="en-AU" w:eastAsia="en-GB"/>
              </w:rPr>
              <w:t>.</w:t>
            </w:r>
            <w:r w:rsidRPr="004D3350">
              <w:rPr>
                <w:rFonts w:ascii="Calibri" w:hAnsi="Calibri" w:cs="Calibri"/>
                <w:lang w:val="en-AU" w:eastAsia="en-GB"/>
              </w:rPr>
              <w:t>g</w:t>
            </w:r>
            <w:r w:rsidR="00F65B30" w:rsidRPr="004D3350">
              <w:rPr>
                <w:rFonts w:ascii="Calibri" w:hAnsi="Calibri" w:cs="Calibri"/>
                <w:lang w:val="en-AU" w:eastAsia="en-GB"/>
              </w:rPr>
              <w:t>.</w:t>
            </w:r>
            <w:r w:rsidRPr="004D3350">
              <w:rPr>
                <w:rFonts w:ascii="Calibri" w:hAnsi="Calibri" w:cs="Calibri"/>
                <w:lang w:val="en-AU" w:eastAsia="en-GB"/>
              </w:rPr>
              <w:t xml:space="preserve"> kinesiology</w:t>
            </w:r>
            <w:r w:rsidR="00BB4261" w:rsidRPr="004D3350">
              <w:rPr>
                <w:rFonts w:ascii="Calibri" w:hAnsi="Calibri" w:cs="Calibri"/>
                <w:lang w:val="en-AU" w:eastAsia="en-GB"/>
              </w:rPr>
              <w:t>)</w:t>
            </w:r>
            <w:r w:rsidRPr="004D3350">
              <w:rPr>
                <w:rFonts w:ascii="Calibri" w:hAnsi="Calibri" w:cs="Calibri"/>
                <w:lang w:val="en-AU" w:eastAsia="en-GB"/>
              </w:rPr>
              <w:t>.</w:t>
            </w:r>
          </w:p>
          <w:p w14:paraId="210F2BCB" w14:textId="77777777" w:rsidR="001C1D02" w:rsidRPr="004D3350" w:rsidRDefault="001C1D02" w:rsidP="004D3350">
            <w:pPr>
              <w:pStyle w:val="BodyText"/>
              <w:numPr>
                <w:ilvl w:val="1"/>
                <w:numId w:val="22"/>
              </w:numPr>
              <w:spacing w:before="20" w:after="60" w:line="240" w:lineRule="auto"/>
              <w:ind w:left="738" w:hanging="284"/>
              <w:rPr>
                <w:rFonts w:ascii="Calibri" w:hAnsi="Calibri" w:cs="Calibri"/>
                <w:b/>
                <w:bCs/>
                <w:lang w:val="en-AU" w:eastAsia="en-GB"/>
              </w:rPr>
            </w:pPr>
            <w:r w:rsidRPr="004D3350">
              <w:rPr>
                <w:rFonts w:ascii="Calibri" w:hAnsi="Calibri" w:cs="Calibri"/>
                <w:lang w:val="en-AU" w:eastAsia="en-GB"/>
              </w:rPr>
              <w:t>Harms include false positives and wrong diagnosis.</w:t>
            </w:r>
          </w:p>
        </w:tc>
      </w:tr>
      <w:tr w:rsidR="001C1D02" w:rsidRPr="004D3350" w14:paraId="7D16BE8F" w14:textId="77777777" w:rsidTr="004D3350">
        <w:tc>
          <w:tcPr>
            <w:tcW w:w="9061" w:type="dxa"/>
            <w:shd w:val="clear" w:color="auto" w:fill="auto"/>
          </w:tcPr>
          <w:p w14:paraId="21BE774F" w14:textId="77777777" w:rsidR="001C1D02" w:rsidRPr="004D3350" w:rsidRDefault="001C1D02" w:rsidP="004D3350">
            <w:pPr>
              <w:pStyle w:val="BodyText"/>
              <w:numPr>
                <w:ilvl w:val="0"/>
                <w:numId w:val="22"/>
              </w:numPr>
              <w:spacing w:before="60" w:after="20" w:line="240" w:lineRule="auto"/>
              <w:ind w:left="341" w:hanging="284"/>
              <w:rPr>
                <w:rFonts w:ascii="Calibri" w:hAnsi="Calibri" w:cs="Calibri"/>
                <w:lang w:val="en-AU" w:eastAsia="en-GB"/>
              </w:rPr>
            </w:pPr>
            <w:r w:rsidRPr="004D3350">
              <w:rPr>
                <w:rFonts w:ascii="Calibri" w:hAnsi="Calibri" w:cs="Calibri"/>
                <w:lang w:val="en-AU" w:eastAsia="en-GB"/>
              </w:rPr>
              <w:t>Unnecessary referrals and interventions.</w:t>
            </w:r>
          </w:p>
          <w:p w14:paraId="22F3C69A" w14:textId="77777777" w:rsidR="001C1D02" w:rsidRPr="004D3350" w:rsidRDefault="001C1D02" w:rsidP="004D3350">
            <w:pPr>
              <w:pStyle w:val="BodyText"/>
              <w:numPr>
                <w:ilvl w:val="1"/>
                <w:numId w:val="22"/>
              </w:numPr>
              <w:spacing w:before="20" w:after="60" w:line="240" w:lineRule="auto"/>
              <w:ind w:left="738" w:hanging="284"/>
              <w:rPr>
                <w:rFonts w:ascii="Calibri" w:hAnsi="Calibri" w:cs="Calibri"/>
                <w:b/>
                <w:bCs/>
                <w:lang w:val="en-AU" w:eastAsia="en-GB"/>
              </w:rPr>
            </w:pPr>
            <w:r w:rsidRPr="004D3350">
              <w:rPr>
                <w:rFonts w:ascii="Calibri" w:hAnsi="Calibri" w:cs="Calibri"/>
                <w:lang w:val="en-AU" w:eastAsia="en-GB"/>
              </w:rPr>
              <w:t xml:space="preserve">Harms include repeating and extending unnecessary testing and iatrogenic harm as well as financial costs. </w:t>
            </w:r>
          </w:p>
        </w:tc>
      </w:tr>
      <w:tr w:rsidR="001C1D02" w:rsidRPr="004D3350" w14:paraId="2FBD5F86" w14:textId="77777777" w:rsidTr="004D3350">
        <w:tc>
          <w:tcPr>
            <w:tcW w:w="9061" w:type="dxa"/>
            <w:shd w:val="clear" w:color="auto" w:fill="auto"/>
          </w:tcPr>
          <w:p w14:paraId="6C997220" w14:textId="77777777" w:rsidR="001C1D02" w:rsidRPr="004D3350" w:rsidRDefault="001C1D02" w:rsidP="004D3350">
            <w:pPr>
              <w:pStyle w:val="BodyText"/>
              <w:numPr>
                <w:ilvl w:val="0"/>
                <w:numId w:val="22"/>
              </w:numPr>
              <w:spacing w:before="60" w:after="20" w:line="240" w:lineRule="auto"/>
              <w:ind w:left="363" w:hanging="306"/>
              <w:rPr>
                <w:rFonts w:ascii="Calibri" w:hAnsi="Calibri" w:cs="Calibri"/>
                <w:lang w:val="en-AU" w:eastAsia="en-GB"/>
              </w:rPr>
            </w:pPr>
            <w:r w:rsidRPr="004D3350">
              <w:rPr>
                <w:rFonts w:ascii="Calibri" w:hAnsi="Calibri" w:cs="Calibri"/>
                <w:lang w:val="en-AU" w:eastAsia="en-GB"/>
              </w:rPr>
              <w:t xml:space="preserve">Treatments with known harm and no benefit </w:t>
            </w:r>
            <w:r w:rsidR="00BB4261" w:rsidRPr="004D3350">
              <w:rPr>
                <w:rFonts w:ascii="Calibri" w:hAnsi="Calibri" w:cs="Calibri"/>
                <w:lang w:val="en-AU" w:eastAsia="en-GB"/>
              </w:rPr>
              <w:t>(</w:t>
            </w:r>
            <w:r w:rsidRPr="004D3350">
              <w:rPr>
                <w:rFonts w:ascii="Calibri" w:hAnsi="Calibri" w:cs="Calibri"/>
                <w:lang w:val="en-AU" w:eastAsia="en-GB"/>
              </w:rPr>
              <w:t>e</w:t>
            </w:r>
            <w:r w:rsidR="00C45743" w:rsidRPr="004D3350">
              <w:rPr>
                <w:rFonts w:ascii="Calibri" w:hAnsi="Calibri" w:cs="Calibri"/>
                <w:lang w:val="en-AU" w:eastAsia="en-GB"/>
              </w:rPr>
              <w:t>.</w:t>
            </w:r>
            <w:r w:rsidRPr="004D3350">
              <w:rPr>
                <w:rFonts w:ascii="Calibri" w:hAnsi="Calibri" w:cs="Calibri"/>
                <w:lang w:val="en-AU" w:eastAsia="en-GB"/>
              </w:rPr>
              <w:t>g</w:t>
            </w:r>
            <w:r w:rsidR="00C45743" w:rsidRPr="004D3350">
              <w:rPr>
                <w:rFonts w:ascii="Calibri" w:hAnsi="Calibri" w:cs="Calibri"/>
                <w:lang w:val="en-AU" w:eastAsia="en-GB"/>
              </w:rPr>
              <w:t>.</w:t>
            </w:r>
            <w:r w:rsidRPr="004D3350">
              <w:rPr>
                <w:rFonts w:ascii="Calibri" w:hAnsi="Calibri" w:cs="Calibri"/>
                <w:lang w:val="en-AU" w:eastAsia="en-GB"/>
              </w:rPr>
              <w:t xml:space="preserve"> long</w:t>
            </w:r>
            <w:r w:rsidR="00AD7732" w:rsidRPr="004D3350">
              <w:rPr>
                <w:rFonts w:ascii="Calibri" w:hAnsi="Calibri" w:cs="Calibri"/>
                <w:lang w:val="en-AU" w:eastAsia="en-GB"/>
              </w:rPr>
              <w:t>-</w:t>
            </w:r>
            <w:r w:rsidRPr="004D3350">
              <w:rPr>
                <w:rFonts w:ascii="Calibri" w:hAnsi="Calibri" w:cs="Calibri"/>
                <w:lang w:val="en-AU" w:eastAsia="en-GB"/>
              </w:rPr>
              <w:t>term antibiotics, extreme diets, miracle mineral solution, hyperbaric oxygen treatments</w:t>
            </w:r>
            <w:r w:rsidR="00BB4261" w:rsidRPr="004D3350">
              <w:rPr>
                <w:rFonts w:ascii="Calibri" w:hAnsi="Calibri" w:cs="Calibri"/>
                <w:lang w:val="en-AU" w:eastAsia="en-GB"/>
              </w:rPr>
              <w:t>)</w:t>
            </w:r>
            <w:r w:rsidRPr="004D3350">
              <w:rPr>
                <w:rFonts w:ascii="Calibri" w:hAnsi="Calibri" w:cs="Calibri"/>
                <w:lang w:val="en-AU" w:eastAsia="en-GB"/>
              </w:rPr>
              <w:t>.</w:t>
            </w:r>
          </w:p>
          <w:p w14:paraId="55BC3155" w14:textId="77777777" w:rsidR="001C1D02" w:rsidRPr="004D3350" w:rsidRDefault="001C1D02" w:rsidP="004D3350">
            <w:pPr>
              <w:pStyle w:val="BodyText"/>
              <w:numPr>
                <w:ilvl w:val="1"/>
                <w:numId w:val="22"/>
              </w:numPr>
              <w:spacing w:before="20" w:after="60" w:line="240" w:lineRule="auto"/>
              <w:ind w:left="738" w:hanging="284"/>
              <w:rPr>
                <w:rFonts w:ascii="Calibri" w:hAnsi="Calibri" w:cs="Calibri"/>
                <w:b/>
                <w:bCs/>
                <w:lang w:val="en-AU" w:eastAsia="en-GB"/>
              </w:rPr>
            </w:pPr>
            <w:r w:rsidRPr="004D3350">
              <w:rPr>
                <w:rFonts w:ascii="Calibri" w:hAnsi="Calibri" w:cs="Calibri"/>
                <w:lang w:val="en-AU" w:eastAsia="en-GB"/>
              </w:rPr>
              <w:t>Harms include toxicity, hypersensitivity reactions, predisposition to Clostridium difficile infection, development of antibiotic resistance, line sepsis, severe and persistent vomiting and diarrhoea, and large financial cost without benefit.</w:t>
            </w:r>
          </w:p>
        </w:tc>
      </w:tr>
      <w:tr w:rsidR="001C1D02" w:rsidRPr="004D3350" w14:paraId="03078678" w14:textId="77777777" w:rsidTr="004D3350">
        <w:tc>
          <w:tcPr>
            <w:tcW w:w="9061" w:type="dxa"/>
            <w:shd w:val="clear" w:color="auto" w:fill="77B800"/>
          </w:tcPr>
          <w:p w14:paraId="0F0662C3" w14:textId="77777777" w:rsidR="001C1D02" w:rsidRPr="004D3350" w:rsidRDefault="00C824B1" w:rsidP="004D3350">
            <w:pPr>
              <w:pStyle w:val="BodyText"/>
              <w:spacing w:before="60" w:after="60" w:line="240" w:lineRule="auto"/>
              <w:rPr>
                <w:rFonts w:ascii="Calibri" w:hAnsi="Calibri" w:cs="Calibri"/>
                <w:b/>
                <w:bCs/>
                <w:color w:val="FFFFFF"/>
                <w:lang w:val="en-AU" w:eastAsia="en-GB"/>
              </w:rPr>
            </w:pPr>
            <w:r w:rsidRPr="004D3350">
              <w:rPr>
                <w:rFonts w:ascii="Calibri" w:hAnsi="Calibri" w:cs="Calibri"/>
                <w:b/>
                <w:bCs/>
                <w:color w:val="FFFFFF"/>
                <w:lang w:val="en-AU" w:eastAsia="en-GB"/>
              </w:rPr>
              <w:t>Enc</w:t>
            </w:r>
            <w:r w:rsidRPr="004D3350">
              <w:rPr>
                <w:rFonts w:ascii="Calibri" w:hAnsi="Calibri" w:cs="Calibri"/>
                <w:b/>
                <w:bCs/>
                <w:color w:val="FFFFFF"/>
                <w:shd w:val="clear" w:color="auto" w:fill="77B800"/>
                <w:lang w:val="en-AU" w:eastAsia="en-GB"/>
              </w:rPr>
              <w:t>ourage</w:t>
            </w:r>
          </w:p>
        </w:tc>
      </w:tr>
      <w:tr w:rsidR="001C1D02" w:rsidRPr="004D3350" w14:paraId="3BD7B4F0" w14:textId="77777777" w:rsidTr="004D3350">
        <w:tc>
          <w:tcPr>
            <w:tcW w:w="9061" w:type="dxa"/>
            <w:shd w:val="clear" w:color="auto" w:fill="auto"/>
          </w:tcPr>
          <w:p w14:paraId="52BE62D7" w14:textId="77777777" w:rsidR="00292DD9" w:rsidRPr="004D3350" w:rsidRDefault="00292DD9" w:rsidP="004D3350">
            <w:pPr>
              <w:pStyle w:val="BodyText"/>
              <w:spacing w:before="60" w:after="20" w:line="240" w:lineRule="auto"/>
              <w:rPr>
                <w:rFonts w:ascii="Calibri" w:hAnsi="Calibri" w:cs="Calibri"/>
                <w:b/>
                <w:bCs/>
                <w:lang w:val="en-AU" w:eastAsia="en-GB"/>
              </w:rPr>
            </w:pPr>
            <w:r w:rsidRPr="004D3350">
              <w:rPr>
                <w:rFonts w:ascii="Calibri" w:hAnsi="Calibri" w:cs="Calibri"/>
                <w:b/>
                <w:bCs/>
                <w:lang w:val="en-AU" w:eastAsia="en-GB"/>
              </w:rPr>
              <w:t>Encourage:</w:t>
            </w:r>
          </w:p>
          <w:p w14:paraId="6CE2A341" w14:textId="77777777" w:rsidR="00C824B1" w:rsidRPr="004D3350" w:rsidRDefault="00C824B1" w:rsidP="004D3350">
            <w:pPr>
              <w:pStyle w:val="BodyText"/>
              <w:numPr>
                <w:ilvl w:val="0"/>
                <w:numId w:val="22"/>
              </w:numPr>
              <w:spacing w:before="60" w:after="20" w:line="240" w:lineRule="auto"/>
              <w:ind w:left="363" w:hanging="306"/>
              <w:rPr>
                <w:rFonts w:ascii="Calibri" w:hAnsi="Calibri" w:cs="Calibri"/>
                <w:lang w:val="en-AU" w:eastAsia="en-GB"/>
              </w:rPr>
            </w:pPr>
            <w:r w:rsidRPr="004D3350">
              <w:rPr>
                <w:rFonts w:ascii="Calibri" w:hAnsi="Calibri" w:cs="Calibri"/>
                <w:lang w:val="en-AU" w:eastAsia="en-GB"/>
              </w:rPr>
              <w:t>Discussion of intended “natural” or alternative therapies for evaluation of individualised harms versus benefits</w:t>
            </w:r>
            <w:r w:rsidR="000C26E9" w:rsidRPr="004D3350">
              <w:rPr>
                <w:rFonts w:ascii="Calibri" w:hAnsi="Calibri" w:cs="Calibri"/>
                <w:lang w:val="en-AU" w:eastAsia="en-GB"/>
              </w:rPr>
              <w:t>.</w:t>
            </w:r>
            <w:r w:rsidRPr="004D3350">
              <w:rPr>
                <w:rFonts w:ascii="Calibri" w:hAnsi="Calibri" w:cs="Calibri"/>
                <w:lang w:val="en-AU" w:eastAsia="en-GB"/>
              </w:rPr>
              <w:t xml:space="preserve"> </w:t>
            </w:r>
          </w:p>
          <w:p w14:paraId="4D9DDA97" w14:textId="77777777" w:rsidR="001C1D02" w:rsidRPr="004D3350" w:rsidRDefault="00C824B1" w:rsidP="004D3350">
            <w:pPr>
              <w:pStyle w:val="BodyText"/>
              <w:numPr>
                <w:ilvl w:val="1"/>
                <w:numId w:val="22"/>
              </w:numPr>
              <w:spacing w:before="20" w:after="60" w:line="240" w:lineRule="auto"/>
              <w:ind w:left="738" w:hanging="284"/>
              <w:rPr>
                <w:rFonts w:ascii="Calibri" w:hAnsi="Calibri" w:cs="Calibri"/>
                <w:b/>
                <w:bCs/>
                <w:lang w:val="en-AU" w:eastAsia="en-GB"/>
              </w:rPr>
            </w:pPr>
            <w:r w:rsidRPr="004D3350">
              <w:rPr>
                <w:rFonts w:ascii="Calibri" w:hAnsi="Calibri" w:cs="Calibri"/>
                <w:lang w:val="en-AU" w:eastAsia="en-GB"/>
              </w:rPr>
              <w:t>An awareness of the evidence base and side effects to be aware of can assist patients in choosing alternative therapies wisely and avoiding unnecessary out of pocket costs and unintended harms</w:t>
            </w:r>
            <w:r w:rsidR="000C26E9" w:rsidRPr="004D3350">
              <w:rPr>
                <w:rFonts w:ascii="Calibri" w:hAnsi="Calibri" w:cs="Calibri"/>
                <w:lang w:val="en-AU" w:eastAsia="en-GB"/>
              </w:rPr>
              <w:t>.</w:t>
            </w:r>
          </w:p>
        </w:tc>
      </w:tr>
      <w:tr w:rsidR="001C1D02" w:rsidRPr="004D3350" w14:paraId="19CF2162" w14:textId="77777777" w:rsidTr="004D3350">
        <w:tc>
          <w:tcPr>
            <w:tcW w:w="9061" w:type="dxa"/>
            <w:shd w:val="clear" w:color="auto" w:fill="auto"/>
          </w:tcPr>
          <w:p w14:paraId="5D452C1C" w14:textId="77777777" w:rsidR="00C824B1" w:rsidRPr="004D3350" w:rsidRDefault="00C824B1" w:rsidP="004D3350">
            <w:pPr>
              <w:pStyle w:val="BodyText"/>
              <w:numPr>
                <w:ilvl w:val="0"/>
                <w:numId w:val="22"/>
              </w:numPr>
              <w:spacing w:before="60" w:after="20" w:line="240" w:lineRule="auto"/>
              <w:ind w:left="363" w:hanging="306"/>
              <w:rPr>
                <w:rFonts w:ascii="Calibri" w:hAnsi="Calibri" w:cs="Calibri"/>
                <w:lang w:val="en-AU" w:eastAsia="en-GB"/>
              </w:rPr>
            </w:pPr>
            <w:r w:rsidRPr="004D3350">
              <w:rPr>
                <w:rFonts w:ascii="Calibri" w:hAnsi="Calibri" w:cs="Calibri"/>
                <w:lang w:val="en-AU" w:eastAsia="en-GB"/>
              </w:rPr>
              <w:t>Periodic re-evaluation of symptoms and new symptoms to determine an identifiable cause and efficacy of treatment</w:t>
            </w:r>
            <w:r w:rsidR="000C26E9" w:rsidRPr="004D3350">
              <w:rPr>
                <w:rFonts w:ascii="Calibri" w:hAnsi="Calibri" w:cs="Calibri"/>
                <w:lang w:val="en-AU" w:eastAsia="en-GB"/>
              </w:rPr>
              <w:t>.</w:t>
            </w:r>
          </w:p>
          <w:p w14:paraId="41BA0E9B" w14:textId="77777777" w:rsidR="001C1D02" w:rsidRPr="004D3350" w:rsidRDefault="00C824B1" w:rsidP="004D3350">
            <w:pPr>
              <w:pStyle w:val="BodyText"/>
              <w:numPr>
                <w:ilvl w:val="1"/>
                <w:numId w:val="22"/>
              </w:numPr>
              <w:spacing w:before="20" w:after="60" w:line="240" w:lineRule="auto"/>
              <w:ind w:left="738" w:hanging="284"/>
              <w:rPr>
                <w:rFonts w:ascii="Calibri" w:hAnsi="Calibri" w:cs="Calibri"/>
                <w:b/>
                <w:bCs/>
                <w:lang w:val="en-AU" w:eastAsia="en-GB"/>
              </w:rPr>
            </w:pPr>
            <w:r w:rsidRPr="004D3350">
              <w:rPr>
                <w:rFonts w:ascii="Calibri" w:hAnsi="Calibri" w:cs="Calibri"/>
                <w:lang w:val="en-AU" w:eastAsia="en-GB"/>
              </w:rPr>
              <w:t>Small changes over time may not be noticed by patients. Review allows encouragement regarding improvements, detection of deterioration, and evaluation of new symptoms arisin</w:t>
            </w:r>
            <w:r w:rsidRPr="004D3350">
              <w:rPr>
                <w:rFonts w:ascii="Calibri" w:hAnsi="Calibri" w:cs="Calibri"/>
                <w:bCs/>
                <w:lang w:val="en-AU" w:eastAsia="en-GB"/>
              </w:rPr>
              <w:t>g</w:t>
            </w:r>
            <w:r w:rsidRPr="004D3350">
              <w:rPr>
                <w:rFonts w:ascii="Calibri" w:hAnsi="Calibri" w:cs="Calibri"/>
                <w:b/>
                <w:bCs/>
                <w:lang w:val="en-AU" w:eastAsia="en-GB"/>
              </w:rPr>
              <w:t>.</w:t>
            </w:r>
          </w:p>
        </w:tc>
      </w:tr>
      <w:tr w:rsidR="00C824B1" w:rsidRPr="004D3350" w14:paraId="3398169F" w14:textId="77777777" w:rsidTr="004D3350">
        <w:tc>
          <w:tcPr>
            <w:tcW w:w="9061" w:type="dxa"/>
            <w:shd w:val="clear" w:color="auto" w:fill="auto"/>
          </w:tcPr>
          <w:p w14:paraId="3A40749C" w14:textId="77777777" w:rsidR="00C824B1" w:rsidRPr="004D3350" w:rsidRDefault="00C824B1" w:rsidP="004D3350">
            <w:pPr>
              <w:pStyle w:val="BodyText"/>
              <w:numPr>
                <w:ilvl w:val="0"/>
                <w:numId w:val="22"/>
              </w:numPr>
              <w:spacing w:before="60" w:after="20" w:line="240" w:lineRule="auto"/>
              <w:ind w:left="341" w:hanging="284"/>
              <w:rPr>
                <w:rFonts w:ascii="Calibri" w:hAnsi="Calibri" w:cs="Calibri"/>
                <w:lang w:val="en-AU" w:eastAsia="en-GB"/>
              </w:rPr>
            </w:pPr>
            <w:r w:rsidRPr="004D3350">
              <w:rPr>
                <w:rFonts w:ascii="Calibri" w:hAnsi="Calibri" w:cs="Calibri"/>
                <w:lang w:val="en-AU" w:eastAsia="en-GB"/>
              </w:rPr>
              <w:t>Discussion of possible causes of and treatments for symptoms that have been found on the internet or recommended by friends.</w:t>
            </w:r>
          </w:p>
          <w:p w14:paraId="55C64D80" w14:textId="77777777" w:rsidR="00C824B1" w:rsidRPr="004D3350" w:rsidRDefault="00C824B1" w:rsidP="004D3350">
            <w:pPr>
              <w:pStyle w:val="BodyText"/>
              <w:numPr>
                <w:ilvl w:val="1"/>
                <w:numId w:val="22"/>
              </w:numPr>
              <w:spacing w:before="20" w:after="60" w:line="240" w:lineRule="auto"/>
              <w:ind w:left="738" w:hanging="284"/>
              <w:rPr>
                <w:rFonts w:ascii="Calibri" w:hAnsi="Calibri" w:cs="Calibri"/>
                <w:lang w:val="en-AU" w:eastAsia="en-GB"/>
              </w:rPr>
            </w:pPr>
            <w:r w:rsidRPr="004D3350">
              <w:rPr>
                <w:rFonts w:ascii="Calibri" w:hAnsi="Calibri" w:cs="Calibri"/>
                <w:lang w:val="en-AU" w:eastAsia="en-GB"/>
              </w:rPr>
              <w:t xml:space="preserve">Not having a diagnosis is difficult for patients in many ways and leads to a vulnerability to looking for a cause of their symptoms. The internet, social media and social contacts can be spreaders of both good and poor information. Remaining open to a patient discussing what they have found allows for education, exploration of misinformation, identification of reliable sources and identification of potential treatments to trial. </w:t>
            </w:r>
          </w:p>
        </w:tc>
      </w:tr>
      <w:tr w:rsidR="00C824B1" w:rsidRPr="004D3350" w14:paraId="1A314E22" w14:textId="77777777" w:rsidTr="004D3350">
        <w:tc>
          <w:tcPr>
            <w:tcW w:w="9061" w:type="dxa"/>
            <w:shd w:val="clear" w:color="auto" w:fill="auto"/>
          </w:tcPr>
          <w:p w14:paraId="6CA8938C" w14:textId="77777777" w:rsidR="00C824B1" w:rsidRPr="004D3350" w:rsidRDefault="00C824B1" w:rsidP="004D3350">
            <w:pPr>
              <w:pStyle w:val="BodyText"/>
              <w:numPr>
                <w:ilvl w:val="0"/>
                <w:numId w:val="22"/>
              </w:numPr>
              <w:spacing w:before="60" w:after="60" w:line="240" w:lineRule="auto"/>
              <w:ind w:left="341" w:hanging="284"/>
              <w:rPr>
                <w:rFonts w:ascii="Calibri" w:hAnsi="Calibri" w:cs="Calibri"/>
                <w:lang w:val="en-AU" w:eastAsia="en-GB"/>
              </w:rPr>
            </w:pPr>
            <w:r w:rsidRPr="004D3350">
              <w:rPr>
                <w:rFonts w:ascii="Calibri" w:hAnsi="Calibri" w:cs="Calibri"/>
                <w:lang w:val="en-AU" w:eastAsia="en-GB"/>
              </w:rPr>
              <w:t>Enlistment of other members of a multidisciplinary team</w:t>
            </w:r>
            <w:r w:rsidR="000C26E9" w:rsidRPr="004D3350">
              <w:rPr>
                <w:rFonts w:ascii="Calibri" w:hAnsi="Calibri" w:cs="Calibri"/>
                <w:lang w:val="en-AU" w:eastAsia="en-GB"/>
              </w:rPr>
              <w:t>.</w:t>
            </w:r>
          </w:p>
        </w:tc>
      </w:tr>
      <w:tr w:rsidR="00C824B1" w:rsidRPr="004D3350" w14:paraId="40C93464" w14:textId="77777777" w:rsidTr="004D3350">
        <w:tc>
          <w:tcPr>
            <w:tcW w:w="9061" w:type="dxa"/>
            <w:shd w:val="clear" w:color="auto" w:fill="auto"/>
          </w:tcPr>
          <w:p w14:paraId="708F33F5" w14:textId="77777777" w:rsidR="00C824B1" w:rsidRPr="004D3350" w:rsidRDefault="00C824B1" w:rsidP="004D3350">
            <w:pPr>
              <w:pStyle w:val="BodyText"/>
              <w:numPr>
                <w:ilvl w:val="0"/>
                <w:numId w:val="22"/>
              </w:numPr>
              <w:spacing w:before="60" w:after="60" w:line="240" w:lineRule="auto"/>
              <w:ind w:left="363" w:hanging="306"/>
              <w:rPr>
                <w:rFonts w:ascii="Calibri" w:hAnsi="Calibri" w:cs="Calibri"/>
                <w:lang w:val="en-AU" w:eastAsia="en-GB"/>
              </w:rPr>
            </w:pPr>
            <w:r w:rsidRPr="004D3350">
              <w:rPr>
                <w:rFonts w:ascii="Calibri" w:hAnsi="Calibri" w:cs="Calibri"/>
                <w:lang w:val="en-AU" w:eastAsia="en-GB"/>
              </w:rPr>
              <w:t>Consideration of mental health strategies</w:t>
            </w:r>
            <w:r w:rsidR="000C26E9" w:rsidRPr="004D3350">
              <w:rPr>
                <w:rFonts w:ascii="Calibri" w:hAnsi="Calibri" w:cs="Calibri"/>
                <w:lang w:val="en-AU" w:eastAsia="en-GB"/>
              </w:rPr>
              <w:t>.</w:t>
            </w:r>
          </w:p>
        </w:tc>
      </w:tr>
    </w:tbl>
    <w:p w14:paraId="01EBB9DF" w14:textId="77777777" w:rsidR="00944075" w:rsidRDefault="00944075" w:rsidP="00A01FE5">
      <w:pPr>
        <w:pStyle w:val="BodyText"/>
        <w:rPr>
          <w:lang w:val="en-AU"/>
        </w:rPr>
      </w:pPr>
      <w:r w:rsidRPr="004C76D2">
        <w:rPr>
          <w:lang w:val="en-AU"/>
        </w:rPr>
        <w:lastRenderedPageBreak/>
        <w:t>NPS Med</w:t>
      </w:r>
      <w:r w:rsidR="004C76D2">
        <w:rPr>
          <w:lang w:val="en-AU"/>
        </w:rPr>
        <w:t>i</w:t>
      </w:r>
      <w:r w:rsidRPr="004C76D2">
        <w:rPr>
          <w:lang w:val="en-AU"/>
        </w:rPr>
        <w:t>cineWise reports that a poll conducted in 2018 shows almost 7 million Australian</w:t>
      </w:r>
      <w:r w:rsidR="00ED7F27">
        <w:rPr>
          <w:lang w:val="en-AU"/>
        </w:rPr>
        <w:t>s</w:t>
      </w:r>
      <w:r w:rsidRPr="004C76D2">
        <w:rPr>
          <w:lang w:val="en-AU"/>
        </w:rPr>
        <w:t xml:space="preserve"> take some form of complementary medicine every day</w:t>
      </w:r>
      <w:r w:rsidR="00BB2693">
        <w:rPr>
          <w:lang w:val="en-AU"/>
        </w:rPr>
        <w:t>.</w:t>
      </w:r>
      <w:r w:rsidRPr="00A94846">
        <w:rPr>
          <w:rStyle w:val="FootnoteReference"/>
        </w:rPr>
        <w:footnoteReference w:id="255"/>
      </w:r>
      <w:r w:rsidRPr="004C76D2">
        <w:rPr>
          <w:lang w:val="en-AU"/>
        </w:rPr>
        <w:t xml:space="preserve"> Without a full understanding of patients’ health practices, including their use of complementary therapies, it is difficult for clinicians to provide safe and patient-centred health care.</w:t>
      </w:r>
    </w:p>
    <w:p w14:paraId="4B4655CF" w14:textId="77777777" w:rsidR="006A1066" w:rsidRDefault="0009210B" w:rsidP="00E358D6">
      <w:pPr>
        <w:spacing w:after="0" w:line="240" w:lineRule="auto"/>
        <w:rPr>
          <w:lang w:val="en-AU" w:eastAsia="en-GB"/>
        </w:rPr>
      </w:pPr>
      <w:r>
        <w:rPr>
          <w:lang w:val="en-AU" w:eastAsia="en-GB"/>
        </w:rPr>
        <w:t xml:space="preserve">In addition to the alternative and complementary therapies reviewed and not recommended for the treatment of Lyme disease (see </w:t>
      </w:r>
      <w:hyperlink w:anchor="Section_613" w:history="1">
        <w:r w:rsidR="00504EBC" w:rsidRPr="00C11A61">
          <w:rPr>
            <w:rStyle w:val="Hyperlink"/>
            <w:lang w:val="en-AU" w:eastAsia="en-GB"/>
          </w:rPr>
          <w:t>S</w:t>
        </w:r>
        <w:r w:rsidRPr="00C11A61">
          <w:rPr>
            <w:rStyle w:val="Hyperlink"/>
            <w:lang w:val="en-AU" w:eastAsia="en-GB"/>
          </w:rPr>
          <w:t>ection 6.1.3</w:t>
        </w:r>
      </w:hyperlink>
      <w:r>
        <w:rPr>
          <w:lang w:val="en-AU" w:eastAsia="en-GB"/>
        </w:rPr>
        <w:t>), many of which were reported by patients to the Senate Inquiry</w:t>
      </w:r>
      <w:r w:rsidRPr="00A94846">
        <w:rPr>
          <w:rStyle w:val="FootnoteReference"/>
        </w:rPr>
        <w:footnoteReference w:id="256"/>
      </w:r>
      <w:r>
        <w:rPr>
          <w:lang w:val="en-AU" w:eastAsia="en-GB"/>
        </w:rPr>
        <w:t xml:space="preserve"> t</w:t>
      </w:r>
      <w:r w:rsidR="006A1066" w:rsidRPr="00661245">
        <w:rPr>
          <w:lang w:val="en-AU" w:eastAsia="en-GB"/>
        </w:rPr>
        <w:t>o have been recommende</w:t>
      </w:r>
      <w:r w:rsidR="006A1066" w:rsidRPr="00CF74AD">
        <w:rPr>
          <w:lang w:val="en-AU" w:eastAsia="en-GB"/>
        </w:rPr>
        <w:t xml:space="preserve">d to them, refer to </w:t>
      </w:r>
      <w:r w:rsidR="006A1066">
        <w:rPr>
          <w:lang w:val="en-AU" w:eastAsia="en-GB"/>
        </w:rPr>
        <w:t>the National Healt</w:t>
      </w:r>
      <w:r w:rsidR="00BB4261">
        <w:rPr>
          <w:lang w:val="en-AU" w:eastAsia="en-GB"/>
        </w:rPr>
        <w:t xml:space="preserve">h and Medical Research Council </w:t>
      </w:r>
      <w:r w:rsidR="006A1066">
        <w:rPr>
          <w:lang w:val="en-AU" w:eastAsia="en-GB"/>
        </w:rPr>
        <w:t>(</w:t>
      </w:r>
      <w:r w:rsidR="006A1066" w:rsidRPr="00D621FF">
        <w:rPr>
          <w:lang w:val="en-AU" w:eastAsia="en-GB"/>
        </w:rPr>
        <w:t>NHMRC</w:t>
      </w:r>
      <w:r w:rsidR="006A1066">
        <w:rPr>
          <w:lang w:val="en-AU" w:eastAsia="en-GB"/>
        </w:rPr>
        <w:t>)</w:t>
      </w:r>
      <w:r w:rsidR="006A1066" w:rsidRPr="00D621FF">
        <w:rPr>
          <w:lang w:val="en-AU" w:eastAsia="en-GB"/>
        </w:rPr>
        <w:t xml:space="preserve"> and Therapeutic Goods Administration</w:t>
      </w:r>
      <w:r w:rsidR="006A1066" w:rsidRPr="00FA6D54">
        <w:rPr>
          <w:lang w:val="en-AU" w:eastAsia="en-GB"/>
        </w:rPr>
        <w:t xml:space="preserve"> (TGA) </w:t>
      </w:r>
      <w:r w:rsidR="006A1066" w:rsidRPr="00A01762">
        <w:rPr>
          <w:lang w:val="en-AU" w:eastAsia="en-GB"/>
        </w:rPr>
        <w:t xml:space="preserve">for </w:t>
      </w:r>
      <w:r w:rsidR="006A1066" w:rsidRPr="00F2704A">
        <w:rPr>
          <w:lang w:val="en-AU" w:eastAsia="en-GB"/>
        </w:rPr>
        <w:t xml:space="preserve">information on complementary and alternative medicines in Australia. </w:t>
      </w:r>
    </w:p>
    <w:p w14:paraId="6456D013" w14:textId="77777777" w:rsidR="00944075" w:rsidRPr="00C97144" w:rsidRDefault="00944075" w:rsidP="00F36B13">
      <w:pPr>
        <w:pStyle w:val="Body"/>
        <w:rPr>
          <w:lang w:val="en-AU"/>
        </w:rPr>
      </w:pPr>
      <w:r w:rsidRPr="004C76D2">
        <w:rPr>
          <w:lang w:val="en-AU"/>
        </w:rPr>
        <w:t xml:space="preserve">A useful resource, </w:t>
      </w:r>
      <w:r w:rsidRPr="004C76D2">
        <w:rPr>
          <w:i/>
          <w:iCs/>
          <w:lang w:val="en-AU"/>
        </w:rPr>
        <w:t>Talking with your patients about Complementary Medicines</w:t>
      </w:r>
      <w:r w:rsidRPr="004C76D2">
        <w:rPr>
          <w:lang w:val="en-AU"/>
        </w:rPr>
        <w:t>,</w:t>
      </w:r>
      <w:r w:rsidRPr="00A94846">
        <w:rPr>
          <w:rStyle w:val="FootnoteReference"/>
        </w:rPr>
        <w:footnoteReference w:id="257"/>
      </w:r>
      <w:r w:rsidR="00BB4261">
        <w:rPr>
          <w:lang w:val="en-AU"/>
        </w:rPr>
        <w:t xml:space="preserve"> published by </w:t>
      </w:r>
      <w:r w:rsidR="00FD0F50">
        <w:rPr>
          <w:lang w:val="en-AU"/>
        </w:rPr>
        <w:t xml:space="preserve">the </w:t>
      </w:r>
      <w:r w:rsidR="00B10F70">
        <w:rPr>
          <w:lang w:val="en-AU"/>
        </w:rPr>
        <w:t xml:space="preserve">NHMRC </w:t>
      </w:r>
      <w:r w:rsidRPr="004C76D2">
        <w:rPr>
          <w:lang w:val="en-AU"/>
        </w:rPr>
        <w:t>has found that many Australians report that they use complementary medicine but do not disclose this information to their clinicians</w:t>
      </w:r>
      <w:r w:rsidR="00F36B13" w:rsidRPr="004C76D2">
        <w:rPr>
          <w:lang w:val="en-AU"/>
        </w:rPr>
        <w:t>.</w:t>
      </w:r>
      <w:r w:rsidRPr="00A94846">
        <w:rPr>
          <w:rStyle w:val="FootnoteReference"/>
        </w:rPr>
        <w:footnoteReference w:id="258"/>
      </w:r>
      <w:r w:rsidRPr="004C76D2">
        <w:rPr>
          <w:lang w:val="en-AU"/>
        </w:rPr>
        <w:t xml:space="preserve"> One of the most common reasons patients have not discussed their use of complementary medicines is that their clinician has not asked them about it.</w:t>
      </w:r>
      <w:r w:rsidRPr="00A94846">
        <w:rPr>
          <w:rStyle w:val="FootnoteReference"/>
        </w:rPr>
        <w:footnoteReference w:id="259"/>
      </w:r>
      <w:r w:rsidRPr="004C76D2">
        <w:rPr>
          <w:lang w:val="en-AU"/>
        </w:rPr>
        <w:t xml:space="preserve"> The RACGP</w:t>
      </w:r>
      <w:r w:rsidR="00F423EB" w:rsidRPr="004C76D2">
        <w:rPr>
          <w:lang w:val="en-AU"/>
        </w:rPr>
        <w:t xml:space="preserve"> </w:t>
      </w:r>
      <w:r w:rsidRPr="004C76D2">
        <w:rPr>
          <w:lang w:val="en-AU"/>
        </w:rPr>
        <w:t xml:space="preserve">advises that it is important for GPs to ask patients about their use of complementary therapies and to be aware of the evidence basis, or lack thereof. GPs should also have the knowledge to </w:t>
      </w:r>
      <w:r w:rsidRPr="00C97144">
        <w:rPr>
          <w:lang w:val="en-AU"/>
        </w:rPr>
        <w:t>provide patients with balanced information about potential benefits and risks in order to enable informed decision making</w:t>
      </w:r>
      <w:r w:rsidR="00F36B13" w:rsidRPr="00C97144">
        <w:rPr>
          <w:lang w:val="en-AU"/>
        </w:rPr>
        <w:t>.</w:t>
      </w:r>
      <w:r w:rsidRPr="00A94846">
        <w:rPr>
          <w:rStyle w:val="FootnoteReference"/>
        </w:rPr>
        <w:footnoteReference w:id="260"/>
      </w:r>
    </w:p>
    <w:p w14:paraId="71794CA1" w14:textId="77777777" w:rsidR="00944075" w:rsidRPr="00C97144" w:rsidRDefault="00944075" w:rsidP="00A01FE5">
      <w:pPr>
        <w:pStyle w:val="BodyText"/>
        <w:rPr>
          <w:lang w:val="en-AU"/>
        </w:rPr>
      </w:pPr>
      <w:r w:rsidRPr="00C97144">
        <w:rPr>
          <w:lang w:val="en-AU"/>
        </w:rPr>
        <w:t>The NHMRC resource recommends that:</w:t>
      </w:r>
      <w:r w:rsidR="008E57C3" w:rsidRPr="00A94846">
        <w:rPr>
          <w:rStyle w:val="FootnoteReference"/>
        </w:rPr>
        <w:footnoteReference w:id="261"/>
      </w:r>
    </w:p>
    <w:p w14:paraId="557DB3A0" w14:textId="77777777" w:rsidR="00944075" w:rsidRPr="001F23F4" w:rsidRDefault="00944075" w:rsidP="00F36B13">
      <w:pPr>
        <w:pStyle w:val="List-BulletLvl1"/>
        <w:rPr>
          <w:lang w:val="en-AU"/>
        </w:rPr>
      </w:pPr>
      <w:r w:rsidRPr="001F23F4">
        <w:rPr>
          <w:lang w:val="en-AU"/>
        </w:rPr>
        <w:t xml:space="preserve">clinicians should be sensitive to the variety of other reasons for patients not disclosing complementary medicines use. These reasons include: </w:t>
      </w:r>
    </w:p>
    <w:p w14:paraId="5260D3C5" w14:textId="77777777" w:rsidR="00944075" w:rsidRPr="001F23F4" w:rsidRDefault="00944075" w:rsidP="00EB40E4">
      <w:pPr>
        <w:pStyle w:val="List-BulletLvl2"/>
        <w:spacing w:before="0" w:after="60"/>
        <w:ind w:left="1531"/>
        <w:rPr>
          <w:lang w:val="en-AU"/>
        </w:rPr>
      </w:pPr>
      <w:r w:rsidRPr="001F23F4">
        <w:rPr>
          <w:lang w:val="en-AU"/>
        </w:rPr>
        <w:t xml:space="preserve">a belief that complementary medicines products and therapies are ‘natural’ and ‘safer’ than conventional medicine </w:t>
      </w:r>
    </w:p>
    <w:p w14:paraId="67A913D1" w14:textId="77777777" w:rsidR="00944075" w:rsidRPr="001F23F4" w:rsidRDefault="00944075" w:rsidP="00EB40E4">
      <w:pPr>
        <w:pStyle w:val="List-BulletLvl2"/>
        <w:spacing w:before="0" w:after="60"/>
        <w:ind w:left="1531"/>
        <w:rPr>
          <w:lang w:val="en-AU"/>
        </w:rPr>
      </w:pPr>
      <w:r w:rsidRPr="001F23F4">
        <w:rPr>
          <w:lang w:val="en-AU"/>
        </w:rPr>
        <w:t xml:space="preserve">a feeling of dissatisfaction with conventional medicine </w:t>
      </w:r>
    </w:p>
    <w:p w14:paraId="5C6A1E4D" w14:textId="77777777" w:rsidR="00944075" w:rsidRPr="001F23F4" w:rsidRDefault="00944075" w:rsidP="00EB40E4">
      <w:pPr>
        <w:pStyle w:val="List-BulletLvl2"/>
        <w:spacing w:before="0" w:after="60"/>
        <w:ind w:left="1531"/>
        <w:rPr>
          <w:lang w:val="en-AU"/>
        </w:rPr>
      </w:pPr>
      <w:r w:rsidRPr="001F23F4">
        <w:rPr>
          <w:lang w:val="en-AU"/>
        </w:rPr>
        <w:t xml:space="preserve">a lack of awareness of the risk of unintended drug interactions </w:t>
      </w:r>
    </w:p>
    <w:p w14:paraId="6E1966F5" w14:textId="77777777" w:rsidR="00944075" w:rsidRPr="001F23F4" w:rsidRDefault="00944075" w:rsidP="00EB40E4">
      <w:pPr>
        <w:pStyle w:val="List-BulletLvl2"/>
        <w:spacing w:before="0" w:after="60"/>
        <w:ind w:left="1531"/>
        <w:rPr>
          <w:lang w:val="en-AU"/>
        </w:rPr>
      </w:pPr>
      <w:r w:rsidRPr="001F23F4">
        <w:rPr>
          <w:lang w:val="en-AU"/>
        </w:rPr>
        <w:t>awareness of the clinician’s attitude to or knowledge of complementary medicines</w:t>
      </w:r>
    </w:p>
    <w:p w14:paraId="5F8FAFED" w14:textId="77777777" w:rsidR="00944075" w:rsidRPr="001F23F4" w:rsidRDefault="00944075" w:rsidP="00EB40E4">
      <w:pPr>
        <w:pStyle w:val="List-BulletLvl2"/>
        <w:spacing w:before="0" w:after="60"/>
        <w:ind w:left="1531"/>
        <w:rPr>
          <w:lang w:val="en-AU"/>
        </w:rPr>
      </w:pPr>
      <w:r w:rsidRPr="001F23F4">
        <w:rPr>
          <w:lang w:val="en-AU"/>
        </w:rPr>
        <w:t>discomfort in raising the topic</w:t>
      </w:r>
      <w:r w:rsidR="00F36B13" w:rsidRPr="001F23F4">
        <w:rPr>
          <w:lang w:val="en-AU"/>
        </w:rPr>
        <w:t>, and</w:t>
      </w:r>
    </w:p>
    <w:p w14:paraId="265CF8BB" w14:textId="77777777" w:rsidR="00944075" w:rsidRPr="001F23F4" w:rsidRDefault="00944075" w:rsidP="00EB40E4">
      <w:pPr>
        <w:pStyle w:val="List-BulletLvl2"/>
        <w:spacing w:before="0"/>
        <w:ind w:left="1531"/>
        <w:rPr>
          <w:lang w:val="en-AU"/>
        </w:rPr>
      </w:pPr>
      <w:r w:rsidRPr="001F23F4">
        <w:rPr>
          <w:lang w:val="en-AU"/>
        </w:rPr>
        <w:t>fear of the practitioner’s response</w:t>
      </w:r>
    </w:p>
    <w:p w14:paraId="57BEEB69" w14:textId="77777777" w:rsidR="00944075" w:rsidRPr="001F23F4" w:rsidRDefault="00944075" w:rsidP="00DB129C">
      <w:pPr>
        <w:pStyle w:val="List-BulletLvl1"/>
        <w:spacing w:after="60"/>
        <w:rPr>
          <w:lang w:val="en-AU"/>
        </w:rPr>
      </w:pPr>
      <w:r w:rsidRPr="001F23F4">
        <w:rPr>
          <w:lang w:val="en-AU"/>
        </w:rPr>
        <w:t>when clinicians initiate discussions about complementary medicines with their patients, it is important to use an approach that increases collaboration and trust</w:t>
      </w:r>
    </w:p>
    <w:p w14:paraId="5259EDF1" w14:textId="77777777" w:rsidR="00944075" w:rsidRPr="001F23F4" w:rsidRDefault="00944075" w:rsidP="00DB129C">
      <w:pPr>
        <w:pStyle w:val="List-BulletLvl1"/>
        <w:spacing w:after="60"/>
        <w:rPr>
          <w:lang w:val="en-AU"/>
        </w:rPr>
      </w:pPr>
      <w:r w:rsidRPr="001F23F4">
        <w:rPr>
          <w:lang w:val="en-AU"/>
        </w:rPr>
        <w:t>clinicians should encourage patients to make treatment decisions based on evidence and can ask their patients if they would like help identifying and interpreting evidence of effectiveness for the complementary therapies they use</w:t>
      </w:r>
      <w:r w:rsidR="00F36B13" w:rsidRPr="001F23F4">
        <w:rPr>
          <w:lang w:val="en-AU"/>
        </w:rPr>
        <w:t>, and</w:t>
      </w:r>
    </w:p>
    <w:p w14:paraId="5F0A0560" w14:textId="77777777" w:rsidR="00944075" w:rsidRPr="001F23F4" w:rsidRDefault="00944075" w:rsidP="00F36B13">
      <w:pPr>
        <w:pStyle w:val="List-BulletLvl1"/>
        <w:rPr>
          <w:lang w:val="en-AU"/>
        </w:rPr>
      </w:pPr>
      <w:r w:rsidRPr="001F23F4">
        <w:rPr>
          <w:lang w:val="en-AU"/>
        </w:rPr>
        <w:t xml:space="preserve">clinicians should explain to their patients that all health and treatment decisions involve weighing up potential benefits and potential risks and that this process can help patients to decide whether a treatment is appropriate for them. </w:t>
      </w:r>
    </w:p>
    <w:p w14:paraId="1E7D1103" w14:textId="77777777" w:rsidR="006239CA" w:rsidRPr="00E358D6" w:rsidRDefault="00944075" w:rsidP="00F36B13">
      <w:pPr>
        <w:pStyle w:val="Body"/>
        <w:rPr>
          <w:lang w:val="en-AU"/>
        </w:rPr>
      </w:pPr>
      <w:r w:rsidRPr="001F23F4">
        <w:rPr>
          <w:lang w:val="en-AU"/>
        </w:rPr>
        <w:t>Many consumers are not aware of the side effects of some complementary medicine products and their potential interactions with conventional medicines, which may put some users at unnecessary risk of harm.</w:t>
      </w:r>
      <w:r w:rsidRPr="001F23F4">
        <w:rPr>
          <w:b/>
          <w:bCs/>
          <w:position w:val="8"/>
          <w:sz w:val="14"/>
          <w:szCs w:val="14"/>
          <w:lang w:val="en-AU"/>
        </w:rPr>
        <w:t xml:space="preserve"> </w:t>
      </w:r>
      <w:r w:rsidRPr="001F23F4">
        <w:rPr>
          <w:lang w:val="en-AU"/>
        </w:rPr>
        <w:t xml:space="preserve">Clinicians may need to consider and explain to their patients the risk of </w:t>
      </w:r>
      <w:r w:rsidRPr="001F23F4">
        <w:rPr>
          <w:lang w:val="en-AU"/>
        </w:rPr>
        <w:lastRenderedPageBreak/>
        <w:t xml:space="preserve">adverse reactions (including unintended medicine interactions). </w:t>
      </w:r>
      <w:r w:rsidR="00FA1B3C">
        <w:rPr>
          <w:lang w:val="en-AU"/>
        </w:rPr>
        <w:t>E</w:t>
      </w:r>
      <w:r w:rsidR="006239CA" w:rsidRPr="005A14E1">
        <w:rPr>
          <w:lang w:val="en-AU"/>
        </w:rPr>
        <w:t>ncourag</w:t>
      </w:r>
      <w:r w:rsidR="00FA1B3C">
        <w:rPr>
          <w:lang w:val="en-AU"/>
        </w:rPr>
        <w:t>e</w:t>
      </w:r>
      <w:r w:rsidR="006239CA" w:rsidRPr="005A14E1">
        <w:rPr>
          <w:lang w:val="en-AU"/>
        </w:rPr>
        <w:t xml:space="preserve"> patients to ask questions about the efficacy, risks, contraindications and costs of the complementary therapies and the qualifications of the practitioner.</w:t>
      </w:r>
      <w:r w:rsidR="006239CA" w:rsidRPr="00A94846">
        <w:rPr>
          <w:rStyle w:val="FootnoteReference"/>
        </w:rPr>
        <w:footnoteReference w:id="262"/>
      </w:r>
      <w:r w:rsidR="006239CA" w:rsidRPr="005A14E1">
        <w:rPr>
          <w:lang w:val="en-AU"/>
        </w:rPr>
        <w:t xml:space="preserve"> </w:t>
      </w:r>
    </w:p>
    <w:p w14:paraId="3F027176" w14:textId="77777777" w:rsidR="00944075" w:rsidRPr="008553F0" w:rsidRDefault="00944075" w:rsidP="00AA1EF5">
      <w:pPr>
        <w:pStyle w:val="Body"/>
        <w:rPr>
          <w:lang w:val="en-AU"/>
        </w:rPr>
      </w:pPr>
      <w:r w:rsidRPr="008553F0">
        <w:rPr>
          <w:lang w:val="en-AU"/>
        </w:rPr>
        <w:t xml:space="preserve">If considered clinically necessary, </w:t>
      </w:r>
      <w:r w:rsidR="00B10F70">
        <w:rPr>
          <w:lang w:val="en-AU"/>
        </w:rPr>
        <w:t xml:space="preserve">GPs </w:t>
      </w:r>
      <w:r w:rsidR="00AA1EF5">
        <w:rPr>
          <w:lang w:val="en-AU"/>
        </w:rPr>
        <w:t xml:space="preserve">may refer their patient to </w:t>
      </w:r>
      <w:r w:rsidRPr="008553F0">
        <w:rPr>
          <w:lang w:val="en-AU"/>
        </w:rPr>
        <w:t xml:space="preserve">a pharmacist for a Medicare-supported Home Medicines Review to prevent medication-related problems. </w:t>
      </w:r>
    </w:p>
    <w:p w14:paraId="5BC79FBF" w14:textId="77777777" w:rsidR="00944075" w:rsidRPr="00E358D6" w:rsidRDefault="00944075" w:rsidP="00F36B13">
      <w:pPr>
        <w:pStyle w:val="Body"/>
        <w:rPr>
          <w:b/>
          <w:bCs/>
          <w:i/>
          <w:iCs/>
          <w:lang w:val="en-AU"/>
        </w:rPr>
      </w:pPr>
      <w:r w:rsidRPr="00E358D6">
        <w:rPr>
          <w:b/>
          <w:bCs/>
          <w:i/>
          <w:iCs/>
          <w:lang w:val="en-AU"/>
        </w:rPr>
        <w:t>Further information about Complementary Therapies</w:t>
      </w:r>
    </w:p>
    <w:p w14:paraId="14484119" w14:textId="77777777" w:rsidR="00C76985" w:rsidRDefault="00C76985" w:rsidP="00C76985">
      <w:pPr>
        <w:pStyle w:val="BodyText"/>
        <w:rPr>
          <w:lang w:val="en-AU" w:eastAsia="en-GB"/>
        </w:rPr>
      </w:pPr>
      <w:r>
        <w:rPr>
          <w:lang w:val="en-AU" w:eastAsia="en-GB"/>
        </w:rPr>
        <w:t xml:space="preserve">For further </w:t>
      </w:r>
      <w:r w:rsidRPr="00F2704A">
        <w:rPr>
          <w:lang w:val="en-AU" w:eastAsia="en-GB"/>
        </w:rPr>
        <w:t>information on complementary and alternative medicines in Australia</w:t>
      </w:r>
      <w:r w:rsidR="00FA1B3C">
        <w:rPr>
          <w:lang w:val="en-AU" w:eastAsia="en-GB"/>
        </w:rPr>
        <w:t xml:space="preserve"> and around the world</w:t>
      </w:r>
      <w:r>
        <w:rPr>
          <w:lang w:val="en-AU" w:eastAsia="en-GB"/>
        </w:rPr>
        <w:t>, refer to:</w:t>
      </w:r>
    </w:p>
    <w:p w14:paraId="32F62656" w14:textId="77777777" w:rsidR="00BE2749" w:rsidRDefault="00944075" w:rsidP="00F1600E">
      <w:pPr>
        <w:pStyle w:val="Body"/>
        <w:numPr>
          <w:ilvl w:val="0"/>
          <w:numId w:val="50"/>
        </w:numPr>
        <w:spacing w:before="0" w:after="60"/>
        <w:ind w:left="643"/>
        <w:jc w:val="left"/>
        <w:rPr>
          <w:lang w:val="en-AU"/>
        </w:rPr>
      </w:pPr>
      <w:r w:rsidRPr="008553F0">
        <w:rPr>
          <w:lang w:val="en-AU"/>
        </w:rPr>
        <w:t xml:space="preserve">NPS MedicineWise </w:t>
      </w:r>
    </w:p>
    <w:p w14:paraId="28298B4F" w14:textId="77777777" w:rsidR="00944075" w:rsidRPr="008553F0" w:rsidRDefault="00944075" w:rsidP="00BE2749">
      <w:pPr>
        <w:pStyle w:val="Body"/>
        <w:spacing w:before="0" w:after="60"/>
        <w:ind w:left="643"/>
        <w:jc w:val="left"/>
        <w:rPr>
          <w:lang w:val="en-AU"/>
        </w:rPr>
      </w:pPr>
      <w:r w:rsidRPr="00A35619">
        <w:rPr>
          <w:lang w:val="en-AU"/>
        </w:rPr>
        <w:t>https://www.nps.org.au/consumers/complementary-medicines-explained</w:t>
      </w:r>
    </w:p>
    <w:p w14:paraId="5CD215E9" w14:textId="77777777" w:rsidR="00944075" w:rsidRPr="008553F0" w:rsidRDefault="00944075" w:rsidP="00F1600E">
      <w:pPr>
        <w:pStyle w:val="Body"/>
        <w:numPr>
          <w:ilvl w:val="0"/>
          <w:numId w:val="50"/>
        </w:numPr>
        <w:spacing w:before="0" w:after="60"/>
        <w:ind w:left="643"/>
        <w:jc w:val="left"/>
        <w:rPr>
          <w:lang w:val="en-AU"/>
        </w:rPr>
      </w:pPr>
      <w:r w:rsidRPr="008553F0">
        <w:rPr>
          <w:lang w:val="en-AU"/>
        </w:rPr>
        <w:t>The Therapeutic Research Center – a US website that has an interaction checker, effectiveness checker and a</w:t>
      </w:r>
      <w:r w:rsidR="00BE2749">
        <w:rPr>
          <w:lang w:val="en-AU"/>
        </w:rPr>
        <w:t xml:space="preserve"> database of natural therapies </w:t>
      </w:r>
      <w:r w:rsidRPr="00A35619">
        <w:rPr>
          <w:lang w:val="en-AU"/>
        </w:rPr>
        <w:t>https://naturalmedicines.therapeuticresearch.com</w:t>
      </w:r>
    </w:p>
    <w:p w14:paraId="029F7F0A" w14:textId="77777777" w:rsidR="00BE2749" w:rsidRDefault="00944075" w:rsidP="00F1600E">
      <w:pPr>
        <w:pStyle w:val="Body"/>
        <w:numPr>
          <w:ilvl w:val="0"/>
          <w:numId w:val="50"/>
        </w:numPr>
        <w:spacing w:before="0" w:after="60"/>
        <w:ind w:left="643"/>
        <w:jc w:val="left"/>
        <w:rPr>
          <w:lang w:val="en-AU"/>
        </w:rPr>
      </w:pPr>
      <w:r w:rsidRPr="008553F0">
        <w:rPr>
          <w:lang w:val="en-AU"/>
        </w:rPr>
        <w:t>Memorial Sloan Kettering Cancer Centre has information about herbs, botanicals and a nu</w:t>
      </w:r>
      <w:r w:rsidR="00BE2749">
        <w:rPr>
          <w:lang w:val="en-AU"/>
        </w:rPr>
        <w:t>mber of complementary therapies</w:t>
      </w:r>
    </w:p>
    <w:p w14:paraId="3BD94B9F" w14:textId="77777777" w:rsidR="00944075" w:rsidRPr="008553F0" w:rsidRDefault="00944075" w:rsidP="00BE2749">
      <w:pPr>
        <w:pStyle w:val="Body"/>
        <w:spacing w:before="0" w:after="60"/>
        <w:ind w:left="643"/>
        <w:jc w:val="left"/>
        <w:rPr>
          <w:lang w:val="en-AU"/>
        </w:rPr>
      </w:pPr>
      <w:r w:rsidRPr="00A35619">
        <w:rPr>
          <w:lang w:val="en-AU"/>
        </w:rPr>
        <w:t>https://www.mskcc.org/cancer-care/diagnosis-treatment/symptom-management/integrative-medicine/herbs</w:t>
      </w:r>
    </w:p>
    <w:p w14:paraId="1A36D3F4" w14:textId="77777777" w:rsidR="00BE2749" w:rsidRDefault="00944075" w:rsidP="00F1600E">
      <w:pPr>
        <w:pStyle w:val="Body"/>
        <w:numPr>
          <w:ilvl w:val="0"/>
          <w:numId w:val="50"/>
        </w:numPr>
        <w:spacing w:before="0" w:after="60"/>
        <w:ind w:left="643"/>
        <w:jc w:val="left"/>
        <w:rPr>
          <w:lang w:val="en-AU"/>
        </w:rPr>
      </w:pPr>
      <w:r w:rsidRPr="008553F0">
        <w:rPr>
          <w:lang w:val="en-AU"/>
        </w:rPr>
        <w:t xml:space="preserve">Cochrane Complementary Medicine </w:t>
      </w:r>
    </w:p>
    <w:p w14:paraId="446E032B" w14:textId="77777777" w:rsidR="004A2770" w:rsidRPr="008553F0" w:rsidRDefault="004A2770" w:rsidP="00BE2749">
      <w:pPr>
        <w:pStyle w:val="Body"/>
        <w:spacing w:before="0" w:after="60"/>
        <w:ind w:left="643"/>
        <w:jc w:val="left"/>
        <w:rPr>
          <w:lang w:val="en-AU"/>
        </w:rPr>
      </w:pPr>
      <w:r w:rsidRPr="00A35619">
        <w:rPr>
          <w:lang w:val="en-AU"/>
        </w:rPr>
        <w:t>https://cam.cochrane.org/cochrane-reviews-related-complementary-medicine</w:t>
      </w:r>
      <w:r>
        <w:rPr>
          <w:lang w:val="en-AU"/>
        </w:rPr>
        <w:t xml:space="preserve"> </w:t>
      </w:r>
    </w:p>
    <w:p w14:paraId="4B7C660E" w14:textId="77777777" w:rsidR="00C76985" w:rsidRDefault="00944075" w:rsidP="00F1600E">
      <w:pPr>
        <w:pStyle w:val="BodyText"/>
        <w:numPr>
          <w:ilvl w:val="0"/>
          <w:numId w:val="49"/>
        </w:numPr>
        <w:spacing w:before="0" w:after="60"/>
        <w:ind w:left="643"/>
        <w:jc w:val="left"/>
        <w:rPr>
          <w:lang w:val="en-AU" w:eastAsia="en-GB"/>
        </w:rPr>
      </w:pPr>
      <w:r w:rsidRPr="008553F0">
        <w:rPr>
          <w:lang w:val="en-AU"/>
        </w:rPr>
        <w:t xml:space="preserve">Victoria State Government Better Health Channel </w:t>
      </w:r>
      <w:r w:rsidRPr="00A35619">
        <w:rPr>
          <w:lang w:val="en-AU"/>
        </w:rPr>
        <w:t>https://www.betterhealth.vic.gov.au/health/ConditionsAndTreatments/complementary-therapies</w:t>
      </w:r>
      <w:r w:rsidR="00C76985" w:rsidRPr="00C76985">
        <w:rPr>
          <w:lang w:val="en-AU" w:eastAsia="en-GB"/>
        </w:rPr>
        <w:t xml:space="preserve"> </w:t>
      </w:r>
    </w:p>
    <w:p w14:paraId="7E641454" w14:textId="77777777" w:rsidR="00C76985" w:rsidRDefault="00C76985" w:rsidP="00DB129C">
      <w:pPr>
        <w:pStyle w:val="BodyText"/>
        <w:numPr>
          <w:ilvl w:val="0"/>
          <w:numId w:val="49"/>
        </w:numPr>
        <w:spacing w:before="0" w:after="60"/>
        <w:ind w:left="643"/>
        <w:rPr>
          <w:lang w:val="en-AU" w:eastAsia="en-GB"/>
        </w:rPr>
      </w:pPr>
      <w:r>
        <w:rPr>
          <w:lang w:val="en-AU" w:eastAsia="en-GB"/>
        </w:rPr>
        <w:t>National Health and Medical Research Council (</w:t>
      </w:r>
      <w:r w:rsidRPr="00D621FF">
        <w:rPr>
          <w:lang w:val="en-AU" w:eastAsia="en-GB"/>
        </w:rPr>
        <w:t>NHMRC</w:t>
      </w:r>
      <w:r>
        <w:rPr>
          <w:lang w:val="en-AU" w:eastAsia="en-GB"/>
        </w:rPr>
        <w:t>)</w:t>
      </w:r>
      <w:r w:rsidRPr="00D621FF">
        <w:rPr>
          <w:lang w:val="en-AU" w:eastAsia="en-GB"/>
        </w:rPr>
        <w:t xml:space="preserve"> </w:t>
      </w:r>
    </w:p>
    <w:p w14:paraId="606CD446" w14:textId="77777777" w:rsidR="00C76985" w:rsidRDefault="00C76985" w:rsidP="00F13773">
      <w:pPr>
        <w:pStyle w:val="BodyText"/>
        <w:numPr>
          <w:ilvl w:val="0"/>
          <w:numId w:val="49"/>
        </w:numPr>
        <w:ind w:left="643"/>
        <w:rPr>
          <w:lang w:val="en-AU" w:eastAsia="en-GB"/>
        </w:rPr>
      </w:pPr>
      <w:r w:rsidRPr="00D621FF">
        <w:rPr>
          <w:lang w:val="en-AU" w:eastAsia="en-GB"/>
        </w:rPr>
        <w:t>Therapeutic Goods Administration</w:t>
      </w:r>
      <w:r w:rsidRPr="00FA6D54">
        <w:rPr>
          <w:lang w:val="en-AU" w:eastAsia="en-GB"/>
        </w:rPr>
        <w:t xml:space="preserve"> (TGA)</w:t>
      </w:r>
      <w:r w:rsidR="00BB2693">
        <w:rPr>
          <w:lang w:val="en-AU" w:eastAsia="en-GB"/>
        </w:rPr>
        <w:t>.</w:t>
      </w:r>
    </w:p>
    <w:p w14:paraId="4A1861B6" w14:textId="77777777" w:rsidR="00862F80" w:rsidRPr="00CF74AD" w:rsidRDefault="00862F80" w:rsidP="00862F80">
      <w:pPr>
        <w:pStyle w:val="NumberedHeading3"/>
        <w:rPr>
          <w:lang w:val="en-AU"/>
        </w:rPr>
      </w:pPr>
      <w:bookmarkStart w:id="125" w:name="_Toc20086360"/>
      <w:bookmarkStart w:id="126" w:name="_Toc20221097"/>
      <w:bookmarkStart w:id="127" w:name="_Toc55464814"/>
      <w:bookmarkEnd w:id="125"/>
      <w:r w:rsidRPr="00CF74AD">
        <w:rPr>
          <w:lang w:val="en-AU"/>
        </w:rPr>
        <w:t>The Stepped Care Model</w:t>
      </w:r>
      <w:bookmarkEnd w:id="126"/>
      <w:bookmarkEnd w:id="127"/>
    </w:p>
    <w:p w14:paraId="24696C9E" w14:textId="77777777" w:rsidR="00862F80" w:rsidRPr="004D3350" w:rsidRDefault="00862F80" w:rsidP="00862F80">
      <w:pPr>
        <w:pStyle w:val="BodyText"/>
        <w:rPr>
          <w:rFonts w:cs="Cambria"/>
          <w:lang w:val="en-AU"/>
        </w:rPr>
      </w:pPr>
      <w:r w:rsidRPr="004D3350">
        <w:rPr>
          <w:rFonts w:cs="Cambria"/>
          <w:lang w:val="en-AU"/>
        </w:rPr>
        <w:t>The challenge for the GP involves managing individual symptoms, but also creating a framework for the chronic care of patients with significant ongoing illness</w:t>
      </w:r>
      <w:r w:rsidR="00033CCA" w:rsidRPr="004D3350">
        <w:rPr>
          <w:rFonts w:cs="Cambria"/>
          <w:lang w:val="en-AU"/>
        </w:rPr>
        <w:t>.</w:t>
      </w:r>
      <w:r w:rsidRPr="00A94846">
        <w:rPr>
          <w:rStyle w:val="FootnoteReference"/>
        </w:rPr>
        <w:footnoteReference w:id="263"/>
      </w:r>
    </w:p>
    <w:p w14:paraId="7B78B9A5" w14:textId="77777777" w:rsidR="00862F80" w:rsidRPr="004D3350" w:rsidRDefault="00862F80" w:rsidP="00862F80">
      <w:pPr>
        <w:pStyle w:val="BodyText"/>
        <w:rPr>
          <w:rFonts w:cs="Cambria"/>
          <w:lang w:val="en-AU"/>
        </w:rPr>
      </w:pPr>
      <w:r w:rsidRPr="004D3350">
        <w:rPr>
          <w:rFonts w:cs="Cambria"/>
          <w:lang w:val="en-AU"/>
        </w:rPr>
        <w:t xml:space="preserve">The stepped care model of care is internationally recognised and familiar to and widely used by GPs in Australia in all aspects of patient care. The model is recommended for use in patients with </w:t>
      </w:r>
      <w:r w:rsidR="00C66320" w:rsidRPr="004D3350">
        <w:rPr>
          <w:rFonts w:cs="Cambria"/>
          <w:lang w:val="en-AU"/>
        </w:rPr>
        <w:t xml:space="preserve">medically unexplained symptoms </w:t>
      </w:r>
      <w:r w:rsidRPr="004D3350">
        <w:rPr>
          <w:rFonts w:cs="Cambria"/>
          <w:lang w:val="en-AU"/>
        </w:rPr>
        <w:t xml:space="preserve">by international and Australian guidelines. </w:t>
      </w:r>
    </w:p>
    <w:p w14:paraId="6176DD62" w14:textId="77777777" w:rsidR="00862F80" w:rsidRPr="004D3350" w:rsidRDefault="00862F80" w:rsidP="00862F80">
      <w:pPr>
        <w:pStyle w:val="BodyText"/>
        <w:rPr>
          <w:rFonts w:cs="Cambria"/>
          <w:lang w:val="en-AU"/>
        </w:rPr>
      </w:pPr>
      <w:r w:rsidRPr="004D3350">
        <w:rPr>
          <w:rFonts w:cs="Cambria"/>
          <w:lang w:val="en-AU"/>
        </w:rPr>
        <w:t>Stepped care is an evidence-based, staged system comprising a hierarchy of interventions, from the least to the most intensive, matched to the individual’s needs. Within a stepped care approach an individual will be supported to transition up to higher intensity services or transition down to lower intensity services as their needs change</w:t>
      </w:r>
      <w:r w:rsidR="00033CCA" w:rsidRPr="004D3350">
        <w:rPr>
          <w:rFonts w:cs="Cambria"/>
          <w:lang w:val="en-AU"/>
        </w:rPr>
        <w:t>.</w:t>
      </w:r>
      <w:r w:rsidRPr="00A94846">
        <w:rPr>
          <w:rStyle w:val="FootnoteReference"/>
        </w:rPr>
        <w:footnoteReference w:id="264"/>
      </w:r>
      <w:r w:rsidRPr="004D3350">
        <w:rPr>
          <w:rFonts w:cs="Cambria"/>
          <w:lang w:val="en-AU"/>
        </w:rPr>
        <w:t xml:space="preserve"> </w:t>
      </w:r>
    </w:p>
    <w:p w14:paraId="2817EEEA" w14:textId="77777777" w:rsidR="00862F80" w:rsidRPr="00F2704A" w:rsidRDefault="002B22A0" w:rsidP="6241CF5B">
      <w:pPr>
        <w:pStyle w:val="BodyText"/>
        <w:rPr>
          <w:lang w:val="en-AU"/>
        </w:rPr>
      </w:pPr>
      <w:r w:rsidRPr="00CF74AD">
        <w:rPr>
          <w:lang w:val="en-AU"/>
        </w:rPr>
        <w:t xml:space="preserve">As background, </w:t>
      </w:r>
      <w:r w:rsidR="00862F80" w:rsidRPr="00CF74AD">
        <w:rPr>
          <w:lang w:val="en-AU"/>
        </w:rPr>
        <w:t xml:space="preserve">international guidelines </w:t>
      </w:r>
      <w:r w:rsidR="71140ED1" w:rsidRPr="00CF74AD">
        <w:rPr>
          <w:lang w:val="en-AU"/>
        </w:rPr>
        <w:t>on</w:t>
      </w:r>
      <w:r w:rsidR="00F423EB" w:rsidRPr="00D621FF">
        <w:rPr>
          <w:lang w:val="en-AU"/>
        </w:rPr>
        <w:t xml:space="preserve"> </w:t>
      </w:r>
      <w:r w:rsidR="00B10F70">
        <w:rPr>
          <w:lang w:val="en-AU"/>
        </w:rPr>
        <w:t xml:space="preserve">MUS </w:t>
      </w:r>
      <w:r w:rsidR="00862F80" w:rsidRPr="00FA6D54">
        <w:rPr>
          <w:lang w:val="en-AU"/>
        </w:rPr>
        <w:t>recommend a stepped care approach to address three levels of severity of symptoms, which lack clear cut-of</w:t>
      </w:r>
      <w:r w:rsidR="00862F80" w:rsidRPr="00F2704A">
        <w:rPr>
          <w:lang w:val="en-AU"/>
        </w:rPr>
        <w:t>f points.</w:t>
      </w:r>
      <w:r w:rsidR="00FA1B3C">
        <w:rPr>
          <w:lang w:val="en-AU"/>
        </w:rPr>
        <w:t xml:space="preserve"> They also</w:t>
      </w:r>
      <w:r w:rsidR="00862F80" w:rsidRPr="00F2704A">
        <w:rPr>
          <w:lang w:val="en-AU"/>
        </w:rPr>
        <w:t xml:space="preserve"> </w:t>
      </w:r>
      <w:r w:rsidR="00FA1B3C">
        <w:rPr>
          <w:lang w:val="en-AU"/>
        </w:rPr>
        <w:t>advise that it</w:t>
      </w:r>
      <w:r w:rsidR="00862F80" w:rsidRPr="00F2704A">
        <w:rPr>
          <w:lang w:val="en-AU"/>
        </w:rPr>
        <w:t xml:space="preserve"> </w:t>
      </w:r>
      <w:r w:rsidR="00FA1B3C">
        <w:rPr>
          <w:lang w:val="en-AU"/>
        </w:rPr>
        <w:t>i</w:t>
      </w:r>
      <w:r w:rsidR="00FA1B3C" w:rsidRPr="00F2704A">
        <w:rPr>
          <w:lang w:val="en-AU"/>
        </w:rPr>
        <w:t xml:space="preserve">s </w:t>
      </w:r>
      <w:r w:rsidR="00862F80" w:rsidRPr="00F2704A">
        <w:rPr>
          <w:lang w:val="en-AU"/>
        </w:rPr>
        <w:t>important that one care provider, preferab</w:t>
      </w:r>
      <w:r w:rsidR="004705F4">
        <w:rPr>
          <w:lang w:val="en-AU"/>
        </w:rPr>
        <w:t>ly the GP, keeps control and co</w:t>
      </w:r>
      <w:r w:rsidR="00862F80" w:rsidRPr="00F2704A">
        <w:rPr>
          <w:lang w:val="en-AU"/>
        </w:rPr>
        <w:t>ordinates the care process.</w:t>
      </w:r>
    </w:p>
    <w:p w14:paraId="39355994" w14:textId="77777777" w:rsidR="00862F80" w:rsidRPr="004D3350" w:rsidRDefault="00862F80" w:rsidP="00862F80">
      <w:pPr>
        <w:pStyle w:val="BodyText"/>
        <w:rPr>
          <w:rFonts w:cs="Cambria"/>
          <w:lang w:val="en-AU"/>
        </w:rPr>
      </w:pPr>
      <w:r w:rsidRPr="004D3350">
        <w:rPr>
          <w:rFonts w:cs="Cambria"/>
          <w:lang w:val="en-AU"/>
        </w:rPr>
        <w:lastRenderedPageBreak/>
        <w:t xml:space="preserve">In addition to being recommended as an approach for managing care for people with MUS, the stepped care service model has been shown in </w:t>
      </w:r>
      <w:r w:rsidR="00DB4DC1" w:rsidRPr="004D3350">
        <w:rPr>
          <w:rFonts w:cs="Cambria"/>
          <w:lang w:val="en-AU"/>
        </w:rPr>
        <w:t>RCTs</w:t>
      </w:r>
      <w:r w:rsidR="00CA7DF0" w:rsidRPr="004D3350">
        <w:rPr>
          <w:rFonts w:cs="Cambria"/>
          <w:lang w:val="en-AU"/>
        </w:rPr>
        <w:t xml:space="preserve"> </w:t>
      </w:r>
      <w:r w:rsidRPr="004D3350">
        <w:rPr>
          <w:rFonts w:cs="Cambria"/>
          <w:lang w:val="en-AU"/>
        </w:rPr>
        <w:t>to be effective for the management of chronic pain</w:t>
      </w:r>
      <w:r w:rsidR="00F13BD0" w:rsidRPr="004D3350">
        <w:rPr>
          <w:rFonts w:cs="Cambria"/>
          <w:lang w:val="en-AU"/>
        </w:rPr>
        <w:t>,</w:t>
      </w:r>
      <w:r w:rsidRPr="00A94846">
        <w:rPr>
          <w:rStyle w:val="FootnoteReference"/>
        </w:rPr>
        <w:footnoteReference w:id="265"/>
      </w:r>
      <w:r w:rsidRPr="004D3350">
        <w:rPr>
          <w:rFonts w:cs="Cambria"/>
          <w:lang w:val="en-AU"/>
        </w:rPr>
        <w:t xml:space="preserve"> and for the management of depression and anxiety</w:t>
      </w:r>
      <w:r w:rsidRPr="00A94846">
        <w:rPr>
          <w:rStyle w:val="FootnoteReference"/>
        </w:rPr>
        <w:footnoteReference w:id="266"/>
      </w:r>
      <w:r w:rsidRPr="004D3350">
        <w:rPr>
          <w:rFonts w:cs="Cambria"/>
          <w:lang w:val="en-AU"/>
        </w:rPr>
        <w:t xml:space="preserve"> and in the assessment and management of anxiety and depression in adult cancer patients</w:t>
      </w:r>
      <w:r w:rsidR="00033CCA" w:rsidRPr="004D3350">
        <w:rPr>
          <w:rFonts w:cs="Cambria"/>
          <w:lang w:val="en-AU"/>
        </w:rPr>
        <w:t>.</w:t>
      </w:r>
      <w:r w:rsidRPr="00A94846">
        <w:rPr>
          <w:rStyle w:val="FootnoteReference"/>
        </w:rPr>
        <w:footnoteReference w:id="267"/>
      </w:r>
      <w:r w:rsidRPr="004D3350">
        <w:rPr>
          <w:rFonts w:cs="Cambria"/>
          <w:lang w:val="en-AU"/>
        </w:rPr>
        <w:t xml:space="preserve"> Stepped care models are widely used in England, Scotland, USA, New Zealand and Australia.</w:t>
      </w:r>
    </w:p>
    <w:p w14:paraId="4EBA630C" w14:textId="77777777" w:rsidR="00862F80" w:rsidRPr="004D3350" w:rsidRDefault="006370A6" w:rsidP="00862F80">
      <w:pPr>
        <w:pStyle w:val="BodyText"/>
        <w:rPr>
          <w:rFonts w:cs="Cambria"/>
          <w:lang w:val="en-AU"/>
        </w:rPr>
      </w:pPr>
      <w:r w:rsidRPr="004D3350">
        <w:rPr>
          <w:rFonts w:cs="Cambria"/>
          <w:lang w:val="en-AU"/>
        </w:rPr>
        <w:t>In Australia, t</w:t>
      </w:r>
      <w:r w:rsidR="00FC486B" w:rsidRPr="004D3350">
        <w:rPr>
          <w:rFonts w:cs="Cambria"/>
          <w:lang w:val="en-AU"/>
        </w:rPr>
        <w:t xml:space="preserve">he stepped care model of care </w:t>
      </w:r>
      <w:r w:rsidRPr="004D3350">
        <w:rPr>
          <w:rFonts w:cs="Cambria"/>
          <w:lang w:val="en-AU"/>
        </w:rPr>
        <w:t xml:space="preserve">is familiar to and widely used by GPs in </w:t>
      </w:r>
      <w:r w:rsidR="009B49F8" w:rsidRPr="004D3350">
        <w:rPr>
          <w:rFonts w:cs="Cambria"/>
          <w:lang w:val="en-AU"/>
        </w:rPr>
        <w:t xml:space="preserve">all aspects of patient care. </w:t>
      </w:r>
      <w:r w:rsidR="00862F80" w:rsidRPr="004D3350">
        <w:rPr>
          <w:rFonts w:cs="Cambria"/>
          <w:lang w:val="en-AU"/>
        </w:rPr>
        <w:t>GPs make assessments to determine the best management approach to guide their patients in accessing services appropriate to their level of need, and thus ensure that more intensive and often costly services are directed to patients best able to benefit from them</w:t>
      </w:r>
      <w:r w:rsidR="00033CCA" w:rsidRPr="004D3350">
        <w:rPr>
          <w:rFonts w:cs="Cambria"/>
          <w:lang w:val="en-AU"/>
        </w:rPr>
        <w:t>.</w:t>
      </w:r>
      <w:r w:rsidR="00862F80" w:rsidRPr="00A94846">
        <w:rPr>
          <w:rStyle w:val="FootnoteReference"/>
        </w:rPr>
        <w:footnoteReference w:id="268"/>
      </w:r>
      <w:r w:rsidR="00862F80" w:rsidRPr="004D3350">
        <w:rPr>
          <w:rFonts w:cs="Cambria"/>
          <w:lang w:val="en-AU"/>
        </w:rPr>
        <w:t xml:space="preserve"> While referrals are made to other relevant health practitioners as appropriate, it is important that one care provider, preferably the GP, coordinates care. </w:t>
      </w:r>
    </w:p>
    <w:p w14:paraId="5F76ACDB" w14:textId="77777777" w:rsidR="00862F80" w:rsidRPr="004D3350" w:rsidRDefault="00862F80" w:rsidP="00862F80">
      <w:pPr>
        <w:pStyle w:val="BodyText"/>
        <w:spacing w:after="80"/>
        <w:rPr>
          <w:rFonts w:cs="Cambria"/>
          <w:lang w:val="en-AU"/>
        </w:rPr>
      </w:pPr>
      <w:r w:rsidRPr="004D3350">
        <w:rPr>
          <w:rFonts w:cs="Cambria"/>
          <w:lang w:val="en-AU"/>
        </w:rPr>
        <w:t>Stepped care models aim to:</w:t>
      </w:r>
    </w:p>
    <w:p w14:paraId="66D2442B" w14:textId="77777777" w:rsidR="00862F80" w:rsidRPr="00D621FF" w:rsidRDefault="00634F45" w:rsidP="005C34B4">
      <w:pPr>
        <w:pStyle w:val="List-BulletLvl1"/>
        <w:spacing w:after="60"/>
        <w:rPr>
          <w:lang w:val="en-AU"/>
        </w:rPr>
      </w:pPr>
      <w:r w:rsidRPr="00CF74AD">
        <w:rPr>
          <w:lang w:val="en-AU"/>
        </w:rPr>
        <w:t>o</w:t>
      </w:r>
      <w:r w:rsidR="00862F80" w:rsidRPr="00D621FF">
        <w:rPr>
          <w:lang w:val="en-AU"/>
        </w:rPr>
        <w:t>ffer a variety of support options for people with different levels and types of need, from low intensity to high intensity</w:t>
      </w:r>
    </w:p>
    <w:p w14:paraId="2B8E1411" w14:textId="77777777" w:rsidR="00862F80" w:rsidRPr="00A01762" w:rsidRDefault="00634F45" w:rsidP="005C34B4">
      <w:pPr>
        <w:pStyle w:val="List-BulletLvl1"/>
        <w:spacing w:after="60"/>
        <w:rPr>
          <w:lang w:val="en-AU"/>
        </w:rPr>
      </w:pPr>
      <w:r w:rsidRPr="00D621FF">
        <w:rPr>
          <w:lang w:val="en-AU"/>
        </w:rPr>
        <w:t>p</w:t>
      </w:r>
      <w:r w:rsidR="00862F80" w:rsidRPr="00FA6D54">
        <w:rPr>
          <w:lang w:val="en-AU"/>
        </w:rPr>
        <w:t>rovide clear pathways between these care options as individuals’ needs change</w:t>
      </w:r>
      <w:r w:rsidRPr="00FA6D54">
        <w:rPr>
          <w:lang w:val="en-AU"/>
        </w:rPr>
        <w:t>, and</w:t>
      </w:r>
    </w:p>
    <w:p w14:paraId="04A49FFA" w14:textId="77777777" w:rsidR="00862F80" w:rsidRPr="00661245" w:rsidRDefault="00634F45" w:rsidP="00862F80">
      <w:pPr>
        <w:pStyle w:val="List-BulletLvl1"/>
        <w:rPr>
          <w:lang w:val="en-AU"/>
        </w:rPr>
      </w:pPr>
      <w:r w:rsidRPr="00F2704A">
        <w:rPr>
          <w:lang w:val="en-AU"/>
        </w:rPr>
        <w:t>i</w:t>
      </w:r>
      <w:r w:rsidR="00862F80" w:rsidRPr="00F2704A">
        <w:rPr>
          <w:lang w:val="en-AU"/>
        </w:rPr>
        <w:t>mprove collaboration and integration between services</w:t>
      </w:r>
      <w:r w:rsidR="00701714" w:rsidRPr="00F2704A">
        <w:rPr>
          <w:lang w:val="en-AU"/>
        </w:rPr>
        <w:t>.</w:t>
      </w:r>
      <w:r w:rsidR="00862F80" w:rsidRPr="00A94846">
        <w:rPr>
          <w:rStyle w:val="FootnoteReference"/>
        </w:rPr>
        <w:footnoteReference w:id="269"/>
      </w:r>
    </w:p>
    <w:p w14:paraId="3A99FE75" w14:textId="77777777" w:rsidR="00862F80" w:rsidRDefault="00862F80" w:rsidP="00862F80">
      <w:pPr>
        <w:pStyle w:val="List-BulletLvl1"/>
        <w:numPr>
          <w:ilvl w:val="0"/>
          <w:numId w:val="0"/>
        </w:numPr>
        <w:rPr>
          <w:lang w:val="en-AU"/>
        </w:rPr>
      </w:pPr>
      <w:r w:rsidRPr="00CF74AD">
        <w:rPr>
          <w:lang w:val="en-AU"/>
        </w:rPr>
        <w:t>Central to the stepped</w:t>
      </w:r>
      <w:r w:rsidR="009B563D">
        <w:rPr>
          <w:lang w:val="en-AU"/>
        </w:rPr>
        <w:t xml:space="preserve"> care</w:t>
      </w:r>
      <w:r w:rsidRPr="00CF74AD">
        <w:rPr>
          <w:lang w:val="en-AU"/>
        </w:rPr>
        <w:t xml:space="preserve"> approach is the development of an individualised care plan, developed in discussion with the patient. </w:t>
      </w:r>
    </w:p>
    <w:p w14:paraId="40C390AA" w14:textId="77777777" w:rsidR="00BB2693" w:rsidRDefault="00BB2693" w:rsidP="00862F80">
      <w:pPr>
        <w:pStyle w:val="List-BulletLvl1"/>
        <w:numPr>
          <w:ilvl w:val="0"/>
          <w:numId w:val="0"/>
        </w:numPr>
        <w:rPr>
          <w:lang w:val="en-AU"/>
        </w:rPr>
      </w:pPr>
      <w:r>
        <w:rPr>
          <w:lang w:val="en-AU"/>
        </w:rPr>
        <w:br w:type="page"/>
      </w:r>
    </w:p>
    <w:p w14:paraId="2991B282" w14:textId="6C7586B2" w:rsidR="005376EE" w:rsidRPr="004D3350" w:rsidRDefault="001D57FD" w:rsidP="001D57FD">
      <w:pPr>
        <w:pStyle w:val="Caption"/>
        <w:rPr>
          <w:rFonts w:cs="Cambria"/>
          <w:lang w:val="en-AU"/>
        </w:rPr>
      </w:pPr>
      <w:bookmarkStart w:id="128" w:name="_Toc55460094"/>
      <w:r>
        <w:lastRenderedPageBreak/>
        <w:t xml:space="preserve">Table </w:t>
      </w:r>
      <w:r>
        <w:fldChar w:fldCharType="begin"/>
      </w:r>
      <w:r>
        <w:instrText xml:space="preserve"> SEQ Table \* ARABIC </w:instrText>
      </w:r>
      <w:r>
        <w:fldChar w:fldCharType="separate"/>
      </w:r>
      <w:r w:rsidR="00822580">
        <w:rPr>
          <w:noProof/>
        </w:rPr>
        <w:t>5</w:t>
      </w:r>
      <w:r>
        <w:fldChar w:fldCharType="end"/>
      </w:r>
      <w:r>
        <w:t xml:space="preserve">: </w:t>
      </w:r>
      <w:r w:rsidRPr="00CF0227">
        <w:t>Overview of Stepped Care approach to managing medically unexplained symptoms</w:t>
      </w:r>
      <w:r w:rsidR="005376EE" w:rsidRPr="00A94846">
        <w:rPr>
          <w:rStyle w:val="FootnoteReference"/>
        </w:rPr>
        <w:footnoteReference w:id="270"/>
      </w:r>
      <w:bookmarkEnd w:id="128"/>
    </w:p>
    <w:tbl>
      <w:tblPr>
        <w:tblW w:w="0" w:type="auto"/>
        <w:tblBorders>
          <w:bottom w:val="single" w:sz="4" w:space="0" w:color="77B800"/>
        </w:tblBorders>
        <w:tblLook w:val="04A0" w:firstRow="1" w:lastRow="0" w:firstColumn="1" w:lastColumn="0" w:noHBand="0" w:noVBand="1"/>
      </w:tblPr>
      <w:tblGrid>
        <w:gridCol w:w="9061"/>
      </w:tblGrid>
      <w:tr w:rsidR="005376EE" w:rsidRPr="004D3350" w14:paraId="43D9453F" w14:textId="77777777" w:rsidTr="004D3350">
        <w:trPr>
          <w:tblHeader/>
        </w:trPr>
        <w:tc>
          <w:tcPr>
            <w:tcW w:w="9061" w:type="dxa"/>
            <w:shd w:val="clear" w:color="auto" w:fill="77B800"/>
          </w:tcPr>
          <w:p w14:paraId="5579FC84" w14:textId="77777777" w:rsidR="005376EE" w:rsidRPr="004D3350" w:rsidRDefault="005376EE" w:rsidP="004D3350">
            <w:pPr>
              <w:pStyle w:val="Caption"/>
              <w:spacing w:before="60" w:after="60" w:line="240" w:lineRule="auto"/>
              <w:rPr>
                <w:rFonts w:ascii="Calibri" w:hAnsi="Calibri"/>
                <w:sz w:val="20"/>
                <w:szCs w:val="20"/>
                <w:lang w:val="en-AU"/>
              </w:rPr>
            </w:pPr>
            <w:r w:rsidRPr="004D3350">
              <w:rPr>
                <w:rFonts w:ascii="Calibri" w:hAnsi="Calibri" w:cs="Cambria"/>
                <w:i/>
                <w:iCs/>
                <w:color w:val="FFFFFF"/>
                <w:sz w:val="20"/>
                <w:szCs w:val="20"/>
                <w:lang w:val="en-AU"/>
              </w:rPr>
              <w:t>Step 1: For patients with mild functional limitations and who experience one or several symptoms</w:t>
            </w:r>
          </w:p>
        </w:tc>
      </w:tr>
      <w:tr w:rsidR="005376EE" w:rsidRPr="004D3350" w14:paraId="3428AAB0" w14:textId="77777777" w:rsidTr="004D3350">
        <w:tc>
          <w:tcPr>
            <w:tcW w:w="9061" w:type="dxa"/>
            <w:shd w:val="clear" w:color="auto" w:fill="auto"/>
          </w:tcPr>
          <w:p w14:paraId="01424DF1" w14:textId="77777777" w:rsidR="00FA1B3C" w:rsidRPr="004D3350" w:rsidRDefault="00FA1B3C" w:rsidP="004D3350">
            <w:pPr>
              <w:pStyle w:val="BodyText"/>
              <w:spacing w:before="60" w:after="60" w:line="240" w:lineRule="auto"/>
              <w:ind w:left="29"/>
              <w:rPr>
                <w:rFonts w:ascii="Calibri" w:hAnsi="Calibri" w:cs="Cambria"/>
                <w:sz w:val="20"/>
                <w:szCs w:val="20"/>
                <w:lang w:val="en-AU"/>
              </w:rPr>
            </w:pPr>
            <w:r w:rsidRPr="004D3350">
              <w:rPr>
                <w:rFonts w:ascii="Calibri" w:hAnsi="Calibri" w:cs="Cambria"/>
                <w:i/>
                <w:iCs/>
                <w:sz w:val="20"/>
                <w:szCs w:val="20"/>
                <w:lang w:val="en-AU"/>
              </w:rPr>
              <w:t>For patients with mild functional limitations and who experience one or several symptoms:</w:t>
            </w:r>
          </w:p>
          <w:p w14:paraId="67B4D809" w14:textId="77777777" w:rsidR="005376EE" w:rsidRPr="004D3350" w:rsidRDefault="00FA1B3C" w:rsidP="004D3350">
            <w:pPr>
              <w:pStyle w:val="BodyText"/>
              <w:numPr>
                <w:ilvl w:val="0"/>
                <w:numId w:val="12"/>
              </w:numPr>
              <w:spacing w:before="60" w:after="60" w:line="240" w:lineRule="auto"/>
              <w:ind w:left="341" w:hanging="284"/>
              <w:rPr>
                <w:rFonts w:ascii="Calibri" w:hAnsi="Calibri" w:cs="Cambria"/>
                <w:sz w:val="20"/>
                <w:szCs w:val="20"/>
                <w:lang w:val="en-AU"/>
              </w:rPr>
            </w:pPr>
            <w:r w:rsidRPr="004D3350">
              <w:rPr>
                <w:rFonts w:ascii="Calibri" w:hAnsi="Calibri" w:cs="Cambria"/>
                <w:sz w:val="20"/>
                <w:szCs w:val="20"/>
                <w:lang w:val="en-AU"/>
              </w:rPr>
              <w:t>Ex</w:t>
            </w:r>
            <w:r w:rsidR="005376EE" w:rsidRPr="004D3350">
              <w:rPr>
                <w:rFonts w:ascii="Calibri" w:hAnsi="Calibri" w:cs="Cambria"/>
                <w:sz w:val="20"/>
                <w:szCs w:val="20"/>
                <w:lang w:val="en-AU"/>
              </w:rPr>
              <w:t>plore symptoms, conduct physical examination and or additional investigations. List the symptoms.</w:t>
            </w:r>
          </w:p>
          <w:p w14:paraId="1FD0C809" w14:textId="77777777" w:rsidR="005376EE" w:rsidRPr="004D3350" w:rsidRDefault="005376EE" w:rsidP="004D3350">
            <w:pPr>
              <w:pStyle w:val="BodyText"/>
              <w:numPr>
                <w:ilvl w:val="0"/>
                <w:numId w:val="12"/>
              </w:numPr>
              <w:spacing w:before="60" w:after="60" w:line="240" w:lineRule="auto"/>
              <w:ind w:left="341" w:hanging="284"/>
              <w:rPr>
                <w:rFonts w:ascii="Calibri" w:hAnsi="Calibri" w:cs="Cambria"/>
                <w:sz w:val="20"/>
                <w:szCs w:val="20"/>
                <w:lang w:val="en-AU"/>
              </w:rPr>
            </w:pPr>
            <w:r w:rsidRPr="004D3350">
              <w:rPr>
                <w:rFonts w:ascii="Calibri" w:hAnsi="Calibri" w:cs="Cambria"/>
                <w:sz w:val="20"/>
                <w:szCs w:val="20"/>
                <w:lang w:val="en-AU"/>
              </w:rPr>
              <w:t>Summarise findings discussing clearly what was found and explicitly mentioning what was not found.</w:t>
            </w:r>
          </w:p>
          <w:p w14:paraId="2796BC64" w14:textId="77777777" w:rsidR="005376EE" w:rsidRPr="004D3350" w:rsidRDefault="005376EE" w:rsidP="004D3350">
            <w:pPr>
              <w:pStyle w:val="BodyText"/>
              <w:numPr>
                <w:ilvl w:val="0"/>
                <w:numId w:val="12"/>
              </w:numPr>
              <w:spacing w:before="60" w:after="60" w:line="240" w:lineRule="auto"/>
              <w:ind w:left="341" w:hanging="284"/>
              <w:rPr>
                <w:rFonts w:ascii="Calibri" w:hAnsi="Calibri" w:cs="Cambria"/>
                <w:sz w:val="20"/>
                <w:szCs w:val="20"/>
                <w:lang w:val="en-AU"/>
              </w:rPr>
            </w:pPr>
            <w:r w:rsidRPr="004D3350">
              <w:rPr>
                <w:rFonts w:ascii="Calibri" w:hAnsi="Calibri" w:cs="Cambria"/>
                <w:sz w:val="20"/>
                <w:szCs w:val="20"/>
                <w:lang w:val="en-AU"/>
              </w:rPr>
              <w:t xml:space="preserve">Try to reach a shared definition of the problem. It is important to recognise the symptoms and the fact the patient is troubled by them. </w:t>
            </w:r>
            <w:r w:rsidR="00973AAD" w:rsidRPr="004D3350">
              <w:rPr>
                <w:rFonts w:ascii="Calibri" w:hAnsi="Calibri" w:cs="Cambria"/>
                <w:sz w:val="20"/>
                <w:szCs w:val="20"/>
                <w:lang w:val="en-AU"/>
              </w:rPr>
              <w:t>Explore and address anxieties and misconceptions</w:t>
            </w:r>
            <w:r w:rsidR="00973AAD" w:rsidRPr="004D3350">
              <w:rPr>
                <w:rStyle w:val="CommentReference"/>
                <w:lang w:val="en-AU"/>
              </w:rPr>
              <w:t>. I</w:t>
            </w:r>
            <w:r w:rsidRPr="004D3350">
              <w:rPr>
                <w:rFonts w:ascii="Calibri" w:hAnsi="Calibri" w:cs="Cambria"/>
                <w:sz w:val="20"/>
                <w:szCs w:val="20"/>
                <w:lang w:val="en-AU"/>
              </w:rPr>
              <w:t>t is very important that the patient’s concerns are treated seriously and in a sensitive manner.</w:t>
            </w:r>
          </w:p>
          <w:p w14:paraId="5CC607DE" w14:textId="77777777" w:rsidR="005376EE" w:rsidRPr="004D3350" w:rsidRDefault="005376EE" w:rsidP="004D3350">
            <w:pPr>
              <w:pStyle w:val="BodyText"/>
              <w:numPr>
                <w:ilvl w:val="0"/>
                <w:numId w:val="12"/>
              </w:numPr>
              <w:spacing w:before="60" w:after="60" w:line="240" w:lineRule="auto"/>
              <w:ind w:left="341" w:hanging="284"/>
              <w:rPr>
                <w:rFonts w:ascii="Calibri" w:hAnsi="Calibri" w:cs="Cambria"/>
                <w:sz w:val="20"/>
                <w:szCs w:val="20"/>
                <w:lang w:val="en-AU"/>
              </w:rPr>
            </w:pPr>
            <w:r w:rsidRPr="004D3350">
              <w:rPr>
                <w:rFonts w:ascii="Calibri" w:hAnsi="Calibri" w:cs="Cambria"/>
                <w:sz w:val="20"/>
                <w:szCs w:val="20"/>
                <w:lang w:val="en-AU"/>
              </w:rPr>
              <w:t>Provide the patient with targeted and tangible information about ways to manage symptoms and an individualised care plan.</w:t>
            </w:r>
          </w:p>
        </w:tc>
      </w:tr>
      <w:tr w:rsidR="005376EE" w:rsidRPr="004D3350" w14:paraId="188C8746" w14:textId="77777777" w:rsidTr="004D3350">
        <w:tc>
          <w:tcPr>
            <w:tcW w:w="9061" w:type="dxa"/>
            <w:shd w:val="clear" w:color="auto" w:fill="77B800"/>
          </w:tcPr>
          <w:p w14:paraId="1728F004" w14:textId="77777777" w:rsidR="005376EE" w:rsidRPr="004D3350" w:rsidRDefault="005376EE" w:rsidP="004D3350">
            <w:pPr>
              <w:pStyle w:val="BodyText"/>
              <w:spacing w:before="60" w:after="60" w:line="240" w:lineRule="auto"/>
              <w:rPr>
                <w:rFonts w:ascii="Calibri" w:hAnsi="Calibri" w:cs="Cambria"/>
                <w:b/>
                <w:bCs/>
                <w:i/>
                <w:iCs/>
                <w:sz w:val="20"/>
                <w:szCs w:val="20"/>
                <w:lang w:val="en-AU"/>
              </w:rPr>
            </w:pPr>
            <w:r w:rsidRPr="004D3350">
              <w:rPr>
                <w:rFonts w:ascii="Calibri" w:hAnsi="Calibri" w:cs="Cambria"/>
                <w:b/>
                <w:bCs/>
                <w:i/>
                <w:iCs/>
                <w:color w:val="FFFFFF"/>
                <w:sz w:val="20"/>
                <w:szCs w:val="20"/>
                <w:lang w:val="en-AU"/>
              </w:rPr>
              <w:t>Step 2: For patients with moderate functional limitations with several symptoms, cluster symptoms or a symptom duration longer than expected</w:t>
            </w:r>
          </w:p>
        </w:tc>
      </w:tr>
      <w:tr w:rsidR="005376EE" w:rsidRPr="004D3350" w14:paraId="220E7682" w14:textId="77777777" w:rsidTr="004D3350">
        <w:tc>
          <w:tcPr>
            <w:tcW w:w="9061" w:type="dxa"/>
            <w:shd w:val="clear" w:color="auto" w:fill="auto"/>
          </w:tcPr>
          <w:p w14:paraId="622E3649" w14:textId="77777777" w:rsidR="00FA1B3C" w:rsidRPr="004D3350" w:rsidRDefault="00FA1B3C" w:rsidP="004D3350">
            <w:pPr>
              <w:pStyle w:val="BodyText"/>
              <w:spacing w:before="60" w:after="60" w:line="240" w:lineRule="auto"/>
              <w:ind w:left="29"/>
              <w:rPr>
                <w:rFonts w:ascii="Calibri" w:hAnsi="Calibri" w:cs="Cambria"/>
                <w:sz w:val="20"/>
                <w:szCs w:val="20"/>
                <w:lang w:val="en-AU"/>
              </w:rPr>
            </w:pPr>
            <w:r w:rsidRPr="004D3350">
              <w:rPr>
                <w:rFonts w:ascii="Calibri" w:hAnsi="Calibri" w:cs="Cambria"/>
                <w:i/>
                <w:iCs/>
                <w:sz w:val="20"/>
                <w:szCs w:val="20"/>
                <w:lang w:val="en-AU"/>
              </w:rPr>
              <w:t>For patients with moderate functional limitations with several symptoms, cluster symptoms or a symptom duration longer than expected:</w:t>
            </w:r>
          </w:p>
          <w:p w14:paraId="21E56EA8" w14:textId="77777777" w:rsidR="005C34B4" w:rsidRPr="004D3350" w:rsidRDefault="005376EE" w:rsidP="004D3350">
            <w:pPr>
              <w:pStyle w:val="BodyText"/>
              <w:numPr>
                <w:ilvl w:val="0"/>
                <w:numId w:val="11"/>
              </w:numPr>
              <w:spacing w:before="60" w:after="60" w:line="240" w:lineRule="auto"/>
              <w:ind w:left="341" w:hanging="284"/>
              <w:rPr>
                <w:rFonts w:ascii="Calibri" w:hAnsi="Calibri" w:cs="Cambria"/>
                <w:sz w:val="20"/>
                <w:szCs w:val="20"/>
                <w:lang w:val="en-AU"/>
              </w:rPr>
            </w:pPr>
            <w:r w:rsidRPr="004D3350">
              <w:rPr>
                <w:rFonts w:ascii="Calibri" w:hAnsi="Calibri" w:cs="Cambria"/>
                <w:sz w:val="20"/>
                <w:szCs w:val="20"/>
                <w:lang w:val="en-AU"/>
              </w:rPr>
              <w:t xml:space="preserve">Continue GP led care as in Step 1 and if the patient is unable to expand his/her level of activity to an acceptable standard, refer to either primary or secondary care practitioners </w:t>
            </w:r>
            <w:r w:rsidR="00FF7560" w:rsidRPr="004D3350">
              <w:rPr>
                <w:rFonts w:ascii="Calibri" w:hAnsi="Calibri" w:cs="Cambria"/>
                <w:sz w:val="20"/>
                <w:szCs w:val="20"/>
                <w:lang w:val="en-AU"/>
              </w:rPr>
              <w:t>(</w:t>
            </w:r>
            <w:r w:rsidRPr="004D3350">
              <w:rPr>
                <w:rFonts w:ascii="Calibri" w:hAnsi="Calibri" w:cs="Cambria"/>
                <w:sz w:val="20"/>
                <w:szCs w:val="20"/>
                <w:lang w:val="en-AU"/>
              </w:rPr>
              <w:t>e</w:t>
            </w:r>
            <w:r w:rsidR="0011214B" w:rsidRPr="004D3350">
              <w:rPr>
                <w:rFonts w:ascii="Calibri" w:hAnsi="Calibri" w:cs="Cambria"/>
                <w:sz w:val="20"/>
                <w:szCs w:val="20"/>
                <w:lang w:val="en-AU"/>
              </w:rPr>
              <w:t>.</w:t>
            </w:r>
            <w:r w:rsidRPr="004D3350">
              <w:rPr>
                <w:rFonts w:ascii="Calibri" w:hAnsi="Calibri" w:cs="Cambria"/>
                <w:sz w:val="20"/>
                <w:szCs w:val="20"/>
                <w:lang w:val="en-AU"/>
              </w:rPr>
              <w:t>g</w:t>
            </w:r>
            <w:r w:rsidR="0011214B" w:rsidRPr="004D3350">
              <w:rPr>
                <w:rFonts w:ascii="Calibri" w:hAnsi="Calibri" w:cs="Cambria"/>
                <w:sz w:val="20"/>
                <w:szCs w:val="20"/>
                <w:lang w:val="en-AU"/>
              </w:rPr>
              <w:t>.</w:t>
            </w:r>
            <w:r w:rsidRPr="004D3350">
              <w:rPr>
                <w:rFonts w:ascii="Calibri" w:hAnsi="Calibri" w:cs="Cambria"/>
                <w:sz w:val="20"/>
                <w:szCs w:val="20"/>
                <w:lang w:val="en-AU"/>
              </w:rPr>
              <w:t xml:space="preserve"> physiotherapy, nurse practitioners, specialist GPs, psychotherapy/CBT</w:t>
            </w:r>
            <w:r w:rsidR="00FF7560" w:rsidRPr="004D3350">
              <w:rPr>
                <w:rFonts w:ascii="Calibri" w:hAnsi="Calibri" w:cs="Cambria"/>
                <w:sz w:val="20"/>
                <w:szCs w:val="20"/>
                <w:lang w:val="en-AU"/>
              </w:rPr>
              <w:t>)</w:t>
            </w:r>
            <w:r w:rsidRPr="004D3350">
              <w:rPr>
                <w:rFonts w:ascii="Calibri" w:hAnsi="Calibri" w:cs="Cambria"/>
                <w:sz w:val="20"/>
                <w:szCs w:val="20"/>
                <w:lang w:val="en-AU"/>
              </w:rPr>
              <w:t>.</w:t>
            </w:r>
          </w:p>
          <w:p w14:paraId="79D2D83A" w14:textId="77777777" w:rsidR="005376EE" w:rsidRPr="004D3350" w:rsidRDefault="005376EE" w:rsidP="004D3350">
            <w:pPr>
              <w:pStyle w:val="BodyText"/>
              <w:numPr>
                <w:ilvl w:val="0"/>
                <w:numId w:val="11"/>
              </w:numPr>
              <w:spacing w:before="60" w:after="60" w:line="240" w:lineRule="auto"/>
              <w:ind w:left="341" w:hanging="284"/>
              <w:rPr>
                <w:rFonts w:ascii="Calibri" w:hAnsi="Calibri" w:cs="Cambria"/>
                <w:sz w:val="20"/>
                <w:szCs w:val="20"/>
                <w:lang w:val="en-AU"/>
              </w:rPr>
            </w:pPr>
            <w:r w:rsidRPr="004D3350">
              <w:rPr>
                <w:rFonts w:ascii="Calibri" w:hAnsi="Calibri" w:cs="Cambria"/>
                <w:sz w:val="20"/>
                <w:szCs w:val="20"/>
                <w:lang w:val="en-AU"/>
              </w:rPr>
              <w:t>Refer to secondary specialist services as required.</w:t>
            </w:r>
            <w:r w:rsidR="002D4277" w:rsidRPr="004D3350">
              <w:rPr>
                <w:rFonts w:ascii="Calibri" w:hAnsi="Calibri" w:cs="Cambria"/>
                <w:sz w:val="20"/>
                <w:szCs w:val="20"/>
                <w:lang w:val="en-AU"/>
              </w:rPr>
              <w:t xml:space="preserve"> </w:t>
            </w:r>
            <w:r w:rsidR="002D4277" w:rsidRPr="004D3350">
              <w:rPr>
                <w:rFonts w:ascii="Calibri" w:hAnsi="Calibri"/>
                <w:sz w:val="20"/>
                <w:szCs w:val="20"/>
                <w:lang w:val="en-AU"/>
              </w:rPr>
              <w:t xml:space="preserve">Telehealth can be used where appropriate. </w:t>
            </w:r>
          </w:p>
          <w:p w14:paraId="28BE27ED" w14:textId="77777777" w:rsidR="005376EE" w:rsidRPr="004D3350" w:rsidRDefault="005376EE" w:rsidP="004D3350">
            <w:pPr>
              <w:pStyle w:val="BodyText"/>
              <w:numPr>
                <w:ilvl w:val="0"/>
                <w:numId w:val="11"/>
              </w:numPr>
              <w:spacing w:before="60" w:after="60" w:line="240" w:lineRule="auto"/>
              <w:ind w:left="341" w:hanging="284"/>
              <w:rPr>
                <w:rFonts w:ascii="Calibri" w:hAnsi="Calibri" w:cs="Cambria"/>
                <w:sz w:val="20"/>
                <w:szCs w:val="20"/>
                <w:lang w:val="en-AU"/>
              </w:rPr>
            </w:pPr>
            <w:r w:rsidRPr="004D3350">
              <w:rPr>
                <w:rFonts w:ascii="Calibri" w:hAnsi="Calibri" w:cs="Cambria"/>
                <w:sz w:val="20"/>
                <w:szCs w:val="20"/>
                <w:lang w:val="en-AU"/>
              </w:rPr>
              <w:t xml:space="preserve">Make regular follow-up appointments if functional limitation persists </w:t>
            </w:r>
            <w:r w:rsidR="00FF7560" w:rsidRPr="004D3350">
              <w:rPr>
                <w:rFonts w:ascii="Calibri" w:hAnsi="Calibri" w:cs="Cambria"/>
                <w:sz w:val="20"/>
                <w:szCs w:val="20"/>
                <w:lang w:val="en-AU"/>
              </w:rPr>
              <w:t>(</w:t>
            </w:r>
            <w:r w:rsidRPr="004D3350">
              <w:rPr>
                <w:rFonts w:ascii="Calibri" w:hAnsi="Calibri" w:cs="Cambria"/>
                <w:sz w:val="20"/>
                <w:szCs w:val="20"/>
                <w:lang w:val="en-AU"/>
              </w:rPr>
              <w:t>e</w:t>
            </w:r>
            <w:r w:rsidR="0011214B" w:rsidRPr="004D3350">
              <w:rPr>
                <w:rFonts w:ascii="Calibri" w:hAnsi="Calibri" w:cs="Cambria"/>
                <w:sz w:val="20"/>
                <w:szCs w:val="20"/>
                <w:lang w:val="en-AU"/>
              </w:rPr>
              <w:t>.</w:t>
            </w:r>
            <w:r w:rsidRPr="004D3350">
              <w:rPr>
                <w:rFonts w:ascii="Calibri" w:hAnsi="Calibri" w:cs="Cambria"/>
                <w:sz w:val="20"/>
                <w:szCs w:val="20"/>
                <w:lang w:val="en-AU"/>
              </w:rPr>
              <w:t>g</w:t>
            </w:r>
            <w:r w:rsidR="0011214B" w:rsidRPr="004D3350">
              <w:rPr>
                <w:rFonts w:ascii="Calibri" w:hAnsi="Calibri" w:cs="Cambria"/>
                <w:sz w:val="20"/>
                <w:szCs w:val="20"/>
                <w:lang w:val="en-AU"/>
              </w:rPr>
              <w:t>.</w:t>
            </w:r>
            <w:r w:rsidRPr="004D3350">
              <w:rPr>
                <w:rFonts w:ascii="Calibri" w:hAnsi="Calibri" w:cs="Cambria"/>
                <w:sz w:val="20"/>
                <w:szCs w:val="20"/>
                <w:lang w:val="en-AU"/>
              </w:rPr>
              <w:t xml:space="preserve"> every 4-6 weeks</w:t>
            </w:r>
            <w:r w:rsidR="00FF7560" w:rsidRPr="004D3350">
              <w:rPr>
                <w:rFonts w:ascii="Calibri" w:hAnsi="Calibri" w:cs="Cambria"/>
                <w:sz w:val="20"/>
                <w:szCs w:val="20"/>
                <w:lang w:val="en-AU"/>
              </w:rPr>
              <w:t>)</w:t>
            </w:r>
            <w:r w:rsidRPr="004D3350">
              <w:rPr>
                <w:rFonts w:ascii="Calibri" w:hAnsi="Calibri" w:cs="Cambria"/>
                <w:sz w:val="20"/>
                <w:szCs w:val="20"/>
                <w:lang w:val="en-AU"/>
              </w:rPr>
              <w:t>.</w:t>
            </w:r>
          </w:p>
        </w:tc>
      </w:tr>
      <w:tr w:rsidR="005376EE" w:rsidRPr="004D3350" w14:paraId="31BD8036" w14:textId="77777777" w:rsidTr="004D3350">
        <w:tc>
          <w:tcPr>
            <w:tcW w:w="9061" w:type="dxa"/>
            <w:shd w:val="clear" w:color="auto" w:fill="77B800"/>
          </w:tcPr>
          <w:p w14:paraId="1FE510AD" w14:textId="77777777" w:rsidR="005376EE" w:rsidRPr="004D3350" w:rsidRDefault="005376EE" w:rsidP="004D3350">
            <w:pPr>
              <w:pStyle w:val="BodyText"/>
              <w:spacing w:before="60" w:after="60" w:line="240" w:lineRule="auto"/>
              <w:rPr>
                <w:rFonts w:ascii="Calibri" w:hAnsi="Calibri" w:cs="Cambria"/>
                <w:b/>
                <w:bCs/>
                <w:i/>
                <w:iCs/>
                <w:sz w:val="20"/>
                <w:szCs w:val="20"/>
                <w:lang w:val="en-AU"/>
              </w:rPr>
            </w:pPr>
            <w:r w:rsidRPr="004D3350">
              <w:rPr>
                <w:rFonts w:ascii="Calibri" w:hAnsi="Calibri" w:cs="Cambria"/>
                <w:b/>
                <w:bCs/>
                <w:i/>
                <w:iCs/>
                <w:color w:val="FFFFFF"/>
                <w:sz w:val="20"/>
                <w:szCs w:val="20"/>
                <w:lang w:val="en-AU"/>
              </w:rPr>
              <w:t>Step 3: For patients with severe functional limitations and a large number of symptoms and duration of 3 months or more</w:t>
            </w:r>
          </w:p>
        </w:tc>
      </w:tr>
      <w:tr w:rsidR="005376EE" w:rsidRPr="004D3350" w14:paraId="05148D15" w14:textId="77777777" w:rsidTr="004D3350">
        <w:tc>
          <w:tcPr>
            <w:tcW w:w="9061" w:type="dxa"/>
            <w:shd w:val="clear" w:color="auto" w:fill="auto"/>
          </w:tcPr>
          <w:p w14:paraId="4DEC5668" w14:textId="77777777" w:rsidR="00FA1B3C" w:rsidRPr="004D3350" w:rsidRDefault="00FA1B3C" w:rsidP="004D3350">
            <w:pPr>
              <w:pStyle w:val="BodyText"/>
              <w:spacing w:before="60" w:after="60" w:line="240" w:lineRule="auto"/>
              <w:ind w:left="29"/>
              <w:rPr>
                <w:rFonts w:ascii="Calibri" w:hAnsi="Calibri" w:cs="Cambria"/>
                <w:sz w:val="20"/>
                <w:szCs w:val="20"/>
                <w:lang w:val="en-AU"/>
              </w:rPr>
            </w:pPr>
            <w:r w:rsidRPr="004D3350">
              <w:rPr>
                <w:rFonts w:ascii="Calibri" w:hAnsi="Calibri" w:cs="Cambria"/>
                <w:i/>
                <w:iCs/>
                <w:sz w:val="20"/>
                <w:szCs w:val="20"/>
                <w:lang w:val="en-AU"/>
              </w:rPr>
              <w:t>For patients with severe functional limitations and a large number of symptoms and duration of 3 months or more:</w:t>
            </w:r>
          </w:p>
          <w:p w14:paraId="7EBBB5DC" w14:textId="77777777" w:rsidR="005376EE" w:rsidRPr="004D3350" w:rsidRDefault="005376EE" w:rsidP="004D3350">
            <w:pPr>
              <w:pStyle w:val="BodyText"/>
              <w:numPr>
                <w:ilvl w:val="0"/>
                <w:numId w:val="13"/>
              </w:numPr>
              <w:spacing w:before="60" w:after="60" w:line="240" w:lineRule="auto"/>
              <w:ind w:left="341" w:hanging="284"/>
              <w:rPr>
                <w:rFonts w:ascii="Calibri" w:hAnsi="Calibri" w:cs="Cambria"/>
                <w:sz w:val="20"/>
                <w:szCs w:val="20"/>
                <w:lang w:val="en-AU"/>
              </w:rPr>
            </w:pPr>
            <w:r w:rsidRPr="004D3350">
              <w:rPr>
                <w:rFonts w:ascii="Calibri" w:hAnsi="Calibri" w:cs="Cambria"/>
                <w:sz w:val="20"/>
                <w:szCs w:val="20"/>
                <w:lang w:val="en-AU"/>
              </w:rPr>
              <w:t xml:space="preserve">Refer to </w:t>
            </w:r>
            <w:r w:rsidR="0011214B" w:rsidRPr="004D3350">
              <w:rPr>
                <w:rFonts w:ascii="Calibri" w:hAnsi="Calibri" w:cs="Cambria"/>
                <w:sz w:val="20"/>
                <w:szCs w:val="20"/>
                <w:lang w:val="en-AU"/>
              </w:rPr>
              <w:t>s</w:t>
            </w:r>
            <w:r w:rsidRPr="004D3350">
              <w:rPr>
                <w:rFonts w:ascii="Calibri" w:hAnsi="Calibri" w:cs="Cambria"/>
                <w:sz w:val="20"/>
                <w:szCs w:val="20"/>
                <w:lang w:val="en-AU"/>
              </w:rPr>
              <w:t>econdary, tertiary care providers and or multi-disciplinary teams or treatment centres</w:t>
            </w:r>
            <w:r w:rsidR="0011214B" w:rsidRPr="004D3350">
              <w:rPr>
                <w:rFonts w:ascii="Calibri" w:hAnsi="Calibri" w:cs="Cambria"/>
                <w:sz w:val="20"/>
                <w:szCs w:val="20"/>
                <w:lang w:val="en-AU"/>
              </w:rPr>
              <w:t>.</w:t>
            </w:r>
          </w:p>
          <w:p w14:paraId="023CB036" w14:textId="77777777" w:rsidR="005376EE" w:rsidRPr="004D3350" w:rsidRDefault="005376EE" w:rsidP="004D3350">
            <w:pPr>
              <w:pStyle w:val="BodyText"/>
              <w:numPr>
                <w:ilvl w:val="0"/>
                <w:numId w:val="13"/>
              </w:numPr>
              <w:spacing w:before="60" w:after="60" w:line="240" w:lineRule="auto"/>
              <w:ind w:left="341" w:hanging="284"/>
              <w:rPr>
                <w:rFonts w:ascii="Calibri" w:hAnsi="Calibri" w:cs="Cambria"/>
                <w:sz w:val="20"/>
                <w:szCs w:val="20"/>
                <w:lang w:val="en-AU"/>
              </w:rPr>
            </w:pPr>
            <w:r w:rsidRPr="004D3350">
              <w:rPr>
                <w:rFonts w:ascii="Calibri" w:hAnsi="Calibri" w:cs="Cambria"/>
                <w:sz w:val="20"/>
                <w:szCs w:val="20"/>
                <w:lang w:val="en-AU"/>
              </w:rPr>
              <w:t>Continue to stimulate the expansion of the patient’s functioning and monitor for deterioration in function</w:t>
            </w:r>
            <w:r w:rsidR="0011214B" w:rsidRPr="004D3350">
              <w:rPr>
                <w:rFonts w:ascii="Calibri" w:hAnsi="Calibri" w:cs="Cambria"/>
                <w:sz w:val="20"/>
                <w:szCs w:val="20"/>
                <w:lang w:val="en-AU"/>
              </w:rPr>
              <w:t>.</w:t>
            </w:r>
          </w:p>
          <w:p w14:paraId="6D40C1AF" w14:textId="77777777" w:rsidR="005376EE" w:rsidRPr="004D3350" w:rsidRDefault="005376EE" w:rsidP="004D3350">
            <w:pPr>
              <w:pStyle w:val="BodyText"/>
              <w:numPr>
                <w:ilvl w:val="0"/>
                <w:numId w:val="13"/>
              </w:numPr>
              <w:spacing w:before="60" w:after="60" w:line="240" w:lineRule="auto"/>
              <w:ind w:left="341" w:hanging="284"/>
              <w:rPr>
                <w:rFonts w:ascii="Calibri" w:hAnsi="Calibri" w:cs="Cambria"/>
                <w:sz w:val="20"/>
                <w:szCs w:val="20"/>
                <w:lang w:val="en-AU"/>
              </w:rPr>
            </w:pPr>
            <w:r w:rsidRPr="004D3350">
              <w:rPr>
                <w:rFonts w:ascii="Calibri" w:hAnsi="Calibri" w:cs="Cambria"/>
                <w:sz w:val="20"/>
                <w:szCs w:val="20"/>
                <w:lang w:val="en-AU"/>
              </w:rPr>
              <w:t>It is important that one care provider, ideally a GP</w:t>
            </w:r>
            <w:r w:rsidR="0011214B" w:rsidRPr="004D3350">
              <w:rPr>
                <w:rFonts w:ascii="Calibri" w:hAnsi="Calibri" w:cs="Cambria"/>
                <w:sz w:val="20"/>
                <w:szCs w:val="20"/>
                <w:lang w:val="en-AU"/>
              </w:rPr>
              <w:t>,</w:t>
            </w:r>
            <w:r w:rsidR="00FF7560" w:rsidRPr="004D3350">
              <w:rPr>
                <w:rFonts w:ascii="Calibri" w:hAnsi="Calibri" w:cs="Cambria"/>
                <w:sz w:val="20"/>
                <w:szCs w:val="20"/>
                <w:lang w:val="en-AU"/>
              </w:rPr>
              <w:t xml:space="preserve"> co</w:t>
            </w:r>
            <w:r w:rsidRPr="004D3350">
              <w:rPr>
                <w:rFonts w:ascii="Calibri" w:hAnsi="Calibri" w:cs="Cambria"/>
                <w:sz w:val="20"/>
                <w:szCs w:val="20"/>
                <w:lang w:val="en-AU"/>
              </w:rPr>
              <w:t>ordinates the care provided</w:t>
            </w:r>
            <w:r w:rsidR="0011214B" w:rsidRPr="004D3350">
              <w:rPr>
                <w:rFonts w:ascii="Calibri" w:hAnsi="Calibri" w:cs="Cambria"/>
                <w:sz w:val="20"/>
                <w:szCs w:val="20"/>
                <w:lang w:val="en-AU"/>
              </w:rPr>
              <w:t>.</w:t>
            </w:r>
          </w:p>
          <w:p w14:paraId="68534E03" w14:textId="77777777" w:rsidR="005376EE" w:rsidRPr="004D3350" w:rsidRDefault="005376EE" w:rsidP="004D3350">
            <w:pPr>
              <w:pStyle w:val="BodyText"/>
              <w:numPr>
                <w:ilvl w:val="0"/>
                <w:numId w:val="13"/>
              </w:numPr>
              <w:spacing w:before="60" w:after="60" w:line="240" w:lineRule="auto"/>
              <w:ind w:left="341" w:hanging="284"/>
              <w:rPr>
                <w:rFonts w:ascii="Calibri" w:hAnsi="Calibri" w:cs="Cambria"/>
                <w:sz w:val="20"/>
                <w:szCs w:val="20"/>
                <w:lang w:val="en-AU"/>
              </w:rPr>
            </w:pPr>
            <w:r w:rsidRPr="004D3350">
              <w:rPr>
                <w:rFonts w:ascii="Calibri" w:hAnsi="Calibri" w:cs="Cambria"/>
                <w:sz w:val="20"/>
                <w:szCs w:val="20"/>
                <w:lang w:val="en-AU"/>
              </w:rPr>
              <w:t>Limit long term treatments and investigations that are not useful and may even be harmful</w:t>
            </w:r>
            <w:r w:rsidR="0011214B" w:rsidRPr="004D3350">
              <w:rPr>
                <w:rFonts w:ascii="Calibri" w:hAnsi="Calibri" w:cs="Cambria"/>
                <w:sz w:val="20"/>
                <w:szCs w:val="20"/>
                <w:lang w:val="en-AU"/>
              </w:rPr>
              <w:t>.</w:t>
            </w:r>
          </w:p>
          <w:p w14:paraId="5EE4A82C" w14:textId="77777777" w:rsidR="005376EE" w:rsidRPr="004D3350" w:rsidRDefault="005376EE" w:rsidP="004D3350">
            <w:pPr>
              <w:pStyle w:val="BodyText"/>
              <w:numPr>
                <w:ilvl w:val="0"/>
                <w:numId w:val="13"/>
              </w:numPr>
              <w:spacing w:before="60" w:after="60" w:line="240" w:lineRule="auto"/>
              <w:ind w:left="341" w:hanging="284"/>
              <w:rPr>
                <w:rFonts w:ascii="Calibri" w:hAnsi="Calibri" w:cs="Cambria"/>
                <w:sz w:val="20"/>
                <w:szCs w:val="20"/>
                <w:lang w:val="en-AU"/>
              </w:rPr>
            </w:pPr>
            <w:r w:rsidRPr="004D3350">
              <w:rPr>
                <w:rFonts w:ascii="Calibri" w:hAnsi="Calibri" w:cs="Cambria"/>
                <w:sz w:val="20"/>
                <w:szCs w:val="20"/>
                <w:lang w:val="en-AU"/>
              </w:rPr>
              <w:t xml:space="preserve">Make regular follow-up appointments during treatment </w:t>
            </w:r>
            <w:r w:rsidR="00FF7560" w:rsidRPr="004D3350">
              <w:rPr>
                <w:rFonts w:ascii="Calibri" w:hAnsi="Calibri" w:cs="Cambria"/>
                <w:sz w:val="20"/>
                <w:szCs w:val="20"/>
                <w:lang w:val="en-AU"/>
              </w:rPr>
              <w:t>(</w:t>
            </w:r>
            <w:r w:rsidRPr="004D3350">
              <w:rPr>
                <w:rFonts w:ascii="Calibri" w:hAnsi="Calibri" w:cs="Cambria"/>
                <w:sz w:val="20"/>
                <w:szCs w:val="20"/>
                <w:lang w:val="en-AU"/>
              </w:rPr>
              <w:t>e.g. 4</w:t>
            </w:r>
            <w:r w:rsidR="00FF7560" w:rsidRPr="004D3350">
              <w:rPr>
                <w:rFonts w:ascii="Calibri" w:hAnsi="Calibri" w:cs="Calibri"/>
                <w:sz w:val="20"/>
                <w:szCs w:val="20"/>
                <w:lang w:val="en-AU"/>
              </w:rPr>
              <w:t>-</w:t>
            </w:r>
            <w:r w:rsidRPr="004D3350">
              <w:rPr>
                <w:rFonts w:ascii="Calibri" w:hAnsi="Calibri" w:cs="Cambria"/>
                <w:sz w:val="20"/>
                <w:szCs w:val="20"/>
                <w:lang w:val="en-AU"/>
              </w:rPr>
              <w:t>6 weeks</w:t>
            </w:r>
            <w:r w:rsidR="00FF7560" w:rsidRPr="004D3350">
              <w:rPr>
                <w:rFonts w:ascii="Calibri" w:hAnsi="Calibri" w:cs="Cambria"/>
                <w:sz w:val="20"/>
                <w:szCs w:val="20"/>
                <w:lang w:val="en-AU"/>
              </w:rPr>
              <w:t>)</w:t>
            </w:r>
            <w:r w:rsidRPr="004D3350">
              <w:rPr>
                <w:rFonts w:ascii="Calibri" w:hAnsi="Calibri" w:cs="Cambria"/>
                <w:sz w:val="20"/>
                <w:szCs w:val="20"/>
                <w:lang w:val="en-AU"/>
              </w:rPr>
              <w:t>.</w:t>
            </w:r>
          </w:p>
        </w:tc>
      </w:tr>
    </w:tbl>
    <w:p w14:paraId="00752417" w14:textId="77777777" w:rsidR="00154725" w:rsidRPr="004D3350" w:rsidRDefault="00154725" w:rsidP="005376EE">
      <w:pPr>
        <w:pStyle w:val="BodyText"/>
        <w:rPr>
          <w:rFonts w:cs="Cambria"/>
          <w:lang w:val="en-AU"/>
        </w:rPr>
      </w:pPr>
    </w:p>
    <w:p w14:paraId="28F64872" w14:textId="77777777" w:rsidR="005376EE" w:rsidRPr="004D3350" w:rsidRDefault="005376EE" w:rsidP="005376EE">
      <w:pPr>
        <w:pStyle w:val="BodyText"/>
        <w:rPr>
          <w:rFonts w:cs="Cambria"/>
          <w:lang w:val="en-AU"/>
        </w:rPr>
      </w:pPr>
      <w:r w:rsidRPr="004D3350">
        <w:rPr>
          <w:rFonts w:cs="Cambria"/>
          <w:lang w:val="en-AU"/>
        </w:rPr>
        <w:t>International guidelines concur that doctor-patient communication is key</w:t>
      </w:r>
      <w:r w:rsidR="00840E7F" w:rsidRPr="004D3350">
        <w:rPr>
          <w:rFonts w:cs="Cambria"/>
          <w:lang w:val="en-AU"/>
        </w:rPr>
        <w:t>.</w:t>
      </w:r>
      <w:r w:rsidRPr="004D3350">
        <w:rPr>
          <w:rFonts w:cs="Cambria"/>
          <w:lang w:val="en-AU"/>
        </w:rPr>
        <w:t xml:space="preserve"> </w:t>
      </w:r>
      <w:r w:rsidR="00840E7F" w:rsidRPr="004D3350">
        <w:rPr>
          <w:rFonts w:cs="Cambria"/>
          <w:lang w:val="en-AU"/>
        </w:rPr>
        <w:t>T</w:t>
      </w:r>
      <w:r w:rsidRPr="004D3350">
        <w:rPr>
          <w:rFonts w:cs="Cambria"/>
          <w:lang w:val="en-AU"/>
        </w:rPr>
        <w:t xml:space="preserve">hey emphasise the importance of exploring patient’s ideas, concerns and expectations, providing acceptable explanations, providing practical and constructive advice that is applicable to their daily lives is important and offering advice on symptom management. Considering the patient’s ethical-cultural background in all steps is </w:t>
      </w:r>
      <w:r w:rsidR="00FA1B3C" w:rsidRPr="004D3350">
        <w:rPr>
          <w:rFonts w:cs="Cambria"/>
          <w:lang w:val="en-AU"/>
        </w:rPr>
        <w:t xml:space="preserve">also </w:t>
      </w:r>
      <w:r w:rsidRPr="004D3350">
        <w:rPr>
          <w:rFonts w:cs="Cambria"/>
          <w:lang w:val="en-AU"/>
        </w:rPr>
        <w:t>recommended</w:t>
      </w:r>
      <w:r w:rsidR="00F13BD0" w:rsidRPr="004D3350">
        <w:rPr>
          <w:rFonts w:cs="Cambria"/>
          <w:lang w:val="en-AU"/>
        </w:rPr>
        <w:t>.</w:t>
      </w:r>
      <w:r w:rsidRPr="00A94846">
        <w:rPr>
          <w:rStyle w:val="FootnoteReference"/>
        </w:rPr>
        <w:footnoteReference w:id="271"/>
      </w:r>
    </w:p>
    <w:p w14:paraId="0B45F8D6" w14:textId="77777777" w:rsidR="006761DE" w:rsidRPr="004D3350" w:rsidRDefault="006761DE" w:rsidP="005376EE">
      <w:pPr>
        <w:pStyle w:val="BodyText"/>
        <w:rPr>
          <w:rFonts w:cs="Cambria"/>
          <w:lang w:val="en-AU"/>
        </w:rPr>
      </w:pPr>
    </w:p>
    <w:p w14:paraId="1667EA4C" w14:textId="77777777" w:rsidR="00BF4A82" w:rsidRPr="004D3350" w:rsidRDefault="00BF4A82">
      <w:pPr>
        <w:rPr>
          <w:rFonts w:ascii="Calibri" w:hAnsi="Calibri"/>
          <w:b/>
          <w:caps/>
          <w:color w:val="36424A"/>
          <w:sz w:val="28"/>
          <w:lang w:val="en-AU"/>
        </w:rPr>
      </w:pPr>
      <w:bookmarkStart w:id="129" w:name="_Toc20047372"/>
      <w:bookmarkStart w:id="130" w:name="_Toc20047373"/>
      <w:bookmarkStart w:id="131" w:name="_Toc20047374"/>
      <w:bookmarkStart w:id="132" w:name="_Toc20047375"/>
      <w:bookmarkStart w:id="133" w:name="_Toc20047376"/>
      <w:bookmarkStart w:id="134" w:name="_Toc20047377"/>
      <w:bookmarkStart w:id="135" w:name="_Toc20047378"/>
      <w:bookmarkStart w:id="136" w:name="_Toc20047379"/>
      <w:bookmarkStart w:id="137" w:name="_Toc20047380"/>
      <w:bookmarkStart w:id="138" w:name="_Toc20047381"/>
      <w:bookmarkStart w:id="139" w:name="_Toc20047382"/>
      <w:bookmarkStart w:id="140" w:name="_Toc20047383"/>
      <w:bookmarkStart w:id="141" w:name="_Toc20047384"/>
      <w:bookmarkStart w:id="142" w:name="_Toc20047385"/>
      <w:bookmarkStart w:id="143" w:name="_Toc20047386"/>
      <w:bookmarkStart w:id="144" w:name="_Toc20047387"/>
      <w:bookmarkStart w:id="145" w:name="_Toc20047388"/>
      <w:bookmarkStart w:id="146" w:name="_Toc20047389"/>
      <w:bookmarkStart w:id="147" w:name="_Toc20047390"/>
      <w:bookmarkStart w:id="148" w:name="_Toc20047391"/>
      <w:bookmarkStart w:id="149" w:name="_Toc20047392"/>
      <w:bookmarkStart w:id="150" w:name="_Toc20086363"/>
      <w:bookmarkStart w:id="151" w:name="_Toc20086364"/>
      <w:bookmarkStart w:id="152" w:name="_Toc20086365"/>
      <w:bookmarkStart w:id="153" w:name="_Toc20086366"/>
      <w:bookmarkStart w:id="154" w:name="_Toc20086367"/>
      <w:bookmarkStart w:id="155" w:name="_Toc20086368"/>
      <w:bookmarkStart w:id="156" w:name="_Toc20086369"/>
      <w:bookmarkStart w:id="157" w:name="_Toc20086370"/>
      <w:bookmarkStart w:id="158" w:name="_Toc20086371"/>
      <w:bookmarkStart w:id="159" w:name="_Toc20086372"/>
      <w:bookmarkStart w:id="160" w:name="_Toc20086373"/>
      <w:bookmarkStart w:id="161" w:name="_Toc20086374"/>
      <w:bookmarkStart w:id="162" w:name="_Toc20086375"/>
      <w:bookmarkStart w:id="163" w:name="_Toc20086376"/>
      <w:bookmarkStart w:id="164" w:name="_Toc20086377"/>
      <w:bookmarkStart w:id="165" w:name="_Toc20086378"/>
      <w:bookmarkStart w:id="166" w:name="_Toc20086379"/>
      <w:bookmarkStart w:id="167" w:name="_Toc20086380"/>
      <w:bookmarkStart w:id="168" w:name="_Toc20086381"/>
      <w:bookmarkStart w:id="169" w:name="_Toc20086382"/>
      <w:bookmarkStart w:id="170" w:name="_Toc20086383"/>
      <w:bookmarkStart w:id="171" w:name="_Toc20086405"/>
      <w:bookmarkStart w:id="172" w:name="_Toc20086406"/>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Pr="00CF74AD">
        <w:rPr>
          <w:lang w:val="en-AU"/>
        </w:rPr>
        <w:br w:type="page"/>
      </w:r>
    </w:p>
    <w:p w14:paraId="2B941873" w14:textId="77777777" w:rsidR="007152FA" w:rsidRPr="00CF74AD" w:rsidRDefault="007152FA" w:rsidP="009707CE">
      <w:pPr>
        <w:pStyle w:val="NumberedHeading1"/>
        <w:spacing w:before="0"/>
        <w:rPr>
          <w:lang w:val="en-AU"/>
        </w:rPr>
      </w:pPr>
      <w:bookmarkStart w:id="173" w:name="_Toc55464815"/>
      <w:r w:rsidRPr="00CF74AD">
        <w:rPr>
          <w:lang w:val="en-AU"/>
        </w:rPr>
        <w:lastRenderedPageBreak/>
        <w:t>Ongoing management</w:t>
      </w:r>
      <w:bookmarkEnd w:id="173"/>
    </w:p>
    <w:p w14:paraId="6B7AC3C3" w14:textId="77777777" w:rsidR="00594ED2" w:rsidRPr="00D621FF" w:rsidRDefault="00594ED2" w:rsidP="00594ED2">
      <w:pPr>
        <w:pStyle w:val="NumberedHeading2"/>
        <w:rPr>
          <w:lang w:val="en-AU"/>
        </w:rPr>
      </w:pPr>
      <w:bookmarkStart w:id="174" w:name="_Toc55464816"/>
      <w:r w:rsidRPr="00D621FF">
        <w:rPr>
          <w:lang w:val="en-AU"/>
        </w:rPr>
        <w:t>Lyme disease</w:t>
      </w:r>
      <w:bookmarkEnd w:id="174"/>
    </w:p>
    <w:p w14:paraId="5FB4F913" w14:textId="77777777" w:rsidR="006A0F82" w:rsidRPr="00661245" w:rsidRDefault="0061033D" w:rsidP="00C75498">
      <w:pPr>
        <w:pStyle w:val="BodyText"/>
        <w:rPr>
          <w:lang w:val="en-AU"/>
        </w:rPr>
      </w:pPr>
      <w:r w:rsidRPr="00D621FF">
        <w:rPr>
          <w:lang w:val="en-AU"/>
        </w:rPr>
        <w:t>There is a strong body of evidence t</w:t>
      </w:r>
      <w:r w:rsidRPr="00FA6D54">
        <w:rPr>
          <w:lang w:val="en-AU"/>
        </w:rPr>
        <w:t>hat doe</w:t>
      </w:r>
      <w:r w:rsidR="00F80216" w:rsidRPr="00FA6D54">
        <w:rPr>
          <w:lang w:val="en-AU"/>
        </w:rPr>
        <w:t>s</w:t>
      </w:r>
      <w:r w:rsidRPr="00A01762">
        <w:rPr>
          <w:lang w:val="en-AU"/>
        </w:rPr>
        <w:t xml:space="preserve"> not support </w:t>
      </w:r>
      <w:r w:rsidR="00F80216" w:rsidRPr="00A01762">
        <w:rPr>
          <w:lang w:val="en-AU"/>
        </w:rPr>
        <w:t>ongoing and long-term treatment of Lyme disease with antibiotics</w:t>
      </w:r>
      <w:r w:rsidR="0023424D" w:rsidRPr="00F2704A">
        <w:rPr>
          <w:lang w:val="en-AU"/>
        </w:rPr>
        <w:t>.</w:t>
      </w:r>
      <w:r w:rsidR="00A40AF3" w:rsidRPr="00A94846">
        <w:rPr>
          <w:rStyle w:val="FootnoteReference"/>
        </w:rPr>
        <w:footnoteReference w:id="272"/>
      </w:r>
      <w:r w:rsidR="009F2775" w:rsidRPr="00661245">
        <w:rPr>
          <w:vertAlign w:val="superscript"/>
          <w:lang w:val="en-AU"/>
        </w:rPr>
        <w:t>,</w:t>
      </w:r>
      <w:r w:rsidR="005F6491">
        <w:rPr>
          <w:vertAlign w:val="superscript"/>
          <w:lang w:val="en-AU"/>
        </w:rPr>
        <w:t xml:space="preserve"> </w:t>
      </w:r>
      <w:r w:rsidR="009F2775" w:rsidRPr="00A94846">
        <w:rPr>
          <w:rStyle w:val="FootnoteReference"/>
        </w:rPr>
        <w:footnoteReference w:id="273"/>
      </w:r>
      <w:r w:rsidR="00E25EAE" w:rsidRPr="00661245">
        <w:rPr>
          <w:vertAlign w:val="superscript"/>
          <w:lang w:val="en-AU"/>
        </w:rPr>
        <w:t>,</w:t>
      </w:r>
      <w:r w:rsidR="005F6491">
        <w:rPr>
          <w:vertAlign w:val="superscript"/>
          <w:lang w:val="en-AU"/>
        </w:rPr>
        <w:t xml:space="preserve"> </w:t>
      </w:r>
      <w:r w:rsidR="00AD7503" w:rsidRPr="00A94846">
        <w:rPr>
          <w:rStyle w:val="FootnoteReference"/>
        </w:rPr>
        <w:footnoteReference w:id="274"/>
      </w:r>
      <w:r w:rsidR="00AD7503" w:rsidRPr="00661245">
        <w:rPr>
          <w:vertAlign w:val="superscript"/>
          <w:lang w:val="en-AU"/>
        </w:rPr>
        <w:t>,</w:t>
      </w:r>
      <w:r w:rsidR="005F6491">
        <w:rPr>
          <w:vertAlign w:val="superscript"/>
          <w:lang w:val="en-AU"/>
        </w:rPr>
        <w:t xml:space="preserve"> </w:t>
      </w:r>
      <w:r w:rsidR="00F67365" w:rsidRPr="00A94846">
        <w:rPr>
          <w:rStyle w:val="FootnoteReference"/>
        </w:rPr>
        <w:footnoteReference w:id="275"/>
      </w:r>
      <w:r w:rsidR="003F45ED" w:rsidRPr="00661245">
        <w:rPr>
          <w:vertAlign w:val="superscript"/>
          <w:lang w:val="en-AU"/>
        </w:rPr>
        <w:t>,</w:t>
      </w:r>
      <w:r w:rsidR="005F6491">
        <w:rPr>
          <w:vertAlign w:val="superscript"/>
          <w:lang w:val="en-AU"/>
        </w:rPr>
        <w:t xml:space="preserve"> </w:t>
      </w:r>
      <w:r w:rsidR="00715D03" w:rsidRPr="00A94846">
        <w:rPr>
          <w:rStyle w:val="FootnoteReference"/>
        </w:rPr>
        <w:footnoteReference w:id="276"/>
      </w:r>
      <w:r w:rsidR="005E29B7" w:rsidRPr="00661245">
        <w:rPr>
          <w:vertAlign w:val="superscript"/>
          <w:lang w:val="en-AU"/>
        </w:rPr>
        <w:t>,</w:t>
      </w:r>
      <w:r w:rsidR="005F6491">
        <w:rPr>
          <w:vertAlign w:val="superscript"/>
          <w:lang w:val="en-AU"/>
        </w:rPr>
        <w:t xml:space="preserve"> </w:t>
      </w:r>
      <w:r w:rsidR="005E29B7" w:rsidRPr="00A94846">
        <w:rPr>
          <w:rStyle w:val="FootnoteReference"/>
        </w:rPr>
        <w:footnoteReference w:id="277"/>
      </w:r>
      <w:r w:rsidR="005E29B7" w:rsidRPr="00661245">
        <w:rPr>
          <w:vertAlign w:val="superscript"/>
          <w:lang w:val="en-AU"/>
        </w:rPr>
        <w:t>,</w:t>
      </w:r>
      <w:r w:rsidR="005F6491">
        <w:rPr>
          <w:vertAlign w:val="superscript"/>
          <w:lang w:val="en-AU"/>
        </w:rPr>
        <w:t xml:space="preserve"> </w:t>
      </w:r>
      <w:r w:rsidR="005E29B7" w:rsidRPr="00A94846">
        <w:rPr>
          <w:rStyle w:val="FootnoteReference"/>
        </w:rPr>
        <w:footnoteReference w:id="278"/>
      </w:r>
      <w:r w:rsidR="0084188E" w:rsidRPr="00661245">
        <w:rPr>
          <w:vertAlign w:val="superscript"/>
          <w:lang w:val="en-AU"/>
        </w:rPr>
        <w:t>,</w:t>
      </w:r>
      <w:r w:rsidR="005F6491">
        <w:rPr>
          <w:vertAlign w:val="superscript"/>
          <w:lang w:val="en-AU"/>
        </w:rPr>
        <w:t xml:space="preserve"> </w:t>
      </w:r>
      <w:r w:rsidR="005D16EF" w:rsidRPr="00A94846">
        <w:rPr>
          <w:rStyle w:val="FootnoteReference"/>
        </w:rPr>
        <w:footnoteReference w:id="279"/>
      </w:r>
      <w:r w:rsidR="001263C4" w:rsidRPr="00661245">
        <w:rPr>
          <w:vertAlign w:val="superscript"/>
          <w:lang w:val="en-AU"/>
        </w:rPr>
        <w:t>,</w:t>
      </w:r>
      <w:r w:rsidR="005F6491">
        <w:rPr>
          <w:vertAlign w:val="superscript"/>
          <w:lang w:val="en-AU"/>
        </w:rPr>
        <w:t xml:space="preserve"> </w:t>
      </w:r>
      <w:r w:rsidR="001263C4" w:rsidRPr="00A94846">
        <w:rPr>
          <w:rStyle w:val="FootnoteReference"/>
        </w:rPr>
        <w:footnoteReference w:id="280"/>
      </w:r>
    </w:p>
    <w:p w14:paraId="3CC43F6B" w14:textId="77777777" w:rsidR="003E3C10" w:rsidRPr="00661245" w:rsidRDefault="006676B5" w:rsidP="00C75498">
      <w:pPr>
        <w:pStyle w:val="BodyText"/>
        <w:rPr>
          <w:lang w:val="en-AU"/>
        </w:rPr>
      </w:pPr>
      <w:r w:rsidRPr="00CF74AD">
        <w:rPr>
          <w:lang w:val="en-AU"/>
        </w:rPr>
        <w:t xml:space="preserve">Prolonged intravenous or oral antibiotic therapy for Lyme disease is not recommended </w:t>
      </w:r>
      <w:r w:rsidR="00E46D9B" w:rsidRPr="00CF74AD">
        <w:rPr>
          <w:lang w:val="en-AU"/>
        </w:rPr>
        <w:t xml:space="preserve">in </w:t>
      </w:r>
      <w:r w:rsidR="00FA129F" w:rsidRPr="00CF74AD">
        <w:rPr>
          <w:lang w:val="en-AU"/>
        </w:rPr>
        <w:t xml:space="preserve">managing patients with Lyme disease in Australia </w:t>
      </w:r>
      <w:r w:rsidRPr="00CF74AD">
        <w:rPr>
          <w:lang w:val="en-AU"/>
        </w:rPr>
        <w:t>as studies perf</w:t>
      </w:r>
      <w:r w:rsidRPr="00D621FF">
        <w:rPr>
          <w:lang w:val="en-AU"/>
        </w:rPr>
        <w:t xml:space="preserve">ormed in North America and Europe </w:t>
      </w:r>
      <w:r w:rsidR="00C9787F" w:rsidRPr="00D621FF">
        <w:rPr>
          <w:lang w:val="en-AU"/>
        </w:rPr>
        <w:t xml:space="preserve">showed </w:t>
      </w:r>
      <w:r w:rsidR="00A6628C" w:rsidRPr="00FA6D54">
        <w:rPr>
          <w:lang w:val="en-AU"/>
        </w:rPr>
        <w:t xml:space="preserve">these therapies </w:t>
      </w:r>
      <w:r w:rsidR="00FA47EB" w:rsidRPr="00FA6D54">
        <w:rPr>
          <w:lang w:val="en-AU"/>
        </w:rPr>
        <w:t xml:space="preserve">did not significantly improve outcomes </w:t>
      </w:r>
      <w:r w:rsidRPr="00A01762">
        <w:rPr>
          <w:lang w:val="en-AU"/>
        </w:rPr>
        <w:t>and can be associated with significant adverse effects</w:t>
      </w:r>
      <w:r w:rsidR="0023424D" w:rsidRPr="00F2704A">
        <w:rPr>
          <w:lang w:val="en-AU"/>
        </w:rPr>
        <w:t>.</w:t>
      </w:r>
      <w:r w:rsidR="00C4540F" w:rsidRPr="00A94846">
        <w:rPr>
          <w:rStyle w:val="FootnoteReference"/>
        </w:rPr>
        <w:footnoteReference w:id="281"/>
      </w:r>
    </w:p>
    <w:p w14:paraId="4FC1CCD4" w14:textId="77777777" w:rsidR="00D100ED" w:rsidRPr="00661245" w:rsidRDefault="003902C8" w:rsidP="00C75498">
      <w:pPr>
        <w:pStyle w:val="BodyText"/>
        <w:rPr>
          <w:lang w:val="en-AU"/>
        </w:rPr>
      </w:pPr>
      <w:r w:rsidRPr="00CF74AD">
        <w:rPr>
          <w:lang w:val="en-AU"/>
        </w:rPr>
        <w:t xml:space="preserve">NICE </w:t>
      </w:r>
      <w:r w:rsidR="00337947" w:rsidRPr="00CF74AD">
        <w:rPr>
          <w:lang w:val="en-AU"/>
        </w:rPr>
        <w:t xml:space="preserve">reviewed the evidence </w:t>
      </w:r>
      <w:r w:rsidR="00856370" w:rsidRPr="00CF74AD">
        <w:rPr>
          <w:lang w:val="en-AU"/>
        </w:rPr>
        <w:t>for the management of ongoing symptoms related to Lyme disease and recommended</w:t>
      </w:r>
      <w:r w:rsidR="00391208" w:rsidRPr="00D621FF">
        <w:rPr>
          <w:lang w:val="en-AU"/>
        </w:rPr>
        <w:t xml:space="preserve"> that</w:t>
      </w:r>
      <w:r w:rsidR="00D100ED" w:rsidRPr="00D621FF">
        <w:rPr>
          <w:lang w:val="en-AU"/>
        </w:rPr>
        <w:t>:</w:t>
      </w:r>
      <w:r w:rsidR="00701714" w:rsidRPr="00A94846">
        <w:rPr>
          <w:rStyle w:val="FootnoteReference"/>
        </w:rPr>
        <w:footnoteReference w:id="282"/>
      </w:r>
    </w:p>
    <w:p w14:paraId="58DBBC80" w14:textId="77777777" w:rsidR="00D100ED" w:rsidRPr="009A21D4" w:rsidRDefault="00701714" w:rsidP="00C75498">
      <w:pPr>
        <w:pStyle w:val="List-BulletLvl1"/>
        <w:spacing w:before="120"/>
        <w:rPr>
          <w:lang w:val="en-AU"/>
        </w:rPr>
      </w:pPr>
      <w:r w:rsidRPr="009A21D4">
        <w:rPr>
          <w:lang w:val="en-AU"/>
        </w:rPr>
        <w:t>f</w:t>
      </w:r>
      <w:r w:rsidR="00D100ED" w:rsidRPr="009A21D4">
        <w:rPr>
          <w:lang w:val="en-AU"/>
        </w:rPr>
        <w:t xml:space="preserve">or managing ongoing symptoms of Lyme disease after a course of antibiotics, patients should </w:t>
      </w:r>
      <w:r w:rsidR="00D100ED" w:rsidRPr="00E358D6">
        <w:rPr>
          <w:b/>
          <w:bCs/>
          <w:lang w:val="en-AU"/>
        </w:rPr>
        <w:t>not</w:t>
      </w:r>
      <w:r w:rsidR="00D100ED" w:rsidRPr="009A21D4">
        <w:rPr>
          <w:lang w:val="en-AU"/>
        </w:rPr>
        <w:t xml:space="preserve"> be routinely offered more than two courses of antibiotics because of a lack of evidence of benefi</w:t>
      </w:r>
      <w:r w:rsidR="00F13415" w:rsidRPr="009A21D4">
        <w:rPr>
          <w:lang w:val="en-AU"/>
        </w:rPr>
        <w:t>t</w:t>
      </w:r>
    </w:p>
    <w:p w14:paraId="00DB7264" w14:textId="77777777" w:rsidR="00D100ED" w:rsidRPr="009A21D4" w:rsidRDefault="00701714" w:rsidP="00C75498">
      <w:pPr>
        <w:pStyle w:val="List-BulletLvl1"/>
        <w:spacing w:before="120"/>
        <w:rPr>
          <w:lang w:val="en-AU"/>
        </w:rPr>
      </w:pPr>
      <w:r w:rsidRPr="009A21D4">
        <w:rPr>
          <w:lang w:val="en-AU"/>
        </w:rPr>
        <w:t>i</w:t>
      </w:r>
      <w:r w:rsidR="00A23C11" w:rsidRPr="009A21D4">
        <w:rPr>
          <w:lang w:val="en-AU"/>
        </w:rPr>
        <w:t>t is important to consider</w:t>
      </w:r>
      <w:r w:rsidR="00D100ED" w:rsidRPr="009A21D4">
        <w:rPr>
          <w:lang w:val="en-AU"/>
        </w:rPr>
        <w:t xml:space="preserve"> alternative diagnoses to prevent inappropriate antibiotic treatment and misdiagnosis and discussion with a specialist or referral should be considered for some people if a different tick-borne disease is possible</w:t>
      </w:r>
      <w:r w:rsidRPr="009A21D4">
        <w:rPr>
          <w:lang w:val="en-AU"/>
        </w:rPr>
        <w:t>, and</w:t>
      </w:r>
    </w:p>
    <w:p w14:paraId="7DC00B6A" w14:textId="77777777" w:rsidR="00D100ED" w:rsidRPr="009A21D4" w:rsidRDefault="00701714" w:rsidP="00C75498">
      <w:pPr>
        <w:pStyle w:val="List-BulletLvl1"/>
        <w:spacing w:before="120"/>
        <w:rPr>
          <w:lang w:val="en-AU"/>
        </w:rPr>
      </w:pPr>
      <w:r w:rsidRPr="009A21D4">
        <w:rPr>
          <w:lang w:val="en-AU"/>
        </w:rPr>
        <w:t>h</w:t>
      </w:r>
      <w:r w:rsidR="00D100ED" w:rsidRPr="009A21D4">
        <w:rPr>
          <w:lang w:val="en-AU"/>
        </w:rPr>
        <w:t>ealthcare professionals help people with long term symptoms related to Lyme disease access support if needed</w:t>
      </w:r>
      <w:r w:rsidRPr="009A21D4">
        <w:rPr>
          <w:lang w:val="en-AU"/>
        </w:rPr>
        <w:t>.</w:t>
      </w:r>
    </w:p>
    <w:p w14:paraId="4B82DE57" w14:textId="77777777" w:rsidR="0005793F" w:rsidRPr="00661245" w:rsidRDefault="00F13415" w:rsidP="00C75498">
      <w:pPr>
        <w:pStyle w:val="BodyText"/>
        <w:rPr>
          <w:i/>
          <w:iCs/>
          <w:lang w:val="en-AU"/>
        </w:rPr>
      </w:pPr>
      <w:r w:rsidRPr="00661245">
        <w:rPr>
          <w:lang w:val="en-AU"/>
        </w:rPr>
        <w:t>NI</w:t>
      </w:r>
      <w:r w:rsidRPr="00CF74AD">
        <w:rPr>
          <w:lang w:val="en-AU"/>
        </w:rPr>
        <w:t xml:space="preserve">CE advised </w:t>
      </w:r>
      <w:r w:rsidR="00240F88" w:rsidRPr="00CF74AD">
        <w:rPr>
          <w:lang w:val="en-AU"/>
        </w:rPr>
        <w:t>that current treatment of Lyme disease is a single course of antibiotics; however, people who have had treatment for Lyme disease sometimes report ongoing symptoms, the cause of which is often not clear and includes reinfection, or organ damage caused by Lyme disease which may take a long time to heal or may even be permanent</w:t>
      </w:r>
      <w:r w:rsidR="0023424D" w:rsidRPr="00CF74AD">
        <w:rPr>
          <w:lang w:val="en-AU"/>
        </w:rPr>
        <w:t>.</w:t>
      </w:r>
      <w:r w:rsidRPr="00A94846">
        <w:rPr>
          <w:rStyle w:val="FootnoteReference"/>
        </w:rPr>
        <w:footnoteReference w:id="283"/>
      </w:r>
    </w:p>
    <w:p w14:paraId="76988625" w14:textId="77777777" w:rsidR="00420683" w:rsidRDefault="0005793F" w:rsidP="00C75498">
      <w:pPr>
        <w:pStyle w:val="List-BulletLvl1"/>
        <w:numPr>
          <w:ilvl w:val="0"/>
          <w:numId w:val="0"/>
        </w:numPr>
        <w:autoSpaceDE w:val="0"/>
        <w:autoSpaceDN w:val="0"/>
        <w:adjustRightInd w:val="0"/>
        <w:spacing w:before="120"/>
        <w:rPr>
          <w:lang w:val="en-AU"/>
        </w:rPr>
      </w:pPr>
      <w:r w:rsidRPr="00CF74AD">
        <w:rPr>
          <w:lang w:val="en-AU"/>
        </w:rPr>
        <w:t>The term ‘ongoing symptoms’ was preferred for the guideline as it does not attribute cause of symptoms</w:t>
      </w:r>
      <w:r w:rsidR="00C544D1" w:rsidRPr="00CF74AD">
        <w:rPr>
          <w:lang w:val="en-AU"/>
        </w:rPr>
        <w:t>; t</w:t>
      </w:r>
      <w:r w:rsidRPr="00CF74AD">
        <w:rPr>
          <w:lang w:val="en-AU"/>
        </w:rPr>
        <w:t xml:space="preserve">erms such as </w:t>
      </w:r>
      <w:r w:rsidR="00927701">
        <w:rPr>
          <w:lang w:val="en-AU"/>
        </w:rPr>
        <w:t>‘</w:t>
      </w:r>
      <w:r w:rsidRPr="00CF74AD">
        <w:rPr>
          <w:lang w:val="en-AU"/>
        </w:rPr>
        <w:t>chronic Lyme disease</w:t>
      </w:r>
      <w:r w:rsidR="00927701">
        <w:rPr>
          <w:lang w:val="en-AU"/>
        </w:rPr>
        <w:t>’</w:t>
      </w:r>
      <w:r w:rsidRPr="00CF74AD">
        <w:rPr>
          <w:lang w:val="en-AU"/>
        </w:rPr>
        <w:t xml:space="preserve"> imply possible chronic infection and may be misleading</w:t>
      </w:r>
      <w:r w:rsidR="0023424D" w:rsidRPr="00D621FF">
        <w:rPr>
          <w:lang w:val="en-AU"/>
        </w:rPr>
        <w:t>.</w:t>
      </w:r>
      <w:r w:rsidR="009A18B5" w:rsidRPr="00A94846">
        <w:rPr>
          <w:rStyle w:val="FootnoteReference"/>
        </w:rPr>
        <w:footnoteReference w:id="284"/>
      </w:r>
      <w:r w:rsidRPr="00661245">
        <w:rPr>
          <w:lang w:val="en-AU"/>
        </w:rPr>
        <w:t xml:space="preserve"> </w:t>
      </w:r>
    </w:p>
    <w:p w14:paraId="545F31C6" w14:textId="77777777" w:rsidR="00CD7D40" w:rsidRPr="00661245" w:rsidRDefault="00CD7D40" w:rsidP="00C75498">
      <w:pPr>
        <w:pStyle w:val="List-BulletLvl1"/>
        <w:numPr>
          <w:ilvl w:val="0"/>
          <w:numId w:val="0"/>
        </w:numPr>
        <w:autoSpaceDE w:val="0"/>
        <w:autoSpaceDN w:val="0"/>
        <w:adjustRightInd w:val="0"/>
        <w:spacing w:before="120"/>
        <w:rPr>
          <w:lang w:val="en-AU"/>
        </w:rPr>
      </w:pPr>
      <w:r w:rsidRPr="00D438BA">
        <w:rPr>
          <w:lang w:val="en-AU"/>
        </w:rPr>
        <w:t xml:space="preserve">The </w:t>
      </w:r>
      <w:r w:rsidRPr="00D438BA">
        <w:rPr>
          <w:b/>
          <w:bCs/>
          <w:lang w:val="en-AU"/>
        </w:rPr>
        <w:t>C</w:t>
      </w:r>
      <w:r w:rsidRPr="00661245">
        <w:rPr>
          <w:b/>
          <w:bCs/>
          <w:lang w:val="en-AU"/>
        </w:rPr>
        <w:t>DC</w:t>
      </w:r>
      <w:r w:rsidRPr="00CF74AD">
        <w:rPr>
          <w:lang w:val="en-AU"/>
        </w:rPr>
        <w:t xml:space="preserve"> in a 2017 Morbidity and Mortality Weekly Report</w:t>
      </w:r>
      <w:r w:rsidR="006914CE" w:rsidRPr="00A94846">
        <w:rPr>
          <w:rStyle w:val="FootnoteReference"/>
        </w:rPr>
        <w:footnoteReference w:id="285"/>
      </w:r>
      <w:r w:rsidRPr="00661245">
        <w:rPr>
          <w:lang w:val="en-AU"/>
        </w:rPr>
        <w:t xml:space="preserve"> advised treatmen</w:t>
      </w:r>
      <w:r w:rsidR="000F5494">
        <w:rPr>
          <w:lang w:val="en-AU"/>
        </w:rPr>
        <w:t>t offered for the diagnosis of ‘chronic Lyme disease’</w:t>
      </w:r>
      <w:r w:rsidRPr="00661245">
        <w:rPr>
          <w:lang w:val="en-AU"/>
        </w:rPr>
        <w:t xml:space="preserve">, </w:t>
      </w:r>
      <w:r w:rsidRPr="00D438BA">
        <w:rPr>
          <w:lang w:val="en-AU"/>
        </w:rPr>
        <w:t>such as prolonged antibiotic or immunoglobulin therapy, lacks data supporting effectiveness</w:t>
      </w:r>
      <w:r w:rsidR="00C648B3" w:rsidRPr="00D438BA">
        <w:rPr>
          <w:lang w:val="en-AU"/>
        </w:rPr>
        <w:t xml:space="preserve"> and </w:t>
      </w:r>
      <w:r w:rsidRPr="00D438BA">
        <w:rPr>
          <w:lang w:val="en-AU"/>
        </w:rPr>
        <w:t xml:space="preserve">as such treatment can result in serious complications it is </w:t>
      </w:r>
      <w:r w:rsidRPr="000E160D">
        <w:rPr>
          <w:lang w:val="en-AU"/>
        </w:rPr>
        <w:t>therefore not recommended</w:t>
      </w:r>
      <w:r w:rsidR="00216110" w:rsidRPr="000E160D">
        <w:rPr>
          <w:lang w:val="en-AU"/>
        </w:rPr>
        <w:t>.</w:t>
      </w:r>
      <w:r w:rsidRPr="000E160D">
        <w:rPr>
          <w:lang w:val="en-AU"/>
        </w:rPr>
        <w:t xml:space="preserve"> </w:t>
      </w:r>
      <w:r w:rsidR="00224A77" w:rsidRPr="000E160D">
        <w:rPr>
          <w:lang w:val="en-AU"/>
        </w:rPr>
        <w:t xml:space="preserve">Five cases were described to illustrate complications resulting from </w:t>
      </w:r>
      <w:r w:rsidR="00224A77" w:rsidRPr="000E160D">
        <w:rPr>
          <w:lang w:val="en-AU"/>
        </w:rPr>
        <w:lastRenderedPageBreak/>
        <w:t xml:space="preserve">unproven treatments, including septic shock, </w:t>
      </w:r>
      <w:r w:rsidR="00224A77" w:rsidRPr="000E160D">
        <w:rPr>
          <w:i/>
          <w:iCs/>
          <w:lang w:val="en-AU"/>
        </w:rPr>
        <w:t>Clostridium difficile</w:t>
      </w:r>
      <w:r w:rsidR="00F423EB" w:rsidRPr="000E160D">
        <w:rPr>
          <w:i/>
          <w:iCs/>
          <w:lang w:val="en-AU"/>
        </w:rPr>
        <w:t xml:space="preserve"> </w:t>
      </w:r>
      <w:r w:rsidR="00224A77" w:rsidRPr="000E160D">
        <w:rPr>
          <w:lang w:val="en-AU"/>
        </w:rPr>
        <w:t>colitis, ost</w:t>
      </w:r>
      <w:r w:rsidR="00C31CEF" w:rsidRPr="000E160D">
        <w:rPr>
          <w:lang w:val="en-AU"/>
        </w:rPr>
        <w:t>eodiscitis, abscess and death</w:t>
      </w:r>
      <w:r w:rsidR="00F36B13" w:rsidRPr="000E160D">
        <w:rPr>
          <w:lang w:val="en-AU"/>
        </w:rPr>
        <w:t>.</w:t>
      </w:r>
      <w:r w:rsidR="00C31CEF" w:rsidRPr="00A94846">
        <w:rPr>
          <w:rStyle w:val="FootnoteReference"/>
        </w:rPr>
        <w:footnoteReference w:id="286"/>
      </w:r>
    </w:p>
    <w:p w14:paraId="63056E57" w14:textId="77777777" w:rsidR="003E5382" w:rsidRPr="00E95374" w:rsidRDefault="00AA556E" w:rsidP="00C75498">
      <w:pPr>
        <w:pStyle w:val="Body"/>
        <w:spacing w:line="280" w:lineRule="exact"/>
        <w:rPr>
          <w:lang w:val="en-AU"/>
        </w:rPr>
      </w:pPr>
      <w:r w:rsidRPr="000E160D">
        <w:rPr>
          <w:lang w:val="en-AU"/>
        </w:rPr>
        <w:t xml:space="preserve">More recently </w:t>
      </w:r>
      <w:r w:rsidR="003E5382" w:rsidRPr="000E160D">
        <w:rPr>
          <w:lang w:val="en-AU"/>
        </w:rPr>
        <w:t>IDSA/AAN/ACR</w:t>
      </w:r>
      <w:r w:rsidR="0070640B" w:rsidRPr="000E160D">
        <w:rPr>
          <w:lang w:val="en-AU"/>
        </w:rPr>
        <w:t xml:space="preserve"> </w:t>
      </w:r>
      <w:r w:rsidR="00D42EAC" w:rsidRPr="000E160D">
        <w:rPr>
          <w:lang w:val="en-AU"/>
        </w:rPr>
        <w:t xml:space="preserve">in their draft </w:t>
      </w:r>
      <w:r w:rsidR="00610F3E" w:rsidRPr="000E160D">
        <w:rPr>
          <w:lang w:val="en-AU"/>
        </w:rPr>
        <w:t>Lyme Disease Guidelines</w:t>
      </w:r>
      <w:r w:rsidR="0070640B" w:rsidRPr="000E160D">
        <w:rPr>
          <w:lang w:val="en-AU"/>
        </w:rPr>
        <w:t xml:space="preserve"> r</w:t>
      </w:r>
      <w:r w:rsidR="003E5382" w:rsidRPr="000E160D">
        <w:rPr>
          <w:lang w:val="en-AU"/>
        </w:rPr>
        <w:t>ecommend</w:t>
      </w:r>
      <w:r w:rsidRPr="000E160D">
        <w:rPr>
          <w:lang w:val="en-AU"/>
        </w:rPr>
        <w:t>ed</w:t>
      </w:r>
      <w:r w:rsidR="0070640B" w:rsidRPr="000E160D">
        <w:rPr>
          <w:lang w:val="en-AU"/>
        </w:rPr>
        <w:t xml:space="preserve"> </w:t>
      </w:r>
      <w:r w:rsidRPr="000E160D">
        <w:rPr>
          <w:lang w:val="en-AU"/>
        </w:rPr>
        <w:t xml:space="preserve">against additional antibiotic therapy </w:t>
      </w:r>
      <w:r w:rsidR="0070640B" w:rsidRPr="000E160D">
        <w:rPr>
          <w:lang w:val="en-AU"/>
        </w:rPr>
        <w:t>fo</w:t>
      </w:r>
      <w:r w:rsidR="003E5382" w:rsidRPr="000E160D">
        <w:rPr>
          <w:lang w:val="en-AU"/>
        </w:rPr>
        <w:t>r patients who have persistent or recurring non-specific symptoms such as fatigue, pain, or cognitive impairment following treatment for appropriately diagnosed Lyme disease, but who lack objective evidence of reinfection or treatment failure (</w:t>
      </w:r>
      <w:r w:rsidR="003E5382" w:rsidRPr="000E160D">
        <w:rPr>
          <w:b/>
          <w:bCs/>
          <w:lang w:val="en-AU"/>
        </w:rPr>
        <w:t>Strong recommendation; moderate quality evidence</w:t>
      </w:r>
      <w:r w:rsidR="003E5382" w:rsidRPr="000E160D">
        <w:rPr>
          <w:lang w:val="en-AU"/>
        </w:rPr>
        <w:t xml:space="preserve">). </w:t>
      </w:r>
      <w:r w:rsidR="00610F3E" w:rsidRPr="00E95374">
        <w:rPr>
          <w:lang w:val="en-AU"/>
        </w:rPr>
        <w:t xml:space="preserve">IDSA/AAN/ACR noted that </w:t>
      </w:r>
      <w:r w:rsidR="00945D93" w:rsidRPr="00E95374">
        <w:rPr>
          <w:lang w:val="en-AU"/>
        </w:rPr>
        <w:t xml:space="preserve">evidence of persistent infection or treatment failure </w:t>
      </w:r>
      <w:r w:rsidR="009873CC" w:rsidRPr="00E95374">
        <w:rPr>
          <w:lang w:val="en-AU"/>
        </w:rPr>
        <w:t xml:space="preserve">would include objective signs of disease activity such as arthritis, meningitis or neuropathy. </w:t>
      </w:r>
      <w:r w:rsidR="003E5382" w:rsidRPr="00E95374">
        <w:rPr>
          <w:lang w:val="en-AU"/>
        </w:rPr>
        <w:t>The recommendation placed high value on avoiding harm due to unnecessary antibiotic exposure or to unnecessary IV access devices. IDSA/AAN/ACR noted the risks of these interventions were not matched by convincing evidence that antibiotics improved patients’ symptom experience or quality of life any better than a placebo</w:t>
      </w:r>
      <w:r w:rsidR="0023424D" w:rsidRPr="00E95374">
        <w:rPr>
          <w:lang w:val="en-AU"/>
        </w:rPr>
        <w:t>.</w:t>
      </w:r>
      <w:r w:rsidR="00BE4232" w:rsidRPr="00A94846">
        <w:rPr>
          <w:rStyle w:val="FootnoteReference"/>
        </w:rPr>
        <w:footnoteReference w:id="287"/>
      </w:r>
      <w:r w:rsidR="00DE55C4" w:rsidRPr="00E95374">
        <w:rPr>
          <w:lang w:val="en-AU"/>
        </w:rPr>
        <w:t xml:space="preserve"> To support this </w:t>
      </w:r>
      <w:r w:rsidR="008B0F3E" w:rsidRPr="00E95374">
        <w:rPr>
          <w:lang w:val="en-AU"/>
        </w:rPr>
        <w:t xml:space="preserve">recommendation IDSA/AAN/ACR </w:t>
      </w:r>
      <w:r w:rsidR="00E05C48" w:rsidRPr="00E95374">
        <w:rPr>
          <w:lang w:val="en-AU"/>
        </w:rPr>
        <w:t>cited several clinical trials</w:t>
      </w:r>
      <w:r w:rsidR="00583F16" w:rsidRPr="00A94846">
        <w:rPr>
          <w:rStyle w:val="FootnoteReference"/>
        </w:rPr>
        <w:footnoteReference w:id="288"/>
      </w:r>
      <w:r w:rsidR="00F063C5" w:rsidRPr="00E95374">
        <w:rPr>
          <w:vertAlign w:val="superscript"/>
          <w:lang w:val="en-AU"/>
        </w:rPr>
        <w:t>,</w:t>
      </w:r>
      <w:r w:rsidR="000E1E8F">
        <w:rPr>
          <w:vertAlign w:val="superscript"/>
          <w:lang w:val="en-AU"/>
        </w:rPr>
        <w:t xml:space="preserve"> </w:t>
      </w:r>
      <w:r w:rsidR="00F063C5" w:rsidRPr="00A94846">
        <w:rPr>
          <w:rStyle w:val="FootnoteReference"/>
        </w:rPr>
        <w:footnoteReference w:id="289"/>
      </w:r>
      <w:r w:rsidR="009A2A90" w:rsidRPr="00E95374">
        <w:rPr>
          <w:vertAlign w:val="superscript"/>
          <w:lang w:val="en-AU"/>
        </w:rPr>
        <w:t>,</w:t>
      </w:r>
      <w:r w:rsidR="000512A6">
        <w:rPr>
          <w:vertAlign w:val="superscript"/>
          <w:lang w:val="en-AU"/>
        </w:rPr>
        <w:t xml:space="preserve"> </w:t>
      </w:r>
      <w:r w:rsidR="009A2A90" w:rsidRPr="00A94846">
        <w:rPr>
          <w:rStyle w:val="FootnoteReference"/>
        </w:rPr>
        <w:footnoteReference w:id="290"/>
      </w:r>
      <w:r w:rsidR="00352927" w:rsidRPr="00E95374">
        <w:rPr>
          <w:vertAlign w:val="superscript"/>
          <w:lang w:val="en-AU"/>
        </w:rPr>
        <w:t>,</w:t>
      </w:r>
      <w:r w:rsidR="000E1E8F">
        <w:rPr>
          <w:vertAlign w:val="superscript"/>
          <w:lang w:val="en-AU"/>
        </w:rPr>
        <w:t xml:space="preserve"> </w:t>
      </w:r>
      <w:r w:rsidR="00352927" w:rsidRPr="00A94846">
        <w:rPr>
          <w:rStyle w:val="FootnoteReference"/>
        </w:rPr>
        <w:footnoteReference w:id="291"/>
      </w:r>
      <w:r w:rsidR="0035105B" w:rsidRPr="00E95374">
        <w:rPr>
          <w:vertAlign w:val="superscript"/>
          <w:lang w:val="en-AU"/>
        </w:rPr>
        <w:t>,</w:t>
      </w:r>
      <w:r w:rsidR="000E1E8F">
        <w:rPr>
          <w:vertAlign w:val="superscript"/>
          <w:lang w:val="en-AU"/>
        </w:rPr>
        <w:t xml:space="preserve"> </w:t>
      </w:r>
      <w:r w:rsidR="0016686E" w:rsidRPr="00A94846">
        <w:rPr>
          <w:rStyle w:val="FootnoteReference"/>
        </w:rPr>
        <w:footnoteReference w:id="292"/>
      </w:r>
      <w:r w:rsidR="0016686E" w:rsidRPr="00E95374">
        <w:rPr>
          <w:vertAlign w:val="superscript"/>
          <w:lang w:val="en-AU"/>
        </w:rPr>
        <w:t>,</w:t>
      </w:r>
      <w:r w:rsidR="000E1E8F">
        <w:rPr>
          <w:vertAlign w:val="superscript"/>
          <w:lang w:val="en-AU"/>
        </w:rPr>
        <w:t xml:space="preserve"> </w:t>
      </w:r>
      <w:r w:rsidR="00AD12D1" w:rsidRPr="00A94846">
        <w:rPr>
          <w:rStyle w:val="FootnoteReference"/>
        </w:rPr>
        <w:footnoteReference w:id="293"/>
      </w:r>
      <w:r w:rsidR="00E05C48" w:rsidRPr="00E95374">
        <w:rPr>
          <w:lang w:val="en-AU"/>
        </w:rPr>
        <w:t xml:space="preserve"> </w:t>
      </w:r>
      <w:r w:rsidR="00D35902" w:rsidRPr="00E95374">
        <w:rPr>
          <w:lang w:val="en-AU"/>
        </w:rPr>
        <w:t>that had investigated antibiotic treatment of patients with disab</w:t>
      </w:r>
      <w:r w:rsidR="00675587" w:rsidRPr="00E95374">
        <w:rPr>
          <w:lang w:val="en-AU"/>
        </w:rPr>
        <w:t>l</w:t>
      </w:r>
      <w:r w:rsidR="00D35902" w:rsidRPr="00E95374">
        <w:rPr>
          <w:lang w:val="en-AU"/>
        </w:rPr>
        <w:t xml:space="preserve">ing symptoms that had persisted months after standard treatment </w:t>
      </w:r>
      <w:r w:rsidR="00675587" w:rsidRPr="00E95374">
        <w:rPr>
          <w:lang w:val="en-AU"/>
        </w:rPr>
        <w:t>for documented Lyme disease</w:t>
      </w:r>
      <w:r w:rsidR="00F063C5" w:rsidRPr="00E95374">
        <w:rPr>
          <w:lang w:val="en-AU"/>
        </w:rPr>
        <w:t>.</w:t>
      </w:r>
    </w:p>
    <w:p w14:paraId="6266F1A5" w14:textId="77777777" w:rsidR="0013502B" w:rsidRPr="00CF74AD" w:rsidRDefault="0013502B" w:rsidP="00C75498">
      <w:pPr>
        <w:pStyle w:val="Body"/>
        <w:spacing w:line="280" w:lineRule="exact"/>
        <w:rPr>
          <w:lang w:val="en-AU"/>
        </w:rPr>
      </w:pPr>
      <w:r w:rsidRPr="00E95374">
        <w:rPr>
          <w:lang w:val="en-AU"/>
        </w:rPr>
        <w:t>In Australia, a</w:t>
      </w:r>
      <w:r w:rsidRPr="00661245">
        <w:rPr>
          <w:lang w:val="en-AU"/>
        </w:rPr>
        <w:t>n additional course of antibiotics will be determined case by case. Full resolutio</w:t>
      </w:r>
      <w:r w:rsidRPr="00CF74AD">
        <w:rPr>
          <w:lang w:val="en-AU"/>
        </w:rPr>
        <w:t xml:space="preserve">n of symptoms may take some time but does not require further antibiotics. </w:t>
      </w:r>
    </w:p>
    <w:p w14:paraId="22513251" w14:textId="77777777" w:rsidR="0013502B" w:rsidRPr="00E95374" w:rsidRDefault="007E1597" w:rsidP="00C75498">
      <w:pPr>
        <w:pStyle w:val="Body"/>
        <w:spacing w:line="280" w:lineRule="exact"/>
        <w:rPr>
          <w:lang w:val="en-AU"/>
        </w:rPr>
      </w:pPr>
      <w:r w:rsidRPr="00E95374">
        <w:rPr>
          <w:lang w:val="en-AU"/>
        </w:rPr>
        <w:t xml:space="preserve">If </w:t>
      </w:r>
      <w:r w:rsidR="0013502B" w:rsidRPr="00E95374">
        <w:rPr>
          <w:lang w:val="en-AU"/>
        </w:rPr>
        <w:t xml:space="preserve">symptoms have resolved, the patient exits the Clinical Pathway. </w:t>
      </w:r>
    </w:p>
    <w:p w14:paraId="20040C11" w14:textId="77777777" w:rsidR="007E1597" w:rsidRPr="00CF74AD" w:rsidRDefault="007E1597" w:rsidP="00C75498">
      <w:pPr>
        <w:pStyle w:val="BodyText"/>
        <w:rPr>
          <w:lang w:val="en-AU"/>
        </w:rPr>
      </w:pPr>
      <w:r w:rsidRPr="00661245">
        <w:rPr>
          <w:lang w:val="en-AU"/>
        </w:rPr>
        <w:t xml:space="preserve">If symptoms persist, consider alternative diagnoses (see </w:t>
      </w:r>
      <w:hyperlink w:anchor="Section_311" w:history="1">
        <w:r w:rsidR="000E1E8F" w:rsidRPr="0087645C">
          <w:rPr>
            <w:rStyle w:val="Hyperlink"/>
            <w:lang w:val="en-AU"/>
          </w:rPr>
          <w:t>S</w:t>
        </w:r>
        <w:r w:rsidRPr="0087645C">
          <w:rPr>
            <w:rStyle w:val="Hyperlink"/>
            <w:lang w:val="en-AU"/>
          </w:rPr>
          <w:t>ection 3.</w:t>
        </w:r>
        <w:r w:rsidR="0087645C" w:rsidRPr="0087645C">
          <w:rPr>
            <w:rStyle w:val="Hyperlink"/>
            <w:lang w:val="en-AU"/>
          </w:rPr>
          <w:t>1.1</w:t>
        </w:r>
      </w:hyperlink>
      <w:r w:rsidR="0087645C">
        <w:rPr>
          <w:lang w:val="en-AU"/>
        </w:rPr>
        <w:t>)</w:t>
      </w:r>
      <w:r w:rsidR="00F14E9A" w:rsidRPr="00CF74AD">
        <w:rPr>
          <w:lang w:val="en-AU"/>
        </w:rPr>
        <w:t>.</w:t>
      </w:r>
    </w:p>
    <w:p w14:paraId="564FBC52" w14:textId="77777777" w:rsidR="008B14E1" w:rsidRPr="00D621FF" w:rsidRDefault="00EC3BAB" w:rsidP="00DC6C81">
      <w:pPr>
        <w:pStyle w:val="NumberedHeading2"/>
        <w:rPr>
          <w:bCs/>
          <w:lang w:val="en-AU"/>
        </w:rPr>
      </w:pPr>
      <w:bookmarkStart w:id="175" w:name="_Toc55464817"/>
      <w:r w:rsidRPr="00CF74AD">
        <w:rPr>
          <w:lang w:val="en-AU"/>
        </w:rPr>
        <w:t xml:space="preserve">Tick-borne disease </w:t>
      </w:r>
      <w:r w:rsidR="008B14E1" w:rsidRPr="00CF74AD">
        <w:rPr>
          <w:lang w:val="en-AU"/>
        </w:rPr>
        <w:t>known to be acquired in Australia</w:t>
      </w:r>
      <w:bookmarkEnd w:id="175"/>
      <w:r w:rsidR="008B14E1" w:rsidRPr="00CF74AD">
        <w:rPr>
          <w:lang w:val="en-AU"/>
        </w:rPr>
        <w:t xml:space="preserve"> </w:t>
      </w:r>
    </w:p>
    <w:p w14:paraId="4BF86EF4" w14:textId="77777777" w:rsidR="005D2338" w:rsidRPr="00D621FF" w:rsidRDefault="005D2338" w:rsidP="008B14E1">
      <w:pPr>
        <w:pStyle w:val="Body"/>
        <w:rPr>
          <w:b/>
          <w:bCs/>
          <w:i/>
          <w:iCs/>
          <w:lang w:val="en-AU"/>
        </w:rPr>
      </w:pPr>
      <w:r w:rsidRPr="00D621FF">
        <w:rPr>
          <w:b/>
          <w:bCs/>
          <w:i/>
          <w:iCs/>
          <w:lang w:val="en-AU"/>
        </w:rPr>
        <w:t>QTT</w:t>
      </w:r>
    </w:p>
    <w:p w14:paraId="14C56654" w14:textId="77777777" w:rsidR="006822F7" w:rsidRPr="00661245" w:rsidRDefault="006822F7" w:rsidP="006822F7">
      <w:pPr>
        <w:pStyle w:val="BodyText"/>
        <w:rPr>
          <w:lang w:val="en-AU"/>
        </w:rPr>
      </w:pPr>
      <w:r w:rsidRPr="00FA6D54">
        <w:rPr>
          <w:lang w:val="en-AU"/>
        </w:rPr>
        <w:t>Delay in correct ant</w:t>
      </w:r>
      <w:r w:rsidRPr="00A01762">
        <w:rPr>
          <w:lang w:val="en-AU"/>
        </w:rPr>
        <w:t>imicrobial therapy is associated with increased likelihood of progression to severe disease and complications. However, some individuals, for unknown reasons,</w:t>
      </w:r>
      <w:r w:rsidR="00FF2669" w:rsidRPr="00F2704A">
        <w:rPr>
          <w:lang w:val="en-AU"/>
        </w:rPr>
        <w:t xml:space="preserve"> </w:t>
      </w:r>
      <w:r w:rsidRPr="00F2704A">
        <w:rPr>
          <w:lang w:val="en-AU"/>
        </w:rPr>
        <w:t xml:space="preserve">progress to severe disease and sepsis despite early doxycycline therapy, with concurrent comorbidities, </w:t>
      </w:r>
      <w:r w:rsidRPr="00F2704A">
        <w:rPr>
          <w:i/>
          <w:iCs/>
          <w:lang w:val="en-AU"/>
        </w:rPr>
        <w:t>Ricke</w:t>
      </w:r>
      <w:r w:rsidR="00A22709" w:rsidRPr="00F2704A">
        <w:rPr>
          <w:i/>
          <w:iCs/>
          <w:lang w:val="en-AU"/>
        </w:rPr>
        <w:t>t</w:t>
      </w:r>
      <w:r w:rsidRPr="00F2704A">
        <w:rPr>
          <w:i/>
          <w:iCs/>
          <w:lang w:val="en-AU"/>
        </w:rPr>
        <w:t xml:space="preserve">tsia </w:t>
      </w:r>
      <w:r w:rsidRPr="00F2704A">
        <w:rPr>
          <w:lang w:val="en-AU"/>
        </w:rPr>
        <w:t xml:space="preserve">inoculum size and inherent virulence in </w:t>
      </w:r>
      <w:r w:rsidR="00442E0C" w:rsidRPr="00F2704A">
        <w:rPr>
          <w:lang w:val="en-AU"/>
        </w:rPr>
        <w:t>Rickettsial</w:t>
      </w:r>
      <w:r w:rsidRPr="00F2704A">
        <w:rPr>
          <w:lang w:val="en-AU"/>
        </w:rPr>
        <w:t xml:space="preserve"> strains being suggested factors</w:t>
      </w:r>
      <w:r w:rsidR="0023424D" w:rsidRPr="00F2704A">
        <w:rPr>
          <w:lang w:val="en-AU"/>
        </w:rPr>
        <w:t>.</w:t>
      </w:r>
      <w:r w:rsidRPr="00A94846">
        <w:rPr>
          <w:rStyle w:val="FootnoteReference"/>
        </w:rPr>
        <w:footnoteReference w:id="294"/>
      </w:r>
    </w:p>
    <w:p w14:paraId="73F35644" w14:textId="77777777" w:rsidR="006822F7" w:rsidRPr="00661245" w:rsidRDefault="002F0F4C" w:rsidP="006822F7">
      <w:pPr>
        <w:pStyle w:val="BodyText"/>
        <w:rPr>
          <w:lang w:val="en-AU"/>
        </w:rPr>
      </w:pPr>
      <w:r w:rsidRPr="00CF74AD">
        <w:rPr>
          <w:lang w:val="en-AU"/>
        </w:rPr>
        <w:t xml:space="preserve">The literature indicates there is little systematic evidence </w:t>
      </w:r>
      <w:r w:rsidR="00787AD3" w:rsidRPr="00CF74AD">
        <w:rPr>
          <w:lang w:val="en-AU"/>
        </w:rPr>
        <w:t>on the outcomes of acute</w:t>
      </w:r>
      <w:r w:rsidR="00787AD3" w:rsidRPr="00CF74AD">
        <w:rPr>
          <w:i/>
          <w:iCs/>
          <w:lang w:val="en-AU"/>
        </w:rPr>
        <w:t xml:space="preserve"> R. australis</w:t>
      </w:r>
      <w:r w:rsidR="00FF2669" w:rsidRPr="00D621FF">
        <w:rPr>
          <w:i/>
          <w:iCs/>
          <w:lang w:val="en-AU"/>
        </w:rPr>
        <w:t xml:space="preserve"> </w:t>
      </w:r>
      <w:r w:rsidR="00787AD3" w:rsidRPr="00D621FF">
        <w:rPr>
          <w:lang w:val="en-AU"/>
        </w:rPr>
        <w:t xml:space="preserve">infection, </w:t>
      </w:r>
      <w:r w:rsidR="007E36A3" w:rsidRPr="00FA6D54">
        <w:rPr>
          <w:lang w:val="en-AU"/>
        </w:rPr>
        <w:t>particularly in non-ho</w:t>
      </w:r>
      <w:r w:rsidR="003A1214" w:rsidRPr="00A01762">
        <w:rPr>
          <w:lang w:val="en-AU"/>
        </w:rPr>
        <w:t>s</w:t>
      </w:r>
      <w:r w:rsidR="007E36A3" w:rsidRPr="00A01762">
        <w:rPr>
          <w:lang w:val="en-AU"/>
        </w:rPr>
        <w:t>pitalised pati</w:t>
      </w:r>
      <w:r w:rsidR="003A1214" w:rsidRPr="00F2704A">
        <w:rPr>
          <w:lang w:val="en-AU"/>
        </w:rPr>
        <w:t>en</w:t>
      </w:r>
      <w:r w:rsidR="007E36A3" w:rsidRPr="00F2704A">
        <w:rPr>
          <w:lang w:val="en-AU"/>
        </w:rPr>
        <w:t>ts</w:t>
      </w:r>
      <w:r w:rsidR="003A1214" w:rsidRPr="00F2704A">
        <w:rPr>
          <w:lang w:val="en-AU"/>
        </w:rPr>
        <w:t>; however,</w:t>
      </w:r>
      <w:r w:rsidR="00FF2669" w:rsidRPr="00F2704A">
        <w:rPr>
          <w:lang w:val="en-AU"/>
        </w:rPr>
        <w:t xml:space="preserve"> </w:t>
      </w:r>
      <w:r w:rsidR="004D5B7C" w:rsidRPr="00F2704A">
        <w:rPr>
          <w:lang w:val="en-AU"/>
        </w:rPr>
        <w:t xml:space="preserve">where severe hospitalised cases with complications have been documented, a </w:t>
      </w:r>
      <w:r w:rsidR="00BB1A3E" w:rsidRPr="00F2704A">
        <w:rPr>
          <w:lang w:val="en-AU"/>
        </w:rPr>
        <w:t>full recovery following acute illness is expected. Additionally, there is no evidence of chronic infection</w:t>
      </w:r>
      <w:r w:rsidR="005D0E9C" w:rsidRPr="00F2704A">
        <w:rPr>
          <w:lang w:val="en-AU"/>
        </w:rPr>
        <w:t>. A</w:t>
      </w:r>
      <w:r w:rsidR="00990F0A" w:rsidRPr="00F2704A">
        <w:rPr>
          <w:lang w:val="en-AU"/>
        </w:rPr>
        <w:t xml:space="preserve"> post infective syndrome of lethargy</w:t>
      </w:r>
      <w:r w:rsidR="00455443" w:rsidRPr="00F2704A">
        <w:rPr>
          <w:lang w:val="en-AU"/>
        </w:rPr>
        <w:t xml:space="preserve">, malaise and muscle pains persisting for several months </w:t>
      </w:r>
      <w:r w:rsidR="00891C00" w:rsidRPr="00F2704A">
        <w:rPr>
          <w:lang w:val="en-AU"/>
        </w:rPr>
        <w:t>or more after acute infection</w:t>
      </w:r>
      <w:r w:rsidR="002961C3" w:rsidRPr="00F2704A">
        <w:rPr>
          <w:lang w:val="en-AU"/>
        </w:rPr>
        <w:t>, however,</w:t>
      </w:r>
      <w:r w:rsidR="00891C00" w:rsidRPr="00F2704A">
        <w:rPr>
          <w:lang w:val="en-AU"/>
        </w:rPr>
        <w:t xml:space="preserve"> has been described</w:t>
      </w:r>
      <w:r w:rsidR="0023424D" w:rsidRPr="00F2704A">
        <w:rPr>
          <w:lang w:val="en-AU"/>
        </w:rPr>
        <w:t>.</w:t>
      </w:r>
      <w:r w:rsidR="00891C00" w:rsidRPr="00A94846">
        <w:rPr>
          <w:rStyle w:val="FootnoteReference"/>
        </w:rPr>
        <w:footnoteReference w:id="295"/>
      </w:r>
    </w:p>
    <w:p w14:paraId="59415FEB" w14:textId="77777777" w:rsidR="007E1597" w:rsidRPr="00CF74AD" w:rsidRDefault="0013502B" w:rsidP="006822F7">
      <w:pPr>
        <w:pStyle w:val="BodyText"/>
        <w:rPr>
          <w:lang w:val="en-AU"/>
        </w:rPr>
      </w:pPr>
      <w:r w:rsidRPr="00CF74AD">
        <w:rPr>
          <w:lang w:val="en-AU"/>
        </w:rPr>
        <w:t xml:space="preserve">If symptoms have resolved, the patient exits the Clinical Pathway. </w:t>
      </w:r>
    </w:p>
    <w:p w14:paraId="3C09A5E5" w14:textId="77777777" w:rsidR="00370FB5" w:rsidRDefault="0013502B" w:rsidP="006822F7">
      <w:pPr>
        <w:pStyle w:val="BodyText"/>
        <w:rPr>
          <w:lang w:val="en-AU"/>
        </w:rPr>
      </w:pPr>
      <w:r w:rsidRPr="00CF74AD">
        <w:rPr>
          <w:lang w:val="en-AU"/>
        </w:rPr>
        <w:t xml:space="preserve">If symptoms persist, </w:t>
      </w:r>
      <w:r w:rsidR="007E1597" w:rsidRPr="00CF74AD">
        <w:rPr>
          <w:lang w:val="en-AU"/>
        </w:rPr>
        <w:t xml:space="preserve">consider alternative diagnoses (see </w:t>
      </w:r>
      <w:hyperlink w:anchor="Section_311" w:history="1">
        <w:r w:rsidR="000E1E8F" w:rsidRPr="0087645C">
          <w:rPr>
            <w:rStyle w:val="Hyperlink"/>
            <w:lang w:val="en-AU"/>
          </w:rPr>
          <w:t>S</w:t>
        </w:r>
        <w:r w:rsidR="007E1597" w:rsidRPr="0087645C">
          <w:rPr>
            <w:rStyle w:val="Hyperlink"/>
            <w:lang w:val="en-AU"/>
          </w:rPr>
          <w:t>ection 3.</w:t>
        </w:r>
        <w:r w:rsidR="0087645C" w:rsidRPr="0087645C">
          <w:rPr>
            <w:rStyle w:val="Hyperlink"/>
            <w:lang w:val="en-AU"/>
          </w:rPr>
          <w:t>1.1</w:t>
        </w:r>
      </w:hyperlink>
      <w:r w:rsidR="007E1597" w:rsidRPr="00CF74AD">
        <w:rPr>
          <w:lang w:val="en-AU"/>
        </w:rPr>
        <w:t>)</w:t>
      </w:r>
      <w:r w:rsidR="00F14E9A" w:rsidRPr="00D621FF">
        <w:rPr>
          <w:lang w:val="en-AU"/>
        </w:rPr>
        <w:t>.</w:t>
      </w:r>
    </w:p>
    <w:p w14:paraId="592E0EC4" w14:textId="77777777" w:rsidR="00A22272" w:rsidRPr="00A01762" w:rsidRDefault="001741A2" w:rsidP="001741A2">
      <w:pPr>
        <w:pStyle w:val="BodyText"/>
        <w:rPr>
          <w:b/>
          <w:bCs/>
          <w:i/>
          <w:iCs/>
          <w:lang w:val="en-AU"/>
        </w:rPr>
      </w:pPr>
      <w:r w:rsidRPr="00FA6D54">
        <w:rPr>
          <w:b/>
          <w:bCs/>
          <w:i/>
          <w:iCs/>
          <w:lang w:val="en-AU"/>
        </w:rPr>
        <w:lastRenderedPageBreak/>
        <w:t>Q fever</w:t>
      </w:r>
    </w:p>
    <w:p w14:paraId="56F96778" w14:textId="77777777" w:rsidR="00FB6D0C" w:rsidRPr="00F2704A" w:rsidRDefault="008108E7" w:rsidP="00CF10B9">
      <w:pPr>
        <w:pStyle w:val="BodyText"/>
        <w:spacing w:after="80"/>
        <w:rPr>
          <w:lang w:val="en-AU"/>
        </w:rPr>
      </w:pPr>
      <w:r w:rsidRPr="00F2704A">
        <w:rPr>
          <w:lang w:val="en-AU"/>
        </w:rPr>
        <w:t xml:space="preserve">After treatment of </w:t>
      </w:r>
      <w:r w:rsidRPr="00F2704A">
        <w:rPr>
          <w:i/>
          <w:iCs/>
          <w:lang w:val="en-AU"/>
        </w:rPr>
        <w:t xml:space="preserve">C. burnetii </w:t>
      </w:r>
      <w:r w:rsidR="00A76E17" w:rsidRPr="00F2704A">
        <w:rPr>
          <w:lang w:val="en-AU"/>
        </w:rPr>
        <w:t xml:space="preserve">primary infection, CDNA guidance includes the </w:t>
      </w:r>
      <w:r w:rsidR="00B920E8" w:rsidRPr="00F2704A">
        <w:rPr>
          <w:lang w:val="en-AU"/>
        </w:rPr>
        <w:t xml:space="preserve">following </w:t>
      </w:r>
      <w:r w:rsidR="00A76E17" w:rsidRPr="00F2704A">
        <w:rPr>
          <w:lang w:val="en-AU"/>
        </w:rPr>
        <w:t>recommendation</w:t>
      </w:r>
      <w:r w:rsidR="00FB6D0C" w:rsidRPr="00F2704A">
        <w:rPr>
          <w:lang w:val="en-AU"/>
        </w:rPr>
        <w:t>s</w:t>
      </w:r>
      <w:r w:rsidR="002961C3" w:rsidRPr="00F2704A">
        <w:rPr>
          <w:lang w:val="en-AU"/>
        </w:rPr>
        <w:t>:</w:t>
      </w:r>
    </w:p>
    <w:p w14:paraId="39034082" w14:textId="77777777" w:rsidR="005A4ADD" w:rsidRPr="00F2704A" w:rsidRDefault="00A76E17" w:rsidP="00370FB5">
      <w:pPr>
        <w:pStyle w:val="List-BulletLvl1"/>
        <w:spacing w:after="60"/>
        <w:rPr>
          <w:lang w:val="en-AU"/>
        </w:rPr>
      </w:pPr>
      <w:r w:rsidRPr="00F2704A">
        <w:rPr>
          <w:lang w:val="en-AU"/>
        </w:rPr>
        <w:t>screen</w:t>
      </w:r>
      <w:r w:rsidR="00B920E8" w:rsidRPr="00F2704A">
        <w:rPr>
          <w:lang w:val="en-AU"/>
        </w:rPr>
        <w:t>ing</w:t>
      </w:r>
      <w:r w:rsidRPr="00F2704A">
        <w:rPr>
          <w:lang w:val="en-AU"/>
        </w:rPr>
        <w:t xml:space="preserve"> for risk factors of chronic Q fever</w:t>
      </w:r>
      <w:r w:rsidR="00125AA9" w:rsidRPr="00F2704A">
        <w:rPr>
          <w:lang w:val="en-AU"/>
        </w:rPr>
        <w:t xml:space="preserve">, including </w:t>
      </w:r>
      <w:r w:rsidR="004527C7" w:rsidRPr="00F2704A">
        <w:rPr>
          <w:lang w:val="en-AU"/>
        </w:rPr>
        <w:t>pre-existing valvular heart disease/valvular prosthesis, va</w:t>
      </w:r>
      <w:r w:rsidR="00D07791" w:rsidRPr="00F2704A">
        <w:rPr>
          <w:lang w:val="en-AU"/>
        </w:rPr>
        <w:t xml:space="preserve">scular aneurysms/vascular grafts and </w:t>
      </w:r>
      <w:r w:rsidR="00FB6D0C" w:rsidRPr="00F2704A">
        <w:rPr>
          <w:lang w:val="en-AU"/>
        </w:rPr>
        <w:t>immunosuppression</w:t>
      </w:r>
    </w:p>
    <w:p w14:paraId="4CCE93DE" w14:textId="77777777" w:rsidR="00882A70" w:rsidRPr="00F2704A" w:rsidRDefault="00882A70" w:rsidP="00370FB5">
      <w:pPr>
        <w:pStyle w:val="List-BulletLvl1"/>
        <w:spacing w:after="60"/>
        <w:rPr>
          <w:lang w:val="en-AU"/>
        </w:rPr>
      </w:pPr>
      <w:r w:rsidRPr="00F2704A">
        <w:rPr>
          <w:lang w:val="en-AU"/>
        </w:rPr>
        <w:t xml:space="preserve">undertaking a cardiac assessment to </w:t>
      </w:r>
      <w:r w:rsidR="001D291B" w:rsidRPr="00F2704A">
        <w:rPr>
          <w:lang w:val="en-AU"/>
        </w:rPr>
        <w:t>assess whether there are underlying abnormalities of the heart valves</w:t>
      </w:r>
      <w:r w:rsidR="0023424D" w:rsidRPr="00F2704A">
        <w:rPr>
          <w:lang w:val="en-AU"/>
        </w:rPr>
        <w:t>,</w:t>
      </w:r>
      <w:r w:rsidR="002961C3" w:rsidRPr="00F2704A">
        <w:rPr>
          <w:lang w:val="en-AU"/>
        </w:rPr>
        <w:t xml:space="preserve"> and</w:t>
      </w:r>
    </w:p>
    <w:p w14:paraId="2C0B80EB" w14:textId="77777777" w:rsidR="00FB6D0C" w:rsidRPr="00F2704A" w:rsidRDefault="00B920E8" w:rsidP="00507D7C">
      <w:pPr>
        <w:pStyle w:val="List-BulletLvl1"/>
        <w:rPr>
          <w:lang w:val="en-AU"/>
        </w:rPr>
      </w:pPr>
      <w:r w:rsidRPr="00F2704A">
        <w:rPr>
          <w:lang w:val="en-AU"/>
        </w:rPr>
        <w:t>monitoring serologically and clinically</w:t>
      </w:r>
      <w:r w:rsidR="00D32E9C" w:rsidRPr="00F2704A">
        <w:rPr>
          <w:lang w:val="en-AU"/>
        </w:rPr>
        <w:t xml:space="preserve"> at 3,</w:t>
      </w:r>
      <w:r w:rsidR="00370FB5">
        <w:rPr>
          <w:lang w:val="en-AU"/>
        </w:rPr>
        <w:t xml:space="preserve"> </w:t>
      </w:r>
      <w:r w:rsidR="00D32E9C" w:rsidRPr="00F2704A">
        <w:rPr>
          <w:lang w:val="en-AU"/>
        </w:rPr>
        <w:t>6,</w:t>
      </w:r>
      <w:r w:rsidR="00370FB5">
        <w:rPr>
          <w:lang w:val="en-AU"/>
        </w:rPr>
        <w:t xml:space="preserve"> </w:t>
      </w:r>
      <w:r w:rsidR="00D32E9C" w:rsidRPr="00F2704A">
        <w:rPr>
          <w:lang w:val="en-AU"/>
        </w:rPr>
        <w:t>9,</w:t>
      </w:r>
      <w:r w:rsidR="00370FB5">
        <w:rPr>
          <w:lang w:val="en-AU"/>
        </w:rPr>
        <w:t xml:space="preserve"> </w:t>
      </w:r>
      <w:r w:rsidR="00D32E9C" w:rsidRPr="00F2704A">
        <w:rPr>
          <w:lang w:val="en-AU"/>
        </w:rPr>
        <w:t>12,</w:t>
      </w:r>
      <w:r w:rsidR="00370FB5">
        <w:rPr>
          <w:lang w:val="en-AU"/>
        </w:rPr>
        <w:t xml:space="preserve"> </w:t>
      </w:r>
      <w:r w:rsidR="00D32E9C" w:rsidRPr="00F2704A">
        <w:rPr>
          <w:lang w:val="en-AU"/>
        </w:rPr>
        <w:t>18 and 24 months</w:t>
      </w:r>
      <w:r w:rsidRPr="00F2704A">
        <w:rPr>
          <w:lang w:val="en-AU"/>
        </w:rPr>
        <w:t xml:space="preserve"> those who</w:t>
      </w:r>
      <w:r w:rsidR="00524743" w:rsidRPr="00F2704A">
        <w:rPr>
          <w:lang w:val="en-AU"/>
        </w:rPr>
        <w:t>, after acute infection,</w:t>
      </w:r>
      <w:r w:rsidRPr="00F2704A">
        <w:rPr>
          <w:lang w:val="en-AU"/>
        </w:rPr>
        <w:t xml:space="preserve"> are at higher risk of chronic Q fever</w:t>
      </w:r>
      <w:r w:rsidR="00857E28" w:rsidRPr="00F2704A">
        <w:rPr>
          <w:lang w:val="en-AU"/>
        </w:rPr>
        <w:t>.</w:t>
      </w:r>
    </w:p>
    <w:p w14:paraId="505D85F8" w14:textId="77777777" w:rsidR="00E51881" w:rsidRPr="00CF74AD" w:rsidRDefault="00413652" w:rsidP="00D50321">
      <w:pPr>
        <w:pStyle w:val="BodyText"/>
        <w:rPr>
          <w:lang w:val="en-AU"/>
        </w:rPr>
      </w:pPr>
      <w:r w:rsidRPr="00F2704A">
        <w:rPr>
          <w:lang w:val="en-AU"/>
        </w:rPr>
        <w:t>Chronic Q fever require</w:t>
      </w:r>
      <w:r w:rsidR="00C50E30" w:rsidRPr="00F2704A">
        <w:rPr>
          <w:lang w:val="en-AU"/>
        </w:rPr>
        <w:t>s</w:t>
      </w:r>
      <w:r w:rsidRPr="00F2704A">
        <w:rPr>
          <w:lang w:val="en-AU"/>
        </w:rPr>
        <w:t xml:space="preserve"> </w:t>
      </w:r>
      <w:r w:rsidR="00302DBE" w:rsidRPr="00F2704A">
        <w:rPr>
          <w:lang w:val="en-AU"/>
        </w:rPr>
        <w:t>prolonged treatment with antibiotics</w:t>
      </w:r>
      <w:r w:rsidR="00BF14E8" w:rsidRPr="00F2704A">
        <w:rPr>
          <w:lang w:val="en-AU"/>
        </w:rPr>
        <w:t xml:space="preserve">. </w:t>
      </w:r>
      <w:r w:rsidR="0095259A" w:rsidRPr="00F2704A">
        <w:rPr>
          <w:lang w:val="en-AU"/>
        </w:rPr>
        <w:t>Expert advice from a</w:t>
      </w:r>
      <w:r w:rsidR="002201C1" w:rsidRPr="00F2704A">
        <w:rPr>
          <w:lang w:val="en-AU"/>
        </w:rPr>
        <w:t xml:space="preserve"> </w:t>
      </w:r>
      <w:r w:rsidR="002D680B" w:rsidRPr="00F2704A">
        <w:rPr>
          <w:lang w:val="en-AU"/>
        </w:rPr>
        <w:t>s</w:t>
      </w:r>
      <w:r w:rsidR="002201C1" w:rsidRPr="00F2704A">
        <w:rPr>
          <w:lang w:val="en-AU"/>
        </w:rPr>
        <w:t xml:space="preserve">pecialist </w:t>
      </w:r>
      <w:r w:rsidR="002D680B" w:rsidRPr="00F2704A">
        <w:rPr>
          <w:lang w:val="en-AU"/>
        </w:rPr>
        <w:t>m</w:t>
      </w:r>
      <w:r w:rsidR="002201C1" w:rsidRPr="00F2704A">
        <w:rPr>
          <w:lang w:val="en-AU"/>
        </w:rPr>
        <w:t>icrobiologist or</w:t>
      </w:r>
      <w:r w:rsidR="0095259A" w:rsidRPr="00F2704A">
        <w:rPr>
          <w:lang w:val="en-AU"/>
        </w:rPr>
        <w:t xml:space="preserve"> </w:t>
      </w:r>
      <w:r w:rsidR="008256D9" w:rsidRPr="00F2704A">
        <w:rPr>
          <w:lang w:val="en-AU"/>
        </w:rPr>
        <w:t>ID</w:t>
      </w:r>
      <w:r w:rsidR="0095259A" w:rsidRPr="00F2704A">
        <w:rPr>
          <w:lang w:val="en-AU"/>
        </w:rPr>
        <w:t xml:space="preserve"> physician </w:t>
      </w:r>
      <w:r w:rsidR="00D83DAE" w:rsidRPr="00F2704A">
        <w:rPr>
          <w:lang w:val="en-AU"/>
        </w:rPr>
        <w:t>and other specialist physicians should be sought as appropriate</w:t>
      </w:r>
      <w:r w:rsidR="0023424D" w:rsidRPr="00F2704A">
        <w:rPr>
          <w:lang w:val="en-AU"/>
        </w:rPr>
        <w:t>.</w:t>
      </w:r>
      <w:r w:rsidR="006004FE" w:rsidRPr="00A94846">
        <w:rPr>
          <w:rStyle w:val="FootnoteReference"/>
        </w:rPr>
        <w:footnoteReference w:id="296"/>
      </w:r>
      <w:r w:rsidR="004C034E" w:rsidRPr="00661245">
        <w:rPr>
          <w:lang w:val="en-AU"/>
        </w:rPr>
        <w:t xml:space="preserve"> </w:t>
      </w:r>
    </w:p>
    <w:p w14:paraId="2EE969B0" w14:textId="77777777" w:rsidR="007E1597" w:rsidRPr="0057237A" w:rsidRDefault="007E1597" w:rsidP="007E1597">
      <w:pPr>
        <w:pStyle w:val="Body"/>
        <w:rPr>
          <w:lang w:val="en-AU"/>
        </w:rPr>
      </w:pPr>
      <w:r w:rsidRPr="0057237A">
        <w:rPr>
          <w:lang w:val="en-AU"/>
        </w:rPr>
        <w:t xml:space="preserve">If symptoms have resolved, the patient exits the Clinical Pathway. </w:t>
      </w:r>
    </w:p>
    <w:p w14:paraId="4B8862AC" w14:textId="77777777" w:rsidR="007E1597" w:rsidRPr="00CF74AD" w:rsidRDefault="007E1597" w:rsidP="007E1597">
      <w:pPr>
        <w:pStyle w:val="BodyText"/>
        <w:rPr>
          <w:lang w:val="en-AU"/>
        </w:rPr>
      </w:pPr>
      <w:r w:rsidRPr="00661245">
        <w:rPr>
          <w:lang w:val="en-AU"/>
        </w:rPr>
        <w:t xml:space="preserve">If symptoms persist, consider alternative diagnoses (see </w:t>
      </w:r>
      <w:hyperlink w:anchor="Section_311" w:history="1">
        <w:r w:rsidR="00977A10" w:rsidRPr="00183586">
          <w:rPr>
            <w:rStyle w:val="Hyperlink"/>
            <w:lang w:val="en-AU"/>
          </w:rPr>
          <w:t>S</w:t>
        </w:r>
        <w:r w:rsidRPr="00183586">
          <w:rPr>
            <w:rStyle w:val="Hyperlink"/>
            <w:lang w:val="en-AU"/>
          </w:rPr>
          <w:t>ection 3.</w:t>
        </w:r>
        <w:r w:rsidR="00183586" w:rsidRPr="00183586">
          <w:rPr>
            <w:rStyle w:val="Hyperlink"/>
            <w:lang w:val="en-AU"/>
          </w:rPr>
          <w:t>1.1</w:t>
        </w:r>
      </w:hyperlink>
      <w:r w:rsidRPr="00661245">
        <w:rPr>
          <w:lang w:val="en-AU"/>
        </w:rPr>
        <w:t>)</w:t>
      </w:r>
      <w:r w:rsidR="00F14E9A" w:rsidRPr="00CF74AD">
        <w:rPr>
          <w:lang w:val="en-AU"/>
        </w:rPr>
        <w:t>.</w:t>
      </w:r>
    </w:p>
    <w:p w14:paraId="4A3E433D" w14:textId="77777777" w:rsidR="00BD7BA7" w:rsidRPr="00D621FF" w:rsidRDefault="00BD7BA7" w:rsidP="00724C4F">
      <w:pPr>
        <w:pStyle w:val="NumberedHeading2"/>
        <w:spacing w:line="240" w:lineRule="auto"/>
        <w:rPr>
          <w:lang w:val="en-AU"/>
        </w:rPr>
      </w:pPr>
      <w:bookmarkStart w:id="176" w:name="_Toc55464818"/>
      <w:r w:rsidRPr="00CF74AD">
        <w:rPr>
          <w:lang w:val="en-AU"/>
        </w:rPr>
        <w:t xml:space="preserve">Management of patients with persistent symptoms and </w:t>
      </w:r>
      <w:r w:rsidR="00357982" w:rsidRPr="00CF74AD">
        <w:rPr>
          <w:lang w:val="en-AU"/>
        </w:rPr>
        <w:t>who remain undiagnosed</w:t>
      </w:r>
      <w:bookmarkEnd w:id="176"/>
    </w:p>
    <w:p w14:paraId="51A6646F" w14:textId="77777777" w:rsidR="0013502B" w:rsidRPr="007C221F" w:rsidRDefault="00973AAD" w:rsidP="003835AC">
      <w:pPr>
        <w:pStyle w:val="Body"/>
        <w:spacing w:line="280" w:lineRule="exact"/>
        <w:rPr>
          <w:lang w:val="en-AU"/>
        </w:rPr>
      </w:pPr>
      <w:r w:rsidRPr="007C221F">
        <w:rPr>
          <w:lang w:val="en-AU"/>
        </w:rPr>
        <w:t>The GP will lead the ongoing review of symptoms</w:t>
      </w:r>
      <w:r w:rsidR="008F129C" w:rsidRPr="007C221F">
        <w:rPr>
          <w:lang w:val="en-AU"/>
        </w:rPr>
        <w:t xml:space="preserve"> and </w:t>
      </w:r>
      <w:r w:rsidRPr="007C221F">
        <w:rPr>
          <w:lang w:val="en-AU"/>
        </w:rPr>
        <w:t xml:space="preserve">management </w:t>
      </w:r>
      <w:r w:rsidR="008F129C" w:rsidRPr="007C221F">
        <w:rPr>
          <w:lang w:val="en-AU"/>
        </w:rPr>
        <w:t>plan</w:t>
      </w:r>
      <w:r w:rsidR="00682517">
        <w:rPr>
          <w:lang w:val="en-AU"/>
        </w:rPr>
        <w:t>,</w:t>
      </w:r>
      <w:r w:rsidR="008F129C" w:rsidRPr="007C221F">
        <w:rPr>
          <w:lang w:val="en-AU"/>
        </w:rPr>
        <w:t xml:space="preserve"> in consultation with the patient</w:t>
      </w:r>
      <w:r w:rsidR="00C63C92">
        <w:rPr>
          <w:lang w:val="en-AU"/>
        </w:rPr>
        <w:t>,</w:t>
      </w:r>
      <w:r w:rsidR="00682517">
        <w:rPr>
          <w:lang w:val="en-AU"/>
        </w:rPr>
        <w:t xml:space="preserve"> with regular review of progress in</w:t>
      </w:r>
      <w:r w:rsidR="008F129C" w:rsidRPr="007C221F">
        <w:rPr>
          <w:lang w:val="en-AU"/>
        </w:rPr>
        <w:t xml:space="preserve"> achiev</w:t>
      </w:r>
      <w:r w:rsidR="00682517">
        <w:rPr>
          <w:lang w:val="en-AU"/>
        </w:rPr>
        <w:t>ing</w:t>
      </w:r>
      <w:r w:rsidR="008F129C" w:rsidRPr="007C221F">
        <w:rPr>
          <w:lang w:val="en-AU"/>
        </w:rPr>
        <w:t xml:space="preserve"> their goals</w:t>
      </w:r>
      <w:r w:rsidR="00840E7F">
        <w:rPr>
          <w:lang w:val="en-AU"/>
        </w:rPr>
        <w:t>.</w:t>
      </w:r>
      <w:r w:rsidR="008F129C" w:rsidRPr="007C221F">
        <w:rPr>
          <w:lang w:val="en-AU"/>
        </w:rPr>
        <w:t xml:space="preserve"> </w:t>
      </w:r>
      <w:r w:rsidR="0013502B" w:rsidRPr="007C221F">
        <w:rPr>
          <w:lang w:val="en-AU"/>
        </w:rPr>
        <w:t xml:space="preserve">In the event of persistent dysfunction, evaluate the situation </w:t>
      </w:r>
      <w:r w:rsidR="001048FC" w:rsidRPr="007C221F">
        <w:rPr>
          <w:lang w:val="en-AU"/>
        </w:rPr>
        <w:t xml:space="preserve">regularly </w:t>
      </w:r>
      <w:r w:rsidR="0013502B" w:rsidRPr="007C221F">
        <w:rPr>
          <w:lang w:val="en-AU"/>
        </w:rPr>
        <w:t xml:space="preserve">and offer any new treatment options. </w:t>
      </w:r>
      <w:r w:rsidRPr="007C221F">
        <w:rPr>
          <w:lang w:val="en-AU"/>
        </w:rPr>
        <w:t>Th</w:t>
      </w:r>
      <w:r w:rsidR="0013502B" w:rsidRPr="007C221F">
        <w:rPr>
          <w:lang w:val="en-AU"/>
        </w:rPr>
        <w:t>e</w:t>
      </w:r>
      <w:r w:rsidRPr="007C221F">
        <w:rPr>
          <w:lang w:val="en-AU"/>
        </w:rPr>
        <w:t xml:space="preserve"> review and evaluation of new symptoms may require a change</w:t>
      </w:r>
      <w:r w:rsidR="0013502B" w:rsidRPr="007C221F">
        <w:rPr>
          <w:lang w:val="en-AU"/>
        </w:rPr>
        <w:t xml:space="preserve"> of level in stepped care for the patient. </w:t>
      </w:r>
    </w:p>
    <w:p w14:paraId="7767D807" w14:textId="77777777" w:rsidR="008806D6" w:rsidRPr="00CF74AD" w:rsidRDefault="00191F46" w:rsidP="003835AC">
      <w:pPr>
        <w:pStyle w:val="Body"/>
        <w:spacing w:line="280" w:lineRule="exact"/>
        <w:rPr>
          <w:lang w:val="en-AU"/>
        </w:rPr>
      </w:pPr>
      <w:r w:rsidRPr="00661245">
        <w:rPr>
          <w:lang w:val="en-AU"/>
        </w:rPr>
        <w:t>M</w:t>
      </w:r>
      <w:r w:rsidR="008806D6" w:rsidRPr="00CF74AD">
        <w:rPr>
          <w:lang w:val="en-AU"/>
        </w:rPr>
        <w:t xml:space="preserve">anagement of ongoing symptoms should involve a multidisciplinary approach, incorporating the teamwork of all </w:t>
      </w:r>
      <w:r w:rsidR="00CE30FC">
        <w:rPr>
          <w:lang w:val="en-AU"/>
        </w:rPr>
        <w:t xml:space="preserve">medical </w:t>
      </w:r>
      <w:r w:rsidR="0088665C">
        <w:rPr>
          <w:lang w:val="en-AU"/>
        </w:rPr>
        <w:t>specialties</w:t>
      </w:r>
      <w:r w:rsidR="0088665C" w:rsidRPr="00CF74AD">
        <w:rPr>
          <w:lang w:val="en-AU"/>
        </w:rPr>
        <w:t xml:space="preserve"> </w:t>
      </w:r>
      <w:r w:rsidR="008806D6" w:rsidRPr="00CF74AD">
        <w:rPr>
          <w:lang w:val="en-AU"/>
        </w:rPr>
        <w:t xml:space="preserve">relevant to the individual patient’s care. Diagnosis is challenging, and it is important for GPs to seek opinions of experts in vector-borne diseases including specialist microbiologists with diagnostic experience. The management of patients must be a collaborative approach between GPs and specialists. Telehealth can also be used where appropriate. </w:t>
      </w:r>
    </w:p>
    <w:p w14:paraId="65D77F59" w14:textId="77777777" w:rsidR="008806D6" w:rsidRPr="00CF74AD" w:rsidRDefault="008806D6" w:rsidP="003835AC">
      <w:pPr>
        <w:pStyle w:val="Body"/>
        <w:spacing w:line="280" w:lineRule="exact"/>
        <w:rPr>
          <w:lang w:val="en-AU"/>
        </w:rPr>
      </w:pPr>
      <w:r w:rsidRPr="00CF74AD">
        <w:rPr>
          <w:lang w:val="en-AU"/>
        </w:rPr>
        <w:t xml:space="preserve">Consider referring patients who have </w:t>
      </w:r>
      <w:r w:rsidR="00E95374">
        <w:rPr>
          <w:lang w:val="en-AU"/>
        </w:rPr>
        <w:t xml:space="preserve">MUS </w:t>
      </w:r>
      <w:r w:rsidRPr="00CF74AD">
        <w:rPr>
          <w:lang w:val="en-AU"/>
        </w:rPr>
        <w:t xml:space="preserve">to appropriate specialists based on best clinical practice and relevant evidence. </w:t>
      </w:r>
    </w:p>
    <w:p w14:paraId="173D6E73" w14:textId="77777777" w:rsidR="00A554D3" w:rsidRPr="00FA6D54" w:rsidRDefault="0013502B" w:rsidP="003835AC">
      <w:pPr>
        <w:pStyle w:val="Body"/>
        <w:spacing w:line="280" w:lineRule="exact"/>
        <w:rPr>
          <w:lang w:val="en-AU"/>
        </w:rPr>
      </w:pPr>
      <w:r w:rsidRPr="00D621FF">
        <w:rPr>
          <w:lang w:val="en-AU"/>
        </w:rPr>
        <w:t xml:space="preserve">If symptoms have resolved the patient exits the Clinical Pathway. </w:t>
      </w:r>
      <w:r w:rsidR="00A554D3" w:rsidRPr="00FA6D54">
        <w:rPr>
          <w:lang w:val="en-AU"/>
        </w:rPr>
        <w:br w:type="page"/>
      </w:r>
    </w:p>
    <w:p w14:paraId="2AC2E195" w14:textId="77777777" w:rsidR="001F7AC7" w:rsidRPr="00F2704A" w:rsidRDefault="00AF7FA0" w:rsidP="009707CE">
      <w:pPr>
        <w:pStyle w:val="NumberedHeading1"/>
        <w:numPr>
          <w:ilvl w:val="0"/>
          <w:numId w:val="0"/>
        </w:numPr>
        <w:spacing w:before="0"/>
        <w:ind w:left="567" w:hanging="567"/>
        <w:rPr>
          <w:lang w:val="en-AU"/>
        </w:rPr>
      </w:pPr>
      <w:bookmarkStart w:id="177" w:name="_Toc55464819"/>
      <w:r w:rsidRPr="00F2704A">
        <w:rPr>
          <w:lang w:val="en-AU"/>
        </w:rPr>
        <w:lastRenderedPageBreak/>
        <w:t xml:space="preserve">Appendix A: </w:t>
      </w:r>
      <w:r w:rsidR="001F7AC7" w:rsidRPr="00F2704A">
        <w:rPr>
          <w:lang w:val="en-AU"/>
        </w:rPr>
        <w:t>Case studies</w:t>
      </w:r>
      <w:bookmarkEnd w:id="177"/>
    </w:p>
    <w:p w14:paraId="1154E6A0" w14:textId="77777777" w:rsidR="00644F48" w:rsidRPr="00661245" w:rsidRDefault="00644F48" w:rsidP="005C1038">
      <w:pPr>
        <w:pStyle w:val="Heading3"/>
        <w:rPr>
          <w:lang w:val="en-AU"/>
        </w:rPr>
      </w:pPr>
      <w:bookmarkStart w:id="178" w:name="_Toc16786189"/>
      <w:bookmarkStart w:id="179" w:name="_Toc16863040"/>
      <w:bookmarkStart w:id="180" w:name="_Toc16869545"/>
      <w:bookmarkStart w:id="181" w:name="_Toc55464820"/>
      <w:r w:rsidRPr="00F2704A">
        <w:rPr>
          <w:lang w:val="en-AU"/>
        </w:rPr>
        <w:t xml:space="preserve">Case Study 1 </w:t>
      </w:r>
      <w:r w:rsidR="000E1E8F">
        <w:rPr>
          <w:lang w:val="en-AU"/>
        </w:rPr>
        <w:t>–</w:t>
      </w:r>
      <w:r w:rsidRPr="00F2704A">
        <w:rPr>
          <w:lang w:val="en-AU"/>
        </w:rPr>
        <w:t xml:space="preserve"> Rickettsiae</w:t>
      </w:r>
      <w:r w:rsidR="000E1E8F">
        <w:rPr>
          <w:lang w:val="en-AU"/>
        </w:rPr>
        <w:t xml:space="preserve"> </w:t>
      </w:r>
      <w:r w:rsidRPr="00F2704A">
        <w:rPr>
          <w:lang w:val="en-AU"/>
        </w:rPr>
        <w:t>infection</w:t>
      </w:r>
      <w:bookmarkEnd w:id="178"/>
      <w:r w:rsidR="00401821" w:rsidRPr="00A94846">
        <w:rPr>
          <w:rStyle w:val="FootnoteReference"/>
        </w:rPr>
        <w:footnoteReference w:id="297"/>
      </w:r>
      <w:bookmarkEnd w:id="179"/>
      <w:bookmarkEnd w:id="180"/>
      <w:bookmarkEnd w:id="181"/>
    </w:p>
    <w:p w14:paraId="01204545" w14:textId="77777777" w:rsidR="00644F48" w:rsidRPr="00CF74AD" w:rsidRDefault="00644F48" w:rsidP="003F1AAC">
      <w:pPr>
        <w:jc w:val="both"/>
        <w:rPr>
          <w:lang w:val="en-AU"/>
        </w:rPr>
      </w:pPr>
      <w:r w:rsidRPr="00CF74AD">
        <w:rPr>
          <w:lang w:val="en-AU"/>
        </w:rPr>
        <w:t>Mr A aged 51 years presented with a one-week history of fever, lethargy, anorexia and generalised arthralgia, with a rash and a dry scab, indicative of an insect bite, surrounded by a rash on his back.</w:t>
      </w:r>
      <w:r w:rsidR="00FF2669" w:rsidRPr="00CF74AD">
        <w:rPr>
          <w:lang w:val="en-AU"/>
        </w:rPr>
        <w:t xml:space="preserve"> </w:t>
      </w:r>
      <w:r w:rsidRPr="00CF74AD">
        <w:rPr>
          <w:lang w:val="en-AU"/>
        </w:rPr>
        <w:t>The patient was afebrile and had no other symptoms.</w:t>
      </w:r>
    </w:p>
    <w:p w14:paraId="4E0E23EF" w14:textId="77777777" w:rsidR="00644F48" w:rsidRPr="004D3350" w:rsidRDefault="00644F48" w:rsidP="003F1AAC">
      <w:pPr>
        <w:pStyle w:val="NormalWeb"/>
        <w:spacing w:before="240" w:beforeAutospacing="0" w:after="240" w:afterAutospacing="0"/>
        <w:jc w:val="both"/>
        <w:rPr>
          <w:rFonts w:ascii="Cambria" w:hAnsi="Cambria" w:cs="Cambria"/>
          <w:color w:val="222222"/>
          <w:sz w:val="22"/>
          <w:szCs w:val="22"/>
          <w:lang w:val="en-AU"/>
        </w:rPr>
      </w:pPr>
      <w:r w:rsidRPr="004D3350">
        <w:rPr>
          <w:rFonts w:ascii="Cambria" w:hAnsi="Cambria" w:cs="Cambria"/>
          <w:color w:val="222222"/>
          <w:sz w:val="22"/>
          <w:szCs w:val="22"/>
          <w:lang w:val="en-AU"/>
        </w:rPr>
        <w:t>Further questioning revealed that he had visited the Bunya Mountains National Park, Queensland, for a hiking trip two weeks prior to presentation. He had not travelled overseas.</w:t>
      </w:r>
      <w:r w:rsidR="00FF2669" w:rsidRPr="004D3350">
        <w:rPr>
          <w:rFonts w:ascii="Cambria" w:hAnsi="Cambria" w:cs="Cambria"/>
          <w:color w:val="222222"/>
          <w:sz w:val="22"/>
          <w:szCs w:val="22"/>
          <w:lang w:val="en-AU"/>
        </w:rPr>
        <w:t xml:space="preserve"> </w:t>
      </w:r>
      <w:r w:rsidRPr="004D3350">
        <w:rPr>
          <w:rFonts w:ascii="Cambria" w:hAnsi="Cambria" w:cs="Cambria"/>
          <w:color w:val="222222"/>
          <w:sz w:val="22"/>
          <w:szCs w:val="22"/>
          <w:lang w:val="en-AU"/>
        </w:rPr>
        <w:t>The patient was not aware of being bitten by ticks or other insects.</w:t>
      </w:r>
      <w:r w:rsidR="00FF2669" w:rsidRPr="004D3350">
        <w:rPr>
          <w:rFonts w:ascii="Cambria" w:hAnsi="Cambria" w:cs="Cambria"/>
          <w:color w:val="222222"/>
          <w:sz w:val="22"/>
          <w:szCs w:val="22"/>
          <w:lang w:val="en-AU"/>
        </w:rPr>
        <w:t xml:space="preserve"> </w:t>
      </w:r>
      <w:r w:rsidRPr="004D3350">
        <w:rPr>
          <w:rFonts w:ascii="Cambria" w:hAnsi="Cambria" w:cs="Cambria"/>
          <w:color w:val="222222"/>
          <w:sz w:val="22"/>
          <w:szCs w:val="22"/>
          <w:lang w:val="en-AU"/>
        </w:rPr>
        <w:t xml:space="preserve">The GP suspected Queensland tick typhus, given this is a common presentation in patients with tick bites who have visited that area and started the patient on doxycycline 100 mg twice daily immediately and </w:t>
      </w:r>
      <w:r w:rsidR="00D845D4" w:rsidRPr="004D3350">
        <w:rPr>
          <w:rFonts w:ascii="Cambria" w:hAnsi="Cambria" w:cs="Cambria"/>
          <w:color w:val="222222"/>
          <w:sz w:val="22"/>
          <w:szCs w:val="22"/>
          <w:lang w:val="en-AU"/>
        </w:rPr>
        <w:t xml:space="preserve">referred for tissue </w:t>
      </w:r>
      <w:r w:rsidRPr="004D3350">
        <w:rPr>
          <w:rFonts w:ascii="Cambria" w:hAnsi="Cambria" w:cs="Cambria"/>
          <w:color w:val="222222"/>
          <w:sz w:val="22"/>
          <w:szCs w:val="22"/>
          <w:lang w:val="en-AU"/>
        </w:rPr>
        <w:t xml:space="preserve">biopsy for histopathology and a serological immunofluorescence assay for </w:t>
      </w:r>
      <w:r w:rsidRPr="004D3350">
        <w:rPr>
          <w:rFonts w:ascii="Cambria" w:hAnsi="Cambria" w:cs="Cambria"/>
          <w:i/>
          <w:color w:val="222222"/>
          <w:sz w:val="22"/>
          <w:szCs w:val="22"/>
          <w:lang w:val="en-AU"/>
        </w:rPr>
        <w:t xml:space="preserve">Rickettsia </w:t>
      </w:r>
      <w:r w:rsidR="005C3F4A" w:rsidRPr="004D3350">
        <w:rPr>
          <w:rFonts w:ascii="Cambria" w:hAnsi="Cambria" w:cs="Cambria"/>
          <w:i/>
          <w:color w:val="222222"/>
          <w:sz w:val="22"/>
          <w:szCs w:val="22"/>
          <w:lang w:val="en-AU"/>
        </w:rPr>
        <w:t>australis</w:t>
      </w:r>
      <w:r w:rsidR="00CB293E" w:rsidRPr="004D3350">
        <w:rPr>
          <w:rFonts w:ascii="Cambria" w:hAnsi="Cambria" w:cs="Cambria"/>
          <w:i/>
          <w:color w:val="222222"/>
          <w:sz w:val="22"/>
          <w:szCs w:val="22"/>
          <w:lang w:val="en-AU"/>
        </w:rPr>
        <w:t xml:space="preserve"> </w:t>
      </w:r>
      <w:r w:rsidRPr="004D3350">
        <w:rPr>
          <w:rFonts w:ascii="Cambria" w:hAnsi="Cambria" w:cs="Cambria"/>
          <w:color w:val="222222"/>
          <w:sz w:val="22"/>
          <w:szCs w:val="22"/>
          <w:lang w:val="en-AU"/>
        </w:rPr>
        <w:t xml:space="preserve">at 1:128 titre from an accredited laboratory. </w:t>
      </w:r>
    </w:p>
    <w:p w14:paraId="0F8566B0" w14:textId="77777777" w:rsidR="00644F48" w:rsidRPr="004D3350" w:rsidRDefault="00644F48" w:rsidP="003F1AAC">
      <w:pPr>
        <w:pStyle w:val="NormalWeb"/>
        <w:spacing w:before="240" w:beforeAutospacing="0" w:after="240" w:afterAutospacing="0"/>
        <w:jc w:val="both"/>
        <w:rPr>
          <w:rFonts w:ascii="Cambria" w:hAnsi="Cambria" w:cs="Cambria"/>
          <w:color w:val="222222"/>
          <w:sz w:val="22"/>
          <w:szCs w:val="22"/>
          <w:lang w:val="en-AU"/>
        </w:rPr>
      </w:pPr>
      <w:r w:rsidRPr="004D3350">
        <w:rPr>
          <w:rFonts w:ascii="Cambria" w:hAnsi="Cambria" w:cs="Cambria"/>
          <w:color w:val="222222"/>
          <w:sz w:val="22"/>
          <w:szCs w:val="22"/>
          <w:lang w:val="en-AU"/>
        </w:rPr>
        <w:t xml:space="preserve">The biopsy confirmed a mononuclear vasculitis consistent with </w:t>
      </w:r>
      <w:r w:rsidR="00F66D1E" w:rsidRPr="004D3350">
        <w:rPr>
          <w:rFonts w:ascii="Cambria" w:hAnsi="Cambria" w:cs="Cambria"/>
          <w:color w:val="222222"/>
          <w:sz w:val="22"/>
          <w:szCs w:val="22"/>
          <w:lang w:val="en-AU"/>
        </w:rPr>
        <w:t>Rickettsial</w:t>
      </w:r>
      <w:r w:rsidRPr="004D3350">
        <w:rPr>
          <w:rFonts w:ascii="Cambria" w:hAnsi="Cambria" w:cs="Cambria"/>
          <w:color w:val="222222"/>
          <w:sz w:val="22"/>
          <w:szCs w:val="22"/>
          <w:lang w:val="en-AU"/>
        </w:rPr>
        <w:t xml:space="preserve"> infection but the initial serology was negative. Other blood tests, including liver and renal function tests, were normal.</w:t>
      </w:r>
    </w:p>
    <w:p w14:paraId="0BC12B3B" w14:textId="77777777" w:rsidR="00644F48" w:rsidRPr="004D3350" w:rsidRDefault="00644F48" w:rsidP="003F1AAC">
      <w:pPr>
        <w:pStyle w:val="NormalWeb"/>
        <w:spacing w:before="240" w:beforeAutospacing="0" w:after="240" w:afterAutospacing="0"/>
        <w:jc w:val="both"/>
        <w:rPr>
          <w:rFonts w:ascii="Cambria" w:hAnsi="Cambria" w:cs="Cambria"/>
          <w:color w:val="222222"/>
          <w:sz w:val="22"/>
          <w:szCs w:val="22"/>
          <w:lang w:val="en-AU"/>
        </w:rPr>
      </w:pPr>
      <w:r w:rsidRPr="004D3350">
        <w:rPr>
          <w:rFonts w:ascii="Cambria" w:hAnsi="Cambria" w:cs="Cambria"/>
          <w:color w:val="222222"/>
          <w:sz w:val="22"/>
          <w:szCs w:val="22"/>
          <w:lang w:val="en-AU"/>
        </w:rPr>
        <w:t>At review two weeks later, the patient reported that most of his symptoms had resolved and the rash had cleared. Some ongoing minor lethargy persisted. Rickettsial serology was repeated at this time (four weeks after likely bite exposure) and showed an elevated </w:t>
      </w:r>
      <w:r w:rsidRPr="004D3350">
        <w:rPr>
          <w:rFonts w:ascii="Cambria" w:hAnsi="Cambria" w:cs="Cambria"/>
          <w:i/>
          <w:iCs/>
          <w:color w:val="222222"/>
          <w:sz w:val="22"/>
          <w:szCs w:val="22"/>
          <w:lang w:val="en-AU"/>
        </w:rPr>
        <w:t>R. rickettsii</w:t>
      </w:r>
      <w:r w:rsidRPr="004D3350">
        <w:rPr>
          <w:rFonts w:ascii="Cambria" w:hAnsi="Cambria" w:cs="Cambria"/>
          <w:color w:val="222222"/>
          <w:sz w:val="22"/>
          <w:szCs w:val="22"/>
          <w:lang w:val="en-AU"/>
        </w:rPr>
        <w:t xml:space="preserve"> titre. </w:t>
      </w:r>
      <w:r w:rsidR="000C4B0F" w:rsidRPr="004D3350">
        <w:rPr>
          <w:rFonts w:ascii="Cambria" w:hAnsi="Cambria" w:cs="Cambria"/>
          <w:color w:val="222222"/>
          <w:sz w:val="22"/>
          <w:szCs w:val="22"/>
          <w:lang w:val="en-AU"/>
        </w:rPr>
        <w:t>The patient continued to improve and the symptoms fully resolved.</w:t>
      </w:r>
    </w:p>
    <w:p w14:paraId="0CA4403E" w14:textId="77777777" w:rsidR="00644F48" w:rsidRPr="00F2704A" w:rsidRDefault="00644F48" w:rsidP="005C1038">
      <w:pPr>
        <w:pStyle w:val="Heading3"/>
        <w:rPr>
          <w:lang w:val="en-AU"/>
        </w:rPr>
      </w:pPr>
      <w:bookmarkStart w:id="182" w:name="_Toc16786190"/>
      <w:bookmarkStart w:id="183" w:name="_Toc16863041"/>
      <w:bookmarkStart w:id="184" w:name="_Toc16869546"/>
      <w:bookmarkStart w:id="185" w:name="_Toc55464821"/>
      <w:r w:rsidRPr="00F2704A">
        <w:rPr>
          <w:lang w:val="en-AU"/>
        </w:rPr>
        <w:t>Case Study 2</w:t>
      </w:r>
      <w:bookmarkEnd w:id="182"/>
      <w:bookmarkEnd w:id="183"/>
      <w:bookmarkEnd w:id="184"/>
      <w:bookmarkEnd w:id="185"/>
      <w:r w:rsidRPr="00F2704A">
        <w:rPr>
          <w:lang w:val="en-AU"/>
        </w:rPr>
        <w:t xml:space="preserve"> </w:t>
      </w:r>
    </w:p>
    <w:p w14:paraId="14413AC8" w14:textId="77777777" w:rsidR="00644F48" w:rsidRPr="00F2704A" w:rsidRDefault="00644F48" w:rsidP="00644F48">
      <w:pPr>
        <w:pStyle w:val="BodyText"/>
        <w:rPr>
          <w:lang w:val="en-AU"/>
        </w:rPr>
      </w:pPr>
      <w:r w:rsidRPr="00F2704A">
        <w:rPr>
          <w:lang w:val="en-AU"/>
        </w:rPr>
        <w:t xml:space="preserve">Mrs Jones, aged 40, lives in Queensland. She’s a farmer/conservation worker/cat breeder. She has not travelled overseas in the last ten years. She thinks she might have been bitten by a tick two years ago. Since around the same time she’s been experiencing muscle pain, including joint pain and swelling. She has no signs of a rash now but when she was bitten she had a rash for </w:t>
      </w:r>
      <w:r w:rsidR="00BF0A9B" w:rsidRPr="00F2704A">
        <w:rPr>
          <w:lang w:val="en-AU"/>
        </w:rPr>
        <w:t>a while</w:t>
      </w:r>
      <w:r w:rsidRPr="00F2704A">
        <w:rPr>
          <w:lang w:val="en-AU"/>
        </w:rPr>
        <w:t xml:space="preserve">. </w:t>
      </w:r>
    </w:p>
    <w:p w14:paraId="2578BD3C" w14:textId="77777777" w:rsidR="00644F48" w:rsidRPr="00F2704A" w:rsidRDefault="00C11F67" w:rsidP="00644F48">
      <w:pPr>
        <w:pStyle w:val="BodyText"/>
        <w:rPr>
          <w:lang w:val="en-AU"/>
        </w:rPr>
      </w:pPr>
      <w:r w:rsidRPr="00F2704A">
        <w:rPr>
          <w:lang w:val="en-AU"/>
        </w:rPr>
        <w:t xml:space="preserve">Mrs Jones currently finds physical activity difficult and can no longer walk her dog and maintain a full time job. </w:t>
      </w:r>
      <w:r w:rsidR="00644F48" w:rsidRPr="00F2704A">
        <w:rPr>
          <w:lang w:val="en-AU"/>
        </w:rPr>
        <w:t xml:space="preserve">She’s seen three doctors in the last two years, who have </w:t>
      </w:r>
      <w:r w:rsidRPr="00F2704A">
        <w:rPr>
          <w:lang w:val="en-AU"/>
        </w:rPr>
        <w:t xml:space="preserve">undertaken a range of musculo-skeletal investigations and </w:t>
      </w:r>
      <w:r w:rsidR="00644F48" w:rsidRPr="00F2704A">
        <w:rPr>
          <w:lang w:val="en-AU"/>
        </w:rPr>
        <w:t>ruled out</w:t>
      </w:r>
      <w:r w:rsidRPr="00F2704A">
        <w:rPr>
          <w:lang w:val="en-AU"/>
        </w:rPr>
        <w:t xml:space="preserve"> arthritis, occupational overuse syndrome, injuries and </w:t>
      </w:r>
      <w:r w:rsidR="00644F48" w:rsidRPr="00F2704A">
        <w:rPr>
          <w:lang w:val="en-AU"/>
        </w:rPr>
        <w:t xml:space="preserve">rheumatoid arthritis (due to her joint pain), but not been able to give her a diagnosis. </w:t>
      </w:r>
    </w:p>
    <w:p w14:paraId="24007194" w14:textId="77777777" w:rsidR="003F762E" w:rsidRPr="00F2704A" w:rsidRDefault="00644F48" w:rsidP="00644F48">
      <w:pPr>
        <w:pStyle w:val="BodyText"/>
        <w:rPr>
          <w:lang w:val="en-AU"/>
        </w:rPr>
      </w:pPr>
      <w:r w:rsidRPr="00F2704A">
        <w:rPr>
          <w:lang w:val="en-AU"/>
        </w:rPr>
        <w:t xml:space="preserve">She returns to the GP who reviews her clinical history notes. Since Mrs Jones hasn’t been overseas, the GP rules out Lyme disease. The GP notes that Mrs Jones lives in a bushy area with frequent contact with animals, and given her symptoms of lethargy, malaise and muscle pain, suspects tick-borne illness. The GP calls the </w:t>
      </w:r>
      <w:r w:rsidR="00B856B1" w:rsidRPr="00F2704A">
        <w:rPr>
          <w:lang w:val="en-AU"/>
        </w:rPr>
        <w:t>specialist microbiologist</w:t>
      </w:r>
      <w:r w:rsidRPr="00F2704A">
        <w:rPr>
          <w:lang w:val="en-AU"/>
        </w:rPr>
        <w:t xml:space="preserve"> and, following advice, </w:t>
      </w:r>
      <w:r w:rsidR="00EE0D6C" w:rsidRPr="00F2704A">
        <w:rPr>
          <w:lang w:val="en-AU"/>
        </w:rPr>
        <w:t xml:space="preserve">requests </w:t>
      </w:r>
      <w:r w:rsidRPr="00F2704A">
        <w:rPr>
          <w:lang w:val="en-AU"/>
        </w:rPr>
        <w:t>relevant diagnostic tests for Australian tick-borne disease.</w:t>
      </w:r>
      <w:r w:rsidR="00FF2669" w:rsidRPr="00F2704A">
        <w:rPr>
          <w:lang w:val="en-AU"/>
        </w:rPr>
        <w:t xml:space="preserve"> </w:t>
      </w:r>
      <w:r w:rsidRPr="00F2704A">
        <w:rPr>
          <w:lang w:val="en-AU"/>
        </w:rPr>
        <w:t>When the tests come back negative,</w:t>
      </w:r>
      <w:r w:rsidR="004B3757" w:rsidRPr="00F2704A">
        <w:rPr>
          <w:lang w:val="en-AU"/>
        </w:rPr>
        <w:t xml:space="preserve"> and all other disorders are excluded, </w:t>
      </w:r>
      <w:r w:rsidRPr="00F2704A">
        <w:rPr>
          <w:lang w:val="en-AU"/>
        </w:rPr>
        <w:t xml:space="preserve">the GP </w:t>
      </w:r>
      <w:r w:rsidR="004B3757" w:rsidRPr="00F2704A">
        <w:rPr>
          <w:lang w:val="en-AU"/>
        </w:rPr>
        <w:t xml:space="preserve">develops </w:t>
      </w:r>
      <w:r w:rsidR="00B3448C" w:rsidRPr="00F2704A">
        <w:rPr>
          <w:lang w:val="en-AU"/>
        </w:rPr>
        <w:t xml:space="preserve">in coordination with Mrs Jones </w:t>
      </w:r>
      <w:r w:rsidR="004B3757" w:rsidRPr="00F2704A">
        <w:rPr>
          <w:lang w:val="en-AU"/>
        </w:rPr>
        <w:t>a comprehensive management plan</w:t>
      </w:r>
      <w:r w:rsidR="00B3448C" w:rsidRPr="00F2704A">
        <w:rPr>
          <w:lang w:val="en-AU"/>
        </w:rPr>
        <w:t xml:space="preserve"> addressing symptom management and improved overall wellness.</w:t>
      </w:r>
      <w:r w:rsidR="00C11F67" w:rsidRPr="00F2704A">
        <w:rPr>
          <w:lang w:val="en-AU"/>
        </w:rPr>
        <w:t xml:space="preserve"> This includes referring her to</w:t>
      </w:r>
      <w:r w:rsidR="00FF2669" w:rsidRPr="00F2704A">
        <w:rPr>
          <w:lang w:val="en-AU"/>
        </w:rPr>
        <w:t xml:space="preserve"> </w:t>
      </w:r>
      <w:r w:rsidRPr="00F2704A">
        <w:rPr>
          <w:lang w:val="en-AU"/>
        </w:rPr>
        <w:t xml:space="preserve">other relevant health practitioners </w:t>
      </w:r>
      <w:r w:rsidR="00B3448C" w:rsidRPr="00F2704A">
        <w:rPr>
          <w:lang w:val="en-AU"/>
        </w:rPr>
        <w:t>as involved in a multidisciplinary care team as required</w:t>
      </w:r>
      <w:r w:rsidR="00C11F67" w:rsidRPr="00F2704A">
        <w:rPr>
          <w:lang w:val="en-AU"/>
        </w:rPr>
        <w:t>. Referrals may include, for example, psychologists, physiotherapists, or occupational therapists</w:t>
      </w:r>
      <w:r w:rsidR="00FE18D1">
        <w:rPr>
          <w:lang w:val="en-AU"/>
        </w:rPr>
        <w:t>.</w:t>
      </w:r>
      <w:r w:rsidR="00C11F67" w:rsidRPr="00F2704A">
        <w:rPr>
          <w:lang w:val="en-AU"/>
        </w:rPr>
        <w:t xml:space="preserve"> </w:t>
      </w:r>
      <w:r w:rsidRPr="00F2704A">
        <w:rPr>
          <w:lang w:val="en-AU"/>
        </w:rPr>
        <w:t xml:space="preserve">The GP continued to see her </w:t>
      </w:r>
      <w:r w:rsidR="00B3448C" w:rsidRPr="00F2704A">
        <w:rPr>
          <w:lang w:val="en-AU"/>
        </w:rPr>
        <w:t xml:space="preserve">regularly </w:t>
      </w:r>
      <w:r w:rsidRPr="00F2704A">
        <w:rPr>
          <w:lang w:val="en-AU"/>
        </w:rPr>
        <w:t>for medical assessment of progress and medication management of symptoms.</w:t>
      </w:r>
    </w:p>
    <w:p w14:paraId="4011F8E2" w14:textId="77777777" w:rsidR="00B3076F" w:rsidRPr="004D3350" w:rsidRDefault="00B3076F">
      <w:pPr>
        <w:rPr>
          <w:rFonts w:ascii="Calibri" w:hAnsi="Calibri"/>
          <w:b/>
          <w:caps/>
          <w:color w:val="36424A"/>
          <w:sz w:val="28"/>
          <w:lang w:val="en-AU"/>
        </w:rPr>
      </w:pPr>
      <w:r>
        <w:rPr>
          <w:lang w:val="en-AU"/>
        </w:rPr>
        <w:br w:type="page"/>
      </w:r>
    </w:p>
    <w:p w14:paraId="0C85BFD6" w14:textId="77777777" w:rsidR="00AF7FA0" w:rsidRPr="00F2704A" w:rsidRDefault="00AF7FA0" w:rsidP="009707CE">
      <w:pPr>
        <w:pStyle w:val="NumberedHeading1"/>
        <w:numPr>
          <w:ilvl w:val="0"/>
          <w:numId w:val="0"/>
        </w:numPr>
        <w:spacing w:before="0"/>
        <w:ind w:left="567" w:hanging="567"/>
        <w:rPr>
          <w:lang w:val="en-AU"/>
        </w:rPr>
      </w:pPr>
      <w:bookmarkStart w:id="186" w:name="_Toc55464822"/>
      <w:r w:rsidRPr="00F2704A">
        <w:rPr>
          <w:lang w:val="en-AU"/>
        </w:rPr>
        <w:lastRenderedPageBreak/>
        <w:t>Appendix B: Bibliography</w:t>
      </w:r>
      <w:bookmarkEnd w:id="186"/>
    </w:p>
    <w:p w14:paraId="021D1E08" w14:textId="77777777" w:rsidR="00E37099" w:rsidRPr="00C2189A" w:rsidRDefault="00E37099" w:rsidP="00E37099">
      <w:pPr>
        <w:pStyle w:val="BodyText"/>
        <w:jc w:val="left"/>
      </w:pPr>
      <w:r w:rsidRPr="00C2189A">
        <w:t xml:space="preserve">Ali, A., Vitulano, L., Lee, R., Weiss, T. R., &amp; Colson, E. R. (2014). Experiences of patients identifying with chronic Lyme disease in the healthcare system: A qualitative study. </w:t>
      </w:r>
      <w:r w:rsidRPr="00C2189A">
        <w:rPr>
          <w:i/>
          <w:iCs/>
        </w:rPr>
        <w:t>BMC Family Practice</w:t>
      </w:r>
      <w:r w:rsidRPr="00C2189A">
        <w:t xml:space="preserve">, </w:t>
      </w:r>
      <w:r w:rsidRPr="00C2189A">
        <w:rPr>
          <w:i/>
          <w:iCs/>
        </w:rPr>
        <w:t>15</w:t>
      </w:r>
      <w:r w:rsidRPr="00C2189A">
        <w:t>(1), 1–17. https://doi.org/10.1186/1471-2296-15-79</w:t>
      </w:r>
    </w:p>
    <w:p w14:paraId="3215CF9B" w14:textId="77777777" w:rsidR="00E37099" w:rsidRPr="00C2189A" w:rsidRDefault="00E37099" w:rsidP="00E37099">
      <w:pPr>
        <w:pStyle w:val="BodyText"/>
        <w:jc w:val="left"/>
      </w:pPr>
      <w:r w:rsidRPr="00C2189A">
        <w:t xml:space="preserve">Allen + Clarke. (2019). </w:t>
      </w:r>
      <w:r w:rsidRPr="00C2189A">
        <w:rPr>
          <w:i/>
          <w:iCs/>
        </w:rPr>
        <w:t>DSCATT Think Tank summary report</w:t>
      </w:r>
      <w:r w:rsidRPr="00C2189A">
        <w:t xml:space="preserve"> (p. 45). Department of Health. https://www1.health.gov.au/internet/main/publishing.nsf/Content/4594AB5B9B2A90D4CA257BF0001A8D43/$File/DSCATT-Think-Tank-2019.pdf</w:t>
      </w:r>
    </w:p>
    <w:p w14:paraId="09CA37B8" w14:textId="77777777" w:rsidR="00E37099" w:rsidRPr="00C2189A" w:rsidRDefault="00E37099" w:rsidP="00E37099">
      <w:pPr>
        <w:pStyle w:val="BodyText"/>
        <w:jc w:val="left"/>
      </w:pPr>
      <w:r w:rsidRPr="00C2189A">
        <w:t xml:space="preserve">Australian Commission on Safety and Quality in Health Care. (n.d.). </w:t>
      </w:r>
      <w:r w:rsidRPr="00C2189A">
        <w:rPr>
          <w:i/>
          <w:iCs/>
        </w:rPr>
        <w:t>FAQs about partnering with consumers in the NSQHS Standards (second edition)</w:t>
      </w:r>
      <w:r w:rsidRPr="00C2189A">
        <w:t>. Australian Commission on Safety and Quality in Health Care. https://www.safetyandquality.gov.au/faqs-about-partnering-consumers-nsqhs-standards-second-edition#what-is-person-centred-care</w:t>
      </w:r>
    </w:p>
    <w:p w14:paraId="2DC8401F" w14:textId="77777777" w:rsidR="00E37099" w:rsidRPr="00C2189A" w:rsidRDefault="00E37099" w:rsidP="00E37099">
      <w:pPr>
        <w:pStyle w:val="BodyText"/>
        <w:jc w:val="left"/>
      </w:pPr>
      <w:r w:rsidRPr="00C2189A">
        <w:t xml:space="preserve">Australian Commission on Safety and Quality in Health Care. (2018). </w:t>
      </w:r>
      <w:r w:rsidRPr="00C2189A">
        <w:rPr>
          <w:i/>
          <w:iCs/>
        </w:rPr>
        <w:t>Fact sheet 1: Person-centred organisations: Achieving great person-centred care</w:t>
      </w:r>
      <w:r w:rsidRPr="00C2189A">
        <w:t>. Australian Commission on Safety and Quality in Health Care. https://www.safetyandquality.gov.au/publications-and-resources/resource-library/fact-sheet-1-attributes-achieving-great-person-centred-care-0</w:t>
      </w:r>
    </w:p>
    <w:p w14:paraId="7650BA87" w14:textId="77777777" w:rsidR="00E37099" w:rsidRPr="00C2189A" w:rsidRDefault="00E37099" w:rsidP="00E37099">
      <w:pPr>
        <w:pStyle w:val="BodyText"/>
        <w:jc w:val="left"/>
      </w:pPr>
      <w:r w:rsidRPr="00C2189A">
        <w:t xml:space="preserve">Australian Rickettsial Reference Laboratory. (n.d.). </w:t>
      </w:r>
      <w:r w:rsidRPr="00C2189A">
        <w:rPr>
          <w:i/>
          <w:iCs/>
        </w:rPr>
        <w:t>Tests performed at the ARRL</w:t>
      </w:r>
      <w:r w:rsidRPr="00C2189A">
        <w:t>. Australian Rickettsial Reference Laboratory. https://www.rickettsialab.org.au/tests-performed</w:t>
      </w:r>
    </w:p>
    <w:p w14:paraId="1210C202" w14:textId="77777777" w:rsidR="00E37099" w:rsidRPr="00C2189A" w:rsidRDefault="00E37099" w:rsidP="00E37099">
      <w:pPr>
        <w:pStyle w:val="BodyText"/>
        <w:jc w:val="left"/>
      </w:pPr>
      <w:r w:rsidRPr="00C2189A">
        <w:t xml:space="preserve">Auwaerter, P. G., Bakken, J. S., Dattwyler, R. J., Dumler, J. S., Halperin, J. J., McSweegan, E., Nadelman, R. B., O’Connell, S., Shapiro, E. D., Sood, S. K., Steere, A. C., Weinstein, A., &amp; Wormser, G. P. (2011). Antiscience and ethical concerns associated with advocacy of Lyme disease. </w:t>
      </w:r>
      <w:r w:rsidRPr="00C2189A">
        <w:rPr>
          <w:i/>
          <w:iCs/>
        </w:rPr>
        <w:t>The Lancet. Infectious Diseases</w:t>
      </w:r>
      <w:r w:rsidRPr="00C2189A">
        <w:t xml:space="preserve">, </w:t>
      </w:r>
      <w:r w:rsidRPr="00C2189A">
        <w:rPr>
          <w:i/>
          <w:iCs/>
        </w:rPr>
        <w:t>11</w:t>
      </w:r>
      <w:r w:rsidRPr="00C2189A">
        <w:t>(9), 713–719. https://doi.org/10.1016/S1473-3099(11)70034-2</w:t>
      </w:r>
    </w:p>
    <w:p w14:paraId="27EF8F09" w14:textId="77777777" w:rsidR="00E37099" w:rsidRPr="00C2189A" w:rsidRDefault="00E37099" w:rsidP="00E37099">
      <w:pPr>
        <w:pStyle w:val="BodyText"/>
        <w:jc w:val="left"/>
      </w:pPr>
      <w:r w:rsidRPr="00C2189A">
        <w:t xml:space="preserve">Beaman, M. H. (2016). Lyme disease: Why the controversy? </w:t>
      </w:r>
      <w:r w:rsidRPr="00C2189A">
        <w:rPr>
          <w:i/>
          <w:iCs/>
        </w:rPr>
        <w:t>Internal Medicine Journal</w:t>
      </w:r>
      <w:r w:rsidRPr="00C2189A">
        <w:t xml:space="preserve">, </w:t>
      </w:r>
      <w:r w:rsidRPr="00C2189A">
        <w:rPr>
          <w:i/>
          <w:iCs/>
        </w:rPr>
        <w:t>46</w:t>
      </w:r>
      <w:r w:rsidRPr="00C2189A">
        <w:t>(12), 1370–1375. https://doi.org/10.1111/imj.13278</w:t>
      </w:r>
    </w:p>
    <w:p w14:paraId="2C4F0A9D" w14:textId="77777777" w:rsidR="00E37099" w:rsidRPr="00C2189A" w:rsidRDefault="00E37099" w:rsidP="00E37099">
      <w:pPr>
        <w:pStyle w:val="BodyText"/>
        <w:jc w:val="left"/>
      </w:pPr>
      <w:r w:rsidRPr="00C2189A">
        <w:t xml:space="preserve">Berende, A., ter Hofstede, H. J. M., Vos, F. J., van Middendorp, H. van, Vogelaar, M. L., Tromp, M., van den Hoogen, F. H., Donders, A. R. T., Evers, A. W. M., &amp; Kullberg, B. J. (2016). Randomized trial of longer-term therapy for symptoms attributed to Lyme disease. </w:t>
      </w:r>
      <w:r w:rsidRPr="00C2189A">
        <w:rPr>
          <w:i/>
          <w:iCs/>
        </w:rPr>
        <w:t>The New England Journal of Medicine</w:t>
      </w:r>
      <w:r w:rsidRPr="00C2189A">
        <w:t xml:space="preserve">, </w:t>
      </w:r>
      <w:r w:rsidRPr="00C2189A">
        <w:rPr>
          <w:i/>
          <w:iCs/>
        </w:rPr>
        <w:t>374</w:t>
      </w:r>
      <w:r w:rsidRPr="00C2189A">
        <w:t>(13), 1209–1220. https://doi.org/10.1056/NEJMoa1505425</w:t>
      </w:r>
    </w:p>
    <w:p w14:paraId="6F56E14E" w14:textId="77777777" w:rsidR="00E37099" w:rsidRPr="00C2189A" w:rsidRDefault="00E37099" w:rsidP="00E37099">
      <w:pPr>
        <w:pStyle w:val="BodyText"/>
        <w:jc w:val="left"/>
      </w:pPr>
      <w:r w:rsidRPr="00C2189A">
        <w:t xml:space="preserve">Best, S. J., Tschaepe, M. I., &amp; Wilson, K. M. (2019). Investigation of the performance of serological assays used for Lyme disease testing in Australia. </w:t>
      </w:r>
      <w:r w:rsidRPr="00C2189A">
        <w:rPr>
          <w:i/>
          <w:iCs/>
        </w:rPr>
        <w:t>PLoS One</w:t>
      </w:r>
      <w:r w:rsidRPr="00C2189A">
        <w:t xml:space="preserve">, </w:t>
      </w:r>
      <w:r w:rsidRPr="00C2189A">
        <w:rPr>
          <w:i/>
          <w:iCs/>
        </w:rPr>
        <w:t>14</w:t>
      </w:r>
      <w:r w:rsidRPr="00C2189A">
        <w:t>(4), 1–17. https://doi.org/10.1371/journal.pone.0214402</w:t>
      </w:r>
    </w:p>
    <w:p w14:paraId="730E56FB" w14:textId="77777777" w:rsidR="00E37099" w:rsidRPr="00C2189A" w:rsidRDefault="00E37099" w:rsidP="00E37099">
      <w:pPr>
        <w:pStyle w:val="BodyText"/>
        <w:jc w:val="left"/>
      </w:pPr>
      <w:r w:rsidRPr="00C2189A">
        <w:t xml:space="preserve">Borchers, A. T., Keen, C. L., Huntley, A. C., &amp; Gershwin, M. E. (2015). Lyme disease: A rigorous review of diagnostic criteria and treatment. </w:t>
      </w:r>
      <w:r w:rsidRPr="00C2189A">
        <w:rPr>
          <w:i/>
          <w:iCs/>
        </w:rPr>
        <w:t>Journal of Autoimmunity</w:t>
      </w:r>
      <w:r w:rsidRPr="00C2189A">
        <w:t xml:space="preserve">, </w:t>
      </w:r>
      <w:r w:rsidRPr="00C2189A">
        <w:rPr>
          <w:i/>
          <w:iCs/>
        </w:rPr>
        <w:t>57</w:t>
      </w:r>
      <w:r w:rsidRPr="00C2189A">
        <w:t>, 82–115. https://doi.org/10.1016/j.jaut.2014.09.004</w:t>
      </w:r>
    </w:p>
    <w:p w14:paraId="082BDFE3" w14:textId="77777777" w:rsidR="00E37099" w:rsidRPr="00C2189A" w:rsidRDefault="00E37099" w:rsidP="00E37099">
      <w:pPr>
        <w:pStyle w:val="BodyText"/>
        <w:jc w:val="left"/>
      </w:pPr>
      <w:r w:rsidRPr="00C2189A">
        <w:t xml:space="preserve">Brown, J. D. (2018). A description of ‘Australian Lyme disease’ epidemiology and impact: An analysis of submissions to an Australian Senate Inquiry: Australian Lyme from Senate Inquiry. </w:t>
      </w:r>
      <w:r w:rsidRPr="00C2189A">
        <w:rPr>
          <w:i/>
          <w:iCs/>
        </w:rPr>
        <w:t>Internal Medicine Journal</w:t>
      </w:r>
      <w:r w:rsidRPr="00C2189A">
        <w:t xml:space="preserve">, </w:t>
      </w:r>
      <w:r w:rsidRPr="00C2189A">
        <w:rPr>
          <w:i/>
          <w:iCs/>
        </w:rPr>
        <w:t>48</w:t>
      </w:r>
      <w:r w:rsidRPr="00C2189A">
        <w:t>(4), 422–426. https://doi.org/10.1111/imj.13746</w:t>
      </w:r>
    </w:p>
    <w:p w14:paraId="1638AEF4" w14:textId="77777777" w:rsidR="00E37099" w:rsidRPr="00C2189A" w:rsidRDefault="00E37099" w:rsidP="00E37099">
      <w:pPr>
        <w:pStyle w:val="BodyText"/>
        <w:jc w:val="left"/>
      </w:pPr>
      <w:r w:rsidRPr="00C2189A">
        <w:t xml:space="preserve">Brunton, G., Sutcliffe, K., Hinds, K., Khatwa, M., Burchett, H., Dickson, K., Rees, R., Rojas-Garcia, A., Stokes, G., Harden, M., Stansfield, C., Sowden, A., &amp; Thomas, J. (2017). </w:t>
      </w:r>
      <w:r w:rsidRPr="00C2189A">
        <w:rPr>
          <w:i/>
          <w:iCs/>
        </w:rPr>
        <w:t>Stakeholder experiences of the diagnosis of Lyme disease: A systemic review</w:t>
      </w:r>
      <w:r w:rsidRPr="00C2189A">
        <w:t xml:space="preserve"> (p. 75). Department of Health Reviews Facility. https://researchonline.lshtm.ac.uk/id/eprint/4656944/1/Lyme%20disease%20stakeholder%20experiences%202017%20Brunton.pdf</w:t>
      </w:r>
    </w:p>
    <w:p w14:paraId="179C95EB" w14:textId="77777777" w:rsidR="00E37099" w:rsidRPr="00C2189A" w:rsidRDefault="00E37099" w:rsidP="00E37099">
      <w:pPr>
        <w:pStyle w:val="BodyText"/>
        <w:jc w:val="left"/>
      </w:pPr>
      <w:r w:rsidRPr="00C2189A">
        <w:lastRenderedPageBreak/>
        <w:t xml:space="preserve">Butow, P., Price, M. A., Shaw, J. M., Turner, J., Clayton, J. M., Grimison, P., Rankin, N., &amp; Kirsten, L. (2015). Clinical pathway for the screening, assessment and management of anxiety and depression in adult cancer patients: Australian guidelines. </w:t>
      </w:r>
      <w:r w:rsidRPr="00C2189A">
        <w:rPr>
          <w:i/>
          <w:iCs/>
        </w:rPr>
        <w:t>Psycho-Oncology</w:t>
      </w:r>
      <w:r w:rsidRPr="00C2189A">
        <w:t xml:space="preserve">, </w:t>
      </w:r>
      <w:r w:rsidRPr="00C2189A">
        <w:rPr>
          <w:i/>
          <w:iCs/>
        </w:rPr>
        <w:t>24</w:t>
      </w:r>
      <w:r w:rsidRPr="00C2189A">
        <w:t>(9), 987–1001. https://doi.org/10.1002/pon.3920</w:t>
      </w:r>
    </w:p>
    <w:p w14:paraId="6D301297" w14:textId="77777777" w:rsidR="00E37099" w:rsidRPr="00C2189A" w:rsidRDefault="00E37099" w:rsidP="00E37099">
      <w:pPr>
        <w:pStyle w:val="BodyText"/>
        <w:jc w:val="left"/>
      </w:pPr>
      <w:r w:rsidRPr="00C2189A">
        <w:t xml:space="preserve">Cancer Council Australia. (2015). </w:t>
      </w:r>
      <w:r w:rsidRPr="00C2189A">
        <w:rPr>
          <w:i/>
          <w:iCs/>
        </w:rPr>
        <w:t>National Cancer Council Control Policy: Position statement—Complementary and alternative therapies</w:t>
      </w:r>
      <w:r w:rsidRPr="00C2189A">
        <w:t>. https://wiki.cancer.org.au/policy/Position_statement_-_Complementary_and_alternative_therapies</w:t>
      </w:r>
    </w:p>
    <w:p w14:paraId="684609DD" w14:textId="77777777" w:rsidR="00E37099" w:rsidRPr="00C2189A" w:rsidRDefault="00E37099" w:rsidP="00E37099">
      <w:pPr>
        <w:pStyle w:val="BodyText"/>
        <w:jc w:val="left"/>
      </w:pPr>
      <w:r w:rsidRPr="00C2189A">
        <w:t xml:space="preserve">Centers for Disease Control and Prevention. (2018, December 21). </w:t>
      </w:r>
      <w:r w:rsidRPr="00C2189A">
        <w:rPr>
          <w:i/>
          <w:iCs/>
        </w:rPr>
        <w:t>Laboratory tests not recommended for Lyme disease</w:t>
      </w:r>
      <w:r w:rsidRPr="00C2189A">
        <w:t>. Centers for Disease Control and Prevention. https://www.cdc.gov/lyme/diagnosistesting/labtest/otherlab/index.html</w:t>
      </w:r>
    </w:p>
    <w:p w14:paraId="61F54969" w14:textId="77777777" w:rsidR="00E37099" w:rsidRPr="00C2189A" w:rsidRDefault="00E37099" w:rsidP="00E37099">
      <w:pPr>
        <w:pStyle w:val="BodyText"/>
        <w:jc w:val="left"/>
      </w:pPr>
      <w:r w:rsidRPr="00C2189A">
        <w:t xml:space="preserve">Centers for Disease Control and Prevention. (2019, November 8). </w:t>
      </w:r>
      <w:r w:rsidRPr="00C2189A">
        <w:rPr>
          <w:i/>
          <w:iCs/>
        </w:rPr>
        <w:t>Post-Treatment Lyme Disease Syndrome</w:t>
      </w:r>
      <w:r w:rsidRPr="00C2189A">
        <w:t>. Centers for Disease Control and Prevention. https://www.cdc.gov/lyme/postlds/index.html</w:t>
      </w:r>
    </w:p>
    <w:p w14:paraId="1A0E3117" w14:textId="77777777" w:rsidR="00E37099" w:rsidRPr="00C2189A" w:rsidRDefault="00E37099" w:rsidP="00E37099">
      <w:pPr>
        <w:pStyle w:val="BodyText"/>
        <w:jc w:val="left"/>
      </w:pPr>
      <w:r w:rsidRPr="00C2189A">
        <w:t xml:space="preserve">Chalada, M. J., Stenos, J., &amp; Bradbury, R. S. (2016). Is there a Lyme-like disease in Australia? Summary of the findings to date. </w:t>
      </w:r>
      <w:r w:rsidRPr="00C2189A">
        <w:rPr>
          <w:i/>
          <w:iCs/>
        </w:rPr>
        <w:t>One Health</w:t>
      </w:r>
      <w:r w:rsidRPr="00C2189A">
        <w:t xml:space="preserve">, </w:t>
      </w:r>
      <w:r w:rsidRPr="00C2189A">
        <w:rPr>
          <w:i/>
          <w:iCs/>
        </w:rPr>
        <w:t>2</w:t>
      </w:r>
      <w:r w:rsidRPr="00C2189A">
        <w:t>(C), 42–54. https://doi.org/10.1016/j.onehlt.2016.03.003</w:t>
      </w:r>
    </w:p>
    <w:p w14:paraId="2D7E0112" w14:textId="77777777" w:rsidR="00E37099" w:rsidRPr="00C2189A" w:rsidRDefault="00E37099" w:rsidP="00E37099">
      <w:pPr>
        <w:pStyle w:val="BodyText"/>
        <w:jc w:val="left"/>
      </w:pPr>
      <w:r w:rsidRPr="00C2189A">
        <w:t xml:space="preserve">Chitnis, A., Dowrick, C., Byng, R., Turner, P., &amp; Shiers, D. (2011). </w:t>
      </w:r>
      <w:r w:rsidRPr="00C2189A">
        <w:rPr>
          <w:i/>
          <w:iCs/>
        </w:rPr>
        <w:t>Guidance for health professionals on medically unexplained symptoms (MUS)</w:t>
      </w:r>
      <w:r w:rsidRPr="00C2189A">
        <w:t>. Forum for Mental Health in Primary Care. https://dxrevisionwatch.files.wordpress.com/2013/06/guidance-for-health-professionals-on-mus-jan-2011.pdf</w:t>
      </w:r>
    </w:p>
    <w:p w14:paraId="55FBCE7A" w14:textId="77777777" w:rsidR="00E37099" w:rsidRPr="00C2189A" w:rsidRDefault="00E37099" w:rsidP="00E37099">
      <w:pPr>
        <w:pStyle w:val="BodyText"/>
        <w:jc w:val="left"/>
      </w:pPr>
      <w:r w:rsidRPr="00C2189A">
        <w:t xml:space="preserve">Choosing Wisely Australia. (n.d.). </w:t>
      </w:r>
      <w:r w:rsidRPr="00C2189A">
        <w:rPr>
          <w:i/>
          <w:iCs/>
        </w:rPr>
        <w:t>Antibiotic resources for clinicians</w:t>
      </w:r>
      <w:r w:rsidRPr="00C2189A">
        <w:t>. Choosing Wisely Australia. https://www.choosingwisely.org.au/resources/health-professionals/antibiotic-resources-for-clinicians</w:t>
      </w:r>
    </w:p>
    <w:p w14:paraId="382D0E57" w14:textId="77777777" w:rsidR="00E37099" w:rsidRPr="00C2189A" w:rsidRDefault="00E37099" w:rsidP="00E37099">
      <w:pPr>
        <w:pStyle w:val="BodyText"/>
        <w:jc w:val="left"/>
      </w:pPr>
      <w:r w:rsidRPr="00C2189A">
        <w:t xml:space="preserve">Collignon, P. J., Lum, G. D., &amp; Robson, J. M. B. (2016). Does Lyme disease exist in Australia? </w:t>
      </w:r>
      <w:r w:rsidRPr="00C2189A">
        <w:rPr>
          <w:i/>
          <w:iCs/>
        </w:rPr>
        <w:t>Medical Journal of Australia</w:t>
      </w:r>
      <w:r w:rsidRPr="00C2189A">
        <w:t xml:space="preserve">, </w:t>
      </w:r>
      <w:r w:rsidRPr="00C2189A">
        <w:rPr>
          <w:i/>
          <w:iCs/>
        </w:rPr>
        <w:t>205</w:t>
      </w:r>
      <w:r w:rsidRPr="00C2189A">
        <w:t>(9), 413–417. https://doi.org/10.5694/mja16.00824</w:t>
      </w:r>
    </w:p>
    <w:p w14:paraId="338BE849" w14:textId="77777777" w:rsidR="00E37099" w:rsidRPr="00C2189A" w:rsidRDefault="00E37099" w:rsidP="00E37099">
      <w:pPr>
        <w:pStyle w:val="BodyText"/>
        <w:jc w:val="left"/>
      </w:pPr>
      <w:r w:rsidRPr="00C2189A">
        <w:t xml:space="preserve">Communicable Diseases Network Australia. (2018). </w:t>
      </w:r>
      <w:r w:rsidRPr="00C2189A">
        <w:rPr>
          <w:i/>
          <w:iCs/>
        </w:rPr>
        <w:t>Q fever: CDNA National guidelines for Public Health Units</w:t>
      </w:r>
      <w:r w:rsidRPr="00C2189A">
        <w:t>. Communicable Diseases Network Australia. https://www1.health.gov.au/internet/main/publishing.nsf/Content/56DFBAB23468BF71CA2583520001F02F/$File/Q-fever-SoNG2018.pdf</w:t>
      </w:r>
    </w:p>
    <w:p w14:paraId="195B19B4" w14:textId="77777777" w:rsidR="00E37099" w:rsidRPr="00C2189A" w:rsidRDefault="00E37099" w:rsidP="00E37099">
      <w:pPr>
        <w:pStyle w:val="BodyText"/>
        <w:jc w:val="left"/>
      </w:pPr>
      <w:r w:rsidRPr="00C2189A">
        <w:t xml:space="preserve">Dehhaghi, M., Panahi, H. K. S., Holmes, E. C., Hudson, B. J., Schloeffel, R., &amp; Guillemin, G. J. (2019). Human tick-borne diseases in Australia. </w:t>
      </w:r>
      <w:r w:rsidRPr="00C2189A">
        <w:rPr>
          <w:i/>
          <w:iCs/>
        </w:rPr>
        <w:t>Frontiers in Cellular and Infection Microbiology</w:t>
      </w:r>
      <w:r w:rsidRPr="00C2189A">
        <w:t xml:space="preserve">, </w:t>
      </w:r>
      <w:r w:rsidRPr="00C2189A">
        <w:rPr>
          <w:i/>
          <w:iCs/>
        </w:rPr>
        <w:t>9</w:t>
      </w:r>
      <w:r w:rsidRPr="00C2189A">
        <w:t>, 1–17. https://doi.org/10.3389/fcimb.2019.00003</w:t>
      </w:r>
    </w:p>
    <w:p w14:paraId="56F5D86B" w14:textId="77777777" w:rsidR="00E37099" w:rsidRPr="00C2189A" w:rsidRDefault="00E37099" w:rsidP="00E37099">
      <w:pPr>
        <w:pStyle w:val="BodyText"/>
        <w:jc w:val="left"/>
      </w:pPr>
      <w:r w:rsidRPr="00C2189A">
        <w:t xml:space="preserve">Department of Health. (2018a). </w:t>
      </w:r>
      <w:r w:rsidRPr="00C2189A">
        <w:rPr>
          <w:i/>
          <w:iCs/>
        </w:rPr>
        <w:t>Position statement: Debilitating Symptom Complexes Attributed to Ticks</w:t>
      </w:r>
      <w:r w:rsidRPr="00C2189A">
        <w:t>. Department of Health. http://www.health.gov.au/internet/main/publishing.nsf/Content/ohp-lyme-disease.htm/$File/Posit-State-Debilitating-Symptom-Complexes-Attributed-Ticks-June18.pdf</w:t>
      </w:r>
    </w:p>
    <w:p w14:paraId="307C6C65" w14:textId="77777777" w:rsidR="00E37099" w:rsidRPr="00C2189A" w:rsidRDefault="00E37099" w:rsidP="00E37099">
      <w:pPr>
        <w:pStyle w:val="BodyText"/>
        <w:jc w:val="left"/>
      </w:pPr>
      <w:r w:rsidRPr="00C2189A">
        <w:t xml:space="preserve">Department of Health. (2018b). </w:t>
      </w:r>
      <w:r w:rsidRPr="00C2189A">
        <w:rPr>
          <w:i/>
          <w:iCs/>
        </w:rPr>
        <w:t>Position statement: Lyme disease in Australia</w:t>
      </w:r>
      <w:r w:rsidRPr="00C2189A">
        <w:t>. Department of Health. http://www.health.gov.au/internet/main/publishing.nsf/Content/ohp-lyme-disease.htm/$File/Posit-State-Lyme-June18.pdf</w:t>
      </w:r>
    </w:p>
    <w:p w14:paraId="30572B45" w14:textId="77777777" w:rsidR="00E37099" w:rsidRPr="00C2189A" w:rsidRDefault="00E37099" w:rsidP="00E37099">
      <w:pPr>
        <w:pStyle w:val="BodyText"/>
        <w:jc w:val="left"/>
      </w:pPr>
      <w:r w:rsidRPr="00C2189A">
        <w:t xml:space="preserve">Department of Health. (2019). </w:t>
      </w:r>
      <w:r w:rsidRPr="00C2189A">
        <w:rPr>
          <w:i/>
          <w:iCs/>
        </w:rPr>
        <w:t>PHN Primary Mental Health Care Flexible Funding Pool Implementation Guidance – Stepped Care</w:t>
      </w:r>
      <w:r w:rsidRPr="00C2189A">
        <w:t>. Department of Health. https://www1.health.gov.au/internet/main/publishing.nsf/Content/2126B045A8DA90FDCA257F6500018260/$File/1.%20PHN%20Guidance%20-%20Stepped%20Care%20-%202019.pdf</w:t>
      </w:r>
    </w:p>
    <w:p w14:paraId="1B23C1F9" w14:textId="77777777" w:rsidR="00E37099" w:rsidRPr="00C2189A" w:rsidRDefault="00E37099" w:rsidP="00E37099">
      <w:pPr>
        <w:pStyle w:val="BodyText"/>
        <w:spacing w:before="0" w:line="240" w:lineRule="auto"/>
        <w:jc w:val="left"/>
        <w:rPr>
          <w:lang w:val="en-AU"/>
        </w:rPr>
      </w:pPr>
      <w:r w:rsidRPr="00C2189A">
        <w:rPr>
          <w:lang w:val="en-AU"/>
        </w:rPr>
        <w:lastRenderedPageBreak/>
        <w:t xml:space="preserve">Department of Health. (2019, 5 January). </w:t>
      </w:r>
      <w:r w:rsidRPr="00C2189A">
        <w:rPr>
          <w:i/>
          <w:iCs/>
          <w:lang w:val="en-AU"/>
        </w:rPr>
        <w:t xml:space="preserve">$3 million for tick bite medical research </w:t>
      </w:r>
      <w:r w:rsidRPr="00C2189A">
        <w:rPr>
          <w:lang w:val="en-AU"/>
        </w:rPr>
        <w:t>[Press release]. Retrieved from https://www.health.gov.au/ministers/the-hon-greg-hunt-mp/media/3-million-for-tick-bite-medical-research</w:t>
      </w:r>
    </w:p>
    <w:p w14:paraId="45D52102" w14:textId="77777777" w:rsidR="00E37099" w:rsidRPr="00C2189A" w:rsidRDefault="00E37099" w:rsidP="00E37099">
      <w:pPr>
        <w:pStyle w:val="BodyText"/>
        <w:jc w:val="left"/>
      </w:pPr>
      <w:r w:rsidRPr="00C2189A">
        <w:t xml:space="preserve">Department of Health. (2020, August 17). </w:t>
      </w:r>
      <w:r w:rsidRPr="00C2189A">
        <w:rPr>
          <w:i/>
          <w:iCs/>
        </w:rPr>
        <w:t>Debilitating Symptom Complexes Attributed to Ticks (DSCATT)</w:t>
      </w:r>
      <w:r w:rsidRPr="00C2189A">
        <w:t>. https://www1.health.gov.au/internet/main/publishing.nsf/Content/ohp-lyme-disease.htm</w:t>
      </w:r>
    </w:p>
    <w:p w14:paraId="1C60225F" w14:textId="77777777" w:rsidR="00E37099" w:rsidRPr="00C2189A" w:rsidRDefault="00E37099" w:rsidP="00E37099">
      <w:pPr>
        <w:pStyle w:val="BodyText"/>
        <w:jc w:val="left"/>
      </w:pPr>
      <w:r w:rsidRPr="00C2189A">
        <w:t xml:space="preserve">Eastwood, K., Graves, S. R., Massey, P. D., Bosward, K., Berg, D., &amp; Hutchinson, P. (2018). Q fever: A rural disease with potential urban consequences. </w:t>
      </w:r>
      <w:r w:rsidRPr="00C2189A">
        <w:rPr>
          <w:i/>
          <w:iCs/>
        </w:rPr>
        <w:t>Australian Journal of General Practice</w:t>
      </w:r>
      <w:r w:rsidRPr="00C2189A">
        <w:t xml:space="preserve">, </w:t>
      </w:r>
      <w:r w:rsidRPr="00C2189A">
        <w:rPr>
          <w:i/>
          <w:iCs/>
        </w:rPr>
        <w:t>47</w:t>
      </w:r>
      <w:r w:rsidRPr="00C2189A">
        <w:t>(3), 112–116. https://doi.org/10.31128/AFP-08-17-4299</w:t>
      </w:r>
    </w:p>
    <w:p w14:paraId="2F13456B" w14:textId="77777777" w:rsidR="00E37099" w:rsidRPr="00C2189A" w:rsidRDefault="00E37099" w:rsidP="00E37099">
      <w:pPr>
        <w:pStyle w:val="BodyText"/>
        <w:jc w:val="left"/>
      </w:pPr>
      <w:r w:rsidRPr="00C2189A">
        <w:t xml:space="preserve">Eldin, C., Raffetin, A., Bouiller, K., Hansmann, Y., Roblot, F., Raoult, D., &amp; Parola, P. (2019). Review of European and American guidelines for the diagnosis of Lyme borreliosis. </w:t>
      </w:r>
      <w:r w:rsidRPr="00C2189A">
        <w:rPr>
          <w:i/>
          <w:iCs/>
        </w:rPr>
        <w:t>Médecine et Maladies Infectieuses</w:t>
      </w:r>
      <w:r w:rsidRPr="00C2189A">
        <w:t xml:space="preserve">, </w:t>
      </w:r>
      <w:r w:rsidRPr="00C2189A">
        <w:rPr>
          <w:i/>
          <w:iCs/>
        </w:rPr>
        <w:t>49</w:t>
      </w:r>
      <w:r w:rsidRPr="00C2189A">
        <w:t>(2), 121–132. https://doi.org/10.1016/j.medmal.2018.11.011</w:t>
      </w:r>
    </w:p>
    <w:p w14:paraId="115AE879" w14:textId="77777777" w:rsidR="00E37099" w:rsidRPr="00C2189A" w:rsidRDefault="00E37099" w:rsidP="00E37099">
      <w:pPr>
        <w:pStyle w:val="BodyText"/>
        <w:jc w:val="left"/>
      </w:pPr>
      <w:r w:rsidRPr="00C2189A">
        <w:t xml:space="preserve">General Practice Mental Health Standards Collaboration. (2019). </w:t>
      </w:r>
      <w:r w:rsidRPr="00C2189A">
        <w:rPr>
          <w:i/>
          <w:iCs/>
        </w:rPr>
        <w:t>Working with the stepped care model: Mental health services through general practice</w:t>
      </w:r>
      <w:r w:rsidRPr="00C2189A">
        <w:t>. Royal Australian College of General Practitioners. https://gpmhsc.org.au/getmedia/a3c419ef-68e9-4c32-b78f-f97b16d06541/Working-with-the-stepped-care-model.pdf.aspx</w:t>
      </w:r>
    </w:p>
    <w:p w14:paraId="67953230" w14:textId="77777777" w:rsidR="00E37099" w:rsidRPr="00C2189A" w:rsidRDefault="00E37099" w:rsidP="00E37099">
      <w:pPr>
        <w:pStyle w:val="BodyText"/>
        <w:jc w:val="left"/>
      </w:pPr>
      <w:r w:rsidRPr="00C2189A">
        <w:t xml:space="preserve">Graves, S. (n.d.). </w:t>
      </w:r>
      <w:r w:rsidRPr="00C2189A">
        <w:rPr>
          <w:i/>
          <w:iCs/>
        </w:rPr>
        <w:t>Update on Australian Rickettsial Infections</w:t>
      </w:r>
      <w:r w:rsidRPr="00C2189A">
        <w:t>. https://www.asid.net.au/documents/item/415</w:t>
      </w:r>
    </w:p>
    <w:p w14:paraId="61B3392C" w14:textId="77777777" w:rsidR="00E37099" w:rsidRPr="00C2189A" w:rsidRDefault="00E37099" w:rsidP="00E37099">
      <w:pPr>
        <w:pStyle w:val="BodyText"/>
        <w:jc w:val="left"/>
      </w:pPr>
      <w:r w:rsidRPr="00C2189A">
        <w:t xml:space="preserve">Graves, S. R., Jackson, C., Hussain-Yusuf, H., Vincent, G., Nguyen, C., Stenos, J., &amp; Webster, M. (2016). Ixodes holocyclus tick-transmitted human pathogens in North-Eastern New South Wales, Australia. </w:t>
      </w:r>
      <w:r w:rsidRPr="00C2189A">
        <w:rPr>
          <w:i/>
          <w:iCs/>
        </w:rPr>
        <w:t>Tropical Medicine and Infectious Disease</w:t>
      </w:r>
      <w:r w:rsidRPr="00C2189A">
        <w:t xml:space="preserve">, </w:t>
      </w:r>
      <w:r w:rsidRPr="00C2189A">
        <w:rPr>
          <w:i/>
          <w:iCs/>
        </w:rPr>
        <w:t>1</w:t>
      </w:r>
      <w:r w:rsidRPr="00C2189A">
        <w:t>(1), 1–7. https://doi.org/10.3390/tropicalmed1010004</w:t>
      </w:r>
    </w:p>
    <w:p w14:paraId="33A52FBE" w14:textId="77777777" w:rsidR="00E37099" w:rsidRPr="00C2189A" w:rsidRDefault="00E37099" w:rsidP="00E37099">
      <w:pPr>
        <w:pStyle w:val="BodyText"/>
        <w:jc w:val="left"/>
      </w:pPr>
      <w:r w:rsidRPr="00C2189A">
        <w:t xml:space="preserve">Graves, S. R., &amp; Stenos, J. (2017). Tick-borne infectious diseases in Australia. </w:t>
      </w:r>
      <w:r w:rsidRPr="00C2189A">
        <w:rPr>
          <w:i/>
          <w:iCs/>
        </w:rPr>
        <w:t>Medical Journal of Australia</w:t>
      </w:r>
      <w:r w:rsidRPr="00C2189A">
        <w:t xml:space="preserve">, </w:t>
      </w:r>
      <w:r w:rsidRPr="00C2189A">
        <w:rPr>
          <w:i/>
          <w:iCs/>
        </w:rPr>
        <w:t>206</w:t>
      </w:r>
      <w:r w:rsidRPr="00C2189A">
        <w:t>(7), 320–324. https://doi.org/10.5694/mja17.00090</w:t>
      </w:r>
    </w:p>
    <w:p w14:paraId="63254EEF" w14:textId="77777777" w:rsidR="00E37099" w:rsidRPr="00C2189A" w:rsidRDefault="00E37099" w:rsidP="00E37099">
      <w:pPr>
        <w:pStyle w:val="BodyText"/>
        <w:jc w:val="left"/>
      </w:pPr>
      <w:r w:rsidRPr="00C2189A">
        <w:t xml:space="preserve">Harvey, E., Rose, K., Eden, J.-S., Lo, N., Abeyasuriya, T., Shi, M., Doggett, S. L., &amp; Holmes, E. C. (2019). Extensive diversity of RNA viruses in Australian ticks. </w:t>
      </w:r>
      <w:r w:rsidRPr="00C2189A">
        <w:rPr>
          <w:i/>
          <w:iCs/>
        </w:rPr>
        <w:t>Journal of Virology</w:t>
      </w:r>
      <w:r w:rsidRPr="00C2189A">
        <w:t xml:space="preserve">, </w:t>
      </w:r>
      <w:r w:rsidRPr="00C2189A">
        <w:rPr>
          <w:i/>
          <w:iCs/>
        </w:rPr>
        <w:t>93</w:t>
      </w:r>
      <w:r w:rsidRPr="00C2189A">
        <w:t>(3), 1–15. https://doi.org/10.1128/JVI.01358-18</w:t>
      </w:r>
    </w:p>
    <w:p w14:paraId="29520888" w14:textId="77777777" w:rsidR="00E37099" w:rsidRPr="00C2189A" w:rsidRDefault="00E37099" w:rsidP="00E37099">
      <w:pPr>
        <w:pStyle w:val="BodyText"/>
        <w:jc w:val="left"/>
      </w:pPr>
      <w:r w:rsidRPr="00C2189A">
        <w:t xml:space="preserve">Irwin, P. J., Robertson, I. D., Westman, M. E., Perkins, M., &amp; Straubinger, R. K. (2017). Searching for Lyme borreliosis in Australia: Results of a canine sentinel study. </w:t>
      </w:r>
      <w:r w:rsidRPr="00C2189A">
        <w:rPr>
          <w:i/>
          <w:iCs/>
        </w:rPr>
        <w:t>Parasites and Vectors</w:t>
      </w:r>
      <w:r w:rsidRPr="00C2189A">
        <w:t xml:space="preserve">, </w:t>
      </w:r>
      <w:r w:rsidRPr="00C2189A">
        <w:rPr>
          <w:i/>
          <w:iCs/>
        </w:rPr>
        <w:t>10</w:t>
      </w:r>
      <w:r w:rsidRPr="00C2189A">
        <w:t xml:space="preserve">(1), 1–9. </w:t>
      </w:r>
      <w:r w:rsidRPr="00EB40E4">
        <w:t>https://doi.org/10.1186/s13071-017-2058-z</w:t>
      </w:r>
    </w:p>
    <w:p w14:paraId="4B1E1DDA" w14:textId="77777777" w:rsidR="00E37099" w:rsidRPr="00C2189A" w:rsidRDefault="00E37099" w:rsidP="00E37099">
      <w:pPr>
        <w:pStyle w:val="BodyText"/>
        <w:spacing w:before="0" w:line="240" w:lineRule="auto"/>
        <w:jc w:val="left"/>
        <w:rPr>
          <w:rStyle w:val="Hyperlink"/>
          <w:color w:val="auto"/>
          <w:u w:val="none"/>
          <w:lang w:val="en-AU"/>
        </w:rPr>
      </w:pPr>
      <w:r w:rsidRPr="00C2189A">
        <w:rPr>
          <w:rStyle w:val="Hyperlink"/>
          <w:color w:val="auto"/>
          <w:u w:val="none"/>
          <w:lang w:val="en-AU"/>
        </w:rPr>
        <w:t xml:space="preserve">Kaplan, R. F., Trevino, R. P., Johnson, G. M., Levy, L., Dornbush, R., Hu, L. T., Evans, J., Weinstein, A., Schmid, C. H., &amp; Klempner, M. S. (2003). Cognitive function in post-treatment Lyme disease: Do antibiotics help? </w:t>
      </w:r>
      <w:r w:rsidRPr="00C2189A">
        <w:rPr>
          <w:rStyle w:val="Hyperlink"/>
          <w:i/>
          <w:color w:val="auto"/>
          <w:u w:val="none"/>
          <w:lang w:val="en-AU"/>
        </w:rPr>
        <w:t>Neurology</w:t>
      </w:r>
      <w:r w:rsidRPr="00C2189A">
        <w:rPr>
          <w:rStyle w:val="Hyperlink"/>
          <w:color w:val="auto"/>
          <w:u w:val="none"/>
          <w:lang w:val="en-AU"/>
        </w:rPr>
        <w:t xml:space="preserve">, </w:t>
      </w:r>
      <w:r w:rsidRPr="00C2189A">
        <w:rPr>
          <w:rStyle w:val="Hyperlink"/>
          <w:i/>
          <w:color w:val="auto"/>
          <w:u w:val="none"/>
          <w:lang w:val="en-AU"/>
        </w:rPr>
        <w:t>60</w:t>
      </w:r>
      <w:r w:rsidRPr="00C2189A">
        <w:rPr>
          <w:rStyle w:val="Hyperlink"/>
          <w:color w:val="auto"/>
          <w:u w:val="none"/>
          <w:lang w:val="en-AU"/>
        </w:rPr>
        <w:t xml:space="preserve">(12),1916–1922. </w:t>
      </w:r>
      <w:r w:rsidRPr="00EB40E4">
        <w:rPr>
          <w:lang w:val="en-AU"/>
        </w:rPr>
        <w:t>https://doi.org/10.1212/01.WNL.0000068030.26992.25</w:t>
      </w:r>
    </w:p>
    <w:p w14:paraId="5D6C02DE" w14:textId="77777777" w:rsidR="00E37099" w:rsidRPr="00D67A1C" w:rsidRDefault="00E37099" w:rsidP="00E37099">
      <w:pPr>
        <w:pStyle w:val="BodyText"/>
        <w:spacing w:before="0" w:line="240" w:lineRule="auto"/>
        <w:jc w:val="left"/>
        <w:rPr>
          <w:i/>
          <w:iCs/>
          <w:lang w:val="en-AU"/>
        </w:rPr>
      </w:pPr>
      <w:r w:rsidRPr="00C2189A">
        <w:rPr>
          <w:lang w:val="en-AU"/>
        </w:rPr>
        <w:t xml:space="preserve">Klempner, M. S., Hu, L. T., Evans, J., Schmid, C. H., Johnson, G. M., Trevino, R. P., Norton, D., Levy, L., Wall, D., McCall, J., Kosinski, M., &amp; Weinstein, A. (2001). Two controlled trials of antibiotic treatment in patients with persistent symptoms and a history of Lyme disease. </w:t>
      </w:r>
      <w:r w:rsidRPr="00C2189A">
        <w:rPr>
          <w:i/>
          <w:iCs/>
          <w:lang w:val="en-AU"/>
        </w:rPr>
        <w:t>The New England Journal of Medicine, 435</w:t>
      </w:r>
      <w:r w:rsidRPr="00C2189A">
        <w:rPr>
          <w:lang w:val="en-AU"/>
        </w:rPr>
        <w:t>(2), 85–92. https://doi.org/10.1056/NEJM200107123450202</w:t>
      </w:r>
    </w:p>
    <w:p w14:paraId="13B6F437" w14:textId="77777777" w:rsidR="00E37099" w:rsidRPr="00C2189A" w:rsidRDefault="00E37099" w:rsidP="00E37099">
      <w:pPr>
        <w:pStyle w:val="BodyText"/>
        <w:jc w:val="left"/>
      </w:pPr>
      <w:r w:rsidRPr="00C2189A">
        <w:t xml:space="preserve">Klempner, M. S., Baker, P. J., Shapiro, E. D., Marques, A., Dattwyler, R. J., Halperin, J. J., &amp; Wormser, G. P. (2013). Treatment trials for post-Lyme disease symptoms revisited. </w:t>
      </w:r>
      <w:r w:rsidRPr="00C2189A">
        <w:rPr>
          <w:i/>
          <w:iCs/>
        </w:rPr>
        <w:t>American Journal of Medicine</w:t>
      </w:r>
      <w:r w:rsidRPr="00C2189A">
        <w:t xml:space="preserve">, </w:t>
      </w:r>
      <w:r w:rsidRPr="00C2189A">
        <w:rPr>
          <w:i/>
          <w:iCs/>
        </w:rPr>
        <w:t>126</w:t>
      </w:r>
      <w:r w:rsidRPr="00C2189A">
        <w:t xml:space="preserve">(8), 665–669. </w:t>
      </w:r>
      <w:r w:rsidRPr="00EB40E4">
        <w:t>https://doi.org/10.1016/j.amjmed.2013.02.014</w:t>
      </w:r>
    </w:p>
    <w:p w14:paraId="6CC3953B" w14:textId="77777777" w:rsidR="00E37099" w:rsidRPr="00C2189A" w:rsidRDefault="00E37099" w:rsidP="00E37099">
      <w:pPr>
        <w:pStyle w:val="BodyText"/>
        <w:spacing w:before="0" w:line="240" w:lineRule="auto"/>
        <w:jc w:val="left"/>
        <w:rPr>
          <w:lang w:val="en-AU"/>
        </w:rPr>
      </w:pPr>
      <w:r w:rsidRPr="00C2189A">
        <w:rPr>
          <w:lang w:val="en-AU"/>
        </w:rPr>
        <w:t xml:space="preserve">Krupp, L. B., Coyle, P. K., Melville, P., Hyman, L. G., Grimson, R., Ahnn, S., Chandler, B., &amp; Dattwyler, R. (2003). Study and treatment of post Lyme disease (STOP-LD): A randomized double masked </w:t>
      </w:r>
      <w:r w:rsidRPr="00C2189A">
        <w:rPr>
          <w:lang w:val="en-AU"/>
        </w:rPr>
        <w:lastRenderedPageBreak/>
        <w:t xml:space="preserve">clinical trial. </w:t>
      </w:r>
      <w:r w:rsidRPr="00C2189A">
        <w:rPr>
          <w:i/>
          <w:iCs/>
          <w:lang w:val="en-AU"/>
        </w:rPr>
        <w:t>Neurology</w:t>
      </w:r>
      <w:r w:rsidRPr="00C2189A">
        <w:rPr>
          <w:lang w:val="en-AU"/>
        </w:rPr>
        <w:t>,</w:t>
      </w:r>
      <w:r w:rsidRPr="00C2189A">
        <w:rPr>
          <w:i/>
          <w:iCs/>
          <w:lang w:val="en-AU"/>
        </w:rPr>
        <w:t xml:space="preserve"> </w:t>
      </w:r>
      <w:r w:rsidRPr="00C2189A">
        <w:rPr>
          <w:i/>
          <w:lang w:val="en-AU"/>
        </w:rPr>
        <w:t>60</w:t>
      </w:r>
      <w:r w:rsidRPr="00C2189A">
        <w:rPr>
          <w:lang w:val="en-AU"/>
        </w:rPr>
        <w:t>(12), 1923–1930. https://doi.org/10.1212/01.WNL.0000071227.23769.9E</w:t>
      </w:r>
    </w:p>
    <w:p w14:paraId="2640DB91" w14:textId="77777777" w:rsidR="0007715E" w:rsidRDefault="00E37099" w:rsidP="00E762EA">
      <w:pPr>
        <w:pStyle w:val="BodyText"/>
        <w:spacing w:before="0"/>
        <w:jc w:val="left"/>
        <w:rPr>
          <w:lang w:val="en-AU"/>
        </w:rPr>
      </w:pPr>
      <w:r w:rsidRPr="00C2189A">
        <w:t xml:space="preserve">Lantos, P. M., Auwaerter, P. G., &amp; Wormser, G. P. (2014). A systematic review of Borrelia burgdorferi morphologic variants does not support a role in chronic Lyme disease. </w:t>
      </w:r>
      <w:r w:rsidRPr="00C2189A">
        <w:rPr>
          <w:i/>
          <w:iCs/>
        </w:rPr>
        <w:t>Clinical Infectious Diseases</w:t>
      </w:r>
      <w:r w:rsidRPr="00C2189A">
        <w:t xml:space="preserve">, </w:t>
      </w:r>
      <w:r w:rsidRPr="00C2189A">
        <w:rPr>
          <w:i/>
          <w:iCs/>
        </w:rPr>
        <w:t>58</w:t>
      </w:r>
      <w:r w:rsidRPr="00C2189A">
        <w:t>(5), 663–671. https://doi.org/10.1093/cid/cit810</w:t>
      </w:r>
      <w:r w:rsidR="00E762EA" w:rsidRPr="00E762EA">
        <w:rPr>
          <w:lang w:val="en-AU"/>
        </w:rPr>
        <w:t xml:space="preserve"> </w:t>
      </w:r>
    </w:p>
    <w:p w14:paraId="21340924" w14:textId="77777777" w:rsidR="00E762EA" w:rsidRPr="000E1E8F" w:rsidRDefault="00E762EA" w:rsidP="00E762EA">
      <w:pPr>
        <w:pStyle w:val="BodyText"/>
        <w:spacing w:before="0"/>
        <w:jc w:val="left"/>
        <w:rPr>
          <w:i/>
          <w:iCs/>
          <w:lang w:val="en-AU"/>
        </w:rPr>
      </w:pPr>
      <w:r w:rsidRPr="000E1E8F">
        <w:rPr>
          <w:lang w:val="en-AU"/>
        </w:rPr>
        <w:t>Lantos, P</w:t>
      </w:r>
      <w:r>
        <w:rPr>
          <w:lang w:val="en-AU"/>
        </w:rPr>
        <w:t>.</w:t>
      </w:r>
      <w:r w:rsidRPr="000E1E8F">
        <w:rPr>
          <w:lang w:val="en-AU"/>
        </w:rPr>
        <w:t xml:space="preserve"> M</w:t>
      </w:r>
      <w:r>
        <w:rPr>
          <w:lang w:val="en-AU"/>
        </w:rPr>
        <w:t>.</w:t>
      </w:r>
      <w:r w:rsidRPr="000E1E8F">
        <w:rPr>
          <w:lang w:val="en-AU"/>
        </w:rPr>
        <w:t>, Branda</w:t>
      </w:r>
      <w:r>
        <w:rPr>
          <w:lang w:val="en-AU"/>
        </w:rPr>
        <w:t>,</w:t>
      </w:r>
      <w:r w:rsidRPr="000E1E8F">
        <w:rPr>
          <w:lang w:val="en-AU"/>
        </w:rPr>
        <w:t xml:space="preserve"> J</w:t>
      </w:r>
      <w:r>
        <w:rPr>
          <w:lang w:val="en-AU"/>
        </w:rPr>
        <w:t>.</w:t>
      </w:r>
      <w:r w:rsidRPr="000E1E8F">
        <w:rPr>
          <w:lang w:val="en-AU"/>
        </w:rPr>
        <w:t xml:space="preserve"> A</w:t>
      </w:r>
      <w:r>
        <w:rPr>
          <w:lang w:val="en-AU"/>
        </w:rPr>
        <w:t>.</w:t>
      </w:r>
      <w:r w:rsidRPr="000E1E8F">
        <w:rPr>
          <w:lang w:val="en-AU"/>
        </w:rPr>
        <w:t>, Boggan</w:t>
      </w:r>
      <w:r>
        <w:rPr>
          <w:lang w:val="en-AU"/>
        </w:rPr>
        <w:t>,</w:t>
      </w:r>
      <w:r w:rsidRPr="000E1E8F">
        <w:rPr>
          <w:lang w:val="en-AU"/>
        </w:rPr>
        <w:t xml:space="preserve"> J</w:t>
      </w:r>
      <w:r>
        <w:rPr>
          <w:lang w:val="en-AU"/>
        </w:rPr>
        <w:t>.</w:t>
      </w:r>
      <w:r w:rsidRPr="000E1E8F">
        <w:rPr>
          <w:lang w:val="en-AU"/>
        </w:rPr>
        <w:t xml:space="preserve"> C</w:t>
      </w:r>
      <w:r>
        <w:rPr>
          <w:lang w:val="en-AU"/>
        </w:rPr>
        <w:t>.</w:t>
      </w:r>
      <w:r w:rsidRPr="000E1E8F">
        <w:rPr>
          <w:lang w:val="en-AU"/>
        </w:rPr>
        <w:t>, Chudgar</w:t>
      </w:r>
      <w:r>
        <w:rPr>
          <w:lang w:val="en-AU"/>
        </w:rPr>
        <w:t>,</w:t>
      </w:r>
      <w:r w:rsidRPr="000E1E8F">
        <w:rPr>
          <w:lang w:val="en-AU"/>
        </w:rPr>
        <w:t xml:space="preserve"> S</w:t>
      </w:r>
      <w:r>
        <w:rPr>
          <w:lang w:val="en-AU"/>
        </w:rPr>
        <w:t>.</w:t>
      </w:r>
      <w:r w:rsidRPr="000E1E8F">
        <w:rPr>
          <w:lang w:val="en-AU"/>
        </w:rPr>
        <w:t xml:space="preserve"> M</w:t>
      </w:r>
      <w:r>
        <w:rPr>
          <w:lang w:val="en-AU"/>
        </w:rPr>
        <w:t>.</w:t>
      </w:r>
      <w:r w:rsidRPr="000E1E8F">
        <w:rPr>
          <w:lang w:val="en-AU"/>
        </w:rPr>
        <w:t>, Wilson</w:t>
      </w:r>
      <w:r>
        <w:rPr>
          <w:lang w:val="en-AU"/>
        </w:rPr>
        <w:t>,</w:t>
      </w:r>
      <w:r w:rsidRPr="000E1E8F">
        <w:rPr>
          <w:lang w:val="en-AU"/>
        </w:rPr>
        <w:t xml:space="preserve"> E</w:t>
      </w:r>
      <w:r>
        <w:rPr>
          <w:lang w:val="en-AU"/>
        </w:rPr>
        <w:t>.</w:t>
      </w:r>
      <w:r w:rsidRPr="000E1E8F">
        <w:rPr>
          <w:lang w:val="en-AU"/>
        </w:rPr>
        <w:t xml:space="preserve"> A</w:t>
      </w:r>
      <w:r>
        <w:rPr>
          <w:lang w:val="en-AU"/>
        </w:rPr>
        <w:t>.</w:t>
      </w:r>
      <w:r w:rsidRPr="000E1E8F">
        <w:rPr>
          <w:lang w:val="en-AU"/>
        </w:rPr>
        <w:t>, Ruffin</w:t>
      </w:r>
      <w:r>
        <w:rPr>
          <w:lang w:val="en-AU"/>
        </w:rPr>
        <w:t>,</w:t>
      </w:r>
      <w:r w:rsidRPr="000E1E8F">
        <w:rPr>
          <w:lang w:val="en-AU"/>
        </w:rPr>
        <w:t xml:space="preserve"> F</w:t>
      </w:r>
      <w:r>
        <w:rPr>
          <w:lang w:val="en-AU"/>
        </w:rPr>
        <w:t>.</w:t>
      </w:r>
      <w:r w:rsidRPr="000E1E8F">
        <w:rPr>
          <w:lang w:val="en-AU"/>
        </w:rPr>
        <w:t>, Fowler</w:t>
      </w:r>
      <w:r>
        <w:rPr>
          <w:lang w:val="en-AU"/>
        </w:rPr>
        <w:t>,</w:t>
      </w:r>
      <w:r w:rsidRPr="000E1E8F">
        <w:rPr>
          <w:lang w:val="en-AU"/>
        </w:rPr>
        <w:t xml:space="preserve"> V</w:t>
      </w:r>
      <w:r>
        <w:rPr>
          <w:lang w:val="en-AU"/>
        </w:rPr>
        <w:t>.</w:t>
      </w:r>
      <w:r w:rsidRPr="000E1E8F">
        <w:rPr>
          <w:lang w:val="en-AU"/>
        </w:rPr>
        <w:t>, Auwaerter</w:t>
      </w:r>
      <w:r>
        <w:rPr>
          <w:lang w:val="en-AU"/>
        </w:rPr>
        <w:t>,</w:t>
      </w:r>
      <w:r w:rsidRPr="000E1E8F">
        <w:rPr>
          <w:lang w:val="en-AU"/>
        </w:rPr>
        <w:t xml:space="preserve"> P</w:t>
      </w:r>
      <w:r>
        <w:rPr>
          <w:lang w:val="en-AU"/>
        </w:rPr>
        <w:t>.</w:t>
      </w:r>
      <w:r w:rsidRPr="000E1E8F">
        <w:rPr>
          <w:lang w:val="en-AU"/>
        </w:rPr>
        <w:t xml:space="preserve"> G</w:t>
      </w:r>
      <w:r>
        <w:rPr>
          <w:lang w:val="en-AU"/>
        </w:rPr>
        <w:t>.</w:t>
      </w:r>
      <w:r w:rsidRPr="000E1E8F">
        <w:rPr>
          <w:lang w:val="en-AU"/>
        </w:rPr>
        <w:t xml:space="preserve">, </w:t>
      </w:r>
      <w:r>
        <w:rPr>
          <w:lang w:val="en-AU"/>
        </w:rPr>
        <w:t>&amp;</w:t>
      </w:r>
      <w:r w:rsidRPr="000E1E8F">
        <w:rPr>
          <w:lang w:val="en-AU"/>
        </w:rPr>
        <w:t xml:space="preserve"> Nigrovic</w:t>
      </w:r>
      <w:r>
        <w:rPr>
          <w:lang w:val="en-AU"/>
        </w:rPr>
        <w:t>,</w:t>
      </w:r>
      <w:r w:rsidRPr="000E1E8F">
        <w:rPr>
          <w:lang w:val="en-AU"/>
        </w:rPr>
        <w:t xml:space="preserve"> L</w:t>
      </w:r>
      <w:r>
        <w:rPr>
          <w:lang w:val="en-AU"/>
        </w:rPr>
        <w:t>.</w:t>
      </w:r>
      <w:r w:rsidRPr="000E1E8F">
        <w:rPr>
          <w:lang w:val="en-AU"/>
        </w:rPr>
        <w:t xml:space="preserve"> E. (2015a). Poor </w:t>
      </w:r>
      <w:r>
        <w:rPr>
          <w:lang w:val="en-AU"/>
        </w:rPr>
        <w:t>p</w:t>
      </w:r>
      <w:r w:rsidRPr="000E1E8F">
        <w:rPr>
          <w:lang w:val="en-AU"/>
        </w:rPr>
        <w:t xml:space="preserve">ositive </w:t>
      </w:r>
      <w:r>
        <w:rPr>
          <w:lang w:val="en-AU"/>
        </w:rPr>
        <w:t>p</w:t>
      </w:r>
      <w:r w:rsidRPr="000E1E8F">
        <w:rPr>
          <w:lang w:val="en-AU"/>
        </w:rPr>
        <w:t xml:space="preserve">redictive </w:t>
      </w:r>
      <w:r>
        <w:rPr>
          <w:lang w:val="en-AU"/>
        </w:rPr>
        <w:t>v</w:t>
      </w:r>
      <w:r w:rsidRPr="000E1E8F">
        <w:rPr>
          <w:lang w:val="en-AU"/>
        </w:rPr>
        <w:t xml:space="preserve">alue of Lyme </w:t>
      </w:r>
      <w:r>
        <w:rPr>
          <w:lang w:val="en-AU"/>
        </w:rPr>
        <w:t>d</w:t>
      </w:r>
      <w:r w:rsidRPr="000E1E8F">
        <w:rPr>
          <w:lang w:val="en-AU"/>
        </w:rPr>
        <w:t xml:space="preserve">isease </w:t>
      </w:r>
      <w:r>
        <w:rPr>
          <w:lang w:val="en-AU"/>
        </w:rPr>
        <w:t>s</w:t>
      </w:r>
      <w:r w:rsidRPr="000E1E8F">
        <w:rPr>
          <w:lang w:val="en-AU"/>
        </w:rPr>
        <w:t xml:space="preserve">erologic </w:t>
      </w:r>
      <w:r>
        <w:rPr>
          <w:lang w:val="en-AU"/>
        </w:rPr>
        <w:t>t</w:t>
      </w:r>
      <w:r w:rsidRPr="000E1E8F">
        <w:rPr>
          <w:lang w:val="en-AU"/>
        </w:rPr>
        <w:t xml:space="preserve">esting in an </w:t>
      </w:r>
      <w:r>
        <w:rPr>
          <w:lang w:val="en-AU"/>
        </w:rPr>
        <w:t>a</w:t>
      </w:r>
      <w:r w:rsidRPr="000E1E8F">
        <w:rPr>
          <w:lang w:val="en-AU"/>
        </w:rPr>
        <w:t xml:space="preserve">rea of </w:t>
      </w:r>
      <w:r>
        <w:rPr>
          <w:lang w:val="en-AU"/>
        </w:rPr>
        <w:t>l</w:t>
      </w:r>
      <w:r w:rsidRPr="000E1E8F">
        <w:rPr>
          <w:lang w:val="en-AU"/>
        </w:rPr>
        <w:t xml:space="preserve">ow </w:t>
      </w:r>
      <w:r>
        <w:rPr>
          <w:lang w:val="en-AU"/>
        </w:rPr>
        <w:t>d</w:t>
      </w:r>
      <w:r w:rsidRPr="000E1E8F">
        <w:rPr>
          <w:lang w:val="en-AU"/>
        </w:rPr>
        <w:t xml:space="preserve">isease </w:t>
      </w:r>
      <w:r>
        <w:rPr>
          <w:lang w:val="en-AU"/>
        </w:rPr>
        <w:t>i</w:t>
      </w:r>
      <w:r w:rsidRPr="000E1E8F">
        <w:rPr>
          <w:lang w:val="en-AU"/>
        </w:rPr>
        <w:t xml:space="preserve">ncidence. </w:t>
      </w:r>
      <w:r w:rsidRPr="000E1E8F">
        <w:rPr>
          <w:i/>
          <w:iCs/>
          <w:lang w:val="en-AU"/>
        </w:rPr>
        <w:t>Clinical Infectious Diseases</w:t>
      </w:r>
      <w:r w:rsidRPr="00AB5175">
        <w:rPr>
          <w:lang w:val="en-AU"/>
        </w:rPr>
        <w:t>,</w:t>
      </w:r>
      <w:r w:rsidRPr="000E1E8F">
        <w:rPr>
          <w:i/>
          <w:iCs/>
          <w:lang w:val="en-AU"/>
        </w:rPr>
        <w:t xml:space="preserve"> 61</w:t>
      </w:r>
      <w:r w:rsidRPr="00AB5175">
        <w:rPr>
          <w:lang w:val="en-AU"/>
        </w:rPr>
        <w:t>(9)</w:t>
      </w:r>
      <w:r>
        <w:rPr>
          <w:lang w:val="en-AU"/>
        </w:rPr>
        <w:t xml:space="preserve">, </w:t>
      </w:r>
      <w:r w:rsidRPr="00AB5175">
        <w:rPr>
          <w:lang w:val="en-AU"/>
        </w:rPr>
        <w:t>1374</w:t>
      </w:r>
      <w:r>
        <w:rPr>
          <w:lang w:val="en-AU"/>
        </w:rPr>
        <w:t>–13</w:t>
      </w:r>
      <w:r w:rsidRPr="00AB5175">
        <w:rPr>
          <w:lang w:val="en-AU"/>
        </w:rPr>
        <w:t>80.</w:t>
      </w:r>
      <w:r>
        <w:rPr>
          <w:lang w:val="en-AU"/>
        </w:rPr>
        <w:t xml:space="preserve"> </w:t>
      </w:r>
      <w:r w:rsidRPr="00397F41">
        <w:rPr>
          <w:lang w:val="en-AU"/>
        </w:rPr>
        <w:t>https://doi.org/10.1093/cid/civ584</w:t>
      </w:r>
    </w:p>
    <w:p w14:paraId="644F7E25" w14:textId="77777777" w:rsidR="00E762EA" w:rsidRPr="000A5839" w:rsidRDefault="00E762EA" w:rsidP="00E762EA">
      <w:pPr>
        <w:pStyle w:val="BodyText"/>
        <w:spacing w:before="0"/>
        <w:jc w:val="left"/>
        <w:rPr>
          <w:lang w:val="en-AU"/>
        </w:rPr>
      </w:pPr>
      <w:r w:rsidRPr="000E1E8F">
        <w:rPr>
          <w:lang w:val="en-AU"/>
        </w:rPr>
        <w:t>Lantos, P.</w:t>
      </w:r>
      <w:r>
        <w:rPr>
          <w:lang w:val="en-AU"/>
        </w:rPr>
        <w:t xml:space="preserve"> </w:t>
      </w:r>
      <w:r w:rsidRPr="000E1E8F">
        <w:rPr>
          <w:lang w:val="en-AU"/>
        </w:rPr>
        <w:t>M., Shapiro, E.</w:t>
      </w:r>
      <w:r>
        <w:rPr>
          <w:lang w:val="en-AU"/>
        </w:rPr>
        <w:t xml:space="preserve"> </w:t>
      </w:r>
      <w:r w:rsidRPr="000E1E8F">
        <w:rPr>
          <w:lang w:val="en-AU"/>
        </w:rPr>
        <w:t>D., Auwaeter, P.</w:t>
      </w:r>
      <w:r>
        <w:rPr>
          <w:lang w:val="en-AU"/>
        </w:rPr>
        <w:t xml:space="preserve"> </w:t>
      </w:r>
      <w:r w:rsidRPr="000E1E8F">
        <w:rPr>
          <w:lang w:val="en-AU"/>
        </w:rPr>
        <w:t>G., Baker, P.</w:t>
      </w:r>
      <w:r>
        <w:rPr>
          <w:lang w:val="en-AU"/>
        </w:rPr>
        <w:t xml:space="preserve"> </w:t>
      </w:r>
      <w:r w:rsidRPr="000E1E8F">
        <w:rPr>
          <w:lang w:val="en-AU"/>
        </w:rPr>
        <w:t>J., Halperin, J.</w:t>
      </w:r>
      <w:r>
        <w:rPr>
          <w:lang w:val="en-AU"/>
        </w:rPr>
        <w:t xml:space="preserve"> </w:t>
      </w:r>
      <w:r w:rsidRPr="000E1E8F">
        <w:rPr>
          <w:lang w:val="en-AU"/>
        </w:rPr>
        <w:t>J., McSweegan, E., Wormser, G.</w:t>
      </w:r>
      <w:r>
        <w:rPr>
          <w:lang w:val="en-AU"/>
        </w:rPr>
        <w:t xml:space="preserve"> </w:t>
      </w:r>
      <w:r w:rsidRPr="000E1E8F">
        <w:rPr>
          <w:lang w:val="en-AU"/>
        </w:rPr>
        <w:t xml:space="preserve">P. (2015b). Unorthodox alternative therapies marketed to treat Lyme disease. </w:t>
      </w:r>
      <w:r w:rsidRPr="000E1E8F">
        <w:rPr>
          <w:i/>
          <w:iCs/>
          <w:lang w:val="en-AU"/>
        </w:rPr>
        <w:t xml:space="preserve">Clinical Infectious </w:t>
      </w:r>
      <w:r w:rsidRPr="00397F41">
        <w:rPr>
          <w:lang w:val="en-AU"/>
        </w:rPr>
        <w:t>Diseases</w:t>
      </w:r>
      <w:r>
        <w:rPr>
          <w:lang w:val="en-AU"/>
        </w:rPr>
        <w:t xml:space="preserve">, </w:t>
      </w:r>
      <w:r w:rsidRPr="000E1E8F">
        <w:rPr>
          <w:i/>
          <w:iCs/>
          <w:lang w:val="en-AU"/>
        </w:rPr>
        <w:t>60</w:t>
      </w:r>
      <w:r w:rsidRPr="00397F41">
        <w:rPr>
          <w:lang w:val="en-AU"/>
        </w:rPr>
        <w:t>(12)</w:t>
      </w:r>
      <w:r>
        <w:rPr>
          <w:lang w:val="en-AU"/>
        </w:rPr>
        <w:t xml:space="preserve">, </w:t>
      </w:r>
      <w:r w:rsidRPr="00397F41">
        <w:rPr>
          <w:lang w:val="en-AU"/>
        </w:rPr>
        <w:t>1776</w:t>
      </w:r>
      <w:r>
        <w:rPr>
          <w:lang w:val="en-AU"/>
        </w:rPr>
        <w:t>–17</w:t>
      </w:r>
      <w:r w:rsidRPr="00397F41">
        <w:rPr>
          <w:lang w:val="en-AU"/>
        </w:rPr>
        <w:t>82</w:t>
      </w:r>
      <w:r w:rsidRPr="000E1E8F">
        <w:rPr>
          <w:i/>
          <w:iCs/>
          <w:lang w:val="en-AU"/>
        </w:rPr>
        <w:t xml:space="preserve">. </w:t>
      </w:r>
      <w:r w:rsidRPr="000A5839">
        <w:rPr>
          <w:lang w:val="en-AU"/>
        </w:rPr>
        <w:t>https://doi.org/10.1093/cid/civ186</w:t>
      </w:r>
    </w:p>
    <w:p w14:paraId="58A74A00" w14:textId="77777777" w:rsidR="00E37099" w:rsidRPr="00C2189A" w:rsidRDefault="00E37099" w:rsidP="00E37099">
      <w:pPr>
        <w:pStyle w:val="BodyText"/>
        <w:jc w:val="left"/>
      </w:pPr>
      <w:r w:rsidRPr="00C2189A">
        <w:t xml:space="preserve">Lantos, P. M., Rumbaugh, J., Falck-Ytter, Y. T., Aguero-Rosenfeld, M. E., Auwaerter, P. G., Baldwin, K., Banuru, R., Belani, K. K., Bowie, W. R., Branda, J. A., Clifford, D. B., DiMario Jr., F. J., Halperin, J. J., Krause, P. J., Lavergne, V., Liang, M. H., Meissner, H. C., Nigrovic, L. E., Nocton, J. J., … Lawrence S. Zemel. (2019). </w:t>
      </w:r>
      <w:r w:rsidRPr="00C2189A">
        <w:rPr>
          <w:i/>
          <w:iCs/>
        </w:rPr>
        <w:t>Draft Clinical Practice Guidelines by the Infectious Diseases Society of America (IDSA), American Academy of Neurology (AAN), and American College of Rheumatology (ACR): 2019 Guidelines for the Prevention, Diagnosis and Treatment of Lyme Disease</w:t>
      </w:r>
      <w:r w:rsidRPr="00C2189A">
        <w:t>.</w:t>
      </w:r>
    </w:p>
    <w:p w14:paraId="24CEC5CE" w14:textId="77777777" w:rsidR="00E37099" w:rsidRPr="00C2189A" w:rsidRDefault="00E37099" w:rsidP="00E37099">
      <w:pPr>
        <w:pStyle w:val="BodyText"/>
        <w:jc w:val="left"/>
      </w:pPr>
      <w:r w:rsidRPr="00C2189A">
        <w:t xml:space="preserve">Leeflang, M. M. G., Ang, C. W., Berkhout, J., Bijlmer, H. A., Van Bortel, W., Brandenburg, A. H., Van Burgel, N. D., Van Dam, A. P. V., Dessau, R. B., Fingerle, V., Hovius, J. W. R., Jaulhac, B., Meijer, B., Van Pelt, W. V., Schellekens, J. F. P., Spijker, R., Stelma, F. F., Stanek, G., Verduyn-Lunel, F., … Sprong, H. (2016). The diagnostic accuracy of serological tests for Lyme borreliosis in Europe: A systematic review and meta-analysis. </w:t>
      </w:r>
      <w:r w:rsidRPr="00C2189A">
        <w:rPr>
          <w:i/>
          <w:iCs/>
        </w:rPr>
        <w:t>BMC Infectious Diseases</w:t>
      </w:r>
      <w:r w:rsidRPr="00C2189A">
        <w:t xml:space="preserve">, </w:t>
      </w:r>
      <w:r w:rsidRPr="00C2189A">
        <w:rPr>
          <w:i/>
          <w:iCs/>
        </w:rPr>
        <w:t>16</w:t>
      </w:r>
      <w:r w:rsidRPr="00C2189A">
        <w:t>, 1–17. https://doi.org/10.1186/s12879-016-1468-4</w:t>
      </w:r>
    </w:p>
    <w:p w14:paraId="2B874794" w14:textId="77777777" w:rsidR="00E37099" w:rsidRPr="00C2189A" w:rsidRDefault="00E37099" w:rsidP="00E37099">
      <w:pPr>
        <w:pStyle w:val="BodyText"/>
        <w:jc w:val="left"/>
      </w:pPr>
      <w:r w:rsidRPr="00C2189A">
        <w:t xml:space="preserve">Loh, S.-M., Gillett, A., Ryan, U., Irwin, P., &amp; Oskam, C. (2017). Molecular characterization of ‘Candidatus Borrelia tachyglossi’ (family Spirochaetaceae) in echidna ticks, Bothriocroton concolor. </w:t>
      </w:r>
      <w:r w:rsidRPr="00C2189A">
        <w:rPr>
          <w:i/>
          <w:iCs/>
        </w:rPr>
        <w:t>International Journal of Systematic and Evolutionary Microbiology,</w:t>
      </w:r>
      <w:r w:rsidRPr="00C2189A">
        <w:t xml:space="preserve"> </w:t>
      </w:r>
      <w:r w:rsidRPr="00C2189A">
        <w:rPr>
          <w:i/>
          <w:iCs/>
        </w:rPr>
        <w:t>67</w:t>
      </w:r>
      <w:r w:rsidRPr="00C2189A">
        <w:t>(4), 1075–1080. https://doi.org/10.1099/ijsem.0.001929</w:t>
      </w:r>
    </w:p>
    <w:p w14:paraId="7FD1C723" w14:textId="77777777" w:rsidR="00E37099" w:rsidRPr="00C2189A" w:rsidRDefault="00E37099" w:rsidP="00E37099">
      <w:pPr>
        <w:pStyle w:val="BodyText"/>
        <w:jc w:val="left"/>
      </w:pPr>
      <w:r w:rsidRPr="00C2189A">
        <w:t xml:space="preserve">Loh, S.-M., Gofton, A. W., Lo, N., Gillett, A., Ryan, U. M., Irwin, P. J., &amp; Oskam, C. L. (2016). Novel Borrelia species detected in echidna ticks, Bothriocroton concolor, in Australia. </w:t>
      </w:r>
      <w:r w:rsidRPr="00C2189A">
        <w:rPr>
          <w:i/>
          <w:iCs/>
        </w:rPr>
        <w:t>Parasites and Vectors</w:t>
      </w:r>
      <w:r w:rsidRPr="00C2189A">
        <w:t xml:space="preserve">, </w:t>
      </w:r>
      <w:r w:rsidRPr="00C2189A">
        <w:rPr>
          <w:i/>
          <w:iCs/>
        </w:rPr>
        <w:t>9</w:t>
      </w:r>
      <w:r w:rsidRPr="00C2189A">
        <w:t>, 1–7. https://doi.org/10.1186/s13071-016-1627-x</w:t>
      </w:r>
    </w:p>
    <w:p w14:paraId="2DD189C5" w14:textId="77777777" w:rsidR="00E37099" w:rsidRPr="00C2189A" w:rsidRDefault="00E37099" w:rsidP="00E37099">
      <w:pPr>
        <w:pStyle w:val="BodyText"/>
        <w:jc w:val="left"/>
      </w:pPr>
      <w:r w:rsidRPr="00C2189A">
        <w:t xml:space="preserve">Mackenzie, J. S. (2013). </w:t>
      </w:r>
      <w:r w:rsidRPr="00C2189A">
        <w:rPr>
          <w:i/>
          <w:iCs/>
        </w:rPr>
        <w:t>Scoping study to develop a research project(s) to investigate the presence or absence of Lyme disease in Australia</w:t>
      </w:r>
      <w:r w:rsidRPr="00C2189A">
        <w:t xml:space="preserve"> [Final Report]. Department of Health. https://www1.health.gov.au/internet/main/publishing.nsf/Content/ohp-lyme-disease.htm/$File/scoping-study-2013.pdf</w:t>
      </w:r>
    </w:p>
    <w:p w14:paraId="5A9F0E60" w14:textId="77777777" w:rsidR="00E37099" w:rsidRPr="00C2189A" w:rsidRDefault="00E37099" w:rsidP="00E37099">
      <w:pPr>
        <w:pStyle w:val="BodyText"/>
        <w:jc w:val="left"/>
      </w:pPr>
      <w:r w:rsidRPr="00C2189A">
        <w:t xml:space="preserve">Marzec, N. S., Nelson, C., Waldron, P. R., Blackburn, B. G., Hosain, S., Greenhow, T., Green, G. M., Lomen-Hoerth, C., Golden, M., &amp; Mead, P. S. (2017). </w:t>
      </w:r>
      <w:r w:rsidRPr="00C2189A">
        <w:rPr>
          <w:i/>
          <w:iCs/>
        </w:rPr>
        <w:t>Serious bacterial infections acquired during treatment of patients given a diagnosis of chronic Lyme disease – United States</w:t>
      </w:r>
      <w:r w:rsidRPr="00C2189A">
        <w:t xml:space="preserve"> (MMWR Morb Mortal Wkly Rep, pp. 607–609). Centres for Disease Control and Prevention. https://doi.org/10.15585/mmwr.mm6623a3</w:t>
      </w:r>
    </w:p>
    <w:p w14:paraId="22F7617A" w14:textId="77777777" w:rsidR="00E37099" w:rsidRPr="00C2189A" w:rsidRDefault="00E37099" w:rsidP="00E37099">
      <w:pPr>
        <w:pStyle w:val="BodyText"/>
        <w:jc w:val="left"/>
      </w:pPr>
      <w:r w:rsidRPr="00C2189A">
        <w:t xml:space="preserve">Murtagh, J. (2003). Fatigue—A general diagnostic approach. </w:t>
      </w:r>
      <w:r w:rsidRPr="00C2189A">
        <w:rPr>
          <w:i/>
          <w:iCs/>
        </w:rPr>
        <w:t>Australian Family Physician</w:t>
      </w:r>
      <w:r w:rsidRPr="00C2189A">
        <w:t xml:space="preserve">, </w:t>
      </w:r>
      <w:r w:rsidRPr="00C2189A">
        <w:rPr>
          <w:i/>
          <w:iCs/>
        </w:rPr>
        <w:t>32</w:t>
      </w:r>
      <w:r w:rsidRPr="00C2189A">
        <w:t>(11), 873–876.</w:t>
      </w:r>
    </w:p>
    <w:p w14:paraId="07634EAE" w14:textId="77777777" w:rsidR="00E37099" w:rsidRPr="00C2189A" w:rsidRDefault="00E37099" w:rsidP="00E37099">
      <w:pPr>
        <w:pStyle w:val="BodyText"/>
        <w:jc w:val="left"/>
      </w:pPr>
      <w:r w:rsidRPr="00C2189A">
        <w:t>National Association of Testing Authorit</w:t>
      </w:r>
      <w:r w:rsidR="001114C3">
        <w:t>ies</w:t>
      </w:r>
      <w:r w:rsidRPr="00C2189A">
        <w:t xml:space="preserve">, Australia. (n.d.). </w:t>
      </w:r>
      <w:r w:rsidRPr="00C2189A">
        <w:rPr>
          <w:i/>
          <w:iCs/>
        </w:rPr>
        <w:t>About accreditation</w:t>
      </w:r>
      <w:r w:rsidRPr="00C2189A">
        <w:t>. https://www.nata.com.au/about-nata/about-accreditation</w:t>
      </w:r>
    </w:p>
    <w:p w14:paraId="07CE1606" w14:textId="77777777" w:rsidR="00E37099" w:rsidRPr="00C2189A" w:rsidRDefault="00E37099" w:rsidP="00E37099">
      <w:pPr>
        <w:pStyle w:val="BodyText"/>
        <w:jc w:val="left"/>
      </w:pPr>
      <w:r w:rsidRPr="00C2189A">
        <w:lastRenderedPageBreak/>
        <w:t xml:space="preserve">National Health and Medical Research Council. (2014). </w:t>
      </w:r>
      <w:r w:rsidRPr="00C2189A">
        <w:rPr>
          <w:i/>
          <w:iCs/>
        </w:rPr>
        <w:t>Talking with your patients about Complementary Medicine—A Resource for Clinicians</w:t>
      </w:r>
      <w:r w:rsidRPr="00C2189A">
        <w:t xml:space="preserve">. National Health and Medical Research Council. </w:t>
      </w:r>
      <w:r w:rsidRPr="00EB40E4">
        <w:t>https://www.nhmrc.gov.au/about-us/publications/talking-your-patients-about-complementary-medicine-resource-clinicians</w:t>
      </w:r>
    </w:p>
    <w:p w14:paraId="082F8920" w14:textId="77777777" w:rsidR="00E37099" w:rsidRPr="00C2189A" w:rsidRDefault="00E37099" w:rsidP="00E37099">
      <w:pPr>
        <w:pStyle w:val="BodyText"/>
        <w:spacing w:before="0" w:line="240" w:lineRule="auto"/>
        <w:jc w:val="left"/>
        <w:rPr>
          <w:lang w:val="en-AU"/>
        </w:rPr>
      </w:pPr>
      <w:r w:rsidRPr="00C2189A">
        <w:rPr>
          <w:lang w:val="en-AU"/>
        </w:rPr>
        <w:t xml:space="preserve">National Institute for Health and Care Excellence (NICE). (2018a). </w:t>
      </w:r>
      <w:r w:rsidRPr="00C2189A">
        <w:rPr>
          <w:i/>
          <w:iCs/>
          <w:lang w:val="en-AU"/>
        </w:rPr>
        <w:t>Lyme disease</w:t>
      </w:r>
      <w:r w:rsidRPr="00C2189A">
        <w:rPr>
          <w:lang w:val="en-AU"/>
        </w:rPr>
        <w:t xml:space="preserve"> </w:t>
      </w:r>
      <w:r w:rsidRPr="00C2189A">
        <w:rPr>
          <w:i/>
          <w:iCs/>
          <w:lang w:val="en-AU"/>
        </w:rPr>
        <w:t>– NICE guideline</w:t>
      </w:r>
      <w:r w:rsidRPr="00C2189A">
        <w:rPr>
          <w:lang w:val="en-AU"/>
        </w:rPr>
        <w:t>. Retrieved from https://www.nice.org.uk/guidance/ng95/resources/lyme-disease-pdf-1837756839877</w:t>
      </w:r>
    </w:p>
    <w:p w14:paraId="22AC32CB" w14:textId="77777777" w:rsidR="00E37099" w:rsidRPr="00C2189A" w:rsidRDefault="00E37099" w:rsidP="00E37099">
      <w:pPr>
        <w:pStyle w:val="BodyText"/>
        <w:spacing w:before="0"/>
        <w:jc w:val="left"/>
        <w:rPr>
          <w:lang w:val="en-AU"/>
        </w:rPr>
      </w:pPr>
      <w:r w:rsidRPr="00C2189A">
        <w:rPr>
          <w:lang w:val="en-AU"/>
        </w:rPr>
        <w:t xml:space="preserve">NICE. (2018b). </w:t>
      </w:r>
      <w:r w:rsidRPr="00C2189A">
        <w:rPr>
          <w:i/>
          <w:iCs/>
          <w:lang w:val="en-AU"/>
        </w:rPr>
        <w:t>Lyme disease: Diagnosis and management</w:t>
      </w:r>
      <w:r w:rsidRPr="00C2189A">
        <w:rPr>
          <w:i/>
          <w:lang w:val="en-AU"/>
        </w:rPr>
        <w:t xml:space="preserve"> </w:t>
      </w:r>
      <w:r w:rsidRPr="00C2189A">
        <w:rPr>
          <w:i/>
          <w:iCs/>
          <w:lang w:val="en-AU"/>
        </w:rPr>
        <w:t>– [M]</w:t>
      </w:r>
      <w:r w:rsidRPr="00C2189A">
        <w:rPr>
          <w:i/>
          <w:lang w:val="en-AU"/>
        </w:rPr>
        <w:t xml:space="preserve"> </w:t>
      </w:r>
      <w:r w:rsidRPr="00C2189A">
        <w:rPr>
          <w:i/>
          <w:iCs/>
          <w:lang w:val="en-AU"/>
        </w:rPr>
        <w:t>Evidence review for person-to-person transmission</w:t>
      </w:r>
      <w:r w:rsidRPr="00C2189A">
        <w:rPr>
          <w:lang w:val="en-AU"/>
        </w:rPr>
        <w:t xml:space="preserve"> </w:t>
      </w:r>
      <w:r w:rsidRPr="00C2189A">
        <w:rPr>
          <w:i/>
          <w:iCs/>
          <w:lang w:val="en-AU"/>
        </w:rPr>
        <w:t xml:space="preserve">– NICE guideline 95 </w:t>
      </w:r>
      <w:r w:rsidRPr="00C2189A">
        <w:rPr>
          <w:i/>
          <w:lang w:val="en-AU"/>
        </w:rPr>
        <w:t>Intervention evidence review</w:t>
      </w:r>
      <w:r w:rsidRPr="00C2189A">
        <w:rPr>
          <w:lang w:val="en-AU"/>
        </w:rPr>
        <w:t>. Retrieved from https://www.nice.org.uk/guidance/ng95/evidence/m-persontoperson-transmission-pdf-172521756185</w:t>
      </w:r>
    </w:p>
    <w:p w14:paraId="432568FE" w14:textId="77777777" w:rsidR="00E37099" w:rsidRPr="00C2189A" w:rsidRDefault="00E37099" w:rsidP="00E37099">
      <w:pPr>
        <w:pStyle w:val="BodyText"/>
        <w:spacing w:before="0" w:line="240" w:lineRule="auto"/>
        <w:jc w:val="left"/>
        <w:rPr>
          <w:rStyle w:val="Hyperlink"/>
          <w:color w:val="auto"/>
          <w:lang w:val="en-AU"/>
        </w:rPr>
      </w:pPr>
      <w:r w:rsidRPr="00C2189A">
        <w:rPr>
          <w:lang w:val="en-AU"/>
        </w:rPr>
        <w:t xml:space="preserve">NICE. (2018c). </w:t>
      </w:r>
      <w:r w:rsidRPr="00C2189A">
        <w:rPr>
          <w:i/>
          <w:iCs/>
          <w:lang w:val="en-AU"/>
        </w:rPr>
        <w:t>Lyme disease: Diagnosis and management – [D] Evidence review for the management of erythema migrans – NICE guideline 95 Evidence review.</w:t>
      </w:r>
      <w:r w:rsidRPr="00C2189A">
        <w:rPr>
          <w:lang w:val="en-AU"/>
        </w:rPr>
        <w:t xml:space="preserve"> Retrieved from https://www.nice.org.uk/guidance/ng95/evidence/d-management-of-erythema-migrans-pdf-4792271010</w:t>
      </w:r>
    </w:p>
    <w:p w14:paraId="0D39AA8C" w14:textId="77777777" w:rsidR="00E37099" w:rsidRPr="00C2189A" w:rsidRDefault="00E37099" w:rsidP="00E37099">
      <w:pPr>
        <w:pStyle w:val="BodyText"/>
        <w:spacing w:before="0" w:line="240" w:lineRule="auto"/>
        <w:jc w:val="left"/>
        <w:rPr>
          <w:rStyle w:val="Hyperlink"/>
          <w:color w:val="auto"/>
          <w:lang w:val="en-AU"/>
        </w:rPr>
      </w:pPr>
      <w:r w:rsidRPr="00C2189A">
        <w:rPr>
          <w:lang w:val="en-AU"/>
        </w:rPr>
        <w:t xml:space="preserve">NICE. (2018d). </w:t>
      </w:r>
      <w:r w:rsidRPr="00C2189A">
        <w:rPr>
          <w:i/>
          <w:iCs/>
          <w:lang w:val="en-AU"/>
        </w:rPr>
        <w:t>Lyme disease: Diagnosis and management – [E] Evidence review for the management of non-specific symptoms related to Lyme disease</w:t>
      </w:r>
      <w:r w:rsidRPr="00C2189A">
        <w:rPr>
          <w:lang w:val="en-AU"/>
        </w:rPr>
        <w:t xml:space="preserve"> </w:t>
      </w:r>
      <w:r w:rsidRPr="00C2189A">
        <w:rPr>
          <w:i/>
          <w:iCs/>
          <w:lang w:val="en-AU"/>
        </w:rPr>
        <w:t>– NICE guideline 95 Intervention evidence review</w:t>
      </w:r>
      <w:r w:rsidRPr="00C2189A">
        <w:rPr>
          <w:lang w:val="en-AU"/>
        </w:rPr>
        <w:t>. Retrieved from https://www.nice.org.uk/guidance/ng95/evidence/e-management-of-nonspecific-symptoms-related-to-lyme-disease-pdf-4792271011</w:t>
      </w:r>
    </w:p>
    <w:p w14:paraId="78508144" w14:textId="77777777" w:rsidR="00E37099" w:rsidRPr="00C2189A" w:rsidRDefault="00E37099" w:rsidP="00E37099">
      <w:pPr>
        <w:pStyle w:val="BodyText"/>
        <w:spacing w:before="0" w:line="240" w:lineRule="auto"/>
        <w:jc w:val="left"/>
        <w:rPr>
          <w:rStyle w:val="Hyperlink"/>
          <w:color w:val="auto"/>
          <w:lang w:val="en-AU"/>
        </w:rPr>
      </w:pPr>
      <w:r w:rsidRPr="00C2189A">
        <w:rPr>
          <w:lang w:val="en-AU"/>
        </w:rPr>
        <w:t xml:space="preserve">NICE. (2018e). </w:t>
      </w:r>
      <w:r w:rsidRPr="00C2189A">
        <w:rPr>
          <w:i/>
          <w:iCs/>
          <w:lang w:val="en-AU"/>
        </w:rPr>
        <w:t>Lyme disease: Diagnosis and management – [F] Evidence review on the management of neuroborreliosis – NICE guideline 95 Evidence review</w:t>
      </w:r>
      <w:r w:rsidRPr="00C2189A">
        <w:rPr>
          <w:lang w:val="en-AU"/>
        </w:rPr>
        <w:t>. Retrieved from https://www.nice.org.uk/guidance/ng95/evidence/f-management-of-neuroborreliosis-pdf-4792271012</w:t>
      </w:r>
    </w:p>
    <w:p w14:paraId="437C07B0" w14:textId="77777777" w:rsidR="00E37099" w:rsidRPr="00C2189A" w:rsidRDefault="00E37099" w:rsidP="00E37099">
      <w:pPr>
        <w:pStyle w:val="BodyText"/>
        <w:spacing w:before="0" w:line="240" w:lineRule="auto"/>
        <w:jc w:val="left"/>
        <w:rPr>
          <w:rStyle w:val="Hyperlink"/>
          <w:color w:val="auto"/>
          <w:lang w:val="en-AU"/>
        </w:rPr>
      </w:pPr>
      <w:r w:rsidRPr="00C2189A">
        <w:rPr>
          <w:lang w:val="en-AU"/>
        </w:rPr>
        <w:t xml:space="preserve">NICE. (2018f). </w:t>
      </w:r>
      <w:r w:rsidRPr="00C2189A">
        <w:rPr>
          <w:i/>
          <w:iCs/>
          <w:lang w:val="en-AU"/>
        </w:rPr>
        <w:t>Lyme disease: Diagnosis and management – [G] Evidence review for the management of Lyme arthritis – NICE guideline 95 Evidence review.</w:t>
      </w:r>
      <w:r w:rsidRPr="00C2189A">
        <w:rPr>
          <w:lang w:val="en-AU"/>
        </w:rPr>
        <w:t xml:space="preserve"> Retrieved from https://www.nice.org.uk/guidance/ng95/evidence/g-management-of-lyme-arthritis-pdf-4792271013</w:t>
      </w:r>
    </w:p>
    <w:p w14:paraId="083FB9B1" w14:textId="77777777" w:rsidR="00E37099" w:rsidRPr="00C2189A" w:rsidRDefault="00E37099" w:rsidP="00E37099">
      <w:pPr>
        <w:pStyle w:val="BodyText"/>
        <w:spacing w:before="0" w:line="240" w:lineRule="auto"/>
        <w:jc w:val="left"/>
        <w:rPr>
          <w:lang w:val="en-AU"/>
        </w:rPr>
      </w:pPr>
      <w:r w:rsidRPr="00C2189A">
        <w:rPr>
          <w:lang w:val="en-AU"/>
        </w:rPr>
        <w:t xml:space="preserve">NICE. (2018g). </w:t>
      </w:r>
      <w:r w:rsidRPr="00C2189A">
        <w:rPr>
          <w:i/>
          <w:iCs/>
          <w:lang w:val="en-AU"/>
        </w:rPr>
        <w:t>Lyme disease: Diagnosis and management – [H] Evidence review of the management of acrodermatitis chronica atrophicans – NICE guideline 95 Evidence review</w:t>
      </w:r>
      <w:r w:rsidRPr="00C2189A">
        <w:rPr>
          <w:lang w:val="en-AU"/>
        </w:rPr>
        <w:t>. Retrieved from https://www.nice.org.uk/guidance/ng95/evidence/h-management-of-acrodermatitis-chronica-atrophicans-pdf-172521756180</w:t>
      </w:r>
    </w:p>
    <w:p w14:paraId="0FC36B1C" w14:textId="77777777" w:rsidR="00E37099" w:rsidRPr="00C2189A" w:rsidRDefault="00E37099" w:rsidP="00E37099">
      <w:pPr>
        <w:pStyle w:val="BodyText"/>
        <w:spacing w:before="0" w:line="240" w:lineRule="auto"/>
        <w:jc w:val="left"/>
        <w:rPr>
          <w:rStyle w:val="Hyperlink"/>
          <w:color w:val="auto"/>
          <w:lang w:val="en-AU"/>
        </w:rPr>
      </w:pPr>
      <w:r w:rsidRPr="00C2189A">
        <w:rPr>
          <w:lang w:val="en-AU"/>
        </w:rPr>
        <w:t xml:space="preserve">NICE. (2018h). </w:t>
      </w:r>
      <w:r w:rsidRPr="00C2189A">
        <w:rPr>
          <w:i/>
          <w:iCs/>
          <w:lang w:val="en-AU"/>
        </w:rPr>
        <w:t>Lyme disease: Diagnosis and management – [I] Evidence review for management of Lyme carditis</w:t>
      </w:r>
      <w:r w:rsidRPr="00C2189A">
        <w:rPr>
          <w:lang w:val="en-AU"/>
        </w:rPr>
        <w:t xml:space="preserve"> </w:t>
      </w:r>
      <w:r w:rsidRPr="00C2189A">
        <w:rPr>
          <w:i/>
          <w:iCs/>
          <w:lang w:val="en-AU"/>
        </w:rPr>
        <w:t>– NICE guideline 95 Evidence review</w:t>
      </w:r>
      <w:r w:rsidRPr="00C2189A">
        <w:rPr>
          <w:lang w:val="en-AU"/>
        </w:rPr>
        <w:t>. Retrieved from https://www.nice.org.uk/guidance/ng95/evidence/i-management-of-lyme-carditis-pdf-172521756181</w:t>
      </w:r>
    </w:p>
    <w:p w14:paraId="56F0C04D" w14:textId="77777777" w:rsidR="00E37099" w:rsidRPr="00C2189A" w:rsidRDefault="00E37099" w:rsidP="00E37099">
      <w:pPr>
        <w:pStyle w:val="BodyText"/>
        <w:spacing w:before="0" w:line="240" w:lineRule="auto"/>
        <w:jc w:val="left"/>
        <w:rPr>
          <w:rStyle w:val="Hyperlink"/>
          <w:color w:val="auto"/>
          <w:lang w:val="en-AU"/>
        </w:rPr>
      </w:pPr>
      <w:r w:rsidRPr="00C2189A">
        <w:rPr>
          <w:lang w:val="en-AU"/>
        </w:rPr>
        <w:t xml:space="preserve">NICE. (2018i). </w:t>
      </w:r>
      <w:r w:rsidRPr="00C2189A">
        <w:rPr>
          <w:i/>
          <w:iCs/>
          <w:lang w:val="en-AU"/>
        </w:rPr>
        <w:t>Lyme disease: Diagnosis and management – [L] Evidence review for the management of ongoing symptoms related to Lyme disease – NICE guideline 95 Evidence review.</w:t>
      </w:r>
      <w:r w:rsidRPr="00C2189A">
        <w:rPr>
          <w:lang w:val="en-AU"/>
        </w:rPr>
        <w:t xml:space="preserve"> Retrieved from </w:t>
      </w:r>
      <w:r w:rsidRPr="00EB40E4">
        <w:t>https://www.nice.org.uk/guidance/ng95/evidence/l-management-of-ongoing-symptoms-related-to-lyme-disease-pdf-172521756184</w:t>
      </w:r>
    </w:p>
    <w:p w14:paraId="6D0E2D7A" w14:textId="77777777" w:rsidR="00E37099" w:rsidRPr="00C2189A" w:rsidRDefault="00E37099" w:rsidP="00E37099">
      <w:pPr>
        <w:pStyle w:val="BodyText"/>
        <w:jc w:val="left"/>
      </w:pPr>
      <w:r w:rsidRPr="00C2189A">
        <w:t xml:space="preserve">National Prescribing Service MedicineWise. (2019, March 13). </w:t>
      </w:r>
      <w:r w:rsidRPr="00C2189A">
        <w:rPr>
          <w:i/>
          <w:iCs/>
        </w:rPr>
        <w:t>Complementary medicines</w:t>
      </w:r>
      <w:r w:rsidRPr="00C2189A">
        <w:t>. National Prescribing Service MedicineWise. https://www.nps.org.au/media/complementary-medicines</w:t>
      </w:r>
    </w:p>
    <w:p w14:paraId="53F3838D" w14:textId="77777777" w:rsidR="00E37099" w:rsidRPr="00C2189A" w:rsidRDefault="00E37099" w:rsidP="00E37099">
      <w:pPr>
        <w:pStyle w:val="BodyText"/>
        <w:jc w:val="left"/>
      </w:pPr>
      <w:r w:rsidRPr="00C2189A">
        <w:t xml:space="preserve">National Serology Reference Laboratory Australia. (2017). </w:t>
      </w:r>
      <w:r w:rsidRPr="00C2189A">
        <w:rPr>
          <w:i/>
          <w:iCs/>
        </w:rPr>
        <w:t>Final report: Investigation into the performance of assays for Lyme disease in Australia</w:t>
      </w:r>
      <w:r w:rsidRPr="00C2189A">
        <w:t xml:space="preserve"> (p. 43). National Serology Reference Laboratory. </w:t>
      </w:r>
      <w:r w:rsidRPr="00EB40E4">
        <w:t>https://www1.health.gov.au/internet/main/publishing.nsf/Content/ohp-lyme-disease.htm/$File/NRL-2017.pdf</w:t>
      </w:r>
    </w:p>
    <w:p w14:paraId="400A9728" w14:textId="77777777" w:rsidR="00E37099" w:rsidRPr="00C2189A" w:rsidRDefault="00E37099" w:rsidP="00E37099">
      <w:pPr>
        <w:pStyle w:val="BodyText"/>
        <w:jc w:val="left"/>
      </w:pPr>
    </w:p>
    <w:p w14:paraId="7155B8B0" w14:textId="77777777" w:rsidR="00E37099" w:rsidRPr="00C2189A" w:rsidRDefault="00E37099" w:rsidP="00E37099">
      <w:pPr>
        <w:pStyle w:val="BodyText"/>
        <w:jc w:val="left"/>
      </w:pPr>
      <w:r w:rsidRPr="00C2189A">
        <w:t xml:space="preserve">Nigrovic, L. E., Neville, D. N., Balamuth, F., Bennett, J. E., Levas, M. N., &amp; Garro, A. C. (2019). A minority of children diagnosed with Lyme disease recall a preceding tick bite. </w:t>
      </w:r>
      <w:r w:rsidRPr="00C2189A">
        <w:rPr>
          <w:i/>
          <w:iCs/>
        </w:rPr>
        <w:t>Ticks and Tick-Borne Diseases</w:t>
      </w:r>
      <w:r w:rsidRPr="00C2189A">
        <w:t xml:space="preserve">, </w:t>
      </w:r>
      <w:r w:rsidRPr="00C2189A">
        <w:rPr>
          <w:i/>
          <w:iCs/>
        </w:rPr>
        <w:t>10</w:t>
      </w:r>
      <w:r w:rsidRPr="00C2189A">
        <w:t>(3), 694–696. https://doi.org/10.1016/j.ttbdis.2019.02.015</w:t>
      </w:r>
    </w:p>
    <w:p w14:paraId="009B2C01" w14:textId="77777777" w:rsidR="00E37099" w:rsidRPr="00C2189A" w:rsidRDefault="00E37099" w:rsidP="00E37099">
      <w:pPr>
        <w:pStyle w:val="BodyText"/>
        <w:jc w:val="left"/>
      </w:pPr>
      <w:r w:rsidRPr="00C2189A">
        <w:t>Olde Hartman, T.</w:t>
      </w:r>
      <w:r w:rsidR="00A4017B">
        <w:t>C.</w:t>
      </w:r>
      <w:r w:rsidRPr="00C2189A">
        <w:t xml:space="preserve">, Blankenstein, </w:t>
      </w:r>
      <w:r w:rsidR="00A4017B">
        <w:t>A.H.</w:t>
      </w:r>
      <w:r w:rsidRPr="00C2189A">
        <w:t xml:space="preserve">, Molenaar, </w:t>
      </w:r>
      <w:r w:rsidR="001E0D27">
        <w:t>A.O.</w:t>
      </w:r>
      <w:r w:rsidRPr="00C2189A">
        <w:t xml:space="preserve">, </w:t>
      </w:r>
      <w:r w:rsidR="001E0D27">
        <w:t xml:space="preserve">Bentz van den Berg, D., </w:t>
      </w:r>
      <w:r w:rsidR="00DE10F9">
        <w:t xml:space="preserve">Van der Horst, H.E., Arnold, I.A., Burgers, J.S., </w:t>
      </w:r>
      <w:r w:rsidRPr="00C2189A">
        <w:t>Wiersma, T.</w:t>
      </w:r>
      <w:r w:rsidR="00EF0C6C">
        <w:t>j.,</w:t>
      </w:r>
      <w:r w:rsidRPr="00C2189A">
        <w:t xml:space="preserve"> &amp; Woutersen-Koch, H. (2013). NHG guideline on medically unexplained symptoms (MUS). </w:t>
      </w:r>
      <w:r w:rsidRPr="00C2189A">
        <w:rPr>
          <w:i/>
          <w:iCs/>
        </w:rPr>
        <w:t>Huisarts Wet</w:t>
      </w:r>
      <w:r w:rsidRPr="00C2189A">
        <w:t xml:space="preserve">, </w:t>
      </w:r>
      <w:r w:rsidRPr="00C2189A">
        <w:rPr>
          <w:i/>
          <w:iCs/>
        </w:rPr>
        <w:t>56</w:t>
      </w:r>
      <w:r w:rsidRPr="00C2189A">
        <w:t>(5), 222–230.</w:t>
      </w:r>
    </w:p>
    <w:p w14:paraId="5BF3E3C6" w14:textId="77777777" w:rsidR="00E37099" w:rsidRPr="00C2189A" w:rsidRDefault="00E37099" w:rsidP="00E37099">
      <w:pPr>
        <w:pStyle w:val="BodyText"/>
        <w:jc w:val="left"/>
      </w:pPr>
      <w:r w:rsidRPr="00C2189A">
        <w:t xml:space="preserve">Olde Hartman, T., Rosendal, M., Aamland, A., van der Horst, H. E., Rosmalen, J. G. M., Burton, C. D., &amp; Lucassen, P. L. B. J. (2017). What do guidelines and systematic reviews tell us about the management of medically unexplained symptoms in primary care? </w:t>
      </w:r>
      <w:r w:rsidRPr="00C2189A">
        <w:rPr>
          <w:i/>
          <w:iCs/>
        </w:rPr>
        <w:t>BJGP Open</w:t>
      </w:r>
      <w:r w:rsidRPr="00C2189A">
        <w:t xml:space="preserve">, </w:t>
      </w:r>
      <w:r w:rsidRPr="00C2189A">
        <w:rPr>
          <w:i/>
          <w:iCs/>
        </w:rPr>
        <w:t>1</w:t>
      </w:r>
      <w:r w:rsidRPr="00C2189A">
        <w:t>(3), 1–7. https://doi.org/10.3399/bjgpopen17X101061</w:t>
      </w:r>
    </w:p>
    <w:p w14:paraId="367612BA" w14:textId="77777777" w:rsidR="00E37099" w:rsidRPr="00C2189A" w:rsidRDefault="00E37099" w:rsidP="00E37099">
      <w:pPr>
        <w:pStyle w:val="BodyText"/>
        <w:jc w:val="left"/>
      </w:pPr>
      <w:r w:rsidRPr="00C2189A">
        <w:t xml:space="preserve">Public Health England. (2018, July 31). </w:t>
      </w:r>
      <w:r w:rsidRPr="00C2189A">
        <w:rPr>
          <w:i/>
          <w:iCs/>
        </w:rPr>
        <w:t>Lyme disease: Differential diagnosis</w:t>
      </w:r>
      <w:r w:rsidRPr="00C2189A">
        <w:t>. GOV.UK. https://www.gov.uk/guidance/lyme-disease-differential-diagnosis</w:t>
      </w:r>
    </w:p>
    <w:p w14:paraId="6AB928CF" w14:textId="77777777" w:rsidR="00E37099" w:rsidRPr="00C2189A" w:rsidRDefault="00E37099" w:rsidP="00E37099">
      <w:pPr>
        <w:pStyle w:val="BodyText"/>
        <w:jc w:val="left"/>
      </w:pPr>
      <w:r w:rsidRPr="00C2189A">
        <w:t xml:space="preserve">Public Health Laboratory Network. (2017). </w:t>
      </w:r>
      <w:r w:rsidRPr="00C2189A">
        <w:rPr>
          <w:i/>
          <w:iCs/>
        </w:rPr>
        <w:t>Q Fever laboratory case definition (LCD)</w:t>
      </w:r>
      <w:r w:rsidRPr="00C2189A">
        <w:t>. Department of Health. https://www1.health.gov.au/internet/main/publishing.nsf/Content/D731BDA5ED9E3038CA257BF0001D3C83/$File/Q-Fever-LCD-27-Nov-2017.pdf</w:t>
      </w:r>
    </w:p>
    <w:p w14:paraId="5C5F72BA" w14:textId="77777777" w:rsidR="00E37099" w:rsidRPr="00C2189A" w:rsidRDefault="00E37099" w:rsidP="00E37099">
      <w:pPr>
        <w:pStyle w:val="BodyText"/>
        <w:jc w:val="left"/>
      </w:pPr>
      <w:r w:rsidRPr="00C2189A">
        <w:t xml:space="preserve">Royal Australian College of General Practitioners. (2016). </w:t>
      </w:r>
      <w:r w:rsidRPr="00C2189A">
        <w:rPr>
          <w:i/>
          <w:iCs/>
        </w:rPr>
        <w:t>IM16 Integrative medicine contextual unit</w:t>
      </w:r>
      <w:r w:rsidRPr="00C2189A">
        <w:t>. https://www.racgp.org.au/download/Documents/Curriculum/2016/IM16-Integrative-medicine.pdf</w:t>
      </w:r>
    </w:p>
    <w:p w14:paraId="54C12821" w14:textId="77777777" w:rsidR="00E37099" w:rsidRPr="00C2189A" w:rsidRDefault="00E37099" w:rsidP="00E37099">
      <w:pPr>
        <w:pStyle w:val="BodyText"/>
        <w:jc w:val="left"/>
      </w:pPr>
      <w:r w:rsidRPr="00C2189A">
        <w:t xml:space="preserve">Royal College of Pathologists of Australasia. (n.d.). </w:t>
      </w:r>
      <w:r w:rsidRPr="00C2189A">
        <w:rPr>
          <w:i/>
          <w:iCs/>
        </w:rPr>
        <w:t>Lab accreditation</w:t>
      </w:r>
      <w:r w:rsidRPr="00C2189A">
        <w:t>. Royal College of Pathologists of Australasia. https://www.rcpa.edu.au/Patients/Lab-Accreditation#:%E2%89%88:text=All%20pathology%20laboratories%20in%20Australia,Accreditation%20Advisory%20Council%20(NPAAC)</w:t>
      </w:r>
    </w:p>
    <w:p w14:paraId="112D5CAC" w14:textId="77777777" w:rsidR="00E37099" w:rsidRPr="00C2189A" w:rsidRDefault="00E37099" w:rsidP="00E37099">
      <w:pPr>
        <w:pStyle w:val="BodyText"/>
        <w:jc w:val="left"/>
      </w:pPr>
      <w:r w:rsidRPr="00C2189A">
        <w:t xml:space="preserve">Royal College of Pathologists of Australasia. (2019). </w:t>
      </w:r>
      <w:r w:rsidRPr="00C2189A">
        <w:rPr>
          <w:i/>
          <w:iCs/>
        </w:rPr>
        <w:t>Position statement: Diagnostic laboratory testing for Lyme disease (or similar syndromes) in Australia and New Zealand</w:t>
      </w:r>
      <w:r w:rsidRPr="00C2189A">
        <w:t>. Royal College of Pathologists of Australasia. https://www.rcpa.edu.au/Library/College-Policies/Position-Statements/Diagnostic-Laboratory-testing-for-Borreliosis-Lyme</w:t>
      </w:r>
    </w:p>
    <w:p w14:paraId="1448EE6E" w14:textId="77777777" w:rsidR="00E37099" w:rsidRPr="00C2189A" w:rsidRDefault="00E37099" w:rsidP="00E37099">
      <w:pPr>
        <w:pStyle w:val="BodyText"/>
        <w:jc w:val="left"/>
      </w:pPr>
      <w:r w:rsidRPr="00C2189A">
        <w:t xml:space="preserve">Royal College of Psychiatrists. (2017). </w:t>
      </w:r>
      <w:r w:rsidRPr="00C2189A">
        <w:rPr>
          <w:i/>
          <w:iCs/>
        </w:rPr>
        <w:t>Medically unexplained symptoms</w:t>
      </w:r>
      <w:r w:rsidRPr="00C2189A">
        <w:t>. Royal College of Psychiatrists. https://www.rcpsych.ac.uk/mental-health/problems-disorders/medically-unexplained-symptoms</w:t>
      </w:r>
    </w:p>
    <w:p w14:paraId="4CEFB16D" w14:textId="77777777" w:rsidR="00E37099" w:rsidRPr="00C2189A" w:rsidRDefault="00E37099" w:rsidP="00E37099">
      <w:pPr>
        <w:pStyle w:val="BodyText"/>
        <w:jc w:val="left"/>
      </w:pPr>
      <w:r w:rsidRPr="00C2189A">
        <w:t xml:space="preserve">Senate Community Affairs References Committee. (2016a). </w:t>
      </w:r>
      <w:r w:rsidRPr="00C2189A">
        <w:rPr>
          <w:i/>
          <w:iCs/>
        </w:rPr>
        <w:t>Growing evidence of an emerging tick-borne disease that causes a Lyme-like illness for many Australian patients. Interim report</w:t>
      </w:r>
      <w:r w:rsidRPr="00C2189A">
        <w:t xml:space="preserve"> (p. 87) [Interim Report]. Commonwealth of Australia. https://www.aph.gov.au/Parliamentary_Business/Committees/Senate/Community_Affairs/Lyme-like_Illness/Interim_Report</w:t>
      </w:r>
    </w:p>
    <w:p w14:paraId="227676AB" w14:textId="77777777" w:rsidR="00E37099" w:rsidRPr="00C2189A" w:rsidRDefault="00E37099" w:rsidP="00E37099">
      <w:pPr>
        <w:pStyle w:val="BodyText"/>
        <w:jc w:val="left"/>
      </w:pPr>
      <w:r w:rsidRPr="00C2189A">
        <w:t xml:space="preserve">Senate Community Affairs References Committee. (2016b). </w:t>
      </w:r>
      <w:r w:rsidRPr="00C2189A">
        <w:rPr>
          <w:i/>
          <w:iCs/>
        </w:rPr>
        <w:t>Growing evidence of an emerging tick-borne disease that causes a Lyme-like illness for many Australian patients. Final report</w:t>
      </w:r>
      <w:r w:rsidRPr="00C2189A">
        <w:t xml:space="preserve"> (p. 123) [Final Report]. Commonwealth of Australia. https://www.aph.gov.au/Parliamentary_Business/Committees/Senate/Community_Affairs/Lymelikeillness45/Final_Report</w:t>
      </w:r>
    </w:p>
    <w:p w14:paraId="35B35052" w14:textId="77777777" w:rsidR="00E37099" w:rsidRPr="00C2189A" w:rsidRDefault="00E37099" w:rsidP="00E37099">
      <w:pPr>
        <w:pStyle w:val="BodyText"/>
        <w:jc w:val="left"/>
      </w:pPr>
      <w:r w:rsidRPr="00C2189A">
        <w:t xml:space="preserve">Stewart, A., Armstrong, M., Graves, S., &amp; Hajkowicz, K. (2017). Rickettsia australis and Queensland Tick Typhus: A Rickettsial Spotted Fever Group Infection in Australia. </w:t>
      </w:r>
      <w:r w:rsidRPr="00C2189A">
        <w:rPr>
          <w:i/>
          <w:iCs/>
        </w:rPr>
        <w:t>American Journal of Tropical Medicine and Hygiene</w:t>
      </w:r>
      <w:r w:rsidRPr="00C2189A">
        <w:t xml:space="preserve">, </w:t>
      </w:r>
      <w:r w:rsidRPr="00C2189A">
        <w:rPr>
          <w:i/>
          <w:iCs/>
        </w:rPr>
        <w:t>97</w:t>
      </w:r>
      <w:r w:rsidRPr="00C2189A">
        <w:t>(1), 24–29. https://doi.org/10.4269/ajtmh.16-0915</w:t>
      </w:r>
    </w:p>
    <w:p w14:paraId="3B1D173B" w14:textId="77777777" w:rsidR="00E37099" w:rsidRPr="00C2189A" w:rsidRDefault="00E37099" w:rsidP="00E37099">
      <w:pPr>
        <w:pStyle w:val="BodyText"/>
        <w:jc w:val="left"/>
      </w:pPr>
      <w:r w:rsidRPr="00C2189A">
        <w:lastRenderedPageBreak/>
        <w:t xml:space="preserve">Stone, L. (2015). Managing medically unexplained illness in general practice. </w:t>
      </w:r>
      <w:r w:rsidRPr="00C2189A">
        <w:rPr>
          <w:i/>
          <w:iCs/>
        </w:rPr>
        <w:t>Australian Family Physician</w:t>
      </w:r>
      <w:r w:rsidRPr="00C2189A">
        <w:t xml:space="preserve">, </w:t>
      </w:r>
      <w:r w:rsidRPr="00C2189A">
        <w:rPr>
          <w:i/>
          <w:iCs/>
        </w:rPr>
        <w:t>44</w:t>
      </w:r>
      <w:r w:rsidRPr="00C2189A">
        <w:t>(9), 624–629.</w:t>
      </w:r>
    </w:p>
    <w:p w14:paraId="66110A2C" w14:textId="77777777" w:rsidR="00E37099" w:rsidRPr="00C2189A" w:rsidRDefault="00E37099" w:rsidP="00E37099">
      <w:pPr>
        <w:pStyle w:val="BodyText"/>
        <w:jc w:val="left"/>
      </w:pPr>
      <w:r w:rsidRPr="00C2189A">
        <w:t xml:space="preserve">Therapeutic Guidelines. (n.d.). </w:t>
      </w:r>
      <w:r w:rsidRPr="00C2189A">
        <w:rPr>
          <w:i/>
          <w:iCs/>
        </w:rPr>
        <w:t>Antibiotic</w:t>
      </w:r>
      <w:r w:rsidRPr="00C2189A">
        <w:t>. Therapeutic Guidelines. https://tgldcdp.tg.org.au/guideLine?guidelinePage=Antibiotic&amp;frompage=etgcomplete</w:t>
      </w:r>
    </w:p>
    <w:p w14:paraId="36C02EB9" w14:textId="77777777" w:rsidR="00E37099" w:rsidRPr="00C2189A" w:rsidRDefault="00E37099" w:rsidP="00E37099">
      <w:pPr>
        <w:pStyle w:val="BodyText"/>
        <w:jc w:val="left"/>
      </w:pPr>
      <w:r w:rsidRPr="00C2189A">
        <w:t xml:space="preserve">Therapeutic Guidelines. (2019). </w:t>
      </w:r>
      <w:r w:rsidRPr="00C2189A">
        <w:rPr>
          <w:i/>
          <w:iCs/>
        </w:rPr>
        <w:t>Lyme disease</w:t>
      </w:r>
      <w:r w:rsidRPr="00C2189A">
        <w:t>. Therapeutic Guidelines. https://www.tg.org.au/</w:t>
      </w:r>
    </w:p>
    <w:p w14:paraId="05CD48E6" w14:textId="77777777" w:rsidR="00E37099" w:rsidRPr="00C2189A" w:rsidRDefault="00E37099" w:rsidP="00E37099">
      <w:pPr>
        <w:pStyle w:val="BodyText"/>
        <w:jc w:val="left"/>
      </w:pPr>
      <w:r w:rsidRPr="00C2189A">
        <w:t xml:space="preserve">Thomas, S. A., &amp; Wu, J. (2018). Queensland tick typhus (Rickettsia australis) in a man after hiking in rural Queensland. </w:t>
      </w:r>
      <w:r w:rsidRPr="00C2189A">
        <w:rPr>
          <w:i/>
          <w:iCs/>
        </w:rPr>
        <w:t>Australian Journal of General Practice</w:t>
      </w:r>
      <w:r w:rsidRPr="00C2189A">
        <w:t xml:space="preserve">, </w:t>
      </w:r>
      <w:r w:rsidRPr="00C2189A">
        <w:rPr>
          <w:i/>
          <w:iCs/>
        </w:rPr>
        <w:t>47</w:t>
      </w:r>
      <w:r w:rsidRPr="00C2189A">
        <w:t>(6), 359–360.</w:t>
      </w:r>
    </w:p>
    <w:p w14:paraId="2F72634B" w14:textId="77777777" w:rsidR="00E37099" w:rsidRPr="00C2189A" w:rsidRDefault="00E37099" w:rsidP="00E37099">
      <w:pPr>
        <w:pStyle w:val="BodyText"/>
        <w:jc w:val="left"/>
      </w:pPr>
      <w:r w:rsidRPr="00C2189A">
        <w:t xml:space="preserve">TMS Consulting Pty Ltd. (2018). </w:t>
      </w:r>
      <w:r w:rsidRPr="00C2189A">
        <w:rPr>
          <w:i/>
          <w:iCs/>
        </w:rPr>
        <w:t>Patient group forum: Debilitating Symptom Complexes Attributed to Ticks (DSCATT)</w:t>
      </w:r>
      <w:r w:rsidRPr="00C2189A">
        <w:t>. Department of Health. https://www1.health.gov.au/internet/main/publishing.nsf/Content/ohp-lyme-disease.htm/$File/DSCATT-Syd-Forum-report-27July2018.pdf</w:t>
      </w:r>
    </w:p>
    <w:p w14:paraId="5257EF83" w14:textId="77777777" w:rsidR="00E37099" w:rsidRPr="00C2189A" w:rsidRDefault="00E37099" w:rsidP="00E37099">
      <w:pPr>
        <w:pStyle w:val="BodyText"/>
        <w:jc w:val="left"/>
      </w:pPr>
      <w:r w:rsidRPr="00C2189A">
        <w:t xml:space="preserve">US Department of Veterans Affairs. (2009). </w:t>
      </w:r>
      <w:r w:rsidRPr="00C2189A">
        <w:rPr>
          <w:i/>
          <w:iCs/>
        </w:rPr>
        <w:t>VHA Directive 2009-053 Pain management</w:t>
      </w:r>
      <w:r w:rsidRPr="00C2189A">
        <w:t>. US Department of Veterans Affairs. https://www.va.gov/painmanagement/docs/vha09paindirective.pdf</w:t>
      </w:r>
    </w:p>
    <w:p w14:paraId="128C686F" w14:textId="77777777" w:rsidR="00E37099" w:rsidRDefault="00E37099" w:rsidP="00E37099">
      <w:pPr>
        <w:pStyle w:val="BodyText"/>
        <w:jc w:val="left"/>
      </w:pPr>
      <w:r w:rsidRPr="00C2189A">
        <w:t xml:space="preserve">Williamson, M., Tudball, J., Toms, M., Garden, F., &amp; Grunseit, A. (2008). </w:t>
      </w:r>
      <w:r w:rsidRPr="00C2189A">
        <w:rPr>
          <w:i/>
          <w:iCs/>
        </w:rPr>
        <w:t>Information use and needs of complementary medicines users</w:t>
      </w:r>
      <w:r w:rsidRPr="00C2189A">
        <w:t>. National Prescribing Service. https://www.westernsydney.edu.au/__data/assets/pdf_file/0007/537406/Information_Use_and_Needs_of_Complementary_Medicines_Users.pdf</w:t>
      </w:r>
    </w:p>
    <w:p w14:paraId="2F8F16C2" w14:textId="77777777" w:rsidR="00E40013" w:rsidRPr="005B2CC3" w:rsidRDefault="00E40013" w:rsidP="00E40013">
      <w:pPr>
        <w:pStyle w:val="BodyText"/>
        <w:jc w:val="left"/>
      </w:pPr>
      <w:r>
        <w:t xml:space="preserve">Willis, G., Lodo, K., McGregor, A., Howes, F., Williams, S., &amp; Veitch, M. (2019). </w:t>
      </w:r>
      <w:r w:rsidRPr="00167CCE">
        <w:t>New and old hotspots for rickettsial spotted fever acquired in Tasmania, 2012 – 2017.</w:t>
      </w:r>
      <w:r w:rsidRPr="005B2CC3">
        <w:t xml:space="preserve"> </w:t>
      </w:r>
      <w:r w:rsidRPr="00167CCE">
        <w:rPr>
          <w:i/>
          <w:iCs/>
        </w:rPr>
        <w:t>Australian and New Zealand Journal of Public Health</w:t>
      </w:r>
      <w:r>
        <w:rPr>
          <w:i/>
          <w:iCs/>
        </w:rPr>
        <w:t>, 43</w:t>
      </w:r>
      <w:r>
        <w:t xml:space="preserve">(4), 389–394. </w:t>
      </w:r>
      <w:r w:rsidRPr="00C2189A">
        <w:t>https://doi.org/10.3399/bjgpopen17X101061</w:t>
      </w:r>
    </w:p>
    <w:p w14:paraId="1F68DF4E" w14:textId="77777777" w:rsidR="00E37099" w:rsidRPr="00C2189A" w:rsidRDefault="00E37099" w:rsidP="00E37099">
      <w:pPr>
        <w:pStyle w:val="BodyText"/>
        <w:jc w:val="left"/>
      </w:pPr>
      <w:r w:rsidRPr="00C2189A">
        <w:t xml:space="preserve">Wormser, G. P., Dattwyler, R. J., Shapiro, E. D., Halperin, J. J., Steere, A. C., Klempner, M. S., Krause, P. J., Bakken, J. S., Strle, F., Stanek, G., Bockenstedt, L., Fish, D., Dumler, J. S., &amp; Nadelman, R. B. (2006). The clinical assessment, treatment, and prevention of Lyme disease, human granulocytic anaplasmosis, and babesiosis: Clinical practice guidelines by the Infectious Diseases Society of America. </w:t>
      </w:r>
      <w:r w:rsidRPr="00C2189A">
        <w:rPr>
          <w:i/>
          <w:iCs/>
        </w:rPr>
        <w:t>Clinical Infectious Diseases</w:t>
      </w:r>
      <w:r w:rsidRPr="00C2189A">
        <w:t xml:space="preserve">, </w:t>
      </w:r>
      <w:r w:rsidRPr="00C2189A">
        <w:rPr>
          <w:i/>
          <w:iCs/>
        </w:rPr>
        <w:t>43</w:t>
      </w:r>
      <w:r w:rsidRPr="00C2189A">
        <w:t>(9), 1089–1134. https://doi.org/10.1086/508667</w:t>
      </w:r>
    </w:p>
    <w:p w14:paraId="154B6A1D" w14:textId="77777777" w:rsidR="008A63CE" w:rsidRDefault="00E37099" w:rsidP="008A63CE">
      <w:pPr>
        <w:pStyle w:val="BodyText"/>
        <w:jc w:val="left"/>
        <w:rPr>
          <w:lang w:val="en-AU"/>
        </w:rPr>
      </w:pPr>
      <w:r w:rsidRPr="00C2189A">
        <w:t xml:space="preserve">Xue, C. C. L., Zhang, A. L., Lin, V., Da Costa, C., &amp; Story, D. F. (2007). Complementary and alternative medicine use in Australia: A national population-based survey. </w:t>
      </w:r>
      <w:r w:rsidRPr="00C2189A">
        <w:rPr>
          <w:i/>
          <w:iCs/>
        </w:rPr>
        <w:t>Journal of Alternative and Complementary Medicine</w:t>
      </w:r>
      <w:r w:rsidRPr="00C2189A">
        <w:t xml:space="preserve">, </w:t>
      </w:r>
      <w:r w:rsidRPr="00C2189A">
        <w:rPr>
          <w:i/>
          <w:iCs/>
        </w:rPr>
        <w:t>13</w:t>
      </w:r>
      <w:r w:rsidRPr="00C2189A">
        <w:t>(6), 643–650. https://doi.org/10.1089/acm.2006.6355</w:t>
      </w:r>
    </w:p>
    <w:p w14:paraId="0932858C" w14:textId="77777777" w:rsidR="008A0D16" w:rsidRDefault="00C820AB" w:rsidP="000E1E8F">
      <w:pPr>
        <w:pStyle w:val="BodyText"/>
        <w:spacing w:before="0" w:line="240" w:lineRule="auto"/>
        <w:rPr>
          <w:lang w:val="en-AU"/>
        </w:rPr>
        <w:sectPr w:rsidR="008A0D16" w:rsidSect="008C0CB1">
          <w:headerReference w:type="even" r:id="rId16"/>
          <w:headerReference w:type="default" r:id="rId17"/>
          <w:footerReference w:type="even" r:id="rId18"/>
          <w:headerReference w:type="first" r:id="rId19"/>
          <w:footerReference w:type="first" r:id="rId20"/>
          <w:pgSz w:w="11907" w:h="16839" w:code="9"/>
          <w:pgMar w:top="1418" w:right="1418" w:bottom="1418" w:left="1418" w:header="964" w:footer="964" w:gutter="0"/>
          <w:pgNumType w:start="1"/>
          <w:cols w:space="708"/>
          <w:titlePg/>
          <w:docGrid w:linePitch="360"/>
        </w:sectPr>
      </w:pPr>
      <w:r>
        <w:rPr>
          <w:lang w:val="en-AU"/>
        </w:rPr>
        <w:t xml:space="preserve"> </w:t>
      </w:r>
    </w:p>
    <w:p w14:paraId="723A095F" w14:textId="77777777" w:rsidR="00C12E4D" w:rsidRPr="004D3350" w:rsidRDefault="00935310" w:rsidP="005E3E55">
      <w:pPr>
        <w:pStyle w:val="BodyText"/>
        <w:spacing w:before="0" w:line="240" w:lineRule="auto"/>
        <w:jc w:val="left"/>
        <w:rPr>
          <w:color w:val="FFFFFF"/>
          <w:lang w:val="en-AU"/>
        </w:rPr>
      </w:pPr>
      <w:r>
        <w:rPr>
          <w:noProof/>
          <w:lang w:val="en-AU" w:eastAsia="en-AU"/>
        </w:rPr>
        <w:lastRenderedPageBreak/>
        <w:drawing>
          <wp:anchor distT="0" distB="0" distL="114300" distR="115824" simplePos="0" relativeHeight="251661312" behindDoc="1" locked="0" layoutInCell="1" allowOverlap="1" wp14:anchorId="542456D1" wp14:editId="41940A84">
            <wp:simplePos x="0" y="0"/>
            <wp:positionH relativeFrom="margin">
              <wp:posOffset>-900430</wp:posOffset>
            </wp:positionH>
            <wp:positionV relativeFrom="paragraph">
              <wp:posOffset>-887095</wp:posOffset>
            </wp:positionV>
            <wp:extent cx="7551166" cy="10681970"/>
            <wp:effectExtent l="0" t="0" r="0" b="0"/>
            <wp:wrapNone/>
            <wp:docPr id="2"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3">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50785" cy="10681970"/>
                    </a:xfrm>
                    <a:prstGeom prst="rect">
                      <a:avLst/>
                    </a:prstGeom>
                  </pic:spPr>
                </pic:pic>
              </a:graphicData>
            </a:graphic>
            <wp14:sizeRelH relativeFrom="margin">
              <wp14:pctWidth>0</wp14:pctWidth>
            </wp14:sizeRelH>
            <wp14:sizeRelV relativeFrom="margin">
              <wp14:pctHeight>0</wp14:pctHeight>
            </wp14:sizeRelV>
          </wp:anchor>
        </w:drawing>
      </w:r>
    </w:p>
    <w:p w14:paraId="37868696" w14:textId="77777777" w:rsidR="00D00245" w:rsidRPr="004D3350" w:rsidRDefault="00D00245" w:rsidP="005E3E55">
      <w:pPr>
        <w:pStyle w:val="BodyText"/>
        <w:spacing w:before="0" w:line="240" w:lineRule="auto"/>
        <w:jc w:val="left"/>
        <w:rPr>
          <w:color w:val="FFFFFF"/>
          <w:lang w:val="en-AU"/>
        </w:rPr>
      </w:pPr>
    </w:p>
    <w:sectPr w:rsidR="00D00245" w:rsidRPr="004D3350" w:rsidSect="008A20EB">
      <w:headerReference w:type="even" r:id="rId22"/>
      <w:headerReference w:type="default" r:id="rId23"/>
      <w:headerReference w:type="first" r:id="rId24"/>
      <w:footerReference w:type="first" r:id="rId25"/>
      <w:pgSz w:w="11907" w:h="16839" w:code="9"/>
      <w:pgMar w:top="1418" w:right="1418" w:bottom="1418" w:left="1418" w:header="964" w:footer="96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A51E76" w14:textId="77777777" w:rsidR="002F3F0E" w:rsidRDefault="002F3F0E" w:rsidP="005839ED">
      <w:r>
        <w:separator/>
      </w:r>
    </w:p>
    <w:p w14:paraId="448E82A3" w14:textId="77777777" w:rsidR="002F3F0E" w:rsidRDefault="002F3F0E"/>
  </w:endnote>
  <w:endnote w:type="continuationSeparator" w:id="0">
    <w:p w14:paraId="089A20E8" w14:textId="77777777" w:rsidR="002F3F0E" w:rsidRDefault="002F3F0E" w:rsidP="005839ED">
      <w:r>
        <w:continuationSeparator/>
      </w:r>
    </w:p>
    <w:p w14:paraId="1BED2313" w14:textId="77777777" w:rsidR="002F3F0E" w:rsidRDefault="002F3F0E"/>
  </w:endnote>
  <w:endnote w:type="continuationNotice" w:id="1">
    <w:p w14:paraId="5CCCE3AF" w14:textId="77777777" w:rsidR="002F3F0E" w:rsidRDefault="002F3F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exusMixPro-Bold">
    <w:altName w:val="Times New Roman"/>
    <w:panose1 w:val="00000000000000000000"/>
    <w:charset w:val="00"/>
    <w:family w:val="modern"/>
    <w:notTrueType/>
    <w:pitch w:val="variable"/>
    <w:sig w:usb0="A00000AF" w:usb1="4000E07B" w:usb2="00000000" w:usb3="00000000" w:csb0="00000093" w:csb1="00000000"/>
  </w:font>
  <w:font w:name="AvenirLTStd-Book">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ZWAdobeF">
    <w:panose1 w:val="00000000000000000000"/>
    <w:charset w:val="00"/>
    <w:family w:val="auto"/>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2CACD" w14:textId="77777777" w:rsidR="00FE14B0" w:rsidRPr="008C0CB1" w:rsidRDefault="00FE14B0" w:rsidP="004D3350">
    <w:pPr>
      <w:pStyle w:val="Footer-EvenPg"/>
      <w:pBdr>
        <w:top w:val="single" w:sz="4" w:space="1" w:color="77B800"/>
      </w:pBdr>
      <w:jc w:val="right"/>
    </w:pPr>
    <w:r w:rsidRPr="00215FD3">
      <w:tab/>
    </w:r>
    <w:r>
      <w:tab/>
    </w:r>
    <w:r w:rsidRPr="0092331D">
      <w:t>Debilitating Symptom Complexes Attributed to Ticks (DSCATT) Clinical Pathway</w:t>
    </w:r>
    <w:r>
      <w:tab/>
      <w:t xml:space="preserve">  </w:t>
    </w:r>
    <w:r>
      <w:fldChar w:fldCharType="begin"/>
    </w:r>
    <w:r>
      <w:instrText xml:space="preserve"> PAGE   \* MERGEFORMAT </w:instrText>
    </w:r>
    <w:r>
      <w:fldChar w:fldCharType="separate"/>
    </w:r>
    <w:r w:rsidR="00935310">
      <w:rPr>
        <w:noProof/>
      </w:rPr>
      <w:t>xii</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4F5184" w14:textId="77777777" w:rsidR="00FE14B0" w:rsidRDefault="00FE14B0" w:rsidP="004D3350">
    <w:pPr>
      <w:pStyle w:val="Footer-EvenPg"/>
      <w:pBdr>
        <w:top w:val="single" w:sz="4" w:space="1" w:color="77B800"/>
      </w:pBdr>
      <w:jc w:val="right"/>
    </w:pPr>
    <w:r w:rsidRPr="00215FD3">
      <w:tab/>
    </w:r>
    <w:r>
      <w:tab/>
    </w:r>
    <w:r w:rsidRPr="0092331D">
      <w:t>Debilitating Symptom Complexes Attributed to Ticks (DSCATT) Clinical Pathway</w:t>
    </w:r>
    <w:r>
      <w:tab/>
      <w:t xml:space="preserve">  </w:t>
    </w:r>
    <w:r>
      <w:fldChar w:fldCharType="begin"/>
    </w:r>
    <w:r>
      <w:instrText xml:space="preserve"> PAGE   \* MERGEFORMAT </w:instrText>
    </w:r>
    <w:r>
      <w:fldChar w:fldCharType="separate"/>
    </w:r>
    <w:r w:rsidR="00935310">
      <w:rPr>
        <w:noProof/>
      </w:rPr>
      <w:t>7</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82445" w14:textId="77777777" w:rsidR="00FE14B0" w:rsidRPr="00752F9A" w:rsidRDefault="00FE14B0" w:rsidP="004D3350">
    <w:pPr>
      <w:pStyle w:val="Footer-EvenPg"/>
      <w:pBdr>
        <w:top w:val="single" w:sz="4" w:space="1" w:color="77B800"/>
      </w:pBdr>
      <w:tabs>
        <w:tab w:val="left" w:pos="720"/>
        <w:tab w:val="left" w:pos="1440"/>
        <w:tab w:val="left" w:pos="2160"/>
        <w:tab w:val="left" w:pos="2880"/>
        <w:tab w:val="left" w:pos="3600"/>
        <w:tab w:val="left" w:pos="4320"/>
        <w:tab w:val="left" w:pos="5040"/>
        <w:tab w:val="left" w:pos="5760"/>
        <w:tab w:val="right" w:pos="9071"/>
      </w:tabs>
      <w:jc w:val="center"/>
      <w:rPr>
        <w:lang w:val="en-AU"/>
      </w:rPr>
    </w:pPr>
    <w:r>
      <w:rPr>
        <w:lang w:val="en-AU"/>
      </w:rPr>
      <w:tab/>
    </w:r>
    <w:r>
      <w:rPr>
        <w:lang w:val="en-AU"/>
      </w:rPr>
      <w:tab/>
    </w:r>
    <w:r w:rsidRPr="00A037BE">
      <w:rPr>
        <w:lang w:val="en-AU"/>
      </w:rPr>
      <w:t>Debilitating Symptom Complexes Attributed to Ticks (DSCATT) Clinical Pathway</w:t>
    </w:r>
    <w:r>
      <w:tab/>
    </w:r>
    <w:r>
      <w:fldChar w:fldCharType="begin"/>
    </w:r>
    <w:r>
      <w:instrText xml:space="preserve"> PAGE   \* MERGEFORMAT </w:instrText>
    </w:r>
    <w:r>
      <w:fldChar w:fldCharType="separate"/>
    </w:r>
    <w:r w:rsidR="00935310">
      <w:rPr>
        <w:noProof/>
      </w:rPr>
      <w:t>6</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BFF967" w14:textId="77777777" w:rsidR="00FE14B0" w:rsidRDefault="00FE14B0" w:rsidP="004D3350">
    <w:pPr>
      <w:pStyle w:val="Footer-EvenPg"/>
      <w:pBdr>
        <w:top w:val="single" w:sz="4" w:space="1" w:color="77B800"/>
      </w:pBdr>
    </w:pPr>
    <w:r w:rsidRPr="00724798">
      <w:fldChar w:fldCharType="begin"/>
    </w:r>
    <w:r w:rsidRPr="00724798">
      <w:instrText xml:space="preserve"> PAGE  \* Arabic  \* MERGEFORMAT </w:instrText>
    </w:r>
    <w:r w:rsidRPr="00724798">
      <w:fldChar w:fldCharType="separate"/>
    </w:r>
    <w:r w:rsidR="00935310">
      <w:rPr>
        <w:noProof/>
      </w:rPr>
      <w:t>1</w:t>
    </w:r>
    <w:r w:rsidRPr="00724798">
      <w:fldChar w:fldCharType="end"/>
    </w:r>
    <w:r w:rsidRPr="00907F2B">
      <w:t xml:space="preserve"> </w:t>
    </w:r>
    <w:r>
      <w:tab/>
    </w:r>
    <w:r>
      <w:tab/>
    </w:r>
    <w:r w:rsidRPr="00B170FA">
      <w:t>Debilitating Symptom Complexes Attributed to Ticks (DSCATT) Clinical Pathway</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CE90C" w14:textId="77777777" w:rsidR="00FE14B0" w:rsidRDefault="00FE14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1C2735" w14:textId="77777777" w:rsidR="002F3F0E" w:rsidRDefault="002F3F0E" w:rsidP="005839ED">
      <w:r>
        <w:separator/>
      </w:r>
    </w:p>
  </w:footnote>
  <w:footnote w:type="continuationSeparator" w:id="0">
    <w:p w14:paraId="79197141" w14:textId="77777777" w:rsidR="002F3F0E" w:rsidRDefault="002F3F0E" w:rsidP="005839ED">
      <w:r>
        <w:continuationSeparator/>
      </w:r>
    </w:p>
    <w:p w14:paraId="601AC86B" w14:textId="77777777" w:rsidR="002F3F0E" w:rsidRDefault="002F3F0E"/>
  </w:footnote>
  <w:footnote w:type="continuationNotice" w:id="1">
    <w:p w14:paraId="30BEBB58" w14:textId="77777777" w:rsidR="002F3F0E" w:rsidRDefault="002F3F0E">
      <w:pPr>
        <w:spacing w:after="0" w:line="240" w:lineRule="auto"/>
      </w:pPr>
    </w:p>
  </w:footnote>
  <w:footnote w:id="2">
    <w:p w14:paraId="4A71D3DB" w14:textId="77777777" w:rsidR="00FE14B0" w:rsidRPr="00764F55" w:rsidRDefault="00FE14B0" w:rsidP="00C06AF4">
      <w:pPr>
        <w:pStyle w:val="FootnoteText"/>
        <w:rPr>
          <w:sz w:val="18"/>
          <w:szCs w:val="18"/>
        </w:rPr>
      </w:pPr>
      <w:r w:rsidRPr="00764F55">
        <w:rPr>
          <w:rStyle w:val="FootnoteReference"/>
          <w:sz w:val="18"/>
          <w:szCs w:val="18"/>
        </w:rPr>
        <w:footnoteRef/>
      </w:r>
      <w:r w:rsidRPr="00764F55">
        <w:rPr>
          <w:sz w:val="18"/>
          <w:szCs w:val="18"/>
        </w:rPr>
        <w:t xml:space="preserve"> </w:t>
      </w:r>
      <w:r w:rsidRPr="004D3350">
        <w:rPr>
          <w:rFonts w:cs="Calibri"/>
          <w:sz w:val="18"/>
          <w:szCs w:val="18"/>
        </w:rPr>
        <w:t>Department of Health (2019, 5 January)</w:t>
      </w:r>
    </w:p>
  </w:footnote>
  <w:footnote w:id="3">
    <w:p w14:paraId="0BD9515A" w14:textId="77777777" w:rsidR="00FE14B0" w:rsidRPr="00764F55" w:rsidRDefault="00FE14B0" w:rsidP="00C06AF4">
      <w:pPr>
        <w:pStyle w:val="FootnoteText"/>
        <w:rPr>
          <w:sz w:val="18"/>
          <w:szCs w:val="18"/>
        </w:rPr>
      </w:pPr>
      <w:r w:rsidRPr="00764F55">
        <w:rPr>
          <w:rStyle w:val="FootnoteReference"/>
          <w:sz w:val="18"/>
          <w:szCs w:val="18"/>
        </w:rPr>
        <w:footnoteRef/>
      </w:r>
      <w:r w:rsidRPr="00764F55">
        <w:rPr>
          <w:sz w:val="18"/>
          <w:szCs w:val="18"/>
        </w:rPr>
        <w:t xml:space="preserve"> Department of Health (2018a)</w:t>
      </w:r>
    </w:p>
  </w:footnote>
  <w:footnote w:id="4">
    <w:p w14:paraId="2B12A68A" w14:textId="77777777" w:rsidR="00FE14B0" w:rsidRPr="00F54855" w:rsidRDefault="00FE14B0" w:rsidP="00C06AF4">
      <w:pPr>
        <w:pStyle w:val="FootnoteText"/>
        <w:rPr>
          <w:sz w:val="18"/>
          <w:szCs w:val="18"/>
        </w:rPr>
      </w:pPr>
      <w:r w:rsidRPr="00764F55">
        <w:rPr>
          <w:rStyle w:val="FootnoteReference"/>
          <w:sz w:val="18"/>
          <w:szCs w:val="18"/>
        </w:rPr>
        <w:footnoteRef/>
      </w:r>
      <w:r w:rsidRPr="00764F55">
        <w:rPr>
          <w:sz w:val="18"/>
          <w:szCs w:val="18"/>
        </w:rPr>
        <w:t xml:space="preserve"> Ibid</w:t>
      </w:r>
    </w:p>
  </w:footnote>
  <w:footnote w:id="5">
    <w:p w14:paraId="058BC27F" w14:textId="77777777" w:rsidR="00FE14B0" w:rsidRPr="00764F55" w:rsidRDefault="00FE14B0" w:rsidP="00C06AF4">
      <w:pPr>
        <w:pStyle w:val="FootnoteText"/>
        <w:rPr>
          <w:sz w:val="18"/>
          <w:szCs w:val="18"/>
        </w:rPr>
      </w:pPr>
      <w:r w:rsidRPr="00764F55">
        <w:rPr>
          <w:rStyle w:val="FootnoteReference"/>
          <w:sz w:val="18"/>
          <w:szCs w:val="18"/>
        </w:rPr>
        <w:footnoteRef/>
      </w:r>
      <w:r w:rsidRPr="00764F55">
        <w:rPr>
          <w:sz w:val="18"/>
          <w:szCs w:val="18"/>
        </w:rPr>
        <w:t xml:space="preserve"> Royal College of Pathologists of Australasia (RCPA) (2019)</w:t>
      </w:r>
    </w:p>
  </w:footnote>
  <w:footnote w:id="6">
    <w:p w14:paraId="5DB124C1" w14:textId="77777777" w:rsidR="00FE14B0" w:rsidRPr="00764F55" w:rsidRDefault="00FE14B0" w:rsidP="00C06AF4">
      <w:pPr>
        <w:pStyle w:val="FootnoteText"/>
        <w:rPr>
          <w:sz w:val="18"/>
          <w:szCs w:val="18"/>
        </w:rPr>
      </w:pPr>
      <w:r w:rsidRPr="00764F55">
        <w:rPr>
          <w:rStyle w:val="FootnoteReference"/>
          <w:sz w:val="18"/>
          <w:szCs w:val="18"/>
        </w:rPr>
        <w:footnoteRef/>
      </w:r>
      <w:r w:rsidRPr="00764F55">
        <w:rPr>
          <w:sz w:val="18"/>
          <w:szCs w:val="18"/>
        </w:rPr>
        <w:t xml:space="preserve"> Nigrovic et al. (2019)</w:t>
      </w:r>
    </w:p>
  </w:footnote>
  <w:footnote w:id="7">
    <w:p w14:paraId="6FDBD6CD" w14:textId="77777777" w:rsidR="00FE14B0" w:rsidRPr="00764F55" w:rsidRDefault="00FE14B0" w:rsidP="00C06AF4">
      <w:pPr>
        <w:pStyle w:val="FootnoteText"/>
        <w:rPr>
          <w:sz w:val="18"/>
          <w:szCs w:val="18"/>
        </w:rPr>
      </w:pPr>
      <w:r w:rsidRPr="00764F55">
        <w:rPr>
          <w:rStyle w:val="FootnoteReference"/>
          <w:sz w:val="18"/>
          <w:szCs w:val="18"/>
        </w:rPr>
        <w:footnoteRef/>
      </w:r>
      <w:r w:rsidRPr="00764F55">
        <w:rPr>
          <w:sz w:val="18"/>
          <w:szCs w:val="18"/>
        </w:rPr>
        <w:t xml:space="preserve"> National Institute for Health and Care Excellence (NICE) (2018a)</w:t>
      </w:r>
    </w:p>
  </w:footnote>
  <w:footnote w:id="8">
    <w:p w14:paraId="5FCC7CBE" w14:textId="77777777" w:rsidR="00FE14B0" w:rsidRPr="00B50748" w:rsidRDefault="00FE14B0" w:rsidP="00C06AF4">
      <w:pPr>
        <w:pStyle w:val="FootnoteText"/>
        <w:rPr>
          <w:sz w:val="18"/>
          <w:szCs w:val="18"/>
        </w:rPr>
      </w:pPr>
      <w:r w:rsidRPr="00764F55">
        <w:rPr>
          <w:rStyle w:val="FootnoteReference"/>
          <w:sz w:val="18"/>
          <w:szCs w:val="18"/>
        </w:rPr>
        <w:footnoteRef/>
      </w:r>
      <w:r w:rsidRPr="00764F55">
        <w:rPr>
          <w:sz w:val="18"/>
          <w:szCs w:val="18"/>
        </w:rPr>
        <w:t xml:space="preserve"> Graves &amp; Stenos (2017)</w:t>
      </w:r>
    </w:p>
  </w:footnote>
  <w:footnote w:id="9">
    <w:p w14:paraId="42DA720B" w14:textId="77777777" w:rsidR="00FE14B0" w:rsidRPr="00764F55" w:rsidRDefault="00FE14B0" w:rsidP="00193293">
      <w:pPr>
        <w:pStyle w:val="FootnoteText"/>
        <w:rPr>
          <w:sz w:val="18"/>
          <w:szCs w:val="18"/>
        </w:rPr>
      </w:pPr>
      <w:r w:rsidRPr="00764F55">
        <w:rPr>
          <w:rStyle w:val="FootnoteReference"/>
          <w:sz w:val="18"/>
          <w:szCs w:val="18"/>
        </w:rPr>
        <w:footnoteRef/>
      </w:r>
      <w:r w:rsidRPr="00764F55">
        <w:rPr>
          <w:sz w:val="18"/>
          <w:szCs w:val="18"/>
        </w:rPr>
        <w:t xml:space="preserve"> Choosing Wisely Australia (n.d.) </w:t>
      </w:r>
    </w:p>
  </w:footnote>
  <w:footnote w:id="10">
    <w:p w14:paraId="5155F4D9" w14:textId="77777777" w:rsidR="00FE14B0" w:rsidRPr="00764F55" w:rsidRDefault="00FE14B0" w:rsidP="00193293">
      <w:pPr>
        <w:pStyle w:val="FootnoteText"/>
        <w:rPr>
          <w:sz w:val="18"/>
          <w:szCs w:val="18"/>
        </w:rPr>
      </w:pPr>
      <w:r w:rsidRPr="00764F55">
        <w:rPr>
          <w:rStyle w:val="FootnoteReference"/>
          <w:sz w:val="18"/>
          <w:szCs w:val="18"/>
        </w:rPr>
        <w:footnoteRef/>
      </w:r>
      <w:r w:rsidRPr="00764F55">
        <w:rPr>
          <w:sz w:val="18"/>
          <w:szCs w:val="18"/>
        </w:rPr>
        <w:t xml:space="preserve"> Senate Community Affairs References Committee (2016a)</w:t>
      </w:r>
    </w:p>
  </w:footnote>
  <w:footnote w:id="11">
    <w:p w14:paraId="699F1567" w14:textId="77777777" w:rsidR="00FE14B0" w:rsidRPr="00764F55" w:rsidRDefault="00FE14B0" w:rsidP="00193293">
      <w:pPr>
        <w:pStyle w:val="FootnoteText"/>
        <w:rPr>
          <w:sz w:val="18"/>
          <w:szCs w:val="18"/>
        </w:rPr>
      </w:pPr>
      <w:r w:rsidRPr="00764F55">
        <w:rPr>
          <w:rStyle w:val="FootnoteReference"/>
          <w:sz w:val="18"/>
          <w:szCs w:val="18"/>
        </w:rPr>
        <w:footnoteRef/>
      </w:r>
      <w:r w:rsidRPr="00764F55">
        <w:rPr>
          <w:sz w:val="18"/>
          <w:szCs w:val="18"/>
        </w:rPr>
        <w:t xml:space="preserve"> Senate Community Affairs References Committee (2016b) </w:t>
      </w:r>
    </w:p>
  </w:footnote>
  <w:footnote w:id="12">
    <w:p w14:paraId="1704F1D4" w14:textId="77777777" w:rsidR="00FE14B0" w:rsidRPr="00764F55" w:rsidRDefault="00FE14B0" w:rsidP="00193293">
      <w:pPr>
        <w:pStyle w:val="FootnoteText"/>
        <w:rPr>
          <w:sz w:val="18"/>
          <w:szCs w:val="18"/>
        </w:rPr>
      </w:pPr>
      <w:r w:rsidRPr="00764F55">
        <w:rPr>
          <w:rStyle w:val="FootnoteReference"/>
          <w:sz w:val="18"/>
          <w:szCs w:val="18"/>
        </w:rPr>
        <w:footnoteRef/>
      </w:r>
      <w:r w:rsidRPr="00764F55">
        <w:rPr>
          <w:sz w:val="18"/>
          <w:szCs w:val="18"/>
        </w:rPr>
        <w:t xml:space="preserve"> TMS Consulting Pty Ltd (27 July 2018)</w:t>
      </w:r>
    </w:p>
  </w:footnote>
  <w:footnote w:id="13">
    <w:p w14:paraId="33BE0A96" w14:textId="77777777" w:rsidR="00FE14B0" w:rsidRPr="00764F55" w:rsidRDefault="00FE14B0" w:rsidP="00193293">
      <w:pPr>
        <w:pStyle w:val="FootnoteText"/>
        <w:rPr>
          <w:sz w:val="18"/>
          <w:szCs w:val="18"/>
        </w:rPr>
      </w:pPr>
      <w:r w:rsidRPr="00764F55">
        <w:rPr>
          <w:rStyle w:val="FootnoteReference"/>
          <w:sz w:val="18"/>
          <w:szCs w:val="18"/>
        </w:rPr>
        <w:footnoteRef/>
      </w:r>
      <w:r w:rsidRPr="00764F55">
        <w:rPr>
          <w:sz w:val="18"/>
          <w:szCs w:val="18"/>
        </w:rPr>
        <w:t xml:space="preserve"> Allen + Clarke (2019)</w:t>
      </w:r>
    </w:p>
  </w:footnote>
  <w:footnote w:id="14">
    <w:p w14:paraId="1CA8FBA7" w14:textId="77777777" w:rsidR="00FE14B0" w:rsidRPr="00764F55" w:rsidRDefault="00FE14B0" w:rsidP="00193293">
      <w:pPr>
        <w:pStyle w:val="FootnoteText"/>
        <w:rPr>
          <w:sz w:val="18"/>
          <w:szCs w:val="18"/>
        </w:rPr>
      </w:pPr>
      <w:r w:rsidRPr="00764F55">
        <w:rPr>
          <w:rStyle w:val="FootnoteReference"/>
          <w:sz w:val="18"/>
          <w:szCs w:val="18"/>
        </w:rPr>
        <w:footnoteRef/>
      </w:r>
      <w:r w:rsidRPr="00764F55">
        <w:rPr>
          <w:sz w:val="18"/>
          <w:szCs w:val="18"/>
        </w:rPr>
        <w:t xml:space="preserve"> Brown (2018)</w:t>
      </w:r>
    </w:p>
  </w:footnote>
  <w:footnote w:id="15">
    <w:p w14:paraId="19CB035F" w14:textId="77777777" w:rsidR="00FE14B0" w:rsidRPr="00193293" w:rsidRDefault="00FE14B0" w:rsidP="00193293">
      <w:pPr>
        <w:pStyle w:val="FootnoteText"/>
        <w:rPr>
          <w:sz w:val="18"/>
          <w:szCs w:val="18"/>
        </w:rPr>
      </w:pPr>
      <w:r w:rsidRPr="00764F55">
        <w:rPr>
          <w:rStyle w:val="FootnoteReference"/>
          <w:sz w:val="18"/>
          <w:szCs w:val="18"/>
        </w:rPr>
        <w:footnoteRef/>
      </w:r>
      <w:r w:rsidRPr="00764F55">
        <w:rPr>
          <w:sz w:val="18"/>
          <w:szCs w:val="18"/>
        </w:rPr>
        <w:t xml:space="preserve"> Ibid.</w:t>
      </w:r>
    </w:p>
  </w:footnote>
  <w:footnote w:id="16">
    <w:p w14:paraId="1C4D14DA" w14:textId="77777777" w:rsidR="00FE14B0" w:rsidRPr="00764F55" w:rsidRDefault="00FE14B0" w:rsidP="00193293">
      <w:pPr>
        <w:pStyle w:val="FootnoteText"/>
        <w:rPr>
          <w:sz w:val="18"/>
          <w:szCs w:val="18"/>
        </w:rPr>
      </w:pPr>
      <w:r w:rsidRPr="00764F55">
        <w:rPr>
          <w:rStyle w:val="FootnoteReference"/>
          <w:sz w:val="18"/>
          <w:szCs w:val="18"/>
        </w:rPr>
        <w:footnoteRef/>
      </w:r>
      <w:r w:rsidRPr="00764F55">
        <w:rPr>
          <w:sz w:val="18"/>
          <w:szCs w:val="18"/>
        </w:rPr>
        <w:t xml:space="preserve"> Allen + Clarke (2019)</w:t>
      </w:r>
    </w:p>
  </w:footnote>
  <w:footnote w:id="17">
    <w:p w14:paraId="5425B1A8" w14:textId="77777777" w:rsidR="00FE14B0" w:rsidRPr="004D3350" w:rsidRDefault="00FE14B0" w:rsidP="00F817AC">
      <w:pPr>
        <w:spacing w:after="0" w:line="240" w:lineRule="auto"/>
        <w:rPr>
          <w:color w:val="0000FF"/>
          <w:sz w:val="18"/>
          <w:szCs w:val="18"/>
          <w:u w:val="single"/>
        </w:rPr>
      </w:pPr>
      <w:r w:rsidRPr="00764F55">
        <w:rPr>
          <w:rStyle w:val="FootnoteReference"/>
          <w:sz w:val="18"/>
          <w:szCs w:val="18"/>
        </w:rPr>
        <w:footnoteRef/>
      </w:r>
      <w:r w:rsidRPr="00764F55">
        <w:rPr>
          <w:sz w:val="18"/>
          <w:szCs w:val="18"/>
        </w:rPr>
        <w:t xml:space="preserve"> Department of Health (2018a) </w:t>
      </w:r>
    </w:p>
  </w:footnote>
  <w:footnote w:id="18">
    <w:p w14:paraId="451D584B"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Brunton et al. (2017)</w:t>
      </w:r>
    </w:p>
  </w:footnote>
  <w:footnote w:id="19">
    <w:p w14:paraId="11D0FC0E" w14:textId="77777777" w:rsidR="00FE14B0" w:rsidRPr="00B50748"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NICE (2018a)</w:t>
      </w:r>
    </w:p>
  </w:footnote>
  <w:footnote w:id="20">
    <w:p w14:paraId="19627184"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Department of Health (2018b) </w:t>
      </w:r>
    </w:p>
  </w:footnote>
  <w:footnote w:id="21">
    <w:p w14:paraId="70A992EB"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RCPA (2019)</w:t>
      </w:r>
    </w:p>
  </w:footnote>
  <w:footnote w:id="22">
    <w:p w14:paraId="34762387"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Mackenzie (2013)</w:t>
      </w:r>
    </w:p>
  </w:footnote>
  <w:footnote w:id="23">
    <w:p w14:paraId="333DCA16"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NICE (2018a)</w:t>
      </w:r>
    </w:p>
  </w:footnote>
  <w:footnote w:id="24">
    <w:p w14:paraId="647E71E0" w14:textId="77777777" w:rsidR="00FE14B0" w:rsidRPr="00764F55" w:rsidRDefault="00FE14B0" w:rsidP="00F645CB">
      <w:pPr>
        <w:pStyle w:val="FootnoteText"/>
        <w:rPr>
          <w:sz w:val="18"/>
          <w:szCs w:val="18"/>
        </w:rPr>
      </w:pPr>
      <w:r w:rsidRPr="00764F55">
        <w:rPr>
          <w:rStyle w:val="FootnoteReference"/>
          <w:sz w:val="18"/>
          <w:szCs w:val="18"/>
        </w:rPr>
        <w:footnoteRef/>
      </w:r>
      <w:r w:rsidRPr="00764F55">
        <w:rPr>
          <w:sz w:val="18"/>
          <w:szCs w:val="18"/>
        </w:rPr>
        <w:t xml:space="preserve"> Borchers et al. (2015)</w:t>
      </w:r>
    </w:p>
  </w:footnote>
  <w:footnote w:id="25">
    <w:p w14:paraId="61E38DF1" w14:textId="77777777" w:rsidR="00FE14B0" w:rsidRPr="00764F55" w:rsidRDefault="00FE14B0" w:rsidP="00F645CB">
      <w:pPr>
        <w:pStyle w:val="FootnoteText"/>
        <w:rPr>
          <w:sz w:val="18"/>
          <w:szCs w:val="18"/>
        </w:rPr>
      </w:pPr>
      <w:r w:rsidRPr="00764F55">
        <w:rPr>
          <w:rStyle w:val="FootnoteReference"/>
          <w:sz w:val="18"/>
          <w:szCs w:val="18"/>
        </w:rPr>
        <w:footnoteRef/>
      </w:r>
      <w:r w:rsidRPr="00764F55">
        <w:rPr>
          <w:sz w:val="18"/>
          <w:szCs w:val="18"/>
        </w:rPr>
        <w:t xml:space="preserve"> NICE (2018a)</w:t>
      </w:r>
    </w:p>
  </w:footnote>
  <w:footnote w:id="26">
    <w:p w14:paraId="71C94225" w14:textId="77777777" w:rsidR="00FE14B0" w:rsidRPr="00764F55" w:rsidRDefault="00FE14B0" w:rsidP="00F645CB">
      <w:pPr>
        <w:pStyle w:val="FootnoteText"/>
        <w:rPr>
          <w:sz w:val="18"/>
          <w:szCs w:val="18"/>
        </w:rPr>
      </w:pPr>
      <w:r w:rsidRPr="00764F55">
        <w:rPr>
          <w:rStyle w:val="FootnoteReference"/>
          <w:sz w:val="18"/>
          <w:szCs w:val="18"/>
        </w:rPr>
        <w:footnoteRef/>
      </w:r>
      <w:r w:rsidRPr="00764F55">
        <w:rPr>
          <w:sz w:val="18"/>
          <w:szCs w:val="18"/>
        </w:rPr>
        <w:t xml:space="preserve"> Mackenzie (2013)</w:t>
      </w:r>
    </w:p>
  </w:footnote>
  <w:footnote w:id="27">
    <w:p w14:paraId="50FB7F59" w14:textId="77777777" w:rsidR="00FE14B0" w:rsidRPr="00764F55" w:rsidRDefault="00FE14B0" w:rsidP="00F645CB">
      <w:pPr>
        <w:pStyle w:val="FootnoteText"/>
        <w:rPr>
          <w:sz w:val="18"/>
          <w:szCs w:val="18"/>
        </w:rPr>
      </w:pPr>
      <w:r w:rsidRPr="00764F55">
        <w:rPr>
          <w:rStyle w:val="FootnoteReference"/>
          <w:sz w:val="18"/>
          <w:szCs w:val="18"/>
        </w:rPr>
        <w:footnoteRef/>
      </w:r>
      <w:r w:rsidRPr="00764F55">
        <w:rPr>
          <w:sz w:val="18"/>
          <w:szCs w:val="18"/>
        </w:rPr>
        <w:t xml:space="preserve"> Borchers et al. (2015)</w:t>
      </w:r>
    </w:p>
  </w:footnote>
  <w:footnote w:id="28">
    <w:p w14:paraId="5B51678D" w14:textId="77777777" w:rsidR="00FE14B0" w:rsidRPr="00764F55" w:rsidRDefault="00FE14B0" w:rsidP="00F645CB">
      <w:pPr>
        <w:pStyle w:val="FootnoteText"/>
        <w:rPr>
          <w:sz w:val="18"/>
          <w:szCs w:val="18"/>
        </w:rPr>
      </w:pPr>
      <w:r w:rsidRPr="00764F55">
        <w:rPr>
          <w:rStyle w:val="FootnoteReference"/>
          <w:sz w:val="18"/>
          <w:szCs w:val="18"/>
        </w:rPr>
        <w:footnoteRef/>
      </w:r>
      <w:r w:rsidRPr="00764F55">
        <w:rPr>
          <w:sz w:val="18"/>
          <w:szCs w:val="18"/>
        </w:rPr>
        <w:t xml:space="preserve"> Lantos et al. (2019)</w:t>
      </w:r>
    </w:p>
  </w:footnote>
  <w:footnote w:id="29">
    <w:p w14:paraId="5CFE6D7A" w14:textId="77777777" w:rsidR="00FE14B0" w:rsidRPr="00764F55" w:rsidRDefault="00FE14B0" w:rsidP="00F645CB">
      <w:pPr>
        <w:pStyle w:val="FootnoteText"/>
        <w:rPr>
          <w:sz w:val="18"/>
          <w:szCs w:val="18"/>
        </w:rPr>
      </w:pPr>
      <w:r w:rsidRPr="00764F55">
        <w:rPr>
          <w:rStyle w:val="FootnoteReference"/>
          <w:sz w:val="18"/>
          <w:szCs w:val="18"/>
        </w:rPr>
        <w:footnoteRef/>
      </w:r>
      <w:r w:rsidRPr="00764F55">
        <w:rPr>
          <w:sz w:val="18"/>
          <w:szCs w:val="18"/>
        </w:rPr>
        <w:t xml:space="preserve"> Mackenzie (2013)</w:t>
      </w:r>
    </w:p>
  </w:footnote>
  <w:footnote w:id="30">
    <w:p w14:paraId="27BAD8AF" w14:textId="77777777" w:rsidR="00FE14B0" w:rsidRPr="00764F55" w:rsidRDefault="00FE14B0" w:rsidP="00F645CB">
      <w:pPr>
        <w:pStyle w:val="FootnoteText"/>
        <w:rPr>
          <w:sz w:val="18"/>
          <w:szCs w:val="18"/>
        </w:rPr>
      </w:pPr>
      <w:r w:rsidRPr="00764F55">
        <w:rPr>
          <w:rStyle w:val="FootnoteReference"/>
          <w:sz w:val="18"/>
          <w:szCs w:val="18"/>
        </w:rPr>
        <w:footnoteRef/>
      </w:r>
      <w:r w:rsidRPr="00764F55">
        <w:rPr>
          <w:sz w:val="18"/>
          <w:szCs w:val="18"/>
        </w:rPr>
        <w:t xml:space="preserve"> Ibid.</w:t>
      </w:r>
    </w:p>
  </w:footnote>
  <w:footnote w:id="31">
    <w:p w14:paraId="4617729D" w14:textId="77777777" w:rsidR="00FE14B0" w:rsidRPr="00764F55" w:rsidRDefault="00FE14B0" w:rsidP="00F645CB">
      <w:pPr>
        <w:pStyle w:val="FootnoteText"/>
        <w:rPr>
          <w:sz w:val="18"/>
          <w:szCs w:val="18"/>
        </w:rPr>
      </w:pPr>
      <w:r w:rsidRPr="00764F55">
        <w:rPr>
          <w:rStyle w:val="FootnoteReference"/>
          <w:sz w:val="18"/>
          <w:szCs w:val="18"/>
        </w:rPr>
        <w:footnoteRef/>
      </w:r>
      <w:r w:rsidRPr="00764F55">
        <w:rPr>
          <w:sz w:val="18"/>
          <w:szCs w:val="18"/>
        </w:rPr>
        <w:t xml:space="preserve"> Ibid.</w:t>
      </w:r>
    </w:p>
  </w:footnote>
  <w:footnote w:id="32">
    <w:p w14:paraId="0C94BDFD" w14:textId="77777777" w:rsidR="00FE14B0" w:rsidRPr="00764F55" w:rsidRDefault="00FE14B0" w:rsidP="00F645CB">
      <w:pPr>
        <w:pStyle w:val="FootnoteText"/>
        <w:rPr>
          <w:sz w:val="18"/>
          <w:szCs w:val="18"/>
        </w:rPr>
      </w:pPr>
      <w:r w:rsidRPr="00764F55">
        <w:rPr>
          <w:rStyle w:val="FootnoteReference"/>
          <w:sz w:val="18"/>
          <w:szCs w:val="18"/>
        </w:rPr>
        <w:footnoteRef/>
      </w:r>
      <w:r w:rsidRPr="00764F55">
        <w:rPr>
          <w:sz w:val="18"/>
          <w:szCs w:val="18"/>
        </w:rPr>
        <w:t xml:space="preserve"> RCPA (May 2019)</w:t>
      </w:r>
    </w:p>
  </w:footnote>
  <w:footnote w:id="33">
    <w:p w14:paraId="41495B4B" w14:textId="77777777" w:rsidR="00FE14B0" w:rsidRPr="00764F55" w:rsidRDefault="00FE14B0" w:rsidP="00F645CB">
      <w:pPr>
        <w:pStyle w:val="FootnoteText"/>
        <w:rPr>
          <w:sz w:val="18"/>
          <w:szCs w:val="18"/>
        </w:rPr>
      </w:pPr>
      <w:r w:rsidRPr="00764F55">
        <w:rPr>
          <w:rStyle w:val="FootnoteReference"/>
          <w:sz w:val="18"/>
          <w:szCs w:val="18"/>
        </w:rPr>
        <w:footnoteRef/>
      </w:r>
      <w:r w:rsidRPr="00764F55">
        <w:rPr>
          <w:sz w:val="18"/>
          <w:szCs w:val="18"/>
        </w:rPr>
        <w:t xml:space="preserve"> Mackenzie (2013)</w:t>
      </w:r>
    </w:p>
  </w:footnote>
  <w:footnote w:id="34">
    <w:p w14:paraId="3640118E" w14:textId="77777777" w:rsidR="00FE14B0" w:rsidRPr="00764F55" w:rsidRDefault="00FE14B0" w:rsidP="00F645CB">
      <w:pPr>
        <w:pStyle w:val="FootnoteText"/>
        <w:rPr>
          <w:sz w:val="18"/>
          <w:szCs w:val="18"/>
        </w:rPr>
      </w:pPr>
      <w:r w:rsidRPr="00764F55">
        <w:rPr>
          <w:rStyle w:val="FootnoteReference"/>
          <w:sz w:val="18"/>
          <w:szCs w:val="18"/>
        </w:rPr>
        <w:footnoteRef/>
      </w:r>
      <w:r w:rsidRPr="00764F55">
        <w:rPr>
          <w:sz w:val="18"/>
          <w:szCs w:val="18"/>
        </w:rPr>
        <w:t xml:space="preserve"> RCPA (May 2019)</w:t>
      </w:r>
    </w:p>
  </w:footnote>
  <w:footnote w:id="35">
    <w:p w14:paraId="52EE4F19" w14:textId="77777777" w:rsidR="00FE14B0" w:rsidRPr="004D3350" w:rsidRDefault="00FE14B0" w:rsidP="00F645CB">
      <w:pPr>
        <w:spacing w:after="0" w:line="240" w:lineRule="auto"/>
        <w:rPr>
          <w:color w:val="0000FF"/>
          <w:sz w:val="18"/>
          <w:szCs w:val="18"/>
          <w:u w:val="single"/>
        </w:rPr>
      </w:pPr>
      <w:r w:rsidRPr="00764F55">
        <w:rPr>
          <w:rStyle w:val="FootnoteReference"/>
          <w:sz w:val="18"/>
          <w:szCs w:val="18"/>
        </w:rPr>
        <w:footnoteRef/>
      </w:r>
      <w:r w:rsidRPr="00764F55">
        <w:rPr>
          <w:sz w:val="18"/>
          <w:szCs w:val="18"/>
        </w:rPr>
        <w:t xml:space="preserve"> Department of Health (2018b) </w:t>
      </w:r>
    </w:p>
  </w:footnote>
  <w:footnote w:id="36">
    <w:p w14:paraId="1B5D5C1C" w14:textId="77777777" w:rsidR="00FE14B0" w:rsidRPr="00764F55" w:rsidRDefault="00FE14B0" w:rsidP="00F645CB">
      <w:pPr>
        <w:pStyle w:val="FootnoteText"/>
        <w:rPr>
          <w:sz w:val="18"/>
          <w:szCs w:val="18"/>
        </w:rPr>
      </w:pPr>
      <w:r w:rsidRPr="00764F55">
        <w:rPr>
          <w:rStyle w:val="FootnoteReference"/>
          <w:sz w:val="18"/>
          <w:szCs w:val="18"/>
        </w:rPr>
        <w:footnoteRef/>
      </w:r>
      <w:r w:rsidRPr="00764F55">
        <w:rPr>
          <w:sz w:val="18"/>
          <w:szCs w:val="18"/>
        </w:rPr>
        <w:t xml:space="preserve"> Borchers et al. (2015)</w:t>
      </w:r>
    </w:p>
  </w:footnote>
  <w:footnote w:id="37">
    <w:p w14:paraId="67A35278" w14:textId="77777777" w:rsidR="00FE14B0" w:rsidRPr="00764F55" w:rsidRDefault="00FE14B0" w:rsidP="00F645CB">
      <w:pPr>
        <w:pStyle w:val="FootnoteText"/>
        <w:rPr>
          <w:sz w:val="18"/>
          <w:szCs w:val="18"/>
        </w:rPr>
      </w:pPr>
      <w:r w:rsidRPr="00764F55">
        <w:rPr>
          <w:rStyle w:val="FootnoteReference"/>
          <w:sz w:val="18"/>
          <w:szCs w:val="18"/>
        </w:rPr>
        <w:footnoteRef/>
      </w:r>
      <w:r w:rsidRPr="00764F55">
        <w:rPr>
          <w:sz w:val="18"/>
          <w:szCs w:val="18"/>
        </w:rPr>
        <w:t xml:space="preserve"> Ibid.</w:t>
      </w:r>
    </w:p>
  </w:footnote>
  <w:footnote w:id="38">
    <w:p w14:paraId="7F9FBD8D" w14:textId="77777777" w:rsidR="00FE14B0" w:rsidRPr="00B50748" w:rsidRDefault="00FE14B0" w:rsidP="00F645CB">
      <w:pPr>
        <w:pStyle w:val="FootnoteText"/>
        <w:rPr>
          <w:sz w:val="18"/>
          <w:szCs w:val="18"/>
        </w:rPr>
      </w:pPr>
      <w:r w:rsidRPr="00764F55">
        <w:rPr>
          <w:rStyle w:val="FootnoteReference"/>
          <w:sz w:val="18"/>
          <w:szCs w:val="18"/>
        </w:rPr>
        <w:footnoteRef/>
      </w:r>
      <w:r w:rsidRPr="00764F55">
        <w:rPr>
          <w:sz w:val="18"/>
          <w:szCs w:val="18"/>
        </w:rPr>
        <w:t xml:space="preserve"> Ibid.</w:t>
      </w:r>
    </w:p>
  </w:footnote>
  <w:footnote w:id="39">
    <w:p w14:paraId="2E37C302" w14:textId="77777777" w:rsidR="00FE14B0" w:rsidRPr="008B2EC3" w:rsidRDefault="00FE14B0" w:rsidP="00F645CB">
      <w:pPr>
        <w:pStyle w:val="FootnoteText"/>
        <w:rPr>
          <w:sz w:val="18"/>
          <w:szCs w:val="18"/>
        </w:rPr>
      </w:pPr>
      <w:r w:rsidRPr="008B2EC3">
        <w:rPr>
          <w:rStyle w:val="FootnoteReference"/>
          <w:sz w:val="18"/>
          <w:szCs w:val="18"/>
        </w:rPr>
        <w:footnoteRef/>
      </w:r>
      <w:r w:rsidRPr="008B2EC3">
        <w:rPr>
          <w:sz w:val="18"/>
          <w:szCs w:val="18"/>
        </w:rPr>
        <w:t xml:space="preserve"> Borchers et al. (2015)</w:t>
      </w:r>
    </w:p>
  </w:footnote>
  <w:footnote w:id="40">
    <w:p w14:paraId="2C40F613" w14:textId="77777777" w:rsidR="00FE14B0" w:rsidRPr="008B2EC3" w:rsidRDefault="00FE14B0" w:rsidP="00F817AC">
      <w:pPr>
        <w:pStyle w:val="FootnoteText"/>
        <w:rPr>
          <w:sz w:val="18"/>
          <w:szCs w:val="18"/>
        </w:rPr>
      </w:pPr>
      <w:r w:rsidRPr="008B2EC3">
        <w:rPr>
          <w:rStyle w:val="FootnoteReference"/>
          <w:sz w:val="18"/>
          <w:szCs w:val="18"/>
        </w:rPr>
        <w:footnoteRef/>
      </w:r>
      <w:r w:rsidRPr="008B2EC3">
        <w:rPr>
          <w:sz w:val="18"/>
          <w:szCs w:val="18"/>
        </w:rPr>
        <w:t xml:space="preserve"> NICE (2018a)</w:t>
      </w:r>
    </w:p>
  </w:footnote>
  <w:footnote w:id="41">
    <w:p w14:paraId="532D0248" w14:textId="77777777" w:rsidR="00FE14B0" w:rsidRPr="008B2EC3" w:rsidRDefault="00FE14B0" w:rsidP="00F817AC">
      <w:pPr>
        <w:pStyle w:val="FootnoteText"/>
        <w:rPr>
          <w:sz w:val="18"/>
          <w:szCs w:val="18"/>
          <w:lang w:val="en-AU"/>
        </w:rPr>
      </w:pPr>
      <w:r w:rsidRPr="008B2EC3">
        <w:rPr>
          <w:rStyle w:val="FootnoteReference"/>
          <w:sz w:val="18"/>
          <w:szCs w:val="18"/>
        </w:rPr>
        <w:footnoteRef/>
      </w:r>
      <w:r w:rsidRPr="008B2EC3">
        <w:rPr>
          <w:sz w:val="18"/>
          <w:szCs w:val="18"/>
        </w:rPr>
        <w:t xml:space="preserve"> </w:t>
      </w:r>
      <w:r w:rsidRPr="008B2EC3">
        <w:rPr>
          <w:sz w:val="18"/>
          <w:szCs w:val="18"/>
          <w:lang w:val="en-AU"/>
        </w:rPr>
        <w:t>Department of Health (2020)</w:t>
      </w:r>
    </w:p>
  </w:footnote>
  <w:footnote w:id="42">
    <w:p w14:paraId="00BD53A9" w14:textId="77777777" w:rsidR="00FE14B0" w:rsidRPr="008B2EC3" w:rsidRDefault="00FE14B0" w:rsidP="00F817AC">
      <w:pPr>
        <w:pStyle w:val="BodyText"/>
        <w:spacing w:before="0" w:after="0" w:line="240" w:lineRule="auto"/>
        <w:rPr>
          <w:sz w:val="18"/>
          <w:szCs w:val="18"/>
        </w:rPr>
      </w:pPr>
      <w:r w:rsidRPr="008B2EC3">
        <w:rPr>
          <w:rStyle w:val="FootnoteReference"/>
          <w:sz w:val="18"/>
          <w:szCs w:val="18"/>
        </w:rPr>
        <w:footnoteRef/>
      </w:r>
      <w:r w:rsidRPr="008B2EC3">
        <w:rPr>
          <w:sz w:val="18"/>
          <w:szCs w:val="18"/>
        </w:rPr>
        <w:t xml:space="preserve"> NICE (2018b) </w:t>
      </w:r>
    </w:p>
  </w:footnote>
  <w:footnote w:id="43">
    <w:p w14:paraId="7A3F2327" w14:textId="77777777" w:rsidR="00FE14B0" w:rsidRPr="008B2EC3" w:rsidRDefault="00FE14B0" w:rsidP="00F817AC">
      <w:pPr>
        <w:pStyle w:val="FootnoteText"/>
        <w:rPr>
          <w:sz w:val="18"/>
          <w:szCs w:val="18"/>
        </w:rPr>
      </w:pPr>
      <w:r w:rsidRPr="008B2EC3">
        <w:rPr>
          <w:rStyle w:val="FootnoteReference"/>
          <w:sz w:val="18"/>
          <w:szCs w:val="18"/>
        </w:rPr>
        <w:footnoteRef/>
      </w:r>
      <w:r w:rsidRPr="008B2EC3">
        <w:rPr>
          <w:sz w:val="18"/>
          <w:szCs w:val="18"/>
        </w:rPr>
        <w:t xml:space="preserve"> Ibid.</w:t>
      </w:r>
    </w:p>
  </w:footnote>
  <w:footnote w:id="44">
    <w:p w14:paraId="6334882D" w14:textId="77777777" w:rsidR="00FE14B0" w:rsidRPr="008B2EC3" w:rsidRDefault="00FE14B0" w:rsidP="00F817AC">
      <w:pPr>
        <w:pStyle w:val="BodyText"/>
        <w:spacing w:before="0" w:after="0" w:line="240" w:lineRule="auto"/>
        <w:rPr>
          <w:sz w:val="18"/>
          <w:szCs w:val="18"/>
        </w:rPr>
      </w:pPr>
      <w:r w:rsidRPr="008B2EC3">
        <w:rPr>
          <w:rStyle w:val="FootnoteReference"/>
          <w:sz w:val="18"/>
          <w:szCs w:val="18"/>
        </w:rPr>
        <w:footnoteRef/>
      </w:r>
      <w:r w:rsidRPr="008B2EC3">
        <w:rPr>
          <w:sz w:val="18"/>
          <w:szCs w:val="18"/>
        </w:rPr>
        <w:t xml:space="preserve"> Ibid.</w:t>
      </w:r>
    </w:p>
  </w:footnote>
  <w:footnote w:id="45">
    <w:p w14:paraId="71591936" w14:textId="77777777" w:rsidR="00FE14B0" w:rsidRPr="008B2EC3" w:rsidRDefault="00FE14B0" w:rsidP="00F817AC">
      <w:pPr>
        <w:pStyle w:val="FootnoteText"/>
        <w:rPr>
          <w:sz w:val="18"/>
          <w:szCs w:val="18"/>
        </w:rPr>
      </w:pPr>
      <w:r w:rsidRPr="008B2EC3">
        <w:rPr>
          <w:rStyle w:val="FootnoteReference"/>
          <w:sz w:val="18"/>
          <w:szCs w:val="18"/>
        </w:rPr>
        <w:footnoteRef/>
      </w:r>
      <w:r w:rsidRPr="008B2EC3">
        <w:rPr>
          <w:sz w:val="18"/>
          <w:szCs w:val="18"/>
        </w:rPr>
        <w:t xml:space="preserve"> Borchers et al. (2015)</w:t>
      </w:r>
    </w:p>
  </w:footnote>
  <w:footnote w:id="46">
    <w:p w14:paraId="022917EB" w14:textId="77777777" w:rsidR="00FE14B0" w:rsidRPr="008B2EC3" w:rsidRDefault="00FE14B0" w:rsidP="00F817AC">
      <w:pPr>
        <w:pStyle w:val="FootnoteText"/>
        <w:rPr>
          <w:sz w:val="18"/>
          <w:szCs w:val="18"/>
        </w:rPr>
      </w:pPr>
      <w:r w:rsidRPr="008B2EC3">
        <w:rPr>
          <w:rStyle w:val="FootnoteReference"/>
          <w:sz w:val="18"/>
          <w:szCs w:val="18"/>
        </w:rPr>
        <w:footnoteRef/>
      </w:r>
      <w:r w:rsidRPr="008B2EC3">
        <w:rPr>
          <w:sz w:val="18"/>
          <w:szCs w:val="18"/>
        </w:rPr>
        <w:t xml:space="preserve"> NICE (2018a)</w:t>
      </w:r>
    </w:p>
  </w:footnote>
  <w:footnote w:id="47">
    <w:p w14:paraId="7D874A0A" w14:textId="77777777" w:rsidR="00FE14B0" w:rsidRPr="008B2EC3" w:rsidRDefault="00FE14B0" w:rsidP="00F817AC">
      <w:pPr>
        <w:pStyle w:val="FootnoteText"/>
        <w:rPr>
          <w:sz w:val="18"/>
          <w:szCs w:val="18"/>
        </w:rPr>
      </w:pPr>
      <w:r w:rsidRPr="008B2EC3">
        <w:rPr>
          <w:rStyle w:val="FootnoteReference"/>
          <w:sz w:val="18"/>
          <w:szCs w:val="18"/>
        </w:rPr>
        <w:footnoteRef/>
      </w:r>
      <w:r w:rsidRPr="008B2EC3">
        <w:rPr>
          <w:sz w:val="18"/>
          <w:szCs w:val="18"/>
        </w:rPr>
        <w:t xml:space="preserve"> RCPA (2019)</w:t>
      </w:r>
    </w:p>
  </w:footnote>
  <w:footnote w:id="48">
    <w:p w14:paraId="4A306044" w14:textId="77777777" w:rsidR="00FE14B0" w:rsidRPr="008B2EC3" w:rsidRDefault="00FE14B0" w:rsidP="00F817AC">
      <w:pPr>
        <w:pStyle w:val="FootnoteText"/>
        <w:rPr>
          <w:sz w:val="18"/>
          <w:szCs w:val="18"/>
        </w:rPr>
      </w:pPr>
      <w:r w:rsidRPr="008B2EC3">
        <w:rPr>
          <w:rStyle w:val="FootnoteReference"/>
          <w:sz w:val="18"/>
          <w:szCs w:val="18"/>
        </w:rPr>
        <w:footnoteRef/>
      </w:r>
      <w:r w:rsidRPr="008B2EC3">
        <w:rPr>
          <w:sz w:val="18"/>
          <w:szCs w:val="18"/>
        </w:rPr>
        <w:t xml:space="preserve"> Borchers et al. (2015)</w:t>
      </w:r>
    </w:p>
  </w:footnote>
  <w:footnote w:id="49">
    <w:p w14:paraId="3CE9DA35" w14:textId="77777777" w:rsidR="00FE14B0" w:rsidRPr="008B2EC3" w:rsidRDefault="00FE14B0" w:rsidP="00F817AC">
      <w:pPr>
        <w:pStyle w:val="FootnoteText"/>
        <w:rPr>
          <w:sz w:val="18"/>
          <w:szCs w:val="18"/>
        </w:rPr>
      </w:pPr>
      <w:r w:rsidRPr="008B2EC3">
        <w:rPr>
          <w:rStyle w:val="FootnoteReference"/>
          <w:sz w:val="18"/>
          <w:szCs w:val="18"/>
        </w:rPr>
        <w:footnoteRef/>
      </w:r>
      <w:r w:rsidRPr="008B2EC3">
        <w:rPr>
          <w:sz w:val="18"/>
          <w:szCs w:val="18"/>
        </w:rPr>
        <w:t xml:space="preserve"> Lantos et al. (2019)</w:t>
      </w:r>
    </w:p>
  </w:footnote>
  <w:footnote w:id="50">
    <w:p w14:paraId="7265045C" w14:textId="77777777" w:rsidR="00FE14B0" w:rsidRPr="008B2EC3" w:rsidRDefault="00FE14B0" w:rsidP="00F817AC">
      <w:pPr>
        <w:pStyle w:val="FootnoteText"/>
        <w:rPr>
          <w:sz w:val="18"/>
          <w:szCs w:val="18"/>
        </w:rPr>
      </w:pPr>
      <w:r w:rsidRPr="008B2EC3">
        <w:rPr>
          <w:rStyle w:val="FootnoteReference"/>
          <w:sz w:val="18"/>
          <w:szCs w:val="18"/>
        </w:rPr>
        <w:footnoteRef/>
      </w:r>
      <w:r w:rsidRPr="008B2EC3">
        <w:rPr>
          <w:sz w:val="18"/>
          <w:szCs w:val="18"/>
        </w:rPr>
        <w:t xml:space="preserve"> RCPA (2019)</w:t>
      </w:r>
    </w:p>
  </w:footnote>
  <w:footnote w:id="51">
    <w:p w14:paraId="286526D9" w14:textId="77777777" w:rsidR="00FE14B0" w:rsidRPr="008B2EC3" w:rsidRDefault="00FE14B0" w:rsidP="00F817AC">
      <w:pPr>
        <w:pStyle w:val="FootnoteText"/>
        <w:rPr>
          <w:sz w:val="18"/>
          <w:szCs w:val="18"/>
        </w:rPr>
      </w:pPr>
      <w:r w:rsidRPr="008B2EC3">
        <w:rPr>
          <w:rStyle w:val="FootnoteReference"/>
          <w:sz w:val="18"/>
          <w:szCs w:val="18"/>
        </w:rPr>
        <w:footnoteRef/>
      </w:r>
      <w:r w:rsidRPr="008B2EC3">
        <w:rPr>
          <w:sz w:val="18"/>
          <w:szCs w:val="18"/>
        </w:rPr>
        <w:t xml:space="preserve"> Ibid. </w:t>
      </w:r>
    </w:p>
  </w:footnote>
  <w:footnote w:id="52">
    <w:p w14:paraId="4B901C30" w14:textId="77777777" w:rsidR="00FE14B0" w:rsidRPr="008B2EC3" w:rsidRDefault="00FE14B0" w:rsidP="00F817AC">
      <w:pPr>
        <w:pStyle w:val="FootnoteText"/>
        <w:rPr>
          <w:sz w:val="18"/>
          <w:szCs w:val="18"/>
        </w:rPr>
      </w:pPr>
      <w:r w:rsidRPr="008B2EC3">
        <w:rPr>
          <w:rStyle w:val="FootnoteReference"/>
          <w:sz w:val="18"/>
          <w:szCs w:val="18"/>
        </w:rPr>
        <w:footnoteRef/>
      </w:r>
      <w:r w:rsidRPr="008B2EC3">
        <w:rPr>
          <w:sz w:val="18"/>
          <w:szCs w:val="18"/>
        </w:rPr>
        <w:t xml:space="preserve"> NICE (2018a)</w:t>
      </w:r>
    </w:p>
  </w:footnote>
  <w:footnote w:id="53">
    <w:p w14:paraId="7296309B" w14:textId="77777777" w:rsidR="00FE14B0" w:rsidRPr="008B2EC3" w:rsidRDefault="00FE14B0" w:rsidP="00F817AC">
      <w:pPr>
        <w:pStyle w:val="FootnoteText"/>
        <w:rPr>
          <w:sz w:val="18"/>
          <w:szCs w:val="18"/>
        </w:rPr>
      </w:pPr>
      <w:r w:rsidRPr="008B2EC3">
        <w:rPr>
          <w:rStyle w:val="FootnoteReference"/>
          <w:sz w:val="18"/>
          <w:szCs w:val="18"/>
        </w:rPr>
        <w:footnoteRef/>
      </w:r>
      <w:r w:rsidRPr="008B2EC3">
        <w:rPr>
          <w:sz w:val="18"/>
          <w:szCs w:val="18"/>
        </w:rPr>
        <w:t xml:space="preserve"> Public Health England (2018)</w:t>
      </w:r>
    </w:p>
  </w:footnote>
  <w:footnote w:id="54">
    <w:p w14:paraId="06D39BFB" w14:textId="77777777" w:rsidR="00FE14B0" w:rsidRPr="008B2EC3" w:rsidRDefault="00FE14B0" w:rsidP="00F817AC">
      <w:pPr>
        <w:pStyle w:val="FootnoteText"/>
        <w:rPr>
          <w:sz w:val="18"/>
          <w:szCs w:val="18"/>
        </w:rPr>
      </w:pPr>
      <w:r w:rsidRPr="008B2EC3">
        <w:rPr>
          <w:rStyle w:val="FootnoteReference"/>
          <w:sz w:val="18"/>
          <w:szCs w:val="18"/>
        </w:rPr>
        <w:footnoteRef/>
      </w:r>
      <w:r w:rsidRPr="008B2EC3">
        <w:rPr>
          <w:sz w:val="18"/>
          <w:szCs w:val="18"/>
        </w:rPr>
        <w:t xml:space="preserve"> RCPA (2019)</w:t>
      </w:r>
    </w:p>
  </w:footnote>
  <w:footnote w:id="55">
    <w:p w14:paraId="7F138E6C" w14:textId="77777777" w:rsidR="00FE14B0" w:rsidRPr="008B2EC3" w:rsidRDefault="00FE14B0" w:rsidP="00F817AC">
      <w:pPr>
        <w:pStyle w:val="FootnoteText"/>
        <w:rPr>
          <w:sz w:val="18"/>
          <w:szCs w:val="18"/>
        </w:rPr>
      </w:pPr>
      <w:r w:rsidRPr="008B2EC3">
        <w:rPr>
          <w:rStyle w:val="FootnoteReference"/>
          <w:sz w:val="18"/>
          <w:szCs w:val="18"/>
        </w:rPr>
        <w:footnoteRef/>
      </w:r>
      <w:r w:rsidRPr="008B2EC3">
        <w:rPr>
          <w:sz w:val="18"/>
          <w:szCs w:val="18"/>
        </w:rPr>
        <w:t xml:space="preserve"> Ibid.</w:t>
      </w:r>
    </w:p>
  </w:footnote>
  <w:footnote w:id="56">
    <w:p w14:paraId="2C4BC5D0" w14:textId="77777777" w:rsidR="00FE14B0" w:rsidRPr="008B2EC3" w:rsidRDefault="00FE14B0" w:rsidP="00F817AC">
      <w:pPr>
        <w:pStyle w:val="FootnoteText"/>
        <w:rPr>
          <w:sz w:val="18"/>
          <w:szCs w:val="18"/>
        </w:rPr>
      </w:pPr>
      <w:r w:rsidRPr="008B2EC3">
        <w:rPr>
          <w:rStyle w:val="FootnoteReference"/>
          <w:sz w:val="18"/>
          <w:szCs w:val="18"/>
        </w:rPr>
        <w:footnoteRef/>
      </w:r>
      <w:r w:rsidRPr="008B2EC3">
        <w:rPr>
          <w:sz w:val="18"/>
          <w:szCs w:val="18"/>
        </w:rPr>
        <w:t xml:space="preserve"> NICE (2018a)</w:t>
      </w:r>
    </w:p>
  </w:footnote>
  <w:footnote w:id="57">
    <w:p w14:paraId="71F08AB6" w14:textId="77777777" w:rsidR="00FE14B0" w:rsidRPr="008B2EC3" w:rsidRDefault="00FE14B0" w:rsidP="00F817AC">
      <w:pPr>
        <w:pStyle w:val="FootnoteText"/>
        <w:rPr>
          <w:sz w:val="18"/>
          <w:szCs w:val="18"/>
        </w:rPr>
      </w:pPr>
      <w:r w:rsidRPr="008B2EC3">
        <w:rPr>
          <w:rStyle w:val="FootnoteReference"/>
          <w:sz w:val="18"/>
          <w:szCs w:val="18"/>
        </w:rPr>
        <w:footnoteRef/>
      </w:r>
      <w:r w:rsidRPr="008B2EC3">
        <w:rPr>
          <w:sz w:val="18"/>
          <w:szCs w:val="18"/>
        </w:rPr>
        <w:t xml:space="preserve"> Lantos et al. (2019)</w:t>
      </w:r>
    </w:p>
  </w:footnote>
  <w:footnote w:id="58">
    <w:p w14:paraId="34065344" w14:textId="77777777" w:rsidR="00FE14B0" w:rsidRPr="008B2EC3" w:rsidRDefault="00FE14B0" w:rsidP="00F817AC">
      <w:pPr>
        <w:pStyle w:val="FootnoteText"/>
        <w:rPr>
          <w:sz w:val="18"/>
          <w:szCs w:val="18"/>
        </w:rPr>
      </w:pPr>
      <w:r w:rsidRPr="008B2EC3">
        <w:rPr>
          <w:rStyle w:val="FootnoteReference"/>
          <w:sz w:val="18"/>
          <w:szCs w:val="18"/>
        </w:rPr>
        <w:footnoteRef/>
      </w:r>
      <w:r w:rsidRPr="008B2EC3">
        <w:rPr>
          <w:sz w:val="18"/>
          <w:szCs w:val="18"/>
        </w:rPr>
        <w:t xml:space="preserve"> Ibid.</w:t>
      </w:r>
    </w:p>
  </w:footnote>
  <w:footnote w:id="59">
    <w:p w14:paraId="71B527F3" w14:textId="77777777" w:rsidR="00FE14B0" w:rsidRPr="008B2EC3" w:rsidRDefault="00FE14B0" w:rsidP="00F817AC">
      <w:pPr>
        <w:pStyle w:val="FootnoteText"/>
        <w:rPr>
          <w:sz w:val="18"/>
          <w:szCs w:val="18"/>
        </w:rPr>
      </w:pPr>
      <w:r w:rsidRPr="008B2EC3">
        <w:rPr>
          <w:rStyle w:val="FootnoteReference"/>
          <w:sz w:val="18"/>
          <w:szCs w:val="18"/>
        </w:rPr>
        <w:footnoteRef/>
      </w:r>
      <w:r w:rsidRPr="008B2EC3">
        <w:rPr>
          <w:sz w:val="18"/>
          <w:szCs w:val="18"/>
        </w:rPr>
        <w:t xml:space="preserve"> Chalada et al. (2016)</w:t>
      </w:r>
    </w:p>
  </w:footnote>
  <w:footnote w:id="60">
    <w:p w14:paraId="4DCA83B9" w14:textId="77777777" w:rsidR="00FE14B0" w:rsidRPr="008B2EC3" w:rsidRDefault="00FE14B0" w:rsidP="00F817AC">
      <w:pPr>
        <w:pStyle w:val="FootnoteText"/>
        <w:rPr>
          <w:sz w:val="18"/>
          <w:szCs w:val="18"/>
        </w:rPr>
      </w:pPr>
      <w:r w:rsidRPr="008B2EC3">
        <w:rPr>
          <w:rStyle w:val="FootnoteReference"/>
          <w:sz w:val="18"/>
          <w:szCs w:val="18"/>
        </w:rPr>
        <w:footnoteRef/>
      </w:r>
      <w:r w:rsidRPr="008B2EC3">
        <w:rPr>
          <w:sz w:val="18"/>
          <w:szCs w:val="18"/>
        </w:rPr>
        <w:t xml:space="preserve"> Irwin et al. (2017)</w:t>
      </w:r>
    </w:p>
  </w:footnote>
  <w:footnote w:id="61">
    <w:p w14:paraId="6D2C2027" w14:textId="77777777" w:rsidR="00FE14B0" w:rsidRPr="008B2EC3" w:rsidRDefault="00FE14B0" w:rsidP="00F817AC">
      <w:pPr>
        <w:pStyle w:val="FootnoteText"/>
        <w:rPr>
          <w:sz w:val="18"/>
          <w:szCs w:val="18"/>
        </w:rPr>
      </w:pPr>
      <w:r w:rsidRPr="008B2EC3">
        <w:rPr>
          <w:rStyle w:val="FootnoteReference"/>
          <w:sz w:val="18"/>
          <w:szCs w:val="18"/>
        </w:rPr>
        <w:footnoteRef/>
      </w:r>
      <w:r w:rsidRPr="008B2EC3">
        <w:rPr>
          <w:sz w:val="18"/>
          <w:szCs w:val="18"/>
        </w:rPr>
        <w:t xml:space="preserve"> Gofton, Doggett et al. (2015)</w:t>
      </w:r>
    </w:p>
  </w:footnote>
  <w:footnote w:id="62">
    <w:p w14:paraId="50DA711A" w14:textId="77777777" w:rsidR="00FE14B0" w:rsidRPr="008B2EC3" w:rsidRDefault="00FE14B0" w:rsidP="00F817AC">
      <w:pPr>
        <w:pStyle w:val="FootnoteText"/>
        <w:rPr>
          <w:sz w:val="18"/>
          <w:szCs w:val="18"/>
        </w:rPr>
      </w:pPr>
      <w:r w:rsidRPr="008B2EC3">
        <w:rPr>
          <w:rStyle w:val="FootnoteReference"/>
          <w:sz w:val="18"/>
          <w:szCs w:val="18"/>
        </w:rPr>
        <w:footnoteRef/>
      </w:r>
      <w:r w:rsidRPr="008B2EC3">
        <w:rPr>
          <w:sz w:val="18"/>
          <w:szCs w:val="18"/>
        </w:rPr>
        <w:t xml:space="preserve"> Gofton, Oskam et al. (2015)</w:t>
      </w:r>
    </w:p>
  </w:footnote>
  <w:footnote w:id="63">
    <w:p w14:paraId="6731D2E0" w14:textId="77777777" w:rsidR="00FE14B0" w:rsidRPr="008B2EC3" w:rsidRDefault="00FE14B0" w:rsidP="00F817AC">
      <w:pPr>
        <w:pStyle w:val="FootnoteText"/>
        <w:rPr>
          <w:sz w:val="18"/>
          <w:szCs w:val="18"/>
        </w:rPr>
      </w:pPr>
      <w:r w:rsidRPr="008B2EC3">
        <w:rPr>
          <w:rStyle w:val="FootnoteReference"/>
          <w:sz w:val="18"/>
          <w:szCs w:val="18"/>
        </w:rPr>
        <w:footnoteRef/>
      </w:r>
      <w:r w:rsidRPr="008B2EC3">
        <w:rPr>
          <w:sz w:val="18"/>
          <w:szCs w:val="18"/>
        </w:rPr>
        <w:t xml:space="preserve"> Graves &amp; Stenos (2017)</w:t>
      </w:r>
    </w:p>
  </w:footnote>
  <w:footnote w:id="64">
    <w:p w14:paraId="7D73D2CF" w14:textId="77777777" w:rsidR="00FE14B0" w:rsidRPr="008B2EC3" w:rsidRDefault="00FE14B0" w:rsidP="00F817AC">
      <w:pPr>
        <w:pStyle w:val="FootnoteText"/>
        <w:rPr>
          <w:sz w:val="18"/>
          <w:szCs w:val="18"/>
        </w:rPr>
      </w:pPr>
      <w:r w:rsidRPr="008B2EC3">
        <w:rPr>
          <w:rStyle w:val="FootnoteReference"/>
          <w:sz w:val="18"/>
          <w:szCs w:val="18"/>
        </w:rPr>
        <w:footnoteRef/>
      </w:r>
      <w:r w:rsidRPr="008B2EC3">
        <w:rPr>
          <w:sz w:val="18"/>
          <w:szCs w:val="18"/>
        </w:rPr>
        <w:t xml:space="preserve"> Mackenzie (2013)</w:t>
      </w:r>
    </w:p>
  </w:footnote>
  <w:footnote w:id="65">
    <w:p w14:paraId="5F6B3D91" w14:textId="77777777" w:rsidR="00FE14B0" w:rsidRPr="008B2EC3" w:rsidRDefault="00FE14B0" w:rsidP="00F817AC">
      <w:pPr>
        <w:pStyle w:val="FootnoteText"/>
        <w:rPr>
          <w:sz w:val="18"/>
          <w:szCs w:val="18"/>
        </w:rPr>
      </w:pPr>
      <w:r w:rsidRPr="008B2EC3">
        <w:rPr>
          <w:rStyle w:val="FootnoteReference"/>
          <w:sz w:val="18"/>
          <w:szCs w:val="18"/>
        </w:rPr>
        <w:footnoteRef/>
      </w:r>
      <w:r w:rsidRPr="008B2EC3">
        <w:rPr>
          <w:sz w:val="18"/>
          <w:szCs w:val="18"/>
        </w:rPr>
        <w:t xml:space="preserve"> Dehhaghi et al. (2019)</w:t>
      </w:r>
    </w:p>
  </w:footnote>
  <w:footnote w:id="66">
    <w:p w14:paraId="3025D2F2" w14:textId="77777777" w:rsidR="00FE14B0" w:rsidRPr="004D3350" w:rsidRDefault="00FE14B0" w:rsidP="00F817AC">
      <w:pPr>
        <w:spacing w:after="0" w:line="240" w:lineRule="auto"/>
        <w:rPr>
          <w:color w:val="0000FF"/>
          <w:sz w:val="18"/>
          <w:szCs w:val="18"/>
          <w:u w:val="single"/>
        </w:rPr>
      </w:pPr>
      <w:r w:rsidRPr="008B2EC3">
        <w:rPr>
          <w:rStyle w:val="FootnoteReference"/>
          <w:sz w:val="18"/>
          <w:szCs w:val="18"/>
        </w:rPr>
        <w:footnoteRef/>
      </w:r>
      <w:r w:rsidRPr="008B2EC3">
        <w:rPr>
          <w:sz w:val="18"/>
          <w:szCs w:val="18"/>
        </w:rPr>
        <w:t xml:space="preserve"> Department of Health (2018b)</w:t>
      </w:r>
      <w:r w:rsidRPr="008B2EC3">
        <w:rPr>
          <w:rStyle w:val="Hyperlink"/>
          <w:sz w:val="18"/>
          <w:szCs w:val="18"/>
        </w:rPr>
        <w:t xml:space="preserve"> </w:t>
      </w:r>
    </w:p>
  </w:footnote>
  <w:footnote w:id="67">
    <w:p w14:paraId="361A5DA4" w14:textId="77777777" w:rsidR="00FE14B0" w:rsidRPr="008B2EC3" w:rsidRDefault="00FE14B0" w:rsidP="00F817AC">
      <w:pPr>
        <w:pStyle w:val="FootnoteText"/>
        <w:rPr>
          <w:sz w:val="18"/>
          <w:szCs w:val="18"/>
        </w:rPr>
      </w:pPr>
      <w:r w:rsidRPr="008B2EC3">
        <w:rPr>
          <w:rStyle w:val="FootnoteReference"/>
          <w:sz w:val="18"/>
          <w:szCs w:val="18"/>
        </w:rPr>
        <w:footnoteRef/>
      </w:r>
      <w:r w:rsidRPr="008B2EC3">
        <w:rPr>
          <w:sz w:val="18"/>
          <w:szCs w:val="18"/>
        </w:rPr>
        <w:t xml:space="preserve"> Beaman (2016)</w:t>
      </w:r>
    </w:p>
  </w:footnote>
  <w:footnote w:id="68">
    <w:p w14:paraId="2C871A3F" w14:textId="77777777" w:rsidR="00FE14B0" w:rsidRPr="008B2EC3" w:rsidRDefault="00FE14B0" w:rsidP="00F817AC">
      <w:pPr>
        <w:pStyle w:val="FootnoteText"/>
        <w:rPr>
          <w:sz w:val="18"/>
          <w:szCs w:val="18"/>
        </w:rPr>
      </w:pPr>
      <w:r w:rsidRPr="008B2EC3">
        <w:rPr>
          <w:rStyle w:val="FootnoteReference"/>
          <w:sz w:val="18"/>
          <w:szCs w:val="18"/>
        </w:rPr>
        <w:footnoteRef/>
      </w:r>
      <w:r w:rsidRPr="008B2EC3">
        <w:rPr>
          <w:sz w:val="18"/>
          <w:szCs w:val="18"/>
        </w:rPr>
        <w:t xml:space="preserve"> Loh et al. (2016)</w:t>
      </w:r>
    </w:p>
  </w:footnote>
  <w:footnote w:id="69">
    <w:p w14:paraId="5606A92B" w14:textId="77777777" w:rsidR="00FE14B0" w:rsidRPr="008B2EC3" w:rsidRDefault="00FE14B0" w:rsidP="00F817AC">
      <w:pPr>
        <w:pStyle w:val="FootnoteText"/>
        <w:rPr>
          <w:sz w:val="18"/>
          <w:szCs w:val="18"/>
        </w:rPr>
      </w:pPr>
      <w:r w:rsidRPr="008B2EC3">
        <w:rPr>
          <w:rStyle w:val="FootnoteReference"/>
          <w:sz w:val="18"/>
          <w:szCs w:val="18"/>
        </w:rPr>
        <w:footnoteRef/>
      </w:r>
      <w:r w:rsidRPr="008B2EC3">
        <w:rPr>
          <w:sz w:val="18"/>
          <w:szCs w:val="18"/>
        </w:rPr>
        <w:t xml:space="preserve"> Collignon et al. (2016)</w:t>
      </w:r>
    </w:p>
  </w:footnote>
  <w:footnote w:id="70">
    <w:p w14:paraId="5894BEFF" w14:textId="77777777" w:rsidR="00FE14B0" w:rsidRPr="008B2EC3" w:rsidRDefault="00FE14B0" w:rsidP="00F817AC">
      <w:pPr>
        <w:pStyle w:val="FootnoteText"/>
        <w:rPr>
          <w:sz w:val="18"/>
          <w:szCs w:val="18"/>
        </w:rPr>
      </w:pPr>
      <w:r w:rsidRPr="008B2EC3">
        <w:rPr>
          <w:rStyle w:val="FootnoteReference"/>
          <w:sz w:val="18"/>
          <w:szCs w:val="18"/>
        </w:rPr>
        <w:footnoteRef/>
      </w:r>
      <w:r w:rsidRPr="008B2EC3">
        <w:rPr>
          <w:sz w:val="18"/>
          <w:szCs w:val="18"/>
        </w:rPr>
        <w:t xml:space="preserve"> Loh et al. (2017)</w:t>
      </w:r>
    </w:p>
  </w:footnote>
  <w:footnote w:id="71">
    <w:p w14:paraId="5D701773" w14:textId="77777777" w:rsidR="00FE14B0" w:rsidRPr="008B2EC3" w:rsidRDefault="00FE14B0" w:rsidP="00F817AC">
      <w:pPr>
        <w:pStyle w:val="FootnoteText"/>
        <w:rPr>
          <w:sz w:val="18"/>
          <w:szCs w:val="18"/>
        </w:rPr>
      </w:pPr>
      <w:r w:rsidRPr="008B2EC3">
        <w:rPr>
          <w:rStyle w:val="FootnoteReference"/>
          <w:sz w:val="18"/>
          <w:szCs w:val="18"/>
        </w:rPr>
        <w:footnoteRef/>
      </w:r>
      <w:r w:rsidRPr="008B2EC3">
        <w:rPr>
          <w:sz w:val="18"/>
          <w:szCs w:val="18"/>
        </w:rPr>
        <w:t xml:space="preserve"> Harvey et al. (2019)</w:t>
      </w:r>
    </w:p>
  </w:footnote>
  <w:footnote w:id="72">
    <w:p w14:paraId="30407650" w14:textId="77777777" w:rsidR="00FE14B0" w:rsidRPr="004D3350" w:rsidRDefault="00FE14B0" w:rsidP="00F817AC">
      <w:pPr>
        <w:spacing w:after="0" w:line="240" w:lineRule="auto"/>
        <w:rPr>
          <w:color w:val="0000FF"/>
          <w:sz w:val="18"/>
          <w:szCs w:val="18"/>
          <w:u w:val="single"/>
        </w:rPr>
      </w:pPr>
      <w:r w:rsidRPr="008B2EC3">
        <w:rPr>
          <w:rStyle w:val="FootnoteReference"/>
          <w:sz w:val="18"/>
          <w:szCs w:val="18"/>
        </w:rPr>
        <w:footnoteRef/>
      </w:r>
      <w:r w:rsidRPr="008B2EC3">
        <w:rPr>
          <w:sz w:val="18"/>
          <w:szCs w:val="18"/>
        </w:rPr>
        <w:t xml:space="preserve"> Department of Health (2018b) </w:t>
      </w:r>
    </w:p>
  </w:footnote>
  <w:footnote w:id="73">
    <w:p w14:paraId="3407A53E" w14:textId="77777777" w:rsidR="00FE14B0" w:rsidRPr="008B2EC3" w:rsidRDefault="00FE14B0" w:rsidP="00F817AC">
      <w:pPr>
        <w:pStyle w:val="FootnoteText"/>
        <w:rPr>
          <w:sz w:val="18"/>
          <w:szCs w:val="18"/>
        </w:rPr>
      </w:pPr>
      <w:r w:rsidRPr="008B2EC3">
        <w:rPr>
          <w:rStyle w:val="FootnoteReference"/>
          <w:sz w:val="18"/>
          <w:szCs w:val="18"/>
        </w:rPr>
        <w:footnoteRef/>
      </w:r>
      <w:r w:rsidRPr="008B2EC3">
        <w:rPr>
          <w:sz w:val="18"/>
          <w:szCs w:val="18"/>
        </w:rPr>
        <w:t xml:space="preserve"> Graves &amp; Stenos (2017)</w:t>
      </w:r>
    </w:p>
  </w:footnote>
  <w:footnote w:id="74">
    <w:p w14:paraId="245B0E9F" w14:textId="77777777" w:rsidR="00FE14B0" w:rsidRPr="004D3350" w:rsidRDefault="00FE14B0" w:rsidP="00F817AC">
      <w:pPr>
        <w:spacing w:after="0" w:line="240" w:lineRule="auto"/>
        <w:rPr>
          <w:color w:val="0000FF"/>
          <w:sz w:val="18"/>
          <w:szCs w:val="18"/>
          <w:u w:val="single"/>
        </w:rPr>
      </w:pPr>
      <w:r w:rsidRPr="008B2EC3">
        <w:rPr>
          <w:rStyle w:val="FootnoteReference"/>
          <w:sz w:val="18"/>
          <w:szCs w:val="18"/>
        </w:rPr>
        <w:footnoteRef/>
      </w:r>
      <w:r w:rsidRPr="008B2EC3">
        <w:rPr>
          <w:sz w:val="18"/>
          <w:szCs w:val="18"/>
        </w:rPr>
        <w:t xml:space="preserve"> Department of Health (2018b) </w:t>
      </w:r>
    </w:p>
  </w:footnote>
  <w:footnote w:id="75">
    <w:p w14:paraId="544CAE18" w14:textId="77777777" w:rsidR="00FE14B0" w:rsidRPr="008B2EC3" w:rsidRDefault="00FE14B0" w:rsidP="00F817AC">
      <w:pPr>
        <w:pStyle w:val="FootnoteText"/>
        <w:rPr>
          <w:sz w:val="18"/>
          <w:szCs w:val="18"/>
        </w:rPr>
      </w:pPr>
      <w:r w:rsidRPr="008B2EC3">
        <w:rPr>
          <w:rStyle w:val="FootnoteReference"/>
          <w:sz w:val="18"/>
          <w:szCs w:val="18"/>
        </w:rPr>
        <w:footnoteRef/>
      </w:r>
      <w:r w:rsidRPr="008B2EC3">
        <w:rPr>
          <w:sz w:val="18"/>
          <w:szCs w:val="18"/>
        </w:rPr>
        <w:t xml:space="preserve"> Ibid.</w:t>
      </w:r>
    </w:p>
  </w:footnote>
  <w:footnote w:id="76">
    <w:p w14:paraId="1CBFC1BC" w14:textId="77777777" w:rsidR="00FE14B0" w:rsidRPr="008B2EC3" w:rsidRDefault="00FE14B0" w:rsidP="00F817AC">
      <w:pPr>
        <w:pStyle w:val="FootnoteText"/>
        <w:rPr>
          <w:sz w:val="18"/>
          <w:szCs w:val="18"/>
        </w:rPr>
      </w:pPr>
      <w:r w:rsidRPr="008B2EC3">
        <w:rPr>
          <w:rStyle w:val="FootnoteReference"/>
          <w:sz w:val="18"/>
          <w:szCs w:val="18"/>
        </w:rPr>
        <w:footnoteRef/>
      </w:r>
      <w:r w:rsidRPr="008B2EC3">
        <w:rPr>
          <w:sz w:val="18"/>
          <w:szCs w:val="18"/>
        </w:rPr>
        <w:t xml:space="preserve"> NICE (2018a)</w:t>
      </w:r>
    </w:p>
  </w:footnote>
  <w:footnote w:id="77">
    <w:p w14:paraId="03781C2C" w14:textId="77777777" w:rsidR="00FE14B0" w:rsidRPr="008B2EC3" w:rsidRDefault="00FE14B0" w:rsidP="00F817AC">
      <w:pPr>
        <w:pStyle w:val="FootnoteText"/>
        <w:rPr>
          <w:sz w:val="18"/>
          <w:szCs w:val="18"/>
          <w:highlight w:val="yellow"/>
          <w:vertAlign w:val="superscript"/>
        </w:rPr>
      </w:pPr>
      <w:r w:rsidRPr="008B2EC3">
        <w:rPr>
          <w:rStyle w:val="FootnoteReference"/>
          <w:sz w:val="18"/>
          <w:szCs w:val="18"/>
        </w:rPr>
        <w:footnoteRef/>
      </w:r>
      <w:r w:rsidRPr="008B2EC3">
        <w:rPr>
          <w:sz w:val="18"/>
          <w:szCs w:val="18"/>
        </w:rPr>
        <w:t xml:space="preserve"> </w:t>
      </w:r>
      <w:r w:rsidRPr="008B2EC3">
        <w:rPr>
          <w:rStyle w:val="BodyTextChar"/>
          <w:sz w:val="18"/>
          <w:szCs w:val="18"/>
        </w:rPr>
        <w:t>Wormser, et al. (2006)</w:t>
      </w:r>
    </w:p>
  </w:footnote>
  <w:footnote w:id="78">
    <w:p w14:paraId="31DD736A" w14:textId="77777777" w:rsidR="00FE14B0" w:rsidRPr="008B2EC3" w:rsidRDefault="00FE14B0" w:rsidP="00F817AC">
      <w:pPr>
        <w:pStyle w:val="BodyText"/>
        <w:spacing w:before="0" w:after="0" w:line="240" w:lineRule="auto"/>
        <w:rPr>
          <w:sz w:val="18"/>
          <w:szCs w:val="18"/>
          <w:lang w:eastAsia="en-NZ"/>
        </w:rPr>
      </w:pPr>
      <w:r w:rsidRPr="008B2EC3">
        <w:rPr>
          <w:rStyle w:val="FootnoteReference"/>
          <w:sz w:val="18"/>
          <w:szCs w:val="18"/>
        </w:rPr>
        <w:footnoteRef/>
      </w:r>
      <w:r w:rsidRPr="008B2EC3">
        <w:rPr>
          <w:sz w:val="18"/>
          <w:szCs w:val="18"/>
        </w:rPr>
        <w:t xml:space="preserve"> </w:t>
      </w:r>
      <w:r w:rsidRPr="008B2EC3">
        <w:rPr>
          <w:sz w:val="18"/>
          <w:szCs w:val="18"/>
          <w:lang w:eastAsia="en-NZ"/>
        </w:rPr>
        <w:t>Lantos et al.  (2010)</w:t>
      </w:r>
    </w:p>
  </w:footnote>
  <w:footnote w:id="79">
    <w:p w14:paraId="17A18287" w14:textId="77777777" w:rsidR="00FE14B0" w:rsidRPr="008B2EC3" w:rsidRDefault="00FE14B0" w:rsidP="00F817AC">
      <w:pPr>
        <w:pStyle w:val="FootnoteText"/>
        <w:rPr>
          <w:sz w:val="18"/>
          <w:szCs w:val="18"/>
        </w:rPr>
      </w:pPr>
      <w:r w:rsidRPr="008B2EC3">
        <w:rPr>
          <w:rStyle w:val="FootnoteReference"/>
          <w:sz w:val="18"/>
          <w:szCs w:val="18"/>
        </w:rPr>
        <w:footnoteRef/>
      </w:r>
      <w:r w:rsidRPr="008B2EC3">
        <w:rPr>
          <w:sz w:val="18"/>
          <w:szCs w:val="18"/>
        </w:rPr>
        <w:t xml:space="preserve"> Lantos et al. (2019) </w:t>
      </w:r>
    </w:p>
  </w:footnote>
  <w:footnote w:id="80">
    <w:p w14:paraId="2A19206E" w14:textId="77777777" w:rsidR="00FE14B0" w:rsidRPr="008B2EC3" w:rsidRDefault="00FE14B0">
      <w:pPr>
        <w:pStyle w:val="FootnoteText"/>
        <w:rPr>
          <w:sz w:val="18"/>
          <w:szCs w:val="18"/>
        </w:rPr>
      </w:pPr>
      <w:r w:rsidRPr="008B2EC3">
        <w:rPr>
          <w:rStyle w:val="FootnoteReference"/>
          <w:sz w:val="18"/>
          <w:szCs w:val="18"/>
        </w:rPr>
        <w:footnoteRef/>
      </w:r>
      <w:r w:rsidRPr="008B2EC3">
        <w:rPr>
          <w:sz w:val="18"/>
          <w:szCs w:val="18"/>
        </w:rPr>
        <w:t xml:space="preserve"> Marzec et al. (2017)</w:t>
      </w:r>
    </w:p>
  </w:footnote>
  <w:footnote w:id="81">
    <w:p w14:paraId="20FDD5F5" w14:textId="77777777" w:rsidR="00FE14B0" w:rsidRPr="008B2EC3" w:rsidRDefault="00FE14B0">
      <w:pPr>
        <w:pStyle w:val="FootnoteText"/>
        <w:rPr>
          <w:sz w:val="18"/>
          <w:szCs w:val="18"/>
        </w:rPr>
      </w:pPr>
      <w:r w:rsidRPr="008B2EC3">
        <w:rPr>
          <w:rStyle w:val="FootnoteReference"/>
          <w:sz w:val="18"/>
          <w:szCs w:val="18"/>
        </w:rPr>
        <w:footnoteRef/>
      </w:r>
      <w:r w:rsidRPr="008B2EC3">
        <w:rPr>
          <w:sz w:val="18"/>
          <w:szCs w:val="18"/>
        </w:rPr>
        <w:t xml:space="preserve"> Auwaeter et al. (2011)</w:t>
      </w:r>
    </w:p>
  </w:footnote>
  <w:footnote w:id="82">
    <w:p w14:paraId="4505E21C" w14:textId="77777777" w:rsidR="00FE14B0" w:rsidRPr="008B2EC3" w:rsidRDefault="00FE14B0" w:rsidP="00F817AC">
      <w:pPr>
        <w:pStyle w:val="FootnoteText"/>
        <w:rPr>
          <w:sz w:val="18"/>
          <w:szCs w:val="18"/>
        </w:rPr>
      </w:pPr>
      <w:r w:rsidRPr="008B2EC3">
        <w:rPr>
          <w:rStyle w:val="FootnoteReference"/>
          <w:sz w:val="18"/>
          <w:szCs w:val="18"/>
        </w:rPr>
        <w:footnoteRef/>
      </w:r>
      <w:r w:rsidRPr="008B2EC3">
        <w:rPr>
          <w:sz w:val="18"/>
          <w:szCs w:val="18"/>
        </w:rPr>
        <w:t xml:space="preserve"> RCPA (2019)</w:t>
      </w:r>
    </w:p>
  </w:footnote>
  <w:footnote w:id="83">
    <w:p w14:paraId="0DC0184D" w14:textId="77777777" w:rsidR="00FE14B0" w:rsidRPr="008B2EC3" w:rsidRDefault="00FE14B0" w:rsidP="00F817AC">
      <w:pPr>
        <w:pStyle w:val="FootnoteText"/>
        <w:rPr>
          <w:sz w:val="18"/>
          <w:szCs w:val="18"/>
        </w:rPr>
      </w:pPr>
      <w:r w:rsidRPr="008B2EC3">
        <w:rPr>
          <w:rStyle w:val="FootnoteReference"/>
          <w:sz w:val="18"/>
          <w:szCs w:val="18"/>
        </w:rPr>
        <w:footnoteRef/>
      </w:r>
      <w:r w:rsidRPr="008B2EC3">
        <w:rPr>
          <w:sz w:val="18"/>
          <w:szCs w:val="18"/>
        </w:rPr>
        <w:t xml:space="preserve"> Mackenzie (2013)</w:t>
      </w:r>
    </w:p>
  </w:footnote>
  <w:footnote w:id="84">
    <w:p w14:paraId="1D710A6E" w14:textId="77777777" w:rsidR="00FE14B0" w:rsidRPr="008B2EC3" w:rsidRDefault="00FE14B0" w:rsidP="00F817AC">
      <w:pPr>
        <w:pStyle w:val="FootnoteText"/>
        <w:rPr>
          <w:sz w:val="18"/>
          <w:szCs w:val="18"/>
        </w:rPr>
      </w:pPr>
      <w:r w:rsidRPr="008B2EC3">
        <w:rPr>
          <w:rStyle w:val="FootnoteReference"/>
          <w:sz w:val="18"/>
          <w:szCs w:val="18"/>
        </w:rPr>
        <w:footnoteRef/>
      </w:r>
      <w:r w:rsidRPr="008B2EC3">
        <w:rPr>
          <w:sz w:val="18"/>
          <w:szCs w:val="18"/>
        </w:rPr>
        <w:t xml:space="preserve"> RCPA (2019). A database of NATA accredited facilities can be found at: </w:t>
      </w:r>
      <w:r w:rsidRPr="00A35619">
        <w:rPr>
          <w:sz w:val="18"/>
          <w:szCs w:val="18"/>
        </w:rPr>
        <w:t>https://www.nata.com.au/accredited-facility</w:t>
      </w:r>
      <w:r w:rsidRPr="008B2EC3">
        <w:rPr>
          <w:sz w:val="18"/>
          <w:szCs w:val="18"/>
        </w:rPr>
        <w:t>.</w:t>
      </w:r>
    </w:p>
  </w:footnote>
  <w:footnote w:id="85">
    <w:p w14:paraId="14A9EA3E"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Lantos et al. (2019)</w:t>
      </w:r>
    </w:p>
  </w:footnote>
  <w:footnote w:id="86">
    <w:p w14:paraId="558BFC8D"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Dehhaghi et al. (2019)</w:t>
      </w:r>
    </w:p>
  </w:footnote>
  <w:footnote w:id="87">
    <w:p w14:paraId="7664979E"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w:t>
      </w:r>
      <w:r>
        <w:rPr>
          <w:sz w:val="18"/>
          <w:szCs w:val="18"/>
        </w:rPr>
        <w:t>Ibid.</w:t>
      </w:r>
    </w:p>
  </w:footnote>
  <w:footnote w:id="88">
    <w:p w14:paraId="0C1985E8"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Graves &amp; Stenos (2017)</w:t>
      </w:r>
    </w:p>
  </w:footnote>
  <w:footnote w:id="89">
    <w:p w14:paraId="4A32D259"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Mackenzie (2013)</w:t>
      </w:r>
    </w:p>
  </w:footnote>
  <w:footnote w:id="90">
    <w:p w14:paraId="1ABC7B99" w14:textId="77777777" w:rsidR="00FE14B0" w:rsidRPr="00535BF0"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Graves &amp; Stenos (2017)</w:t>
      </w:r>
    </w:p>
  </w:footnote>
  <w:footnote w:id="91">
    <w:p w14:paraId="4BDE5933"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Dehhaghi et al. (2019)</w:t>
      </w:r>
    </w:p>
  </w:footnote>
  <w:footnote w:id="92">
    <w:p w14:paraId="2C10D158"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Stewart et al. (2017)</w:t>
      </w:r>
    </w:p>
  </w:footnote>
  <w:footnote w:id="93">
    <w:p w14:paraId="1C3BF251"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Dehhaghi et al. (2019)</w:t>
      </w:r>
    </w:p>
  </w:footnote>
  <w:footnote w:id="94">
    <w:p w14:paraId="42CBBCA1"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Stewart et al. (2017)</w:t>
      </w:r>
    </w:p>
  </w:footnote>
  <w:footnote w:id="95">
    <w:p w14:paraId="1D1056F7"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Ibid.</w:t>
      </w:r>
    </w:p>
  </w:footnote>
  <w:footnote w:id="96">
    <w:p w14:paraId="16E4F97B"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Ibid.</w:t>
      </w:r>
    </w:p>
  </w:footnote>
  <w:footnote w:id="97">
    <w:p w14:paraId="69439C8D"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Graves &amp; Stenos (2017)</w:t>
      </w:r>
    </w:p>
  </w:footnote>
  <w:footnote w:id="98">
    <w:p w14:paraId="61D9C841"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Stewart et al. (2017)</w:t>
      </w:r>
    </w:p>
  </w:footnote>
  <w:footnote w:id="99">
    <w:p w14:paraId="7AE44931"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Graves &amp; Stenos (2017)</w:t>
      </w:r>
    </w:p>
  </w:footnote>
  <w:footnote w:id="100">
    <w:p w14:paraId="22D8C601" w14:textId="77777777" w:rsidR="00FE14B0" w:rsidRPr="00320991"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Graves et al. (2016)</w:t>
      </w:r>
      <w:r w:rsidRPr="00320991">
        <w:rPr>
          <w:sz w:val="18"/>
          <w:szCs w:val="18"/>
        </w:rPr>
        <w:t xml:space="preserve"> </w:t>
      </w:r>
    </w:p>
  </w:footnote>
  <w:footnote w:id="101">
    <w:p w14:paraId="7130C8BC" w14:textId="77777777" w:rsidR="00FE14B0" w:rsidRPr="00996911" w:rsidRDefault="00FE14B0" w:rsidP="00F817AC">
      <w:pPr>
        <w:pStyle w:val="FootnoteText"/>
        <w:rPr>
          <w:sz w:val="18"/>
          <w:szCs w:val="18"/>
        </w:rPr>
      </w:pPr>
      <w:r w:rsidRPr="00A94846">
        <w:rPr>
          <w:rStyle w:val="FootnoteReference"/>
        </w:rPr>
        <w:footnoteRef/>
      </w:r>
      <w:r w:rsidRPr="00996911">
        <w:rPr>
          <w:sz w:val="18"/>
          <w:szCs w:val="18"/>
        </w:rPr>
        <w:t xml:space="preserve"> Dehhaghi et al. (2019)</w:t>
      </w:r>
    </w:p>
  </w:footnote>
  <w:footnote w:id="102">
    <w:p w14:paraId="7791D339" w14:textId="77777777" w:rsidR="00FE14B0" w:rsidRPr="00996911" w:rsidRDefault="00FE14B0" w:rsidP="00F817AC">
      <w:pPr>
        <w:pStyle w:val="FootnoteText"/>
        <w:rPr>
          <w:sz w:val="18"/>
          <w:szCs w:val="18"/>
        </w:rPr>
      </w:pPr>
      <w:r w:rsidRPr="00A94846">
        <w:rPr>
          <w:rStyle w:val="FootnoteReference"/>
        </w:rPr>
        <w:footnoteRef/>
      </w:r>
      <w:r w:rsidRPr="00996911">
        <w:rPr>
          <w:sz w:val="18"/>
          <w:szCs w:val="18"/>
        </w:rPr>
        <w:t xml:space="preserve"> Graves (</w:t>
      </w:r>
      <w:r>
        <w:rPr>
          <w:sz w:val="18"/>
          <w:szCs w:val="18"/>
        </w:rPr>
        <w:t>n.d.</w:t>
      </w:r>
      <w:r w:rsidRPr="00996911">
        <w:rPr>
          <w:sz w:val="18"/>
          <w:szCs w:val="18"/>
        </w:rPr>
        <w:t xml:space="preserve">) </w:t>
      </w:r>
    </w:p>
  </w:footnote>
  <w:footnote w:id="103">
    <w:p w14:paraId="30612686" w14:textId="77777777" w:rsidR="00FE14B0" w:rsidRPr="00320991" w:rsidRDefault="00FE14B0" w:rsidP="00F817AC">
      <w:pPr>
        <w:pStyle w:val="FootnoteText"/>
        <w:rPr>
          <w:sz w:val="18"/>
          <w:szCs w:val="18"/>
        </w:rPr>
      </w:pPr>
      <w:r w:rsidRPr="00A94846">
        <w:rPr>
          <w:rStyle w:val="FootnoteReference"/>
        </w:rPr>
        <w:footnoteRef/>
      </w:r>
      <w:r w:rsidRPr="00996911">
        <w:rPr>
          <w:sz w:val="18"/>
          <w:szCs w:val="18"/>
        </w:rPr>
        <w:t xml:space="preserve"> Stewart et al. (2017)</w:t>
      </w:r>
    </w:p>
  </w:footnote>
  <w:footnote w:id="104">
    <w:p w14:paraId="1A0F9D0D" w14:textId="77777777" w:rsidR="00FE14B0" w:rsidRPr="00320991" w:rsidRDefault="00FE14B0" w:rsidP="00F817AC">
      <w:pPr>
        <w:pStyle w:val="FootnoteText"/>
        <w:rPr>
          <w:sz w:val="18"/>
          <w:szCs w:val="18"/>
        </w:rPr>
      </w:pPr>
      <w:r w:rsidRPr="00A94846">
        <w:rPr>
          <w:rStyle w:val="FootnoteReference"/>
        </w:rPr>
        <w:footnoteRef/>
      </w:r>
      <w:r w:rsidRPr="00320991">
        <w:rPr>
          <w:sz w:val="18"/>
          <w:szCs w:val="18"/>
        </w:rPr>
        <w:t xml:space="preserve"> </w:t>
      </w:r>
      <w:r>
        <w:rPr>
          <w:sz w:val="18"/>
          <w:szCs w:val="18"/>
        </w:rPr>
        <w:t>Ibid.</w:t>
      </w:r>
    </w:p>
  </w:footnote>
  <w:footnote w:id="105">
    <w:p w14:paraId="6408C24E" w14:textId="77777777" w:rsidR="00FE14B0" w:rsidRPr="00320991" w:rsidRDefault="00FE14B0" w:rsidP="00F817AC">
      <w:pPr>
        <w:pStyle w:val="FootnoteText"/>
        <w:rPr>
          <w:sz w:val="18"/>
          <w:szCs w:val="18"/>
        </w:rPr>
      </w:pPr>
      <w:r w:rsidRPr="00A94846">
        <w:rPr>
          <w:rStyle w:val="FootnoteReference"/>
        </w:rPr>
        <w:footnoteRef/>
      </w:r>
      <w:r w:rsidRPr="00320991">
        <w:rPr>
          <w:sz w:val="18"/>
          <w:szCs w:val="18"/>
        </w:rPr>
        <w:t xml:space="preserve"> Graves </w:t>
      </w:r>
      <w:r>
        <w:rPr>
          <w:sz w:val="18"/>
          <w:szCs w:val="18"/>
        </w:rPr>
        <w:t>&amp;</w:t>
      </w:r>
      <w:r w:rsidRPr="00320991">
        <w:rPr>
          <w:sz w:val="18"/>
          <w:szCs w:val="18"/>
        </w:rPr>
        <w:t xml:space="preserve"> Stenos (2017)</w:t>
      </w:r>
    </w:p>
  </w:footnote>
  <w:footnote w:id="106">
    <w:p w14:paraId="3F130839" w14:textId="77777777" w:rsidR="00FE14B0" w:rsidRPr="00320991" w:rsidRDefault="00FE14B0" w:rsidP="00F817AC">
      <w:pPr>
        <w:pStyle w:val="FootnoteText"/>
        <w:rPr>
          <w:sz w:val="18"/>
          <w:szCs w:val="18"/>
        </w:rPr>
      </w:pPr>
      <w:r w:rsidRPr="00A94846">
        <w:rPr>
          <w:rStyle w:val="FootnoteReference"/>
        </w:rPr>
        <w:footnoteRef/>
      </w:r>
      <w:r w:rsidRPr="00320991">
        <w:rPr>
          <w:sz w:val="18"/>
          <w:szCs w:val="18"/>
        </w:rPr>
        <w:t xml:space="preserve"> Dehhaghi et al. (2019)</w:t>
      </w:r>
    </w:p>
  </w:footnote>
  <w:footnote w:id="107">
    <w:p w14:paraId="582F3D09" w14:textId="77777777" w:rsidR="00FE14B0" w:rsidRPr="008524B8" w:rsidRDefault="00FE14B0" w:rsidP="00F817AC">
      <w:pPr>
        <w:pStyle w:val="FootnoteText"/>
        <w:rPr>
          <w:sz w:val="18"/>
          <w:szCs w:val="18"/>
        </w:rPr>
      </w:pPr>
      <w:r w:rsidRPr="00A94846">
        <w:rPr>
          <w:rStyle w:val="FootnoteReference"/>
        </w:rPr>
        <w:footnoteRef/>
      </w:r>
      <w:r w:rsidRPr="00320991">
        <w:rPr>
          <w:sz w:val="18"/>
          <w:szCs w:val="18"/>
        </w:rPr>
        <w:t xml:space="preserve"> Graves </w:t>
      </w:r>
      <w:r>
        <w:rPr>
          <w:sz w:val="18"/>
          <w:szCs w:val="18"/>
        </w:rPr>
        <w:t xml:space="preserve">&amp; </w:t>
      </w:r>
      <w:r w:rsidRPr="00320991">
        <w:rPr>
          <w:sz w:val="18"/>
          <w:szCs w:val="18"/>
        </w:rPr>
        <w:t>Stenos (2017)</w:t>
      </w:r>
    </w:p>
  </w:footnote>
  <w:footnote w:id="108">
    <w:p w14:paraId="2745634E" w14:textId="77777777" w:rsidR="00FE14B0" w:rsidRPr="009E2790" w:rsidRDefault="00FE14B0" w:rsidP="00F817AC">
      <w:pPr>
        <w:pStyle w:val="FootnoteText"/>
        <w:rPr>
          <w:sz w:val="18"/>
          <w:szCs w:val="18"/>
        </w:rPr>
      </w:pPr>
      <w:r w:rsidRPr="00A94846">
        <w:rPr>
          <w:rStyle w:val="FootnoteReference"/>
        </w:rPr>
        <w:footnoteRef/>
      </w:r>
      <w:r w:rsidRPr="009E2790">
        <w:rPr>
          <w:sz w:val="18"/>
          <w:szCs w:val="18"/>
        </w:rPr>
        <w:t xml:space="preserve"> Stewart et al. (2017)</w:t>
      </w:r>
    </w:p>
  </w:footnote>
  <w:footnote w:id="109">
    <w:p w14:paraId="2BFF636E" w14:textId="77777777" w:rsidR="00FE14B0" w:rsidRPr="009E2790" w:rsidRDefault="00FE14B0" w:rsidP="00F817AC">
      <w:pPr>
        <w:pStyle w:val="FootnoteText"/>
        <w:rPr>
          <w:sz w:val="18"/>
          <w:szCs w:val="18"/>
        </w:rPr>
      </w:pPr>
      <w:r w:rsidRPr="00A94846">
        <w:rPr>
          <w:rStyle w:val="FootnoteReference"/>
        </w:rPr>
        <w:footnoteRef/>
      </w:r>
      <w:r w:rsidRPr="009E2790">
        <w:rPr>
          <w:sz w:val="18"/>
          <w:szCs w:val="18"/>
        </w:rPr>
        <w:t xml:space="preserve"> </w:t>
      </w:r>
      <w:r>
        <w:rPr>
          <w:sz w:val="18"/>
          <w:szCs w:val="18"/>
        </w:rPr>
        <w:t>Ibid.</w:t>
      </w:r>
    </w:p>
  </w:footnote>
  <w:footnote w:id="110">
    <w:p w14:paraId="7F96405C" w14:textId="77777777" w:rsidR="00FE14B0" w:rsidRPr="009E2790" w:rsidRDefault="00FE14B0" w:rsidP="00F817AC">
      <w:pPr>
        <w:pStyle w:val="FootnoteText"/>
        <w:rPr>
          <w:sz w:val="18"/>
          <w:szCs w:val="18"/>
        </w:rPr>
      </w:pPr>
      <w:r w:rsidRPr="00A94846">
        <w:rPr>
          <w:rStyle w:val="FootnoteReference"/>
        </w:rPr>
        <w:footnoteRef/>
      </w:r>
      <w:r>
        <w:rPr>
          <w:sz w:val="18"/>
          <w:szCs w:val="18"/>
        </w:rPr>
        <w:t xml:space="preserve"> Ibid.</w:t>
      </w:r>
    </w:p>
  </w:footnote>
  <w:footnote w:id="111">
    <w:p w14:paraId="422FFB9D"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Stewart et al. (2017)</w:t>
      </w:r>
    </w:p>
  </w:footnote>
  <w:footnote w:id="112">
    <w:p w14:paraId="45D488FB"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Ibid</w:t>
      </w:r>
    </w:p>
  </w:footnote>
  <w:footnote w:id="113">
    <w:p w14:paraId="0597E1F3"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Ibid.</w:t>
      </w:r>
    </w:p>
  </w:footnote>
  <w:footnote w:id="114">
    <w:p w14:paraId="2EC3D5CF"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Ibid.</w:t>
      </w:r>
    </w:p>
  </w:footnote>
  <w:footnote w:id="115">
    <w:p w14:paraId="29EE3853"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Thomas &amp; Wu (2018)</w:t>
      </w:r>
    </w:p>
  </w:footnote>
  <w:footnote w:id="116">
    <w:p w14:paraId="32F37EA0"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Graves &amp; Stenos (2017)</w:t>
      </w:r>
    </w:p>
  </w:footnote>
  <w:footnote w:id="117">
    <w:p w14:paraId="424D9BFD"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Stewart et al. (2017)</w:t>
      </w:r>
    </w:p>
  </w:footnote>
  <w:footnote w:id="118">
    <w:p w14:paraId="366606E9" w14:textId="77777777" w:rsidR="00FE14B0" w:rsidRDefault="00FE14B0" w:rsidP="00F817AC">
      <w:pPr>
        <w:pStyle w:val="FootnoteText"/>
      </w:pPr>
      <w:r w:rsidRPr="00764F55">
        <w:rPr>
          <w:rStyle w:val="FootnoteReference"/>
          <w:sz w:val="18"/>
          <w:szCs w:val="18"/>
        </w:rPr>
        <w:footnoteRef/>
      </w:r>
      <w:r w:rsidRPr="00764F55">
        <w:rPr>
          <w:sz w:val="18"/>
          <w:szCs w:val="18"/>
        </w:rPr>
        <w:t xml:space="preserve"> Ibid.</w:t>
      </w:r>
    </w:p>
  </w:footnote>
  <w:footnote w:id="119">
    <w:p w14:paraId="0323F5DC"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Dehhaghi et al. (2019)</w:t>
      </w:r>
    </w:p>
  </w:footnote>
  <w:footnote w:id="120">
    <w:p w14:paraId="159BAAE7"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Graves &amp; Stenos (2017)</w:t>
      </w:r>
    </w:p>
  </w:footnote>
  <w:footnote w:id="121">
    <w:p w14:paraId="0FF81952"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Chalada et al. (2016)</w:t>
      </w:r>
    </w:p>
  </w:footnote>
  <w:footnote w:id="122">
    <w:p w14:paraId="3BF00826"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Graves (n.d.) </w:t>
      </w:r>
    </w:p>
  </w:footnote>
  <w:footnote w:id="123">
    <w:p w14:paraId="02757DD7"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Banks &amp; Hughes (2012)</w:t>
      </w:r>
    </w:p>
  </w:footnote>
  <w:footnote w:id="124">
    <w:p w14:paraId="70694106"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Dehhaghi et al. (2019) </w:t>
      </w:r>
    </w:p>
  </w:footnote>
  <w:footnote w:id="125">
    <w:p w14:paraId="10F06B8F" w14:textId="77777777" w:rsidR="00FE14B0" w:rsidRPr="008524B8"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Graves &amp; Stenos (2017)</w:t>
      </w:r>
    </w:p>
  </w:footnote>
  <w:footnote w:id="126">
    <w:p w14:paraId="725B1866" w14:textId="77777777" w:rsidR="00FE14B0" w:rsidRPr="00276928" w:rsidRDefault="00FE14B0">
      <w:pPr>
        <w:pStyle w:val="FootnoteText"/>
        <w:rPr>
          <w:sz w:val="18"/>
          <w:szCs w:val="18"/>
        </w:rPr>
      </w:pPr>
      <w:r w:rsidRPr="00276928">
        <w:rPr>
          <w:rStyle w:val="FootnoteReference"/>
          <w:sz w:val="18"/>
          <w:szCs w:val="18"/>
        </w:rPr>
        <w:footnoteRef/>
      </w:r>
      <w:r w:rsidRPr="00276928">
        <w:rPr>
          <w:sz w:val="18"/>
          <w:szCs w:val="18"/>
        </w:rPr>
        <w:t xml:space="preserve"> Willis et al. (2019)</w:t>
      </w:r>
    </w:p>
  </w:footnote>
  <w:footnote w:id="127">
    <w:p w14:paraId="2BC3FDE3" w14:textId="77777777" w:rsidR="00FE14B0" w:rsidRPr="00530AA8" w:rsidRDefault="00FE14B0" w:rsidP="00F817AC">
      <w:pPr>
        <w:pStyle w:val="FootnoteText"/>
        <w:rPr>
          <w:sz w:val="18"/>
          <w:szCs w:val="18"/>
        </w:rPr>
      </w:pPr>
      <w:r w:rsidRPr="000054BE">
        <w:rPr>
          <w:rStyle w:val="FootnoteReference"/>
          <w:sz w:val="18"/>
          <w:szCs w:val="18"/>
        </w:rPr>
        <w:footnoteRef/>
      </w:r>
      <w:r w:rsidRPr="00530AA8">
        <w:rPr>
          <w:sz w:val="18"/>
          <w:szCs w:val="18"/>
        </w:rPr>
        <w:t xml:space="preserve"> Graves (n.d.)</w:t>
      </w:r>
    </w:p>
  </w:footnote>
  <w:footnote w:id="128">
    <w:p w14:paraId="18EFB89F" w14:textId="77777777" w:rsidR="00FE14B0" w:rsidRPr="00530AA8" w:rsidRDefault="00FE14B0">
      <w:pPr>
        <w:pStyle w:val="FootnoteText"/>
        <w:rPr>
          <w:sz w:val="18"/>
          <w:szCs w:val="18"/>
        </w:rPr>
      </w:pPr>
      <w:r w:rsidRPr="00530AA8">
        <w:rPr>
          <w:rStyle w:val="FootnoteReference"/>
          <w:sz w:val="18"/>
          <w:szCs w:val="18"/>
        </w:rPr>
        <w:footnoteRef/>
      </w:r>
      <w:r w:rsidRPr="00530AA8">
        <w:rPr>
          <w:sz w:val="18"/>
          <w:szCs w:val="18"/>
        </w:rPr>
        <w:t xml:space="preserve"> Willis et al. (2019)</w:t>
      </w:r>
    </w:p>
  </w:footnote>
  <w:footnote w:id="129">
    <w:p w14:paraId="3F8A665B" w14:textId="77777777" w:rsidR="00FE14B0" w:rsidRPr="00530AA8" w:rsidRDefault="00FE14B0" w:rsidP="00F817AC">
      <w:pPr>
        <w:pStyle w:val="FootnoteText"/>
        <w:rPr>
          <w:sz w:val="18"/>
          <w:szCs w:val="18"/>
        </w:rPr>
      </w:pPr>
      <w:r w:rsidRPr="000054BE">
        <w:rPr>
          <w:rStyle w:val="FootnoteReference"/>
          <w:sz w:val="18"/>
          <w:szCs w:val="18"/>
        </w:rPr>
        <w:footnoteRef/>
      </w:r>
      <w:r w:rsidRPr="00530AA8">
        <w:rPr>
          <w:sz w:val="18"/>
          <w:szCs w:val="18"/>
        </w:rPr>
        <w:t xml:space="preserve"> Dehhaghi et al. (2019)</w:t>
      </w:r>
    </w:p>
  </w:footnote>
  <w:footnote w:id="130">
    <w:p w14:paraId="3B858C8C" w14:textId="77777777" w:rsidR="00FE14B0" w:rsidRPr="00530AA8" w:rsidRDefault="00FE14B0" w:rsidP="00F817AC">
      <w:pPr>
        <w:pStyle w:val="FootnoteText"/>
        <w:rPr>
          <w:sz w:val="18"/>
          <w:szCs w:val="18"/>
        </w:rPr>
      </w:pPr>
      <w:r w:rsidRPr="000054BE">
        <w:rPr>
          <w:rStyle w:val="FootnoteReference"/>
          <w:sz w:val="18"/>
          <w:szCs w:val="18"/>
        </w:rPr>
        <w:footnoteRef/>
      </w:r>
      <w:r w:rsidRPr="00530AA8">
        <w:rPr>
          <w:sz w:val="18"/>
          <w:szCs w:val="18"/>
        </w:rPr>
        <w:t xml:space="preserve"> Public Health Laboratory Network (2017)</w:t>
      </w:r>
    </w:p>
  </w:footnote>
  <w:footnote w:id="131">
    <w:p w14:paraId="0D6DA863" w14:textId="77777777" w:rsidR="00FE14B0" w:rsidRPr="00530AA8" w:rsidRDefault="00FE14B0" w:rsidP="00F817AC">
      <w:pPr>
        <w:pStyle w:val="FootnoteText"/>
        <w:rPr>
          <w:sz w:val="18"/>
          <w:szCs w:val="18"/>
        </w:rPr>
      </w:pPr>
      <w:r w:rsidRPr="000054BE">
        <w:rPr>
          <w:rStyle w:val="FootnoteReference"/>
          <w:sz w:val="18"/>
          <w:szCs w:val="18"/>
        </w:rPr>
        <w:footnoteRef/>
      </w:r>
      <w:r w:rsidRPr="00530AA8">
        <w:rPr>
          <w:sz w:val="18"/>
          <w:szCs w:val="18"/>
        </w:rPr>
        <w:t xml:space="preserve"> CDNA (2018) </w:t>
      </w:r>
    </w:p>
  </w:footnote>
  <w:footnote w:id="132">
    <w:p w14:paraId="42E1830E" w14:textId="77777777" w:rsidR="00FE14B0" w:rsidRPr="00530AA8" w:rsidRDefault="00FE14B0" w:rsidP="00F817AC">
      <w:pPr>
        <w:pStyle w:val="FootnoteText"/>
        <w:rPr>
          <w:sz w:val="18"/>
          <w:szCs w:val="18"/>
        </w:rPr>
      </w:pPr>
      <w:r w:rsidRPr="000054BE">
        <w:rPr>
          <w:rStyle w:val="FootnoteReference"/>
          <w:sz w:val="18"/>
          <w:szCs w:val="18"/>
        </w:rPr>
        <w:footnoteRef/>
      </w:r>
      <w:r w:rsidRPr="00530AA8">
        <w:rPr>
          <w:sz w:val="18"/>
          <w:szCs w:val="18"/>
        </w:rPr>
        <w:t xml:space="preserve"> Eastwood et al. (2018)</w:t>
      </w:r>
    </w:p>
  </w:footnote>
  <w:footnote w:id="133">
    <w:p w14:paraId="606D868D" w14:textId="77777777" w:rsidR="00FE14B0" w:rsidRPr="00CE2994" w:rsidRDefault="00FE14B0" w:rsidP="00F817AC">
      <w:pPr>
        <w:pStyle w:val="FootnoteText"/>
        <w:rPr>
          <w:sz w:val="18"/>
          <w:szCs w:val="18"/>
        </w:rPr>
      </w:pPr>
      <w:r w:rsidRPr="000054BE">
        <w:rPr>
          <w:rStyle w:val="FootnoteReference"/>
          <w:sz w:val="18"/>
          <w:szCs w:val="18"/>
        </w:rPr>
        <w:footnoteRef/>
      </w:r>
      <w:r w:rsidRPr="00530AA8">
        <w:rPr>
          <w:sz w:val="18"/>
          <w:szCs w:val="18"/>
        </w:rPr>
        <w:t xml:space="preserve"> Ibid.</w:t>
      </w:r>
    </w:p>
  </w:footnote>
  <w:footnote w:id="134">
    <w:p w14:paraId="64CFC096"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Dehhaghi et al. (2019)</w:t>
      </w:r>
    </w:p>
  </w:footnote>
  <w:footnote w:id="135">
    <w:p w14:paraId="111C33E1"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McKenzie (2013)</w:t>
      </w:r>
    </w:p>
  </w:footnote>
  <w:footnote w:id="136">
    <w:p w14:paraId="01FEFC1C"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Graves &amp; Stenos (2017)</w:t>
      </w:r>
    </w:p>
  </w:footnote>
  <w:footnote w:id="137">
    <w:p w14:paraId="2E1A6895"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CDNA (2018) </w:t>
      </w:r>
    </w:p>
  </w:footnote>
  <w:footnote w:id="138">
    <w:p w14:paraId="462AEEA1"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Eastwood et al. (2018)</w:t>
      </w:r>
    </w:p>
  </w:footnote>
  <w:footnote w:id="139">
    <w:p w14:paraId="78116070"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CDNA (2018) </w:t>
      </w:r>
    </w:p>
  </w:footnote>
  <w:footnote w:id="140">
    <w:p w14:paraId="4DADB39B"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Ibid.</w:t>
      </w:r>
    </w:p>
  </w:footnote>
  <w:footnote w:id="141">
    <w:p w14:paraId="1BD01229"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Ibid.</w:t>
      </w:r>
    </w:p>
  </w:footnote>
  <w:footnote w:id="142">
    <w:p w14:paraId="18556200"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Dehhaghi et al. (2019)</w:t>
      </w:r>
    </w:p>
  </w:footnote>
  <w:footnote w:id="143">
    <w:p w14:paraId="1E9D48D5"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CDNA (2018)</w:t>
      </w:r>
    </w:p>
  </w:footnote>
  <w:footnote w:id="144">
    <w:p w14:paraId="12FFDB03" w14:textId="77777777" w:rsidR="00FE14B0" w:rsidRPr="008524B8"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Chalada et al. (2016)</w:t>
      </w:r>
    </w:p>
  </w:footnote>
  <w:footnote w:id="145">
    <w:p w14:paraId="7C81CE70"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Eastwood et al. (2018)</w:t>
      </w:r>
    </w:p>
  </w:footnote>
  <w:footnote w:id="146">
    <w:p w14:paraId="1AD9A26A"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CDNA (2018)</w:t>
      </w:r>
    </w:p>
  </w:footnote>
  <w:footnote w:id="147">
    <w:p w14:paraId="2A387C93"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Chalada et al. (2016)</w:t>
      </w:r>
    </w:p>
  </w:footnote>
  <w:footnote w:id="148">
    <w:p w14:paraId="540FD27E"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CDNA (2018)</w:t>
      </w:r>
    </w:p>
  </w:footnote>
  <w:footnote w:id="149">
    <w:p w14:paraId="7E0B035C"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Dehhaghi et al. (2019)</w:t>
      </w:r>
    </w:p>
  </w:footnote>
  <w:footnote w:id="150">
    <w:p w14:paraId="078CED97"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CDNA (2018)</w:t>
      </w:r>
    </w:p>
  </w:footnote>
  <w:footnote w:id="151">
    <w:p w14:paraId="4483756C"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Eastwood et al. (2018)</w:t>
      </w:r>
    </w:p>
  </w:footnote>
  <w:footnote w:id="152">
    <w:p w14:paraId="023C9996"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CDNA (2018)</w:t>
      </w:r>
    </w:p>
  </w:footnote>
  <w:footnote w:id="153">
    <w:p w14:paraId="69DCD1CD"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Chalada et al. (2016)</w:t>
      </w:r>
    </w:p>
  </w:footnote>
  <w:footnote w:id="154">
    <w:p w14:paraId="57699C29"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Ibid.</w:t>
      </w:r>
    </w:p>
  </w:footnote>
  <w:footnote w:id="155">
    <w:p w14:paraId="0998B6F3"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Eastwood et al. (2018)</w:t>
      </w:r>
    </w:p>
  </w:footnote>
  <w:footnote w:id="156">
    <w:p w14:paraId="42AF4AE4"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CDNA (2018)</w:t>
      </w:r>
    </w:p>
  </w:footnote>
  <w:footnote w:id="157">
    <w:p w14:paraId="59D8D2A9"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Eastwood et al. (2018)</w:t>
      </w:r>
    </w:p>
  </w:footnote>
  <w:footnote w:id="158">
    <w:p w14:paraId="6E168252" w14:textId="77777777" w:rsidR="00FE14B0" w:rsidRPr="003F0CE7"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Ibid.</w:t>
      </w:r>
    </w:p>
  </w:footnote>
  <w:footnote w:id="159">
    <w:p w14:paraId="70927753" w14:textId="77777777" w:rsidR="00FE14B0" w:rsidRPr="00477475" w:rsidRDefault="00FE14B0">
      <w:pPr>
        <w:pStyle w:val="FootnoteText"/>
        <w:rPr>
          <w:sz w:val="18"/>
          <w:szCs w:val="18"/>
        </w:rPr>
      </w:pPr>
      <w:r w:rsidRPr="00A94846">
        <w:rPr>
          <w:rStyle w:val="FootnoteReference"/>
        </w:rPr>
        <w:footnoteRef/>
      </w:r>
      <w:r w:rsidRPr="00477475">
        <w:rPr>
          <w:sz w:val="18"/>
          <w:szCs w:val="18"/>
        </w:rPr>
        <w:t xml:space="preserve"> </w:t>
      </w:r>
      <w:r>
        <w:rPr>
          <w:sz w:val="18"/>
          <w:szCs w:val="18"/>
        </w:rPr>
        <w:t>Eastwood et al. (2018)</w:t>
      </w:r>
    </w:p>
  </w:footnote>
  <w:footnote w:id="160">
    <w:p w14:paraId="3DF8AEF4" w14:textId="77777777" w:rsidR="00FE14B0" w:rsidRPr="00477475" w:rsidRDefault="00FE14B0">
      <w:pPr>
        <w:pStyle w:val="FootnoteText"/>
        <w:rPr>
          <w:sz w:val="18"/>
          <w:szCs w:val="18"/>
        </w:rPr>
      </w:pPr>
      <w:r w:rsidRPr="00A94846">
        <w:rPr>
          <w:rStyle w:val="FootnoteReference"/>
        </w:rPr>
        <w:footnoteRef/>
      </w:r>
      <w:r w:rsidRPr="00477475">
        <w:rPr>
          <w:sz w:val="18"/>
          <w:szCs w:val="18"/>
        </w:rPr>
        <w:t xml:space="preserve"> CDNA (2018)</w:t>
      </w:r>
    </w:p>
  </w:footnote>
  <w:footnote w:id="161">
    <w:p w14:paraId="085C8D9A"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RCPA (2019)</w:t>
      </w:r>
    </w:p>
  </w:footnote>
  <w:footnote w:id="162">
    <w:p w14:paraId="61B100F2"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National Association of Testing Authorities (NATA) (n.d.) A database of NATA accredited facilities can be found at: </w:t>
      </w:r>
      <w:r w:rsidRPr="00A35619">
        <w:rPr>
          <w:sz w:val="18"/>
          <w:szCs w:val="18"/>
        </w:rPr>
        <w:t>https://www.nata.com.au/accredited-facility</w:t>
      </w:r>
      <w:r w:rsidRPr="00764F55">
        <w:rPr>
          <w:sz w:val="18"/>
          <w:szCs w:val="18"/>
        </w:rPr>
        <w:t xml:space="preserve">. </w:t>
      </w:r>
    </w:p>
  </w:footnote>
  <w:footnote w:id="163">
    <w:p w14:paraId="5E7E2000"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Royal College of Pathologists of Australasia (RCPA) (n.d.)</w:t>
      </w:r>
    </w:p>
  </w:footnote>
  <w:footnote w:id="164">
    <w:p w14:paraId="279E82E8" w14:textId="77777777" w:rsidR="00FE14B0" w:rsidRPr="009C2C64"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National Serology Reference Laboratory (NRL) (2017)</w:t>
      </w:r>
      <w:r w:rsidRPr="009C2C64">
        <w:rPr>
          <w:sz w:val="18"/>
          <w:szCs w:val="18"/>
        </w:rPr>
        <w:t xml:space="preserve"> </w:t>
      </w:r>
    </w:p>
  </w:footnote>
  <w:footnote w:id="165">
    <w:p w14:paraId="0710CF22"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RCPA (2019) </w:t>
      </w:r>
    </w:p>
  </w:footnote>
  <w:footnote w:id="166">
    <w:p w14:paraId="2AE6FE74"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Ibid.</w:t>
      </w:r>
    </w:p>
  </w:footnote>
  <w:footnote w:id="167">
    <w:p w14:paraId="7ABC7D55"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Best et al. (2019)</w:t>
      </w:r>
    </w:p>
  </w:footnote>
  <w:footnote w:id="168">
    <w:p w14:paraId="2C2113E0"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Collignon et al. (2016)</w:t>
      </w:r>
    </w:p>
  </w:footnote>
  <w:footnote w:id="169">
    <w:p w14:paraId="0C0444BB"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RCPA (2019)</w:t>
      </w:r>
    </w:p>
  </w:footnote>
  <w:footnote w:id="170">
    <w:p w14:paraId="1ACD70EF"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Mackenzie (2013)</w:t>
      </w:r>
    </w:p>
  </w:footnote>
  <w:footnote w:id="171">
    <w:p w14:paraId="567240BD"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Eldin et al. (2019)</w:t>
      </w:r>
    </w:p>
  </w:footnote>
  <w:footnote w:id="172">
    <w:p w14:paraId="782A6A2C" w14:textId="77777777" w:rsidR="00FE14B0" w:rsidRPr="009C2C64"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Ibid.</w:t>
      </w:r>
    </w:p>
  </w:footnote>
  <w:footnote w:id="173">
    <w:p w14:paraId="0E38202F"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Leeflang et al. (2016)</w:t>
      </w:r>
    </w:p>
  </w:footnote>
  <w:footnote w:id="174">
    <w:p w14:paraId="1A376AD7"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Lantos et al. (2019)</w:t>
      </w:r>
    </w:p>
  </w:footnote>
  <w:footnote w:id="175">
    <w:p w14:paraId="5B0A83AF" w14:textId="77777777" w:rsidR="00FE14B0" w:rsidRPr="00764F55" w:rsidRDefault="00FE14B0" w:rsidP="00F817AC">
      <w:pPr>
        <w:pStyle w:val="FootnoteText"/>
        <w:rPr>
          <w:sz w:val="18"/>
          <w:szCs w:val="18"/>
          <w:lang w:val="en-AU"/>
        </w:rPr>
      </w:pPr>
      <w:r w:rsidRPr="00764F55">
        <w:rPr>
          <w:rStyle w:val="FootnoteReference"/>
          <w:sz w:val="18"/>
          <w:szCs w:val="18"/>
        </w:rPr>
        <w:footnoteRef/>
      </w:r>
      <w:r w:rsidRPr="00764F55">
        <w:rPr>
          <w:sz w:val="18"/>
          <w:szCs w:val="18"/>
        </w:rPr>
        <w:t xml:space="preserve"> NICE (April 2018a)</w:t>
      </w:r>
    </w:p>
  </w:footnote>
  <w:footnote w:id="176">
    <w:p w14:paraId="3D6AB8A6"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Ibid.</w:t>
      </w:r>
    </w:p>
  </w:footnote>
  <w:footnote w:id="177">
    <w:p w14:paraId="423A9D9C" w14:textId="77777777" w:rsidR="00FE14B0" w:rsidRPr="003E2029"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Lantos et al. (2019)</w:t>
      </w:r>
    </w:p>
  </w:footnote>
  <w:footnote w:id="178">
    <w:p w14:paraId="5DBD3353"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RCPA (2019)</w:t>
      </w:r>
    </w:p>
  </w:footnote>
  <w:footnote w:id="179">
    <w:p w14:paraId="3E66E632"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Lantos et al. (2019)</w:t>
      </w:r>
    </w:p>
  </w:footnote>
  <w:footnote w:id="180">
    <w:p w14:paraId="0C99ED59" w14:textId="77777777" w:rsidR="00FE14B0" w:rsidRPr="003E2029"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w:t>
      </w:r>
      <w:r w:rsidRPr="00764F55">
        <w:rPr>
          <w:sz w:val="18"/>
          <w:szCs w:val="18"/>
          <w:lang w:val="en-AU"/>
        </w:rPr>
        <w:t>Centers for Disease Control and Prevention (CDC) (2018)</w:t>
      </w:r>
      <w:r w:rsidRPr="003E2029">
        <w:rPr>
          <w:rStyle w:val="Hyperlink"/>
          <w:sz w:val="18"/>
          <w:szCs w:val="18"/>
        </w:rPr>
        <w:t xml:space="preserve"> </w:t>
      </w:r>
    </w:p>
  </w:footnote>
  <w:footnote w:id="181">
    <w:p w14:paraId="0833395D" w14:textId="77777777" w:rsidR="00FE14B0" w:rsidRPr="00764F55" w:rsidRDefault="00FE14B0" w:rsidP="009F2D9E">
      <w:pPr>
        <w:pStyle w:val="FootnoteText"/>
        <w:rPr>
          <w:sz w:val="18"/>
          <w:szCs w:val="18"/>
        </w:rPr>
      </w:pPr>
      <w:r w:rsidRPr="00764F55">
        <w:rPr>
          <w:rStyle w:val="FootnoteReference"/>
          <w:sz w:val="18"/>
          <w:szCs w:val="18"/>
        </w:rPr>
        <w:footnoteRef/>
      </w:r>
      <w:r w:rsidRPr="00764F55">
        <w:rPr>
          <w:sz w:val="18"/>
          <w:szCs w:val="18"/>
        </w:rPr>
        <w:t xml:space="preserve"> Australian Rickettsial Reference Laboratory (n.d.)</w:t>
      </w:r>
    </w:p>
  </w:footnote>
  <w:footnote w:id="182">
    <w:p w14:paraId="302C69F2" w14:textId="77777777" w:rsidR="00FE14B0" w:rsidRPr="00764F55" w:rsidRDefault="00FE14B0" w:rsidP="009F2D9E">
      <w:pPr>
        <w:pStyle w:val="FootnoteText"/>
        <w:rPr>
          <w:sz w:val="18"/>
          <w:szCs w:val="18"/>
        </w:rPr>
      </w:pPr>
      <w:r w:rsidRPr="00764F55">
        <w:rPr>
          <w:rStyle w:val="FootnoteReference"/>
          <w:sz w:val="18"/>
          <w:szCs w:val="18"/>
        </w:rPr>
        <w:footnoteRef/>
      </w:r>
      <w:r w:rsidRPr="00764F55">
        <w:rPr>
          <w:sz w:val="18"/>
          <w:szCs w:val="18"/>
        </w:rPr>
        <w:t xml:space="preserve"> Stewart et al. (2017)</w:t>
      </w:r>
    </w:p>
  </w:footnote>
  <w:footnote w:id="183">
    <w:p w14:paraId="32E9357E" w14:textId="77777777" w:rsidR="00FE14B0" w:rsidRPr="00764F55" w:rsidRDefault="00FE14B0" w:rsidP="009F2D9E">
      <w:pPr>
        <w:pStyle w:val="FootnoteText"/>
        <w:rPr>
          <w:sz w:val="18"/>
          <w:szCs w:val="18"/>
        </w:rPr>
      </w:pPr>
      <w:r w:rsidRPr="00764F55">
        <w:rPr>
          <w:rStyle w:val="FootnoteReference"/>
          <w:sz w:val="18"/>
          <w:szCs w:val="18"/>
        </w:rPr>
        <w:footnoteRef/>
      </w:r>
      <w:r w:rsidRPr="00764F55">
        <w:rPr>
          <w:sz w:val="18"/>
          <w:szCs w:val="18"/>
        </w:rPr>
        <w:t xml:space="preserve"> Graves (n.d.)</w:t>
      </w:r>
    </w:p>
  </w:footnote>
  <w:footnote w:id="184">
    <w:p w14:paraId="37B5EEAD" w14:textId="77777777" w:rsidR="00FE14B0" w:rsidRPr="00764F55" w:rsidRDefault="00FE14B0" w:rsidP="009F2D9E">
      <w:pPr>
        <w:pStyle w:val="Body"/>
        <w:spacing w:before="0" w:after="0"/>
        <w:rPr>
          <w:sz w:val="18"/>
          <w:szCs w:val="18"/>
          <w:lang w:val="en-AU"/>
        </w:rPr>
      </w:pPr>
      <w:r w:rsidRPr="00764F55">
        <w:rPr>
          <w:rStyle w:val="FootnoteReference"/>
          <w:sz w:val="18"/>
          <w:szCs w:val="18"/>
        </w:rPr>
        <w:footnoteRef/>
      </w:r>
      <w:r w:rsidRPr="00764F55">
        <w:rPr>
          <w:sz w:val="18"/>
          <w:szCs w:val="18"/>
        </w:rPr>
        <w:t xml:space="preserve"> Ibid.</w:t>
      </w:r>
    </w:p>
  </w:footnote>
  <w:footnote w:id="185">
    <w:p w14:paraId="59923CC3" w14:textId="77777777" w:rsidR="00FE14B0" w:rsidRPr="00764F55" w:rsidRDefault="00FE14B0" w:rsidP="009F2D9E">
      <w:pPr>
        <w:pStyle w:val="FootnoteText"/>
        <w:rPr>
          <w:sz w:val="18"/>
          <w:szCs w:val="18"/>
        </w:rPr>
      </w:pPr>
      <w:r w:rsidRPr="00764F55">
        <w:rPr>
          <w:rStyle w:val="FootnoteReference"/>
          <w:sz w:val="18"/>
          <w:szCs w:val="18"/>
        </w:rPr>
        <w:footnoteRef/>
      </w:r>
      <w:r w:rsidRPr="00764F55">
        <w:rPr>
          <w:sz w:val="18"/>
          <w:szCs w:val="18"/>
        </w:rPr>
        <w:t xml:space="preserve"> Ibid.</w:t>
      </w:r>
    </w:p>
  </w:footnote>
  <w:footnote w:id="186">
    <w:p w14:paraId="5A31DD7B" w14:textId="77777777" w:rsidR="00FE14B0" w:rsidRPr="00764F55" w:rsidRDefault="00FE14B0" w:rsidP="009F2D9E">
      <w:pPr>
        <w:pStyle w:val="FootnoteText"/>
        <w:rPr>
          <w:sz w:val="18"/>
          <w:szCs w:val="18"/>
        </w:rPr>
      </w:pPr>
      <w:r w:rsidRPr="00764F55">
        <w:rPr>
          <w:rStyle w:val="FootnoteReference"/>
          <w:sz w:val="18"/>
          <w:szCs w:val="18"/>
        </w:rPr>
        <w:footnoteRef/>
      </w:r>
      <w:r w:rsidRPr="00764F55">
        <w:rPr>
          <w:sz w:val="18"/>
          <w:szCs w:val="18"/>
        </w:rPr>
        <w:t xml:space="preserve"> CDNA (2018)</w:t>
      </w:r>
    </w:p>
  </w:footnote>
  <w:footnote w:id="187">
    <w:p w14:paraId="460A8CF4" w14:textId="77777777" w:rsidR="00FE14B0" w:rsidRPr="00626CEF" w:rsidRDefault="00FE14B0" w:rsidP="009F2D9E">
      <w:pPr>
        <w:pStyle w:val="FootnoteText"/>
        <w:rPr>
          <w:sz w:val="18"/>
          <w:szCs w:val="18"/>
        </w:rPr>
      </w:pPr>
      <w:r w:rsidRPr="00764F55">
        <w:rPr>
          <w:rStyle w:val="FootnoteReference"/>
          <w:sz w:val="18"/>
          <w:szCs w:val="18"/>
        </w:rPr>
        <w:footnoteRef/>
      </w:r>
      <w:r w:rsidRPr="00764F55">
        <w:rPr>
          <w:sz w:val="18"/>
          <w:szCs w:val="18"/>
        </w:rPr>
        <w:t xml:space="preserve"> Murtagh (2003)</w:t>
      </w:r>
    </w:p>
  </w:footnote>
  <w:footnote w:id="188">
    <w:p w14:paraId="1DCE3B3E"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RCPA (2019)</w:t>
      </w:r>
    </w:p>
  </w:footnote>
  <w:footnote w:id="189">
    <w:p w14:paraId="0BC381C2"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Lantos et al. (2015a) </w:t>
      </w:r>
    </w:p>
  </w:footnote>
  <w:footnote w:id="190">
    <w:p w14:paraId="6655A6D9"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Ibid. </w:t>
      </w:r>
    </w:p>
  </w:footnote>
  <w:footnote w:id="191">
    <w:p w14:paraId="7EEEB596"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Brunton et al. (2017)</w:t>
      </w:r>
    </w:p>
  </w:footnote>
  <w:footnote w:id="192">
    <w:p w14:paraId="26B924C5"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NICE (2018a)</w:t>
      </w:r>
    </w:p>
  </w:footnote>
  <w:footnote w:id="193">
    <w:p w14:paraId="27C454FD" w14:textId="77777777" w:rsidR="00FE14B0" w:rsidRPr="00417418"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Ibid.</w:t>
      </w:r>
    </w:p>
  </w:footnote>
  <w:footnote w:id="194">
    <w:p w14:paraId="31FD22F6"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Stewart et al. (2017)</w:t>
      </w:r>
    </w:p>
  </w:footnote>
  <w:footnote w:id="195">
    <w:p w14:paraId="573301EB"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Ibid.</w:t>
      </w:r>
    </w:p>
  </w:footnote>
  <w:footnote w:id="196">
    <w:p w14:paraId="5ADD8A4F"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Thomas &amp; Wu (2018)</w:t>
      </w:r>
    </w:p>
  </w:footnote>
  <w:footnote w:id="197">
    <w:p w14:paraId="000FCECC" w14:textId="77777777" w:rsidR="00FE14B0" w:rsidRPr="00764F55" w:rsidRDefault="00FE14B0" w:rsidP="00F817AC">
      <w:pPr>
        <w:pStyle w:val="FootnoteText"/>
        <w:rPr>
          <w:sz w:val="18"/>
          <w:szCs w:val="18"/>
          <w:highlight w:val="yellow"/>
        </w:rPr>
      </w:pPr>
      <w:r w:rsidRPr="00764F55">
        <w:rPr>
          <w:rStyle w:val="FootnoteReference"/>
          <w:sz w:val="18"/>
          <w:szCs w:val="18"/>
        </w:rPr>
        <w:footnoteRef/>
      </w:r>
      <w:r w:rsidRPr="00764F55">
        <w:rPr>
          <w:sz w:val="18"/>
          <w:szCs w:val="18"/>
        </w:rPr>
        <w:t xml:space="preserve"> Graves (n.d.) </w:t>
      </w:r>
    </w:p>
  </w:footnote>
  <w:footnote w:id="198">
    <w:p w14:paraId="797D1045"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Ibid.</w:t>
      </w:r>
    </w:p>
  </w:footnote>
  <w:footnote w:id="199">
    <w:p w14:paraId="4DE60EB1" w14:textId="77777777" w:rsidR="00FE14B0" w:rsidRPr="00996911" w:rsidRDefault="00FE14B0" w:rsidP="00F817AC">
      <w:pPr>
        <w:pStyle w:val="FootnoteText"/>
      </w:pPr>
      <w:r w:rsidRPr="00764F55">
        <w:rPr>
          <w:rStyle w:val="FootnoteReference"/>
          <w:sz w:val="18"/>
          <w:szCs w:val="18"/>
        </w:rPr>
        <w:footnoteRef/>
      </w:r>
      <w:r w:rsidRPr="00764F55">
        <w:rPr>
          <w:sz w:val="18"/>
          <w:szCs w:val="18"/>
        </w:rPr>
        <w:t xml:space="preserve"> Ibid.</w:t>
      </w:r>
    </w:p>
  </w:footnote>
  <w:footnote w:id="200">
    <w:p w14:paraId="0DCE8BDF"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CDNA (2018) </w:t>
      </w:r>
    </w:p>
  </w:footnote>
  <w:footnote w:id="201">
    <w:p w14:paraId="47D8AF3F"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Ibid.</w:t>
      </w:r>
    </w:p>
  </w:footnote>
  <w:footnote w:id="202">
    <w:p w14:paraId="5EC7D76E" w14:textId="77777777" w:rsidR="00FE14B0" w:rsidRPr="00417418"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Eastwood et al. (2018)</w:t>
      </w:r>
    </w:p>
  </w:footnote>
  <w:footnote w:id="203">
    <w:p w14:paraId="33A0851B"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Lantos et al. (2019)</w:t>
      </w:r>
    </w:p>
  </w:footnote>
  <w:footnote w:id="204">
    <w:p w14:paraId="301F3719"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Borchers et al. (2015)</w:t>
      </w:r>
    </w:p>
  </w:footnote>
  <w:footnote w:id="205">
    <w:p w14:paraId="38918F34" w14:textId="77777777" w:rsidR="00FE14B0" w:rsidRPr="00764F55" w:rsidRDefault="00FE14B0" w:rsidP="00F817AC">
      <w:pPr>
        <w:pStyle w:val="FootnoteText"/>
        <w:rPr>
          <w:sz w:val="18"/>
          <w:szCs w:val="18"/>
          <w:vertAlign w:val="superscript"/>
        </w:rPr>
      </w:pPr>
      <w:r w:rsidRPr="00764F55">
        <w:rPr>
          <w:rStyle w:val="FootnoteReference"/>
          <w:sz w:val="18"/>
          <w:szCs w:val="18"/>
        </w:rPr>
        <w:footnoteRef/>
      </w:r>
      <w:r w:rsidRPr="00764F55">
        <w:rPr>
          <w:sz w:val="18"/>
          <w:szCs w:val="18"/>
        </w:rPr>
        <w:t xml:space="preserve"> </w:t>
      </w:r>
      <w:r w:rsidRPr="00764F55">
        <w:rPr>
          <w:rStyle w:val="BodyTextChar"/>
          <w:sz w:val="18"/>
          <w:szCs w:val="18"/>
        </w:rPr>
        <w:t>Wormser et al. (2006)</w:t>
      </w:r>
    </w:p>
  </w:footnote>
  <w:footnote w:id="206">
    <w:p w14:paraId="432F7E8E" w14:textId="77777777" w:rsidR="00FE14B0" w:rsidRPr="00764F55" w:rsidRDefault="00FE14B0" w:rsidP="00F817AC">
      <w:pPr>
        <w:pStyle w:val="BodyText"/>
        <w:spacing w:before="0" w:after="0" w:line="240" w:lineRule="auto"/>
        <w:rPr>
          <w:sz w:val="18"/>
          <w:szCs w:val="18"/>
          <w:lang w:eastAsia="en-NZ"/>
        </w:rPr>
      </w:pPr>
      <w:r w:rsidRPr="00764F55">
        <w:rPr>
          <w:rStyle w:val="FootnoteReference"/>
          <w:sz w:val="18"/>
          <w:szCs w:val="18"/>
        </w:rPr>
        <w:footnoteRef/>
      </w:r>
      <w:r w:rsidRPr="00764F55">
        <w:rPr>
          <w:sz w:val="18"/>
          <w:szCs w:val="18"/>
        </w:rPr>
        <w:t xml:space="preserve"> </w:t>
      </w:r>
      <w:r w:rsidRPr="00764F55">
        <w:rPr>
          <w:sz w:val="18"/>
          <w:szCs w:val="18"/>
          <w:lang w:eastAsia="en-NZ"/>
        </w:rPr>
        <w:t>Lantos et al. (2010)</w:t>
      </w:r>
    </w:p>
  </w:footnote>
  <w:footnote w:id="207">
    <w:p w14:paraId="1016DE10"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NICE (April 2018a)</w:t>
      </w:r>
    </w:p>
  </w:footnote>
  <w:footnote w:id="208">
    <w:p w14:paraId="5851C26F"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Lantos et al. (2019)</w:t>
      </w:r>
    </w:p>
  </w:footnote>
  <w:footnote w:id="209">
    <w:p w14:paraId="539D061F"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NICE. (April 2018a)</w:t>
      </w:r>
    </w:p>
  </w:footnote>
  <w:footnote w:id="210">
    <w:p w14:paraId="4A00BF62"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NICE (April 2018c)</w:t>
      </w:r>
    </w:p>
  </w:footnote>
  <w:footnote w:id="211">
    <w:p w14:paraId="19BAF090"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NICE (April 2018d)</w:t>
      </w:r>
    </w:p>
  </w:footnote>
  <w:footnote w:id="212">
    <w:p w14:paraId="33AB959C"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NICE (April 2018e) </w:t>
      </w:r>
    </w:p>
  </w:footnote>
  <w:footnote w:id="213">
    <w:p w14:paraId="58975E95" w14:textId="77777777" w:rsidR="00FE14B0" w:rsidRPr="00764F55" w:rsidRDefault="00FE14B0" w:rsidP="00F817AC">
      <w:pPr>
        <w:pStyle w:val="BodyText"/>
        <w:spacing w:before="0" w:after="0" w:line="240" w:lineRule="auto"/>
        <w:rPr>
          <w:sz w:val="18"/>
          <w:szCs w:val="18"/>
        </w:rPr>
      </w:pPr>
      <w:r w:rsidRPr="00764F55">
        <w:rPr>
          <w:rStyle w:val="FootnoteReference"/>
          <w:sz w:val="18"/>
          <w:szCs w:val="18"/>
        </w:rPr>
        <w:footnoteRef/>
      </w:r>
      <w:r w:rsidRPr="00764F55">
        <w:rPr>
          <w:sz w:val="18"/>
          <w:szCs w:val="18"/>
        </w:rPr>
        <w:t xml:space="preserve"> NICE (April 2018f)</w:t>
      </w:r>
    </w:p>
  </w:footnote>
  <w:footnote w:id="214">
    <w:p w14:paraId="42145CF6"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NICE (April 2018g)</w:t>
      </w:r>
    </w:p>
  </w:footnote>
  <w:footnote w:id="215">
    <w:p w14:paraId="223F1340" w14:textId="77777777" w:rsidR="00FE14B0" w:rsidRPr="0093737C"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NICE (April 2018h)</w:t>
      </w:r>
    </w:p>
  </w:footnote>
  <w:footnote w:id="216">
    <w:p w14:paraId="68D23578"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Lantos et al. (2019) </w:t>
      </w:r>
    </w:p>
  </w:footnote>
  <w:footnote w:id="217">
    <w:p w14:paraId="635A37C6"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Lantos et al. (2014)</w:t>
      </w:r>
    </w:p>
  </w:footnote>
  <w:footnote w:id="218">
    <w:p w14:paraId="171A9873"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Lantos et al. (2019) </w:t>
      </w:r>
    </w:p>
  </w:footnote>
  <w:footnote w:id="219">
    <w:p w14:paraId="72572E5E" w14:textId="77777777" w:rsidR="00FE14B0" w:rsidRPr="00764F55" w:rsidRDefault="00FE14B0" w:rsidP="00F817AC">
      <w:pPr>
        <w:pStyle w:val="FootnoteText"/>
        <w:rPr>
          <w:sz w:val="18"/>
          <w:szCs w:val="18"/>
          <w:vertAlign w:val="superscript"/>
        </w:rPr>
      </w:pPr>
      <w:r w:rsidRPr="00764F55">
        <w:rPr>
          <w:rStyle w:val="FootnoteReference"/>
          <w:sz w:val="18"/>
          <w:szCs w:val="18"/>
        </w:rPr>
        <w:footnoteRef/>
      </w:r>
      <w:r w:rsidRPr="00764F55">
        <w:rPr>
          <w:sz w:val="18"/>
          <w:szCs w:val="18"/>
        </w:rPr>
        <w:t xml:space="preserve"> </w:t>
      </w:r>
      <w:r w:rsidRPr="00764F55">
        <w:rPr>
          <w:rStyle w:val="BodyTextChar"/>
          <w:sz w:val="18"/>
          <w:szCs w:val="18"/>
        </w:rPr>
        <w:t>Wormser et al. (2006)</w:t>
      </w:r>
    </w:p>
  </w:footnote>
  <w:footnote w:id="220">
    <w:p w14:paraId="159ACE01" w14:textId="77777777" w:rsidR="00FE14B0" w:rsidRPr="00764F55" w:rsidRDefault="00FE14B0" w:rsidP="00F817AC">
      <w:pPr>
        <w:pStyle w:val="FootnoteText"/>
        <w:rPr>
          <w:i/>
          <w:iCs/>
          <w:sz w:val="18"/>
          <w:szCs w:val="18"/>
        </w:rPr>
      </w:pPr>
      <w:r w:rsidRPr="00764F55">
        <w:rPr>
          <w:rStyle w:val="FootnoteReference"/>
          <w:sz w:val="18"/>
          <w:szCs w:val="18"/>
        </w:rPr>
        <w:footnoteRef/>
      </w:r>
      <w:r w:rsidRPr="00764F55">
        <w:rPr>
          <w:sz w:val="18"/>
          <w:szCs w:val="18"/>
        </w:rPr>
        <w:t xml:space="preserve"> Klempner et al (2013)</w:t>
      </w:r>
    </w:p>
  </w:footnote>
  <w:footnote w:id="221">
    <w:p w14:paraId="6EDDA798"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Borchers et al. (2015)</w:t>
      </w:r>
    </w:p>
  </w:footnote>
  <w:footnote w:id="222">
    <w:p w14:paraId="48736B01" w14:textId="77777777" w:rsidR="00FE14B0" w:rsidRPr="00764F55" w:rsidRDefault="00FE14B0">
      <w:pPr>
        <w:pStyle w:val="FootnoteText"/>
        <w:rPr>
          <w:sz w:val="18"/>
          <w:szCs w:val="18"/>
        </w:rPr>
      </w:pPr>
      <w:r w:rsidRPr="00764F55">
        <w:rPr>
          <w:rStyle w:val="FootnoteReference"/>
          <w:sz w:val="18"/>
          <w:szCs w:val="18"/>
        </w:rPr>
        <w:footnoteRef/>
      </w:r>
      <w:r w:rsidRPr="00764F55">
        <w:rPr>
          <w:sz w:val="18"/>
          <w:szCs w:val="18"/>
        </w:rPr>
        <w:t xml:space="preserve"> Marzec et al. (2017)</w:t>
      </w:r>
    </w:p>
  </w:footnote>
  <w:footnote w:id="223">
    <w:p w14:paraId="0EDCD7B6" w14:textId="77777777" w:rsidR="00FE14B0" w:rsidRPr="00764F55" w:rsidRDefault="00FE14B0">
      <w:pPr>
        <w:pStyle w:val="FootnoteText"/>
        <w:rPr>
          <w:sz w:val="18"/>
          <w:szCs w:val="18"/>
        </w:rPr>
      </w:pPr>
      <w:r w:rsidRPr="00764F55">
        <w:rPr>
          <w:rStyle w:val="FootnoteReference"/>
          <w:sz w:val="18"/>
          <w:szCs w:val="18"/>
        </w:rPr>
        <w:footnoteRef/>
      </w:r>
      <w:r w:rsidRPr="00764F55">
        <w:rPr>
          <w:sz w:val="18"/>
          <w:szCs w:val="18"/>
        </w:rPr>
        <w:t xml:space="preserve"> Lantos et al. (2015b) </w:t>
      </w:r>
    </w:p>
  </w:footnote>
  <w:footnote w:id="224">
    <w:p w14:paraId="494C2C7F" w14:textId="77777777" w:rsidR="00FE14B0" w:rsidRPr="007C1CFF"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Wormser et al. (2006)</w:t>
      </w:r>
    </w:p>
  </w:footnote>
  <w:footnote w:id="225">
    <w:p w14:paraId="0A53D3A4"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Wormser et al. (2006)</w:t>
      </w:r>
    </w:p>
  </w:footnote>
  <w:footnote w:id="226">
    <w:p w14:paraId="4CEAE357"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Lantos et al. (2015b)</w:t>
      </w:r>
    </w:p>
  </w:footnote>
  <w:footnote w:id="227">
    <w:p w14:paraId="6A205340" w14:textId="77777777" w:rsidR="00FE14B0" w:rsidRPr="0093737C"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Ibid.</w:t>
      </w:r>
    </w:p>
  </w:footnote>
  <w:footnote w:id="228">
    <w:p w14:paraId="7526A580" w14:textId="77777777" w:rsidR="00FE14B0" w:rsidRPr="00764F55" w:rsidRDefault="00FE14B0">
      <w:pPr>
        <w:pStyle w:val="FootnoteText"/>
        <w:rPr>
          <w:sz w:val="18"/>
          <w:szCs w:val="18"/>
        </w:rPr>
      </w:pPr>
      <w:r w:rsidRPr="00764F55">
        <w:rPr>
          <w:rStyle w:val="FootnoteReference"/>
          <w:sz w:val="18"/>
          <w:szCs w:val="18"/>
        </w:rPr>
        <w:footnoteRef/>
      </w:r>
      <w:r w:rsidRPr="00764F55">
        <w:rPr>
          <w:sz w:val="18"/>
          <w:szCs w:val="18"/>
        </w:rPr>
        <w:t xml:space="preserve"> Stewart et al. (2017)</w:t>
      </w:r>
    </w:p>
  </w:footnote>
  <w:footnote w:id="229">
    <w:p w14:paraId="66A804E0"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w:t>
      </w:r>
      <w:r>
        <w:rPr>
          <w:sz w:val="18"/>
          <w:szCs w:val="18"/>
        </w:rPr>
        <w:t>Ibid.</w:t>
      </w:r>
    </w:p>
  </w:footnote>
  <w:footnote w:id="230">
    <w:p w14:paraId="56CFFC6F"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Ibid.</w:t>
      </w:r>
    </w:p>
  </w:footnote>
  <w:footnote w:id="231">
    <w:p w14:paraId="04142038"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Graves &amp; Stenos (2017)</w:t>
      </w:r>
    </w:p>
  </w:footnote>
  <w:footnote w:id="232">
    <w:p w14:paraId="1324BB6B" w14:textId="77777777" w:rsidR="00FE14B0" w:rsidRPr="00764F55" w:rsidRDefault="00FE14B0">
      <w:pPr>
        <w:pStyle w:val="FootnoteText"/>
        <w:rPr>
          <w:sz w:val="18"/>
          <w:szCs w:val="18"/>
        </w:rPr>
      </w:pPr>
      <w:r w:rsidRPr="00764F55">
        <w:rPr>
          <w:rStyle w:val="FootnoteReference"/>
          <w:sz w:val="18"/>
          <w:szCs w:val="18"/>
        </w:rPr>
        <w:footnoteRef/>
      </w:r>
      <w:r w:rsidRPr="00764F55">
        <w:rPr>
          <w:sz w:val="18"/>
          <w:szCs w:val="18"/>
        </w:rPr>
        <w:t xml:space="preserve"> Therapeutic Guidelines (nd) </w:t>
      </w:r>
    </w:p>
  </w:footnote>
  <w:footnote w:id="233">
    <w:p w14:paraId="0336BEC2"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CDNA (2018)</w:t>
      </w:r>
    </w:p>
  </w:footnote>
  <w:footnote w:id="234">
    <w:p w14:paraId="6640C582" w14:textId="77777777" w:rsidR="00FE14B0" w:rsidRPr="00764F55" w:rsidRDefault="00FE14B0">
      <w:pPr>
        <w:pStyle w:val="FootnoteText"/>
        <w:rPr>
          <w:sz w:val="18"/>
          <w:szCs w:val="18"/>
        </w:rPr>
      </w:pPr>
      <w:r w:rsidRPr="00764F55">
        <w:rPr>
          <w:rStyle w:val="FootnoteReference"/>
          <w:sz w:val="18"/>
          <w:szCs w:val="18"/>
        </w:rPr>
        <w:footnoteRef/>
      </w:r>
      <w:r w:rsidRPr="00764F55">
        <w:rPr>
          <w:sz w:val="18"/>
          <w:szCs w:val="18"/>
        </w:rPr>
        <w:t xml:space="preserve"> Therapeutic Guidelines (nd)</w:t>
      </w:r>
    </w:p>
  </w:footnote>
  <w:footnote w:id="235">
    <w:p w14:paraId="5DE5EC6F" w14:textId="77777777" w:rsidR="00FE14B0" w:rsidRPr="00764F55" w:rsidRDefault="00FE14B0">
      <w:pPr>
        <w:pStyle w:val="FootnoteText"/>
        <w:rPr>
          <w:sz w:val="18"/>
          <w:szCs w:val="18"/>
        </w:rPr>
      </w:pPr>
      <w:r w:rsidRPr="00764F55">
        <w:rPr>
          <w:rStyle w:val="FootnoteReference"/>
          <w:sz w:val="18"/>
          <w:szCs w:val="18"/>
        </w:rPr>
        <w:footnoteRef/>
      </w:r>
      <w:r w:rsidRPr="00764F55">
        <w:rPr>
          <w:sz w:val="18"/>
          <w:szCs w:val="18"/>
        </w:rPr>
        <w:t xml:space="preserve"> Ibid</w:t>
      </w:r>
    </w:p>
  </w:footnote>
  <w:footnote w:id="236">
    <w:p w14:paraId="58AC57DB" w14:textId="77777777" w:rsidR="00FE14B0" w:rsidRPr="009F22DC" w:rsidRDefault="00FE14B0" w:rsidP="00F817AC">
      <w:pPr>
        <w:pStyle w:val="FootnoteText"/>
        <w:rPr>
          <w:sz w:val="18"/>
          <w:szCs w:val="18"/>
          <w:lang w:val="en-US"/>
        </w:rPr>
      </w:pPr>
      <w:r w:rsidRPr="00764F55">
        <w:rPr>
          <w:rStyle w:val="FootnoteReference"/>
          <w:sz w:val="18"/>
          <w:szCs w:val="18"/>
        </w:rPr>
        <w:footnoteRef/>
      </w:r>
      <w:r w:rsidRPr="00764F55">
        <w:rPr>
          <w:sz w:val="18"/>
          <w:szCs w:val="18"/>
        </w:rPr>
        <w:t xml:space="preserve"> Australian Commission on Safety and Quality in Health Care (2018)</w:t>
      </w:r>
    </w:p>
  </w:footnote>
  <w:footnote w:id="237">
    <w:p w14:paraId="66B35E39" w14:textId="77777777" w:rsidR="00FE14B0" w:rsidRPr="00764F55" w:rsidRDefault="00FE14B0" w:rsidP="00F817AC">
      <w:pPr>
        <w:pStyle w:val="FootnoteText"/>
        <w:rPr>
          <w:sz w:val="18"/>
          <w:szCs w:val="18"/>
          <w:lang w:val="en-US"/>
        </w:rPr>
      </w:pPr>
      <w:r w:rsidRPr="00764F55">
        <w:rPr>
          <w:rStyle w:val="FootnoteReference"/>
          <w:sz w:val="18"/>
          <w:szCs w:val="18"/>
        </w:rPr>
        <w:footnoteRef/>
      </w:r>
      <w:r w:rsidRPr="00764F55">
        <w:rPr>
          <w:sz w:val="18"/>
          <w:szCs w:val="18"/>
        </w:rPr>
        <w:t xml:space="preserve"> Australian Commission on Safety and Quality in Health Care (n.d.) </w:t>
      </w:r>
    </w:p>
  </w:footnote>
  <w:footnote w:id="238">
    <w:p w14:paraId="0A329F9B"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Brown (2018)</w:t>
      </w:r>
    </w:p>
  </w:footnote>
  <w:footnote w:id="239">
    <w:p w14:paraId="5321AA31"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w:t>
      </w:r>
      <w:r w:rsidRPr="00764F55">
        <w:rPr>
          <w:sz w:val="18"/>
          <w:szCs w:val="18"/>
          <w:lang w:val="en-US"/>
        </w:rPr>
        <w:t>Stone (2015)</w:t>
      </w:r>
    </w:p>
  </w:footnote>
  <w:footnote w:id="240">
    <w:p w14:paraId="4D8AEC12" w14:textId="77777777" w:rsidR="00FE14B0" w:rsidRPr="00764F55" w:rsidRDefault="00FE14B0" w:rsidP="00F817AC">
      <w:pPr>
        <w:pStyle w:val="FootnoteText"/>
        <w:rPr>
          <w:sz w:val="18"/>
          <w:szCs w:val="18"/>
        </w:rPr>
      </w:pPr>
      <w:r w:rsidRPr="00764F55">
        <w:rPr>
          <w:rStyle w:val="FootnoteReference"/>
          <w:sz w:val="18"/>
          <w:szCs w:val="18"/>
        </w:rPr>
        <w:footnoteRef/>
      </w:r>
      <w:r w:rsidRPr="00764F55">
        <w:rPr>
          <w:sz w:val="18"/>
          <w:szCs w:val="18"/>
        </w:rPr>
        <w:t xml:space="preserve"> </w:t>
      </w:r>
      <w:r w:rsidRPr="00764F55">
        <w:rPr>
          <w:sz w:val="18"/>
          <w:szCs w:val="18"/>
          <w:lang w:val="en-US"/>
        </w:rPr>
        <w:t>Ibid.</w:t>
      </w:r>
    </w:p>
  </w:footnote>
  <w:footnote w:id="241">
    <w:p w14:paraId="658F594F" w14:textId="77777777" w:rsidR="00FE14B0" w:rsidRPr="00764F55" w:rsidRDefault="00FE14B0" w:rsidP="00F817AC">
      <w:pPr>
        <w:pStyle w:val="FootnoteText"/>
        <w:rPr>
          <w:sz w:val="18"/>
          <w:szCs w:val="18"/>
          <w:lang w:val="en-US"/>
        </w:rPr>
      </w:pPr>
      <w:r w:rsidRPr="00764F55">
        <w:rPr>
          <w:rStyle w:val="FootnoteReference"/>
          <w:sz w:val="18"/>
          <w:szCs w:val="18"/>
        </w:rPr>
        <w:footnoteRef/>
      </w:r>
      <w:r w:rsidRPr="00764F55">
        <w:rPr>
          <w:sz w:val="18"/>
          <w:szCs w:val="18"/>
        </w:rPr>
        <w:t xml:space="preserve"> </w:t>
      </w:r>
      <w:r w:rsidRPr="004D3350">
        <w:rPr>
          <w:rFonts w:cs="Cambria"/>
          <w:sz w:val="18"/>
          <w:szCs w:val="18"/>
        </w:rPr>
        <w:t>Olde Hartman et al. (2017)</w:t>
      </w:r>
    </w:p>
  </w:footnote>
  <w:footnote w:id="242">
    <w:p w14:paraId="476225AF" w14:textId="77777777" w:rsidR="00FE14B0" w:rsidRPr="00452EE3" w:rsidRDefault="00FE14B0" w:rsidP="00F817AC">
      <w:pPr>
        <w:pStyle w:val="FootnoteText"/>
        <w:rPr>
          <w:sz w:val="18"/>
          <w:szCs w:val="18"/>
          <w:lang w:val="en-US"/>
        </w:rPr>
      </w:pPr>
      <w:r w:rsidRPr="00764F55">
        <w:rPr>
          <w:rStyle w:val="FootnoteReference"/>
          <w:sz w:val="18"/>
          <w:szCs w:val="18"/>
        </w:rPr>
        <w:footnoteRef/>
      </w:r>
      <w:r w:rsidRPr="00764F55">
        <w:rPr>
          <w:sz w:val="18"/>
          <w:szCs w:val="18"/>
        </w:rPr>
        <w:t xml:space="preserve"> </w:t>
      </w:r>
      <w:r w:rsidRPr="00764F55">
        <w:rPr>
          <w:sz w:val="18"/>
          <w:szCs w:val="18"/>
          <w:lang w:val="en-US"/>
        </w:rPr>
        <w:t>Ibid.</w:t>
      </w:r>
    </w:p>
  </w:footnote>
  <w:footnote w:id="243">
    <w:p w14:paraId="1B4C7954" w14:textId="77777777" w:rsidR="00FE14B0" w:rsidRPr="00EB40E4" w:rsidRDefault="00FE14B0" w:rsidP="00F817AC">
      <w:pPr>
        <w:pStyle w:val="FootnoteText"/>
        <w:rPr>
          <w:sz w:val="18"/>
          <w:szCs w:val="18"/>
          <w:lang w:val="en-US"/>
        </w:rPr>
      </w:pPr>
      <w:r w:rsidRPr="00EB40E4">
        <w:rPr>
          <w:rStyle w:val="FootnoteReference"/>
          <w:sz w:val="18"/>
          <w:szCs w:val="18"/>
        </w:rPr>
        <w:footnoteRef/>
      </w:r>
      <w:r w:rsidRPr="00EB40E4">
        <w:rPr>
          <w:sz w:val="18"/>
          <w:szCs w:val="18"/>
        </w:rPr>
        <w:t xml:space="preserve"> </w:t>
      </w:r>
      <w:r w:rsidRPr="00EB40E4">
        <w:rPr>
          <w:sz w:val="18"/>
          <w:szCs w:val="18"/>
          <w:lang w:val="en-US"/>
        </w:rPr>
        <w:t>Stone (2015)</w:t>
      </w:r>
    </w:p>
  </w:footnote>
  <w:footnote w:id="244">
    <w:p w14:paraId="5FD73B51" w14:textId="77777777" w:rsidR="00FE14B0" w:rsidRPr="004D3350" w:rsidRDefault="00FE14B0" w:rsidP="00F817AC">
      <w:pPr>
        <w:pStyle w:val="NormalWeb"/>
        <w:spacing w:before="0" w:beforeAutospacing="0" w:after="0" w:afterAutospacing="0" w:line="240" w:lineRule="auto"/>
        <w:rPr>
          <w:rFonts w:ascii="Cambria" w:hAnsi="Cambria" w:cs="Cambria"/>
          <w:sz w:val="18"/>
          <w:szCs w:val="18"/>
        </w:rPr>
      </w:pPr>
      <w:r w:rsidRPr="004D3350">
        <w:rPr>
          <w:rStyle w:val="FootnoteReference"/>
          <w:rFonts w:ascii="Cambria" w:hAnsi="Cambria"/>
          <w:sz w:val="18"/>
          <w:szCs w:val="18"/>
        </w:rPr>
        <w:footnoteRef/>
      </w:r>
      <w:r w:rsidRPr="004D3350">
        <w:rPr>
          <w:rFonts w:ascii="Cambria" w:hAnsi="Cambria" w:cs="Cambria"/>
          <w:sz w:val="18"/>
          <w:szCs w:val="18"/>
        </w:rPr>
        <w:t xml:space="preserve"> Olde Hartman et al. (2017)</w:t>
      </w:r>
    </w:p>
  </w:footnote>
  <w:footnote w:id="245">
    <w:p w14:paraId="5F0B8E48" w14:textId="77777777" w:rsidR="00FE14B0" w:rsidRPr="004D3350" w:rsidRDefault="00FE14B0" w:rsidP="00F817AC">
      <w:pPr>
        <w:pStyle w:val="NormalWeb"/>
        <w:spacing w:before="0" w:beforeAutospacing="0" w:after="0" w:afterAutospacing="0"/>
        <w:rPr>
          <w:rFonts w:ascii="Cambria" w:hAnsi="Cambria" w:cs="Cambria"/>
          <w:sz w:val="18"/>
          <w:szCs w:val="18"/>
        </w:rPr>
      </w:pPr>
      <w:r w:rsidRPr="004D3350">
        <w:rPr>
          <w:rStyle w:val="FootnoteReference"/>
          <w:rFonts w:ascii="Cambria" w:hAnsi="Cambria"/>
          <w:sz w:val="18"/>
          <w:szCs w:val="18"/>
        </w:rPr>
        <w:footnoteRef/>
      </w:r>
      <w:r w:rsidRPr="004D3350">
        <w:rPr>
          <w:rFonts w:ascii="Cambria" w:hAnsi="Cambria" w:cs="Cambria"/>
          <w:sz w:val="18"/>
          <w:szCs w:val="18"/>
        </w:rPr>
        <w:t xml:space="preserve"> Chitnis et al. (2011)</w:t>
      </w:r>
    </w:p>
  </w:footnote>
  <w:footnote w:id="246">
    <w:p w14:paraId="595E43A9" w14:textId="77777777" w:rsidR="00FE14B0" w:rsidRPr="00EB40E4" w:rsidRDefault="00FE14B0" w:rsidP="00F817AC">
      <w:pPr>
        <w:pStyle w:val="FootnoteText"/>
        <w:rPr>
          <w:sz w:val="18"/>
          <w:szCs w:val="18"/>
          <w:lang w:val="en-US"/>
        </w:rPr>
      </w:pPr>
      <w:r w:rsidRPr="00EB40E4">
        <w:rPr>
          <w:rStyle w:val="FootnoteReference"/>
          <w:sz w:val="18"/>
          <w:szCs w:val="18"/>
        </w:rPr>
        <w:footnoteRef/>
      </w:r>
      <w:r w:rsidRPr="00EB40E4">
        <w:rPr>
          <w:sz w:val="18"/>
          <w:szCs w:val="18"/>
        </w:rPr>
        <w:t xml:space="preserve"> </w:t>
      </w:r>
      <w:r w:rsidRPr="00EB40E4">
        <w:rPr>
          <w:sz w:val="18"/>
          <w:szCs w:val="18"/>
          <w:lang w:val="en-US"/>
        </w:rPr>
        <w:t>Olde Hartman et al. (2017)</w:t>
      </w:r>
    </w:p>
  </w:footnote>
  <w:footnote w:id="247">
    <w:p w14:paraId="10568CA1" w14:textId="77777777" w:rsidR="00FE14B0" w:rsidRPr="00EB40E4" w:rsidRDefault="00FE14B0" w:rsidP="00F817AC">
      <w:pPr>
        <w:pStyle w:val="FootnoteText"/>
        <w:rPr>
          <w:sz w:val="18"/>
          <w:szCs w:val="18"/>
          <w:lang w:val="en-US"/>
        </w:rPr>
      </w:pPr>
      <w:r w:rsidRPr="00EB40E4">
        <w:rPr>
          <w:rStyle w:val="FootnoteReference"/>
          <w:sz w:val="18"/>
          <w:szCs w:val="18"/>
        </w:rPr>
        <w:footnoteRef/>
      </w:r>
      <w:r w:rsidRPr="00EB40E4">
        <w:rPr>
          <w:sz w:val="18"/>
          <w:szCs w:val="18"/>
        </w:rPr>
        <w:t xml:space="preserve"> </w:t>
      </w:r>
      <w:r w:rsidRPr="00EB40E4">
        <w:rPr>
          <w:sz w:val="18"/>
          <w:szCs w:val="18"/>
          <w:lang w:val="en-US"/>
        </w:rPr>
        <w:t xml:space="preserve">Ali et al. (2014) </w:t>
      </w:r>
    </w:p>
  </w:footnote>
  <w:footnote w:id="248">
    <w:p w14:paraId="635DB4FB" w14:textId="77777777" w:rsidR="00FE14B0" w:rsidRPr="00EB40E4" w:rsidRDefault="00FE14B0" w:rsidP="00F817AC">
      <w:pPr>
        <w:pStyle w:val="FootnoteText"/>
        <w:rPr>
          <w:sz w:val="18"/>
          <w:szCs w:val="18"/>
        </w:rPr>
      </w:pPr>
      <w:r w:rsidRPr="00EB40E4">
        <w:rPr>
          <w:rStyle w:val="FootnoteReference"/>
          <w:sz w:val="18"/>
          <w:szCs w:val="18"/>
        </w:rPr>
        <w:footnoteRef/>
      </w:r>
      <w:r w:rsidRPr="00EB40E4">
        <w:rPr>
          <w:sz w:val="18"/>
          <w:szCs w:val="18"/>
        </w:rPr>
        <w:t xml:space="preserve"> Stone (2015)</w:t>
      </w:r>
    </w:p>
  </w:footnote>
  <w:footnote w:id="249">
    <w:p w14:paraId="1CF4FFBD" w14:textId="77777777" w:rsidR="00FE14B0" w:rsidRPr="00EB40E4" w:rsidRDefault="00FE14B0" w:rsidP="00F817AC">
      <w:pPr>
        <w:pStyle w:val="FootnoteText"/>
        <w:rPr>
          <w:sz w:val="18"/>
          <w:szCs w:val="18"/>
        </w:rPr>
      </w:pPr>
      <w:r w:rsidRPr="00EB40E4">
        <w:rPr>
          <w:rStyle w:val="FootnoteReference"/>
          <w:sz w:val="18"/>
          <w:szCs w:val="18"/>
        </w:rPr>
        <w:footnoteRef/>
      </w:r>
      <w:r w:rsidRPr="00EB40E4">
        <w:rPr>
          <w:sz w:val="18"/>
          <w:szCs w:val="18"/>
        </w:rPr>
        <w:t xml:space="preserve"> Ibid.</w:t>
      </w:r>
    </w:p>
  </w:footnote>
  <w:footnote w:id="250">
    <w:p w14:paraId="7E03C77A" w14:textId="77777777" w:rsidR="00FE14B0" w:rsidRPr="00EB40E4" w:rsidRDefault="00FE14B0" w:rsidP="00F817AC">
      <w:pPr>
        <w:pStyle w:val="FootnoteText"/>
        <w:rPr>
          <w:sz w:val="18"/>
          <w:szCs w:val="18"/>
        </w:rPr>
      </w:pPr>
      <w:r w:rsidRPr="00EB40E4">
        <w:rPr>
          <w:rStyle w:val="FootnoteReference"/>
          <w:sz w:val="18"/>
          <w:szCs w:val="18"/>
        </w:rPr>
        <w:footnoteRef/>
      </w:r>
      <w:r w:rsidRPr="00EB40E4">
        <w:rPr>
          <w:sz w:val="18"/>
          <w:szCs w:val="18"/>
        </w:rPr>
        <w:t xml:space="preserve"> Ibid.</w:t>
      </w:r>
    </w:p>
  </w:footnote>
  <w:footnote w:id="251">
    <w:p w14:paraId="7208A102" w14:textId="77777777" w:rsidR="00FE14B0" w:rsidRPr="00BB2693" w:rsidRDefault="00FE14B0" w:rsidP="00F817AC">
      <w:pPr>
        <w:pStyle w:val="FootnoteText"/>
        <w:rPr>
          <w:sz w:val="18"/>
          <w:szCs w:val="18"/>
        </w:rPr>
      </w:pPr>
      <w:r w:rsidRPr="00EB40E4">
        <w:rPr>
          <w:rStyle w:val="FootnoteReference"/>
          <w:sz w:val="18"/>
          <w:szCs w:val="18"/>
        </w:rPr>
        <w:footnoteRef/>
      </w:r>
      <w:r w:rsidRPr="00EB40E4">
        <w:rPr>
          <w:sz w:val="18"/>
          <w:szCs w:val="18"/>
        </w:rPr>
        <w:t xml:space="preserve"> Olde Hartman et al. (2017)</w:t>
      </w:r>
    </w:p>
  </w:footnote>
  <w:footnote w:id="252">
    <w:p w14:paraId="5015B626" w14:textId="77777777" w:rsidR="00FE14B0" w:rsidRPr="00EB40E4" w:rsidRDefault="00FE14B0" w:rsidP="00F817AC">
      <w:pPr>
        <w:pStyle w:val="FootnoteText"/>
        <w:rPr>
          <w:sz w:val="18"/>
          <w:szCs w:val="18"/>
          <w:lang w:val="en-US"/>
        </w:rPr>
      </w:pPr>
      <w:r w:rsidRPr="00EB40E4">
        <w:rPr>
          <w:rStyle w:val="FootnoteReference"/>
          <w:sz w:val="18"/>
          <w:szCs w:val="18"/>
        </w:rPr>
        <w:footnoteRef/>
      </w:r>
      <w:r w:rsidRPr="00EB40E4">
        <w:rPr>
          <w:sz w:val="18"/>
          <w:szCs w:val="18"/>
        </w:rPr>
        <w:t xml:space="preserve"> </w:t>
      </w:r>
      <w:r w:rsidRPr="00EB40E4">
        <w:rPr>
          <w:sz w:val="18"/>
          <w:szCs w:val="18"/>
          <w:lang w:val="en-US"/>
        </w:rPr>
        <w:t xml:space="preserve">Royal College of Psychiatrists (RCPSYCH) (2017) </w:t>
      </w:r>
    </w:p>
  </w:footnote>
  <w:footnote w:id="253">
    <w:p w14:paraId="6BF9A359" w14:textId="77777777" w:rsidR="00FE14B0" w:rsidRPr="00EB40E4" w:rsidRDefault="00FE14B0" w:rsidP="00F817AC">
      <w:pPr>
        <w:pStyle w:val="FootnoteText"/>
        <w:rPr>
          <w:sz w:val="18"/>
          <w:szCs w:val="18"/>
        </w:rPr>
      </w:pPr>
      <w:r w:rsidRPr="00EB40E4">
        <w:rPr>
          <w:rStyle w:val="FootnoteReference"/>
          <w:sz w:val="18"/>
          <w:szCs w:val="18"/>
        </w:rPr>
        <w:footnoteRef/>
      </w:r>
      <w:r w:rsidRPr="00EB40E4">
        <w:rPr>
          <w:sz w:val="18"/>
          <w:szCs w:val="18"/>
        </w:rPr>
        <w:t xml:space="preserve"> Brown (2018)</w:t>
      </w:r>
    </w:p>
  </w:footnote>
  <w:footnote w:id="254">
    <w:p w14:paraId="62FC7B7A" w14:textId="77777777" w:rsidR="00FE14B0" w:rsidRDefault="00FE14B0" w:rsidP="00F817AC">
      <w:pPr>
        <w:pStyle w:val="FootnoteText"/>
      </w:pPr>
      <w:r w:rsidRPr="00EB40E4">
        <w:rPr>
          <w:rStyle w:val="FootnoteReference"/>
          <w:sz w:val="18"/>
          <w:szCs w:val="18"/>
        </w:rPr>
        <w:footnoteRef/>
      </w:r>
      <w:r w:rsidRPr="00EB40E4">
        <w:rPr>
          <w:sz w:val="18"/>
          <w:szCs w:val="18"/>
        </w:rPr>
        <w:t xml:space="preserve"> Stone (2015)</w:t>
      </w:r>
    </w:p>
  </w:footnote>
  <w:footnote w:id="255">
    <w:p w14:paraId="0B19D1C3" w14:textId="77777777" w:rsidR="00FE14B0" w:rsidRPr="00EB40E4" w:rsidRDefault="00FE14B0" w:rsidP="00F817AC">
      <w:pPr>
        <w:pStyle w:val="FootnoteText"/>
        <w:rPr>
          <w:sz w:val="18"/>
          <w:szCs w:val="18"/>
          <w:lang w:val="en-US"/>
        </w:rPr>
      </w:pPr>
      <w:r w:rsidRPr="00EB40E4">
        <w:rPr>
          <w:rStyle w:val="FootnoteReference"/>
          <w:sz w:val="18"/>
          <w:szCs w:val="18"/>
        </w:rPr>
        <w:footnoteRef/>
      </w:r>
      <w:r w:rsidRPr="00EB40E4">
        <w:rPr>
          <w:sz w:val="18"/>
          <w:szCs w:val="18"/>
        </w:rPr>
        <w:t xml:space="preserve"> NPS MedicineWise (2019)</w:t>
      </w:r>
    </w:p>
  </w:footnote>
  <w:footnote w:id="256">
    <w:p w14:paraId="7890E287" w14:textId="77777777" w:rsidR="00FE14B0" w:rsidRPr="00EB40E4" w:rsidRDefault="00FE14B0" w:rsidP="00F817AC">
      <w:pPr>
        <w:pStyle w:val="FootnoteText"/>
        <w:rPr>
          <w:sz w:val="18"/>
          <w:szCs w:val="18"/>
        </w:rPr>
      </w:pPr>
      <w:r w:rsidRPr="00EB40E4">
        <w:rPr>
          <w:rStyle w:val="FootnoteReference"/>
          <w:sz w:val="18"/>
          <w:szCs w:val="18"/>
        </w:rPr>
        <w:footnoteRef/>
      </w:r>
      <w:r w:rsidRPr="00EB40E4">
        <w:rPr>
          <w:sz w:val="18"/>
          <w:szCs w:val="18"/>
        </w:rPr>
        <w:t xml:space="preserve"> Senate Community Affairs References Committee (2016a)</w:t>
      </w:r>
    </w:p>
  </w:footnote>
  <w:footnote w:id="257">
    <w:p w14:paraId="694F5A30" w14:textId="77777777" w:rsidR="00FE14B0" w:rsidRPr="00EB40E4" w:rsidRDefault="00FE14B0" w:rsidP="00F817AC">
      <w:pPr>
        <w:pStyle w:val="FootnoteText"/>
        <w:rPr>
          <w:sz w:val="18"/>
          <w:szCs w:val="18"/>
          <w:lang w:val="en-US"/>
        </w:rPr>
      </w:pPr>
      <w:r w:rsidRPr="00EB40E4">
        <w:rPr>
          <w:rStyle w:val="FootnoteReference"/>
          <w:sz w:val="18"/>
          <w:szCs w:val="18"/>
        </w:rPr>
        <w:footnoteRef/>
      </w:r>
      <w:r w:rsidRPr="00EB40E4">
        <w:rPr>
          <w:sz w:val="18"/>
          <w:szCs w:val="18"/>
        </w:rPr>
        <w:t xml:space="preserve"> </w:t>
      </w:r>
      <w:r w:rsidRPr="00EB40E4">
        <w:rPr>
          <w:sz w:val="18"/>
          <w:szCs w:val="18"/>
          <w:lang w:val="en-US"/>
        </w:rPr>
        <w:t>National Health and Medical Research Council (NHMRC) (2014)</w:t>
      </w:r>
    </w:p>
  </w:footnote>
  <w:footnote w:id="258">
    <w:p w14:paraId="2443DB1A" w14:textId="77777777" w:rsidR="00FE14B0" w:rsidRPr="004D3350" w:rsidRDefault="00FE14B0" w:rsidP="00F817AC">
      <w:pPr>
        <w:pStyle w:val="NormalWeb"/>
        <w:spacing w:before="0" w:beforeAutospacing="0" w:after="0" w:afterAutospacing="0"/>
        <w:rPr>
          <w:rFonts w:ascii="Cambria" w:hAnsi="Cambria"/>
          <w:sz w:val="18"/>
          <w:szCs w:val="18"/>
        </w:rPr>
      </w:pPr>
      <w:r w:rsidRPr="004D3350">
        <w:rPr>
          <w:rStyle w:val="FootnoteReference"/>
          <w:rFonts w:ascii="Cambria" w:hAnsi="Cambria"/>
          <w:sz w:val="18"/>
          <w:szCs w:val="18"/>
        </w:rPr>
        <w:footnoteRef/>
      </w:r>
      <w:r w:rsidRPr="004D3350">
        <w:rPr>
          <w:rFonts w:ascii="Cambria" w:hAnsi="Cambria"/>
          <w:sz w:val="18"/>
          <w:szCs w:val="18"/>
        </w:rPr>
        <w:t xml:space="preserve"> Williamson et al. (2008)</w:t>
      </w:r>
    </w:p>
  </w:footnote>
  <w:footnote w:id="259">
    <w:p w14:paraId="5A392AFE" w14:textId="77777777" w:rsidR="00FE14B0" w:rsidRPr="004D3350" w:rsidRDefault="00FE14B0" w:rsidP="00F817AC">
      <w:pPr>
        <w:pStyle w:val="NormalWeb"/>
        <w:spacing w:before="0" w:beforeAutospacing="0" w:after="0" w:afterAutospacing="0"/>
        <w:rPr>
          <w:rFonts w:ascii="Cambria" w:hAnsi="Cambria"/>
          <w:sz w:val="18"/>
          <w:szCs w:val="18"/>
        </w:rPr>
      </w:pPr>
      <w:r w:rsidRPr="004D3350">
        <w:rPr>
          <w:rStyle w:val="FootnoteReference"/>
          <w:rFonts w:ascii="Cambria" w:hAnsi="Cambria"/>
          <w:sz w:val="18"/>
          <w:szCs w:val="18"/>
        </w:rPr>
        <w:footnoteRef/>
      </w:r>
      <w:r w:rsidRPr="004D3350">
        <w:rPr>
          <w:rFonts w:ascii="Cambria" w:hAnsi="Cambria"/>
          <w:sz w:val="18"/>
          <w:szCs w:val="18"/>
        </w:rPr>
        <w:t xml:space="preserve"> Xue et al. (2007) </w:t>
      </w:r>
    </w:p>
  </w:footnote>
  <w:footnote w:id="260">
    <w:p w14:paraId="5E33351A" w14:textId="77777777" w:rsidR="00FE14B0" w:rsidRPr="00EB40E4" w:rsidRDefault="00FE14B0" w:rsidP="00F817AC">
      <w:pPr>
        <w:pStyle w:val="FootnoteText"/>
        <w:rPr>
          <w:sz w:val="18"/>
          <w:szCs w:val="18"/>
          <w:lang w:val="en-US"/>
        </w:rPr>
      </w:pPr>
      <w:r w:rsidRPr="00EB40E4">
        <w:rPr>
          <w:rStyle w:val="FootnoteReference"/>
          <w:sz w:val="18"/>
          <w:szCs w:val="18"/>
        </w:rPr>
        <w:footnoteRef/>
      </w:r>
      <w:r w:rsidRPr="00EB40E4">
        <w:rPr>
          <w:sz w:val="18"/>
          <w:szCs w:val="18"/>
        </w:rPr>
        <w:t xml:space="preserve"> Royal Australian College of General Practitioners (RACGP) (2016)</w:t>
      </w:r>
    </w:p>
  </w:footnote>
  <w:footnote w:id="261">
    <w:p w14:paraId="6D8916AF" w14:textId="77777777" w:rsidR="00FE14B0" w:rsidRPr="00F817AC" w:rsidRDefault="00FE14B0">
      <w:pPr>
        <w:pStyle w:val="FootnoteText"/>
        <w:rPr>
          <w:sz w:val="18"/>
          <w:szCs w:val="18"/>
          <w:lang w:val="en-US"/>
        </w:rPr>
      </w:pPr>
      <w:r w:rsidRPr="00EB40E4">
        <w:rPr>
          <w:rStyle w:val="FootnoteReference"/>
          <w:sz w:val="18"/>
          <w:szCs w:val="18"/>
        </w:rPr>
        <w:footnoteRef/>
      </w:r>
      <w:r w:rsidRPr="00EB40E4">
        <w:rPr>
          <w:sz w:val="18"/>
          <w:szCs w:val="18"/>
        </w:rPr>
        <w:t xml:space="preserve"> </w:t>
      </w:r>
      <w:r w:rsidRPr="00EB40E4">
        <w:rPr>
          <w:sz w:val="18"/>
          <w:szCs w:val="18"/>
          <w:lang w:val="en-US"/>
        </w:rPr>
        <w:t>NHMRC (2014)</w:t>
      </w:r>
    </w:p>
  </w:footnote>
  <w:footnote w:id="262">
    <w:p w14:paraId="3F383B86" w14:textId="77777777" w:rsidR="00FE14B0" w:rsidRPr="00EB40E4" w:rsidRDefault="00FE14B0" w:rsidP="00F817AC">
      <w:pPr>
        <w:pStyle w:val="FootnoteText"/>
        <w:rPr>
          <w:sz w:val="18"/>
          <w:szCs w:val="18"/>
          <w:lang w:val="en-US"/>
        </w:rPr>
      </w:pPr>
      <w:r w:rsidRPr="00EB40E4">
        <w:rPr>
          <w:rStyle w:val="FootnoteReference"/>
          <w:sz w:val="18"/>
          <w:szCs w:val="18"/>
        </w:rPr>
        <w:footnoteRef/>
      </w:r>
      <w:r w:rsidRPr="00EB40E4">
        <w:rPr>
          <w:sz w:val="18"/>
          <w:szCs w:val="18"/>
        </w:rPr>
        <w:t xml:space="preserve"> </w:t>
      </w:r>
      <w:r w:rsidRPr="00EB40E4">
        <w:rPr>
          <w:rStyle w:val="Hyperlink"/>
          <w:color w:val="auto"/>
          <w:sz w:val="18"/>
          <w:szCs w:val="18"/>
          <w:u w:val="none"/>
          <w:lang w:val="en-AU"/>
        </w:rPr>
        <w:t>Cancer Council Australia (2015)</w:t>
      </w:r>
    </w:p>
  </w:footnote>
  <w:footnote w:id="263">
    <w:p w14:paraId="6B505892" w14:textId="77777777" w:rsidR="00FE14B0" w:rsidRPr="00EB40E4" w:rsidRDefault="00FE14B0" w:rsidP="00F817AC">
      <w:pPr>
        <w:pStyle w:val="FootnoteText"/>
        <w:rPr>
          <w:sz w:val="18"/>
          <w:szCs w:val="18"/>
          <w:lang w:val="en-US"/>
        </w:rPr>
      </w:pPr>
      <w:r w:rsidRPr="00EB40E4">
        <w:rPr>
          <w:rStyle w:val="FootnoteReference"/>
          <w:sz w:val="18"/>
          <w:szCs w:val="18"/>
        </w:rPr>
        <w:footnoteRef/>
      </w:r>
      <w:r w:rsidRPr="00EB40E4">
        <w:rPr>
          <w:sz w:val="18"/>
          <w:szCs w:val="18"/>
        </w:rPr>
        <w:t xml:space="preserve"> </w:t>
      </w:r>
      <w:r w:rsidRPr="00EB40E4">
        <w:rPr>
          <w:sz w:val="18"/>
          <w:szCs w:val="18"/>
          <w:lang w:val="en-US"/>
        </w:rPr>
        <w:t>Stone (2015)</w:t>
      </w:r>
    </w:p>
  </w:footnote>
  <w:footnote w:id="264">
    <w:p w14:paraId="0462D187" w14:textId="77777777" w:rsidR="00FE14B0" w:rsidRPr="00BD331B" w:rsidRDefault="00FE14B0" w:rsidP="00F817AC">
      <w:pPr>
        <w:pStyle w:val="FootnoteText"/>
        <w:rPr>
          <w:sz w:val="18"/>
          <w:szCs w:val="18"/>
          <w:lang w:val="en-US"/>
        </w:rPr>
      </w:pPr>
      <w:r w:rsidRPr="00EB40E4">
        <w:rPr>
          <w:rStyle w:val="FootnoteReference"/>
          <w:sz w:val="18"/>
          <w:szCs w:val="18"/>
        </w:rPr>
        <w:footnoteRef/>
      </w:r>
      <w:r w:rsidRPr="00EB40E4">
        <w:rPr>
          <w:sz w:val="18"/>
          <w:szCs w:val="18"/>
        </w:rPr>
        <w:t xml:space="preserve"> </w:t>
      </w:r>
      <w:r w:rsidRPr="00EB40E4">
        <w:rPr>
          <w:sz w:val="18"/>
          <w:szCs w:val="18"/>
          <w:lang w:val="en-US"/>
        </w:rPr>
        <w:t>General Practice Mental Health Standards Collaboration (GPMHSC) (2019)</w:t>
      </w:r>
    </w:p>
  </w:footnote>
  <w:footnote w:id="265">
    <w:p w14:paraId="5E0CDE84" w14:textId="77777777" w:rsidR="00FE14B0" w:rsidRPr="00EB40E4" w:rsidRDefault="00FE14B0" w:rsidP="00F817AC">
      <w:pPr>
        <w:pStyle w:val="FootnoteText"/>
        <w:rPr>
          <w:sz w:val="18"/>
          <w:szCs w:val="18"/>
        </w:rPr>
      </w:pPr>
      <w:r w:rsidRPr="00EB40E4">
        <w:rPr>
          <w:rStyle w:val="FootnoteReference"/>
          <w:sz w:val="18"/>
          <w:szCs w:val="18"/>
        </w:rPr>
        <w:footnoteRef/>
      </w:r>
      <w:r w:rsidRPr="00EB40E4">
        <w:rPr>
          <w:sz w:val="18"/>
          <w:szCs w:val="18"/>
        </w:rPr>
        <w:t xml:space="preserve"> US Department of Veterans Affairs (2009) </w:t>
      </w:r>
    </w:p>
  </w:footnote>
  <w:footnote w:id="266">
    <w:p w14:paraId="2EC149D1" w14:textId="77777777" w:rsidR="00FE14B0" w:rsidRPr="00EB40E4" w:rsidRDefault="00FE14B0" w:rsidP="00F817AC">
      <w:pPr>
        <w:pStyle w:val="FootnoteText"/>
        <w:rPr>
          <w:sz w:val="18"/>
          <w:szCs w:val="18"/>
          <w:lang w:val="en-US"/>
        </w:rPr>
      </w:pPr>
      <w:r w:rsidRPr="00EB40E4">
        <w:rPr>
          <w:rStyle w:val="FootnoteReference"/>
          <w:sz w:val="18"/>
          <w:szCs w:val="18"/>
        </w:rPr>
        <w:footnoteRef/>
      </w:r>
      <w:r w:rsidRPr="00EB40E4">
        <w:rPr>
          <w:sz w:val="18"/>
          <w:szCs w:val="18"/>
        </w:rPr>
        <w:t xml:space="preserve"> </w:t>
      </w:r>
      <w:r w:rsidRPr="00EB40E4">
        <w:rPr>
          <w:sz w:val="18"/>
          <w:szCs w:val="18"/>
          <w:lang w:val="en-US"/>
        </w:rPr>
        <w:t>Department of Health (2019)</w:t>
      </w:r>
    </w:p>
  </w:footnote>
  <w:footnote w:id="267">
    <w:p w14:paraId="4839A4ED" w14:textId="77777777" w:rsidR="00FE14B0" w:rsidRPr="00EB40E4" w:rsidRDefault="00FE14B0" w:rsidP="00F817AC">
      <w:pPr>
        <w:pStyle w:val="FootnoteText"/>
        <w:rPr>
          <w:sz w:val="18"/>
          <w:szCs w:val="18"/>
          <w:lang w:val="en-US"/>
        </w:rPr>
      </w:pPr>
      <w:r w:rsidRPr="00EB40E4">
        <w:rPr>
          <w:rStyle w:val="FootnoteReference"/>
          <w:sz w:val="18"/>
          <w:szCs w:val="18"/>
        </w:rPr>
        <w:footnoteRef/>
      </w:r>
      <w:r w:rsidRPr="00EB40E4">
        <w:rPr>
          <w:sz w:val="18"/>
          <w:szCs w:val="18"/>
          <w:lang w:val="en-US"/>
        </w:rPr>
        <w:t xml:space="preserve"> Butow et al. (2015)</w:t>
      </w:r>
    </w:p>
  </w:footnote>
  <w:footnote w:id="268">
    <w:p w14:paraId="6678F54E" w14:textId="77777777" w:rsidR="00FE14B0" w:rsidRPr="00EB40E4" w:rsidRDefault="00FE14B0" w:rsidP="00F817AC">
      <w:pPr>
        <w:pStyle w:val="FootnoteText"/>
        <w:rPr>
          <w:sz w:val="18"/>
          <w:szCs w:val="18"/>
          <w:lang w:val="en-US"/>
        </w:rPr>
      </w:pPr>
      <w:r w:rsidRPr="00EB40E4">
        <w:rPr>
          <w:rStyle w:val="FootnoteReference"/>
          <w:sz w:val="18"/>
          <w:szCs w:val="18"/>
        </w:rPr>
        <w:footnoteRef/>
      </w:r>
      <w:r w:rsidRPr="00EB40E4">
        <w:rPr>
          <w:sz w:val="18"/>
          <w:szCs w:val="18"/>
        </w:rPr>
        <w:t xml:space="preserve"> </w:t>
      </w:r>
      <w:r w:rsidRPr="00EB40E4">
        <w:rPr>
          <w:sz w:val="18"/>
          <w:szCs w:val="18"/>
          <w:lang w:val="en-US"/>
        </w:rPr>
        <w:t>GPMHSC (2019)</w:t>
      </w:r>
    </w:p>
  </w:footnote>
  <w:footnote w:id="269">
    <w:p w14:paraId="4967B00A" w14:textId="77777777" w:rsidR="00FE14B0" w:rsidRPr="008D274F" w:rsidRDefault="00FE14B0" w:rsidP="00F817AC">
      <w:pPr>
        <w:pStyle w:val="FootnoteText"/>
        <w:rPr>
          <w:sz w:val="18"/>
          <w:szCs w:val="18"/>
          <w:lang w:val="en-US"/>
        </w:rPr>
      </w:pPr>
      <w:r w:rsidRPr="00EB40E4">
        <w:rPr>
          <w:rStyle w:val="FootnoteReference"/>
          <w:sz w:val="18"/>
          <w:szCs w:val="18"/>
        </w:rPr>
        <w:footnoteRef/>
      </w:r>
      <w:r w:rsidRPr="00EB40E4">
        <w:rPr>
          <w:sz w:val="18"/>
          <w:szCs w:val="18"/>
          <w:lang w:val="en-US"/>
        </w:rPr>
        <w:t xml:space="preserve"> Ibid.</w:t>
      </w:r>
    </w:p>
  </w:footnote>
  <w:footnote w:id="270">
    <w:p w14:paraId="29D94F65" w14:textId="77777777" w:rsidR="00FE14B0" w:rsidRPr="00EB40E4" w:rsidRDefault="00FE14B0" w:rsidP="00F817AC">
      <w:pPr>
        <w:pStyle w:val="FootnoteText"/>
        <w:rPr>
          <w:sz w:val="18"/>
          <w:szCs w:val="18"/>
          <w:lang w:val="en-US"/>
        </w:rPr>
      </w:pPr>
      <w:r w:rsidRPr="00EB40E4">
        <w:rPr>
          <w:rStyle w:val="FootnoteReference"/>
          <w:sz w:val="18"/>
          <w:szCs w:val="18"/>
        </w:rPr>
        <w:footnoteRef/>
      </w:r>
      <w:r w:rsidRPr="00EB40E4">
        <w:rPr>
          <w:sz w:val="18"/>
          <w:szCs w:val="18"/>
          <w:lang w:val="en-US"/>
        </w:rPr>
        <w:t xml:space="preserve"> Olde Hartman et al. (2013)</w:t>
      </w:r>
    </w:p>
  </w:footnote>
  <w:footnote w:id="271">
    <w:p w14:paraId="10C78E6A" w14:textId="77777777" w:rsidR="00FE14B0" w:rsidRPr="008D274F" w:rsidRDefault="00FE14B0" w:rsidP="00F817AC">
      <w:pPr>
        <w:pStyle w:val="FootnoteText"/>
        <w:rPr>
          <w:sz w:val="18"/>
          <w:szCs w:val="18"/>
          <w:lang w:val="en-US"/>
        </w:rPr>
      </w:pPr>
      <w:r w:rsidRPr="00EB40E4">
        <w:rPr>
          <w:rStyle w:val="FootnoteReference"/>
          <w:sz w:val="18"/>
          <w:szCs w:val="18"/>
        </w:rPr>
        <w:footnoteRef/>
      </w:r>
      <w:r w:rsidRPr="00EB40E4">
        <w:rPr>
          <w:sz w:val="18"/>
          <w:szCs w:val="18"/>
        </w:rPr>
        <w:t xml:space="preserve"> </w:t>
      </w:r>
      <w:r w:rsidRPr="00EB40E4">
        <w:rPr>
          <w:sz w:val="18"/>
          <w:szCs w:val="18"/>
          <w:lang w:val="en-US"/>
        </w:rPr>
        <w:t>Ibid.</w:t>
      </w:r>
    </w:p>
  </w:footnote>
  <w:footnote w:id="272">
    <w:p w14:paraId="52AF3F3D" w14:textId="77777777" w:rsidR="00FE14B0" w:rsidRPr="00EB40E4" w:rsidRDefault="00FE14B0" w:rsidP="00F817AC">
      <w:pPr>
        <w:pStyle w:val="FootnoteText"/>
        <w:rPr>
          <w:sz w:val="18"/>
          <w:szCs w:val="18"/>
        </w:rPr>
      </w:pPr>
      <w:r w:rsidRPr="00EB40E4">
        <w:rPr>
          <w:rStyle w:val="FootnoteReference"/>
          <w:sz w:val="18"/>
          <w:szCs w:val="18"/>
        </w:rPr>
        <w:footnoteRef/>
      </w:r>
      <w:r w:rsidRPr="00EB40E4">
        <w:rPr>
          <w:sz w:val="18"/>
          <w:szCs w:val="18"/>
        </w:rPr>
        <w:t xml:space="preserve"> Centers for Disease Control and Prevention (2019)</w:t>
      </w:r>
    </w:p>
  </w:footnote>
  <w:footnote w:id="273">
    <w:p w14:paraId="2819F2FC" w14:textId="77777777" w:rsidR="00FE14B0" w:rsidRPr="00EB40E4" w:rsidRDefault="00FE14B0" w:rsidP="00F817AC">
      <w:pPr>
        <w:pStyle w:val="FootnoteText"/>
        <w:rPr>
          <w:sz w:val="18"/>
          <w:szCs w:val="18"/>
        </w:rPr>
      </w:pPr>
      <w:r w:rsidRPr="00EB40E4">
        <w:rPr>
          <w:rStyle w:val="FootnoteReference"/>
          <w:sz w:val="18"/>
          <w:szCs w:val="18"/>
        </w:rPr>
        <w:footnoteRef/>
      </w:r>
      <w:r w:rsidRPr="00EB40E4">
        <w:rPr>
          <w:sz w:val="18"/>
          <w:szCs w:val="18"/>
        </w:rPr>
        <w:t xml:space="preserve"> Borchers et al. (2015)</w:t>
      </w:r>
    </w:p>
  </w:footnote>
  <w:footnote w:id="274">
    <w:p w14:paraId="068B6FA3" w14:textId="77777777" w:rsidR="00FE14B0" w:rsidRPr="00EB40E4" w:rsidRDefault="00FE14B0" w:rsidP="00F817AC">
      <w:pPr>
        <w:pStyle w:val="FootnoteText"/>
        <w:rPr>
          <w:sz w:val="18"/>
          <w:szCs w:val="18"/>
        </w:rPr>
      </w:pPr>
      <w:r w:rsidRPr="00EB40E4">
        <w:rPr>
          <w:rStyle w:val="FootnoteReference"/>
          <w:sz w:val="18"/>
          <w:szCs w:val="18"/>
        </w:rPr>
        <w:footnoteRef/>
      </w:r>
      <w:r w:rsidRPr="00EB40E4">
        <w:rPr>
          <w:sz w:val="18"/>
          <w:szCs w:val="18"/>
        </w:rPr>
        <w:t xml:space="preserve">  Berende et al (2016)</w:t>
      </w:r>
    </w:p>
  </w:footnote>
  <w:footnote w:id="275">
    <w:p w14:paraId="2E467BA2" w14:textId="77777777" w:rsidR="00FE14B0" w:rsidRPr="00EB40E4" w:rsidRDefault="00FE14B0" w:rsidP="00F817AC">
      <w:pPr>
        <w:pStyle w:val="FootnoteText"/>
        <w:rPr>
          <w:sz w:val="18"/>
          <w:szCs w:val="18"/>
        </w:rPr>
      </w:pPr>
      <w:r w:rsidRPr="00EB40E4">
        <w:rPr>
          <w:rStyle w:val="FootnoteReference"/>
          <w:sz w:val="18"/>
          <w:szCs w:val="18"/>
        </w:rPr>
        <w:footnoteRef/>
      </w:r>
      <w:r w:rsidRPr="00EB40E4">
        <w:rPr>
          <w:sz w:val="18"/>
          <w:szCs w:val="18"/>
        </w:rPr>
        <w:t xml:space="preserve">  Klempner et al. (2013)</w:t>
      </w:r>
    </w:p>
  </w:footnote>
  <w:footnote w:id="276">
    <w:p w14:paraId="6101D143" w14:textId="77777777" w:rsidR="00FE14B0" w:rsidRPr="00EB40E4" w:rsidRDefault="00FE14B0" w:rsidP="00F817AC">
      <w:pPr>
        <w:pStyle w:val="FootnoteText"/>
        <w:rPr>
          <w:sz w:val="18"/>
          <w:szCs w:val="18"/>
        </w:rPr>
      </w:pPr>
      <w:r w:rsidRPr="00EB40E4">
        <w:rPr>
          <w:rStyle w:val="FootnoteReference"/>
          <w:sz w:val="18"/>
          <w:szCs w:val="18"/>
        </w:rPr>
        <w:footnoteRef/>
      </w:r>
      <w:r w:rsidRPr="00EB40E4">
        <w:rPr>
          <w:sz w:val="18"/>
          <w:szCs w:val="18"/>
        </w:rPr>
        <w:t xml:space="preserve"> Auwaerter et al. (2011)</w:t>
      </w:r>
    </w:p>
  </w:footnote>
  <w:footnote w:id="277">
    <w:p w14:paraId="1DC5E842" w14:textId="77777777" w:rsidR="00FE14B0" w:rsidRPr="00EB40E4" w:rsidRDefault="00FE14B0" w:rsidP="00F817AC">
      <w:pPr>
        <w:pStyle w:val="FootnoteText"/>
        <w:rPr>
          <w:sz w:val="18"/>
          <w:szCs w:val="18"/>
        </w:rPr>
      </w:pPr>
      <w:r w:rsidRPr="00EB40E4">
        <w:rPr>
          <w:rStyle w:val="FootnoteReference"/>
          <w:sz w:val="18"/>
          <w:szCs w:val="18"/>
        </w:rPr>
        <w:footnoteRef/>
      </w:r>
      <w:r w:rsidRPr="00EB40E4">
        <w:rPr>
          <w:sz w:val="18"/>
          <w:szCs w:val="18"/>
        </w:rPr>
        <w:t xml:space="preserve"> NICE (2018a)</w:t>
      </w:r>
    </w:p>
  </w:footnote>
  <w:footnote w:id="278">
    <w:p w14:paraId="4C6BFB8D" w14:textId="77777777" w:rsidR="00FE14B0" w:rsidRPr="00EB40E4" w:rsidRDefault="00FE14B0" w:rsidP="00F817AC">
      <w:pPr>
        <w:pStyle w:val="FootnoteText"/>
        <w:rPr>
          <w:sz w:val="18"/>
          <w:szCs w:val="18"/>
        </w:rPr>
      </w:pPr>
      <w:r w:rsidRPr="00EB40E4">
        <w:rPr>
          <w:rStyle w:val="FootnoteReference"/>
          <w:sz w:val="18"/>
          <w:szCs w:val="18"/>
        </w:rPr>
        <w:footnoteRef/>
      </w:r>
      <w:r w:rsidRPr="00EB40E4">
        <w:rPr>
          <w:sz w:val="18"/>
          <w:szCs w:val="18"/>
        </w:rPr>
        <w:t xml:space="preserve"> NICE (2018i)</w:t>
      </w:r>
    </w:p>
  </w:footnote>
  <w:footnote w:id="279">
    <w:p w14:paraId="659E2650" w14:textId="77777777" w:rsidR="00FE14B0" w:rsidRPr="00EB40E4" w:rsidRDefault="00FE14B0" w:rsidP="00F817AC">
      <w:pPr>
        <w:pStyle w:val="FootnoteText"/>
        <w:rPr>
          <w:sz w:val="18"/>
          <w:szCs w:val="18"/>
        </w:rPr>
      </w:pPr>
      <w:r w:rsidRPr="00EB40E4">
        <w:rPr>
          <w:rStyle w:val="FootnoteReference"/>
          <w:sz w:val="18"/>
          <w:szCs w:val="18"/>
        </w:rPr>
        <w:footnoteRef/>
      </w:r>
      <w:r w:rsidRPr="00EB40E4">
        <w:rPr>
          <w:sz w:val="18"/>
          <w:szCs w:val="18"/>
        </w:rPr>
        <w:t xml:space="preserve"> Lantos et al. (2019)</w:t>
      </w:r>
    </w:p>
  </w:footnote>
  <w:footnote w:id="280">
    <w:p w14:paraId="7F30BFF2" w14:textId="77777777" w:rsidR="00FE14B0" w:rsidRPr="00EB40E4" w:rsidRDefault="00FE14B0" w:rsidP="00F817AC">
      <w:pPr>
        <w:pStyle w:val="FootnoteText"/>
        <w:rPr>
          <w:sz w:val="18"/>
          <w:szCs w:val="18"/>
        </w:rPr>
      </w:pPr>
      <w:r w:rsidRPr="00EB40E4">
        <w:rPr>
          <w:rStyle w:val="FootnoteReference"/>
          <w:sz w:val="18"/>
          <w:szCs w:val="18"/>
        </w:rPr>
        <w:footnoteRef/>
      </w:r>
      <w:r w:rsidRPr="00EB40E4">
        <w:rPr>
          <w:sz w:val="18"/>
          <w:szCs w:val="18"/>
        </w:rPr>
        <w:t xml:space="preserve"> Marzec et al. (2017) </w:t>
      </w:r>
    </w:p>
  </w:footnote>
  <w:footnote w:id="281">
    <w:p w14:paraId="0C40B4E8" w14:textId="77777777" w:rsidR="00FE14B0" w:rsidRPr="00EB40E4" w:rsidRDefault="00FE14B0" w:rsidP="00F817AC">
      <w:pPr>
        <w:pStyle w:val="FootnoteText"/>
        <w:rPr>
          <w:sz w:val="18"/>
          <w:szCs w:val="18"/>
        </w:rPr>
      </w:pPr>
      <w:r w:rsidRPr="00EB40E4">
        <w:rPr>
          <w:rStyle w:val="FootnoteReference"/>
          <w:sz w:val="18"/>
          <w:szCs w:val="18"/>
        </w:rPr>
        <w:footnoteRef/>
      </w:r>
      <w:r w:rsidRPr="00EB40E4">
        <w:rPr>
          <w:sz w:val="18"/>
          <w:szCs w:val="18"/>
        </w:rPr>
        <w:t xml:space="preserve"> Therapeutic Guidelines (2019)</w:t>
      </w:r>
    </w:p>
  </w:footnote>
  <w:footnote w:id="282">
    <w:p w14:paraId="2968E3DA" w14:textId="77777777" w:rsidR="00FE14B0" w:rsidRPr="00EB40E4" w:rsidRDefault="00FE14B0" w:rsidP="00F817AC">
      <w:pPr>
        <w:pStyle w:val="FootnoteText"/>
        <w:rPr>
          <w:sz w:val="18"/>
          <w:szCs w:val="18"/>
        </w:rPr>
      </w:pPr>
      <w:r w:rsidRPr="00EB40E4">
        <w:rPr>
          <w:rStyle w:val="FootnoteReference"/>
          <w:sz w:val="18"/>
          <w:szCs w:val="18"/>
        </w:rPr>
        <w:footnoteRef/>
      </w:r>
      <w:r w:rsidRPr="00EB40E4">
        <w:rPr>
          <w:sz w:val="18"/>
          <w:szCs w:val="18"/>
        </w:rPr>
        <w:t xml:space="preserve"> NICE (2018a)</w:t>
      </w:r>
    </w:p>
  </w:footnote>
  <w:footnote w:id="283">
    <w:p w14:paraId="37F9E52F" w14:textId="77777777" w:rsidR="00FE14B0" w:rsidRPr="00EB40E4" w:rsidRDefault="00FE14B0" w:rsidP="00F817AC">
      <w:pPr>
        <w:pStyle w:val="FootnoteText"/>
        <w:rPr>
          <w:sz w:val="18"/>
          <w:szCs w:val="18"/>
        </w:rPr>
      </w:pPr>
      <w:r w:rsidRPr="00EB40E4">
        <w:rPr>
          <w:rStyle w:val="FootnoteReference"/>
          <w:sz w:val="18"/>
          <w:szCs w:val="18"/>
        </w:rPr>
        <w:footnoteRef/>
      </w:r>
      <w:r w:rsidRPr="00EB40E4">
        <w:rPr>
          <w:sz w:val="18"/>
          <w:szCs w:val="18"/>
        </w:rPr>
        <w:t xml:space="preserve"> Ibid.</w:t>
      </w:r>
    </w:p>
  </w:footnote>
  <w:footnote w:id="284">
    <w:p w14:paraId="08D9FE64" w14:textId="77777777" w:rsidR="00FE14B0" w:rsidRPr="00EB40E4" w:rsidRDefault="00FE14B0" w:rsidP="00F817AC">
      <w:pPr>
        <w:pStyle w:val="FootnoteText"/>
        <w:rPr>
          <w:sz w:val="18"/>
          <w:szCs w:val="18"/>
        </w:rPr>
      </w:pPr>
      <w:r w:rsidRPr="00EB40E4">
        <w:rPr>
          <w:rStyle w:val="FootnoteReference"/>
          <w:sz w:val="18"/>
          <w:szCs w:val="18"/>
        </w:rPr>
        <w:footnoteRef/>
      </w:r>
      <w:r w:rsidRPr="00EB40E4">
        <w:rPr>
          <w:sz w:val="18"/>
          <w:szCs w:val="18"/>
        </w:rPr>
        <w:t xml:space="preserve"> NICE (2018i)</w:t>
      </w:r>
    </w:p>
  </w:footnote>
  <w:footnote w:id="285">
    <w:p w14:paraId="2E00EC4A" w14:textId="77777777" w:rsidR="00FE14B0" w:rsidRPr="00310EEB" w:rsidRDefault="00FE14B0" w:rsidP="00F817AC">
      <w:pPr>
        <w:pStyle w:val="FootnoteText"/>
        <w:rPr>
          <w:sz w:val="18"/>
          <w:szCs w:val="18"/>
        </w:rPr>
      </w:pPr>
      <w:r w:rsidRPr="00EB40E4">
        <w:rPr>
          <w:rStyle w:val="FootnoteReference"/>
          <w:sz w:val="18"/>
          <w:szCs w:val="18"/>
        </w:rPr>
        <w:footnoteRef/>
      </w:r>
      <w:r w:rsidRPr="00EB40E4">
        <w:rPr>
          <w:sz w:val="18"/>
          <w:szCs w:val="18"/>
        </w:rPr>
        <w:t xml:space="preserve"> Marzec et al. (2017)</w:t>
      </w:r>
    </w:p>
  </w:footnote>
  <w:footnote w:id="286">
    <w:p w14:paraId="7475A1EE" w14:textId="77777777" w:rsidR="00FE14B0" w:rsidRPr="00EB40E4" w:rsidRDefault="00FE14B0" w:rsidP="00F817AC">
      <w:pPr>
        <w:pStyle w:val="FootnoteText"/>
        <w:rPr>
          <w:sz w:val="18"/>
          <w:szCs w:val="18"/>
        </w:rPr>
      </w:pPr>
      <w:r w:rsidRPr="00EB40E4">
        <w:rPr>
          <w:rStyle w:val="FootnoteReference"/>
          <w:sz w:val="18"/>
          <w:szCs w:val="18"/>
        </w:rPr>
        <w:footnoteRef/>
      </w:r>
      <w:r w:rsidRPr="00EB40E4">
        <w:rPr>
          <w:sz w:val="18"/>
          <w:szCs w:val="18"/>
        </w:rPr>
        <w:t xml:space="preserve"> </w:t>
      </w:r>
      <w:r>
        <w:rPr>
          <w:sz w:val="18"/>
          <w:szCs w:val="18"/>
        </w:rPr>
        <w:t>Ibid.</w:t>
      </w:r>
    </w:p>
  </w:footnote>
  <w:footnote w:id="287">
    <w:p w14:paraId="5FD21980" w14:textId="77777777" w:rsidR="00FE14B0" w:rsidRPr="00EB40E4" w:rsidRDefault="00FE14B0" w:rsidP="00F817AC">
      <w:pPr>
        <w:pStyle w:val="FootnoteText"/>
        <w:rPr>
          <w:sz w:val="18"/>
          <w:szCs w:val="18"/>
        </w:rPr>
      </w:pPr>
      <w:r w:rsidRPr="00EB40E4">
        <w:rPr>
          <w:rStyle w:val="FootnoteReference"/>
          <w:sz w:val="18"/>
          <w:szCs w:val="18"/>
        </w:rPr>
        <w:footnoteRef/>
      </w:r>
      <w:r w:rsidRPr="00EB40E4">
        <w:rPr>
          <w:sz w:val="18"/>
          <w:szCs w:val="18"/>
        </w:rPr>
        <w:t xml:space="preserve"> Lantos et al. (2019)</w:t>
      </w:r>
    </w:p>
  </w:footnote>
  <w:footnote w:id="288">
    <w:p w14:paraId="1A292F06" w14:textId="77777777" w:rsidR="00FE14B0" w:rsidRPr="004D3350" w:rsidRDefault="00FE14B0" w:rsidP="00F817AC">
      <w:pPr>
        <w:pStyle w:val="NormalWeb"/>
        <w:spacing w:before="0" w:beforeAutospacing="0" w:after="0" w:afterAutospacing="0"/>
        <w:rPr>
          <w:rFonts w:ascii="Cambria" w:hAnsi="Cambria" w:cs="Cambria"/>
          <w:sz w:val="18"/>
          <w:szCs w:val="18"/>
        </w:rPr>
      </w:pPr>
      <w:r w:rsidRPr="004D3350">
        <w:rPr>
          <w:rStyle w:val="FootnoteReference"/>
          <w:rFonts w:ascii="Cambria" w:hAnsi="Cambria"/>
          <w:sz w:val="18"/>
          <w:szCs w:val="18"/>
        </w:rPr>
        <w:footnoteRef/>
      </w:r>
      <w:r w:rsidRPr="004D3350">
        <w:rPr>
          <w:rFonts w:ascii="Cambria" w:hAnsi="Cambria"/>
          <w:sz w:val="18"/>
          <w:szCs w:val="18"/>
        </w:rPr>
        <w:t xml:space="preserve"> Klempner et al. (2001)</w:t>
      </w:r>
    </w:p>
  </w:footnote>
  <w:footnote w:id="289">
    <w:p w14:paraId="38FDC5C2" w14:textId="77777777" w:rsidR="00FE14B0" w:rsidRPr="00EB40E4" w:rsidRDefault="00FE14B0" w:rsidP="00F817AC">
      <w:pPr>
        <w:pStyle w:val="FootnoteText"/>
        <w:rPr>
          <w:sz w:val="18"/>
          <w:szCs w:val="18"/>
        </w:rPr>
      </w:pPr>
      <w:r w:rsidRPr="00EB40E4">
        <w:rPr>
          <w:rStyle w:val="FootnoteReference"/>
          <w:sz w:val="18"/>
          <w:szCs w:val="18"/>
        </w:rPr>
        <w:footnoteRef/>
      </w:r>
      <w:r w:rsidRPr="00EB40E4">
        <w:rPr>
          <w:sz w:val="18"/>
          <w:szCs w:val="18"/>
        </w:rPr>
        <w:t xml:space="preserve"> Kaplan et al. (2003)</w:t>
      </w:r>
    </w:p>
  </w:footnote>
  <w:footnote w:id="290">
    <w:p w14:paraId="7A986F60" w14:textId="77777777" w:rsidR="00FE14B0" w:rsidRPr="00EB40E4" w:rsidRDefault="00FE14B0" w:rsidP="00F817AC">
      <w:pPr>
        <w:pStyle w:val="FootnoteText"/>
        <w:rPr>
          <w:sz w:val="18"/>
          <w:szCs w:val="18"/>
        </w:rPr>
      </w:pPr>
      <w:r w:rsidRPr="00EB40E4">
        <w:rPr>
          <w:rStyle w:val="FootnoteReference"/>
          <w:sz w:val="18"/>
          <w:szCs w:val="18"/>
        </w:rPr>
        <w:footnoteRef/>
      </w:r>
      <w:r w:rsidRPr="00EB40E4">
        <w:rPr>
          <w:sz w:val="18"/>
          <w:szCs w:val="18"/>
        </w:rPr>
        <w:t xml:space="preserve"> Krupp et al. (2003)</w:t>
      </w:r>
    </w:p>
  </w:footnote>
  <w:footnote w:id="291">
    <w:p w14:paraId="44F5B627" w14:textId="77777777" w:rsidR="00FE14B0" w:rsidRPr="00EB40E4" w:rsidRDefault="00FE14B0" w:rsidP="00F817AC">
      <w:pPr>
        <w:pStyle w:val="FootnoteText"/>
        <w:rPr>
          <w:sz w:val="18"/>
          <w:szCs w:val="18"/>
        </w:rPr>
      </w:pPr>
      <w:r w:rsidRPr="00EB40E4">
        <w:rPr>
          <w:rStyle w:val="FootnoteReference"/>
          <w:sz w:val="18"/>
          <w:szCs w:val="18"/>
        </w:rPr>
        <w:footnoteRef/>
      </w:r>
      <w:r w:rsidRPr="00EB40E4">
        <w:rPr>
          <w:sz w:val="18"/>
          <w:szCs w:val="18"/>
        </w:rPr>
        <w:t xml:space="preserve"> Klempner et al. (2013)</w:t>
      </w:r>
    </w:p>
  </w:footnote>
  <w:footnote w:id="292">
    <w:p w14:paraId="2159CECF" w14:textId="77777777" w:rsidR="00FE14B0" w:rsidRPr="00EB40E4" w:rsidRDefault="00FE14B0" w:rsidP="00F817AC">
      <w:pPr>
        <w:pStyle w:val="FootnoteText"/>
        <w:rPr>
          <w:sz w:val="18"/>
          <w:szCs w:val="18"/>
        </w:rPr>
      </w:pPr>
      <w:r w:rsidRPr="00EB40E4">
        <w:rPr>
          <w:rStyle w:val="FootnoteReference"/>
          <w:sz w:val="18"/>
          <w:szCs w:val="18"/>
        </w:rPr>
        <w:footnoteRef/>
      </w:r>
      <w:r w:rsidRPr="00EB40E4">
        <w:rPr>
          <w:sz w:val="18"/>
          <w:szCs w:val="18"/>
        </w:rPr>
        <w:t xml:space="preserve"> Fallon et al. (2008)</w:t>
      </w:r>
    </w:p>
  </w:footnote>
  <w:footnote w:id="293">
    <w:p w14:paraId="0D5FB079" w14:textId="77777777" w:rsidR="00FE14B0" w:rsidRPr="00EB40E4" w:rsidRDefault="00FE14B0" w:rsidP="00F817AC">
      <w:pPr>
        <w:pStyle w:val="FootnoteText"/>
        <w:rPr>
          <w:sz w:val="18"/>
          <w:szCs w:val="18"/>
        </w:rPr>
      </w:pPr>
      <w:r w:rsidRPr="00EB40E4">
        <w:rPr>
          <w:rStyle w:val="FootnoteReference"/>
          <w:sz w:val="18"/>
          <w:szCs w:val="18"/>
        </w:rPr>
        <w:footnoteRef/>
      </w:r>
      <w:r w:rsidRPr="00EB40E4">
        <w:rPr>
          <w:sz w:val="18"/>
          <w:szCs w:val="18"/>
        </w:rPr>
        <w:t xml:space="preserve"> Berende et al. (2016)</w:t>
      </w:r>
    </w:p>
  </w:footnote>
  <w:footnote w:id="294">
    <w:p w14:paraId="2B01BA32" w14:textId="77777777" w:rsidR="00FE14B0" w:rsidRPr="00EB40E4" w:rsidRDefault="00FE14B0" w:rsidP="00F817AC">
      <w:pPr>
        <w:pStyle w:val="FootnoteText"/>
        <w:rPr>
          <w:sz w:val="18"/>
          <w:szCs w:val="18"/>
        </w:rPr>
      </w:pPr>
      <w:r w:rsidRPr="00EB40E4">
        <w:rPr>
          <w:rStyle w:val="FootnoteReference"/>
          <w:sz w:val="18"/>
          <w:szCs w:val="18"/>
        </w:rPr>
        <w:footnoteRef/>
      </w:r>
      <w:r w:rsidRPr="00EB40E4">
        <w:rPr>
          <w:sz w:val="18"/>
          <w:szCs w:val="18"/>
        </w:rPr>
        <w:t xml:space="preserve"> Stewart et al. (2017)</w:t>
      </w:r>
    </w:p>
  </w:footnote>
  <w:footnote w:id="295">
    <w:p w14:paraId="7C50D864" w14:textId="77777777" w:rsidR="00FE14B0" w:rsidRDefault="00FE14B0" w:rsidP="00F817AC">
      <w:pPr>
        <w:pStyle w:val="FootnoteText"/>
      </w:pPr>
      <w:r w:rsidRPr="00EB40E4">
        <w:rPr>
          <w:rStyle w:val="FootnoteReference"/>
          <w:sz w:val="18"/>
          <w:szCs w:val="18"/>
        </w:rPr>
        <w:footnoteRef/>
      </w:r>
      <w:r w:rsidRPr="00EB40E4">
        <w:rPr>
          <w:sz w:val="18"/>
          <w:szCs w:val="18"/>
        </w:rPr>
        <w:t xml:space="preserve"> Ibid.</w:t>
      </w:r>
    </w:p>
  </w:footnote>
  <w:footnote w:id="296">
    <w:p w14:paraId="448A786D" w14:textId="77777777" w:rsidR="00FE14B0" w:rsidRPr="00EB40E4" w:rsidRDefault="00FE14B0" w:rsidP="00F817AC">
      <w:pPr>
        <w:pStyle w:val="FootnoteText"/>
        <w:rPr>
          <w:sz w:val="18"/>
          <w:szCs w:val="18"/>
        </w:rPr>
      </w:pPr>
      <w:r w:rsidRPr="00EB40E4">
        <w:rPr>
          <w:rStyle w:val="FootnoteReference"/>
          <w:sz w:val="18"/>
          <w:szCs w:val="18"/>
        </w:rPr>
        <w:footnoteRef/>
      </w:r>
      <w:r w:rsidRPr="00EB40E4">
        <w:rPr>
          <w:sz w:val="18"/>
          <w:szCs w:val="18"/>
        </w:rPr>
        <w:t xml:space="preserve"> CDNA (2018)</w:t>
      </w:r>
    </w:p>
  </w:footnote>
  <w:footnote w:id="297">
    <w:p w14:paraId="0F3AD06E" w14:textId="77777777" w:rsidR="00FE14B0" w:rsidRPr="00EB40E4" w:rsidRDefault="00FE14B0" w:rsidP="00F817AC">
      <w:pPr>
        <w:pStyle w:val="FootnoteText"/>
        <w:rPr>
          <w:sz w:val="18"/>
          <w:szCs w:val="18"/>
        </w:rPr>
      </w:pPr>
      <w:r w:rsidRPr="00EB40E4">
        <w:rPr>
          <w:rStyle w:val="FootnoteReference"/>
          <w:sz w:val="18"/>
          <w:szCs w:val="18"/>
        </w:rPr>
        <w:footnoteRef/>
      </w:r>
      <w:r w:rsidRPr="00EB40E4">
        <w:rPr>
          <w:sz w:val="18"/>
          <w:szCs w:val="18"/>
        </w:rPr>
        <w:t xml:space="preserve"> Thomas &amp; Wu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FF0E8" w14:textId="77777777" w:rsidR="00FE14B0" w:rsidRDefault="00FE14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8AF56" w14:textId="77777777" w:rsidR="00FE14B0" w:rsidRDefault="00FE14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4F0697" w14:textId="77777777" w:rsidR="00FE14B0" w:rsidRDefault="00FE14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2AB19" w14:textId="77777777" w:rsidR="00FE14B0" w:rsidRDefault="00FE14B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6D9CD8" w14:textId="77777777" w:rsidR="00FE14B0" w:rsidRDefault="00FE14B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E4051" w14:textId="77777777" w:rsidR="00FE14B0" w:rsidRDefault="00FE14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B10CD9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hybridMultilevel"/>
    <w:tmpl w:val="62A015DE"/>
    <w:lvl w:ilvl="0" w:tplc="FF088568">
      <w:start w:val="1"/>
      <w:numFmt w:val="decimal"/>
      <w:pStyle w:val="ListNumber4"/>
      <w:lvlText w:val="%1."/>
      <w:lvlJc w:val="left"/>
      <w:pPr>
        <w:tabs>
          <w:tab w:val="num" w:pos="1209"/>
        </w:tabs>
        <w:ind w:left="1209" w:hanging="360"/>
      </w:pPr>
    </w:lvl>
    <w:lvl w:ilvl="1" w:tplc="5F8C075C">
      <w:numFmt w:val="decimal"/>
      <w:lvlText w:val=""/>
      <w:lvlJc w:val="left"/>
    </w:lvl>
    <w:lvl w:ilvl="2" w:tplc="B626531E">
      <w:numFmt w:val="decimal"/>
      <w:lvlText w:val=""/>
      <w:lvlJc w:val="left"/>
    </w:lvl>
    <w:lvl w:ilvl="3" w:tplc="FC12C1B6">
      <w:numFmt w:val="decimal"/>
      <w:lvlText w:val=""/>
      <w:lvlJc w:val="left"/>
    </w:lvl>
    <w:lvl w:ilvl="4" w:tplc="DFAAFC72">
      <w:numFmt w:val="decimal"/>
      <w:lvlText w:val=""/>
      <w:lvlJc w:val="left"/>
    </w:lvl>
    <w:lvl w:ilvl="5" w:tplc="56AEE582">
      <w:numFmt w:val="decimal"/>
      <w:lvlText w:val=""/>
      <w:lvlJc w:val="left"/>
    </w:lvl>
    <w:lvl w:ilvl="6" w:tplc="2C9E0EC4">
      <w:numFmt w:val="decimal"/>
      <w:lvlText w:val=""/>
      <w:lvlJc w:val="left"/>
    </w:lvl>
    <w:lvl w:ilvl="7" w:tplc="DFE62FDA">
      <w:numFmt w:val="decimal"/>
      <w:lvlText w:val=""/>
      <w:lvlJc w:val="left"/>
    </w:lvl>
    <w:lvl w:ilvl="8" w:tplc="18D26EF6">
      <w:numFmt w:val="decimal"/>
      <w:lvlText w:val=""/>
      <w:lvlJc w:val="left"/>
    </w:lvl>
  </w:abstractNum>
  <w:abstractNum w:abstractNumId="2" w15:restartNumberingAfterBreak="0">
    <w:nsid w:val="FFFFFF80"/>
    <w:multiLevelType w:val="hybridMultilevel"/>
    <w:tmpl w:val="22A20FDE"/>
    <w:lvl w:ilvl="0" w:tplc="AA9A680A">
      <w:start w:val="1"/>
      <w:numFmt w:val="bullet"/>
      <w:pStyle w:val="ListBullet5"/>
      <w:lvlText w:val=""/>
      <w:lvlJc w:val="left"/>
      <w:pPr>
        <w:tabs>
          <w:tab w:val="num" w:pos="1492"/>
        </w:tabs>
        <w:ind w:left="1492" w:hanging="360"/>
      </w:pPr>
      <w:rPr>
        <w:rFonts w:ascii="Symbol" w:hAnsi="Symbol" w:hint="default"/>
      </w:rPr>
    </w:lvl>
    <w:lvl w:ilvl="1" w:tplc="B6266F4E">
      <w:numFmt w:val="decimal"/>
      <w:lvlText w:val=""/>
      <w:lvlJc w:val="left"/>
    </w:lvl>
    <w:lvl w:ilvl="2" w:tplc="65E8D83A">
      <w:numFmt w:val="decimal"/>
      <w:lvlText w:val=""/>
      <w:lvlJc w:val="left"/>
    </w:lvl>
    <w:lvl w:ilvl="3" w:tplc="E48C79E6">
      <w:numFmt w:val="decimal"/>
      <w:lvlText w:val=""/>
      <w:lvlJc w:val="left"/>
    </w:lvl>
    <w:lvl w:ilvl="4" w:tplc="F278AB22">
      <w:numFmt w:val="decimal"/>
      <w:lvlText w:val=""/>
      <w:lvlJc w:val="left"/>
    </w:lvl>
    <w:lvl w:ilvl="5" w:tplc="B00ADCA6">
      <w:numFmt w:val="decimal"/>
      <w:lvlText w:val=""/>
      <w:lvlJc w:val="left"/>
    </w:lvl>
    <w:lvl w:ilvl="6" w:tplc="864EF44C">
      <w:numFmt w:val="decimal"/>
      <w:lvlText w:val=""/>
      <w:lvlJc w:val="left"/>
    </w:lvl>
    <w:lvl w:ilvl="7" w:tplc="9BE6389C">
      <w:numFmt w:val="decimal"/>
      <w:lvlText w:val=""/>
      <w:lvlJc w:val="left"/>
    </w:lvl>
    <w:lvl w:ilvl="8" w:tplc="182CA444">
      <w:numFmt w:val="decimal"/>
      <w:lvlText w:val=""/>
      <w:lvlJc w:val="left"/>
    </w:lvl>
  </w:abstractNum>
  <w:abstractNum w:abstractNumId="3" w15:restartNumberingAfterBreak="0">
    <w:nsid w:val="FFFFFF81"/>
    <w:multiLevelType w:val="hybridMultilevel"/>
    <w:tmpl w:val="C7F69DF6"/>
    <w:lvl w:ilvl="0" w:tplc="6E9E3872">
      <w:start w:val="1"/>
      <w:numFmt w:val="bullet"/>
      <w:pStyle w:val="ListBullet4"/>
      <w:lvlText w:val=""/>
      <w:lvlJc w:val="left"/>
      <w:pPr>
        <w:tabs>
          <w:tab w:val="num" w:pos="1209"/>
        </w:tabs>
        <w:ind w:left="1209" w:hanging="360"/>
      </w:pPr>
      <w:rPr>
        <w:rFonts w:ascii="Symbol" w:hAnsi="Symbol" w:hint="default"/>
      </w:rPr>
    </w:lvl>
    <w:lvl w:ilvl="1" w:tplc="D904E8B0">
      <w:numFmt w:val="decimal"/>
      <w:lvlText w:val=""/>
      <w:lvlJc w:val="left"/>
    </w:lvl>
    <w:lvl w:ilvl="2" w:tplc="57F498A0">
      <w:numFmt w:val="decimal"/>
      <w:lvlText w:val=""/>
      <w:lvlJc w:val="left"/>
    </w:lvl>
    <w:lvl w:ilvl="3" w:tplc="B2C24498">
      <w:numFmt w:val="decimal"/>
      <w:lvlText w:val=""/>
      <w:lvlJc w:val="left"/>
    </w:lvl>
    <w:lvl w:ilvl="4" w:tplc="E2FEACD2">
      <w:numFmt w:val="decimal"/>
      <w:lvlText w:val=""/>
      <w:lvlJc w:val="left"/>
    </w:lvl>
    <w:lvl w:ilvl="5" w:tplc="A832EF94">
      <w:numFmt w:val="decimal"/>
      <w:lvlText w:val=""/>
      <w:lvlJc w:val="left"/>
    </w:lvl>
    <w:lvl w:ilvl="6" w:tplc="8408C988">
      <w:numFmt w:val="decimal"/>
      <w:lvlText w:val=""/>
      <w:lvlJc w:val="left"/>
    </w:lvl>
    <w:lvl w:ilvl="7" w:tplc="10D06706">
      <w:numFmt w:val="decimal"/>
      <w:lvlText w:val=""/>
      <w:lvlJc w:val="left"/>
    </w:lvl>
    <w:lvl w:ilvl="8" w:tplc="B8C61634">
      <w:numFmt w:val="decimal"/>
      <w:lvlText w:val=""/>
      <w:lvlJc w:val="left"/>
    </w:lvl>
  </w:abstractNum>
  <w:abstractNum w:abstractNumId="4" w15:restartNumberingAfterBreak="0">
    <w:nsid w:val="02F46C69"/>
    <w:multiLevelType w:val="hybridMultilevel"/>
    <w:tmpl w:val="F698EDC0"/>
    <w:lvl w:ilvl="0" w:tplc="E1120ED2">
      <w:start w:val="9"/>
      <w:numFmt w:val="bullet"/>
      <w:lvlText w:val="-"/>
      <w:lvlJc w:val="left"/>
      <w:pPr>
        <w:ind w:left="720" w:hanging="360"/>
      </w:pPr>
      <w:rPr>
        <w:rFonts w:ascii="Cambria" w:eastAsia="Cambria" w:hAnsi="Cambria"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3AB7928"/>
    <w:multiLevelType w:val="hybridMultilevel"/>
    <w:tmpl w:val="6CCEA0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4FC5D45"/>
    <w:multiLevelType w:val="hybridMultilevel"/>
    <w:tmpl w:val="C126486C"/>
    <w:lvl w:ilvl="0" w:tplc="D3F63BEA">
      <w:start w:val="9"/>
      <w:numFmt w:val="bullet"/>
      <w:lvlText w:val="-"/>
      <w:lvlJc w:val="left"/>
      <w:pPr>
        <w:ind w:left="-2136" w:hanging="360"/>
      </w:pPr>
      <w:rPr>
        <w:rFonts w:ascii="Cambria" w:eastAsia="Cambria" w:hAnsi="Cambria" w:cs="Times New Roman" w:hint="default"/>
        <w:color w:val="36424A"/>
      </w:rPr>
    </w:lvl>
    <w:lvl w:ilvl="1" w:tplc="14090003" w:tentative="1">
      <w:start w:val="1"/>
      <w:numFmt w:val="bullet"/>
      <w:lvlText w:val="o"/>
      <w:lvlJc w:val="left"/>
      <w:pPr>
        <w:ind w:left="-1416" w:hanging="360"/>
      </w:pPr>
      <w:rPr>
        <w:rFonts w:ascii="Courier New" w:hAnsi="Courier New" w:cs="Courier New" w:hint="default"/>
      </w:rPr>
    </w:lvl>
    <w:lvl w:ilvl="2" w:tplc="14090005" w:tentative="1">
      <w:start w:val="1"/>
      <w:numFmt w:val="bullet"/>
      <w:lvlText w:val=""/>
      <w:lvlJc w:val="left"/>
      <w:pPr>
        <w:ind w:left="-696" w:hanging="360"/>
      </w:pPr>
      <w:rPr>
        <w:rFonts w:ascii="Wingdings" w:hAnsi="Wingdings" w:hint="default"/>
      </w:rPr>
    </w:lvl>
    <w:lvl w:ilvl="3" w:tplc="14090001" w:tentative="1">
      <w:start w:val="1"/>
      <w:numFmt w:val="bullet"/>
      <w:lvlText w:val=""/>
      <w:lvlJc w:val="left"/>
      <w:pPr>
        <w:ind w:left="24" w:hanging="360"/>
      </w:pPr>
      <w:rPr>
        <w:rFonts w:ascii="Symbol" w:hAnsi="Symbol" w:hint="default"/>
      </w:rPr>
    </w:lvl>
    <w:lvl w:ilvl="4" w:tplc="14090003" w:tentative="1">
      <w:start w:val="1"/>
      <w:numFmt w:val="bullet"/>
      <w:lvlText w:val="o"/>
      <w:lvlJc w:val="left"/>
      <w:pPr>
        <w:ind w:left="744" w:hanging="360"/>
      </w:pPr>
      <w:rPr>
        <w:rFonts w:ascii="Courier New" w:hAnsi="Courier New" w:cs="Courier New" w:hint="default"/>
      </w:rPr>
    </w:lvl>
    <w:lvl w:ilvl="5" w:tplc="14090005" w:tentative="1">
      <w:start w:val="1"/>
      <w:numFmt w:val="bullet"/>
      <w:lvlText w:val=""/>
      <w:lvlJc w:val="left"/>
      <w:pPr>
        <w:ind w:left="1464" w:hanging="360"/>
      </w:pPr>
      <w:rPr>
        <w:rFonts w:ascii="Wingdings" w:hAnsi="Wingdings" w:hint="default"/>
      </w:rPr>
    </w:lvl>
    <w:lvl w:ilvl="6" w:tplc="14090001" w:tentative="1">
      <w:start w:val="1"/>
      <w:numFmt w:val="bullet"/>
      <w:lvlText w:val=""/>
      <w:lvlJc w:val="left"/>
      <w:pPr>
        <w:ind w:left="2184" w:hanging="360"/>
      </w:pPr>
      <w:rPr>
        <w:rFonts w:ascii="Symbol" w:hAnsi="Symbol" w:hint="default"/>
      </w:rPr>
    </w:lvl>
    <w:lvl w:ilvl="7" w:tplc="14090003" w:tentative="1">
      <w:start w:val="1"/>
      <w:numFmt w:val="bullet"/>
      <w:lvlText w:val="o"/>
      <w:lvlJc w:val="left"/>
      <w:pPr>
        <w:ind w:left="2904" w:hanging="360"/>
      </w:pPr>
      <w:rPr>
        <w:rFonts w:ascii="Courier New" w:hAnsi="Courier New" w:cs="Courier New" w:hint="default"/>
      </w:rPr>
    </w:lvl>
    <w:lvl w:ilvl="8" w:tplc="14090005" w:tentative="1">
      <w:start w:val="1"/>
      <w:numFmt w:val="bullet"/>
      <w:lvlText w:val=""/>
      <w:lvlJc w:val="left"/>
      <w:pPr>
        <w:ind w:left="3624" w:hanging="360"/>
      </w:pPr>
      <w:rPr>
        <w:rFonts w:ascii="Wingdings" w:hAnsi="Wingdings" w:hint="default"/>
      </w:rPr>
    </w:lvl>
  </w:abstractNum>
  <w:abstractNum w:abstractNumId="7" w15:restartNumberingAfterBreak="0">
    <w:nsid w:val="096212CA"/>
    <w:multiLevelType w:val="hybridMultilevel"/>
    <w:tmpl w:val="662C394A"/>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8" w15:restartNumberingAfterBreak="0">
    <w:nsid w:val="0AB748A4"/>
    <w:multiLevelType w:val="hybridMultilevel"/>
    <w:tmpl w:val="3E84BFB2"/>
    <w:lvl w:ilvl="0" w:tplc="B9CEAA26">
      <w:start w:val="1"/>
      <w:numFmt w:val="bullet"/>
      <w:lvlText w:val=""/>
      <w:lvlJc w:val="left"/>
      <w:pPr>
        <w:ind w:left="720" w:hanging="360"/>
      </w:pPr>
      <w:rPr>
        <w:rFonts w:ascii="Symbol" w:hAnsi="Symbol" w:hint="default"/>
        <w:color w:val="36424A"/>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C63628B"/>
    <w:multiLevelType w:val="hybridMultilevel"/>
    <w:tmpl w:val="6EAC20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0ED24BD4"/>
    <w:multiLevelType w:val="hybridMultilevel"/>
    <w:tmpl w:val="D4127478"/>
    <w:lvl w:ilvl="0" w:tplc="0DE0C36E">
      <w:start w:val="9"/>
      <w:numFmt w:val="bullet"/>
      <w:lvlText w:val="-"/>
      <w:lvlJc w:val="left"/>
      <w:pPr>
        <w:ind w:left="720" w:hanging="360"/>
      </w:pPr>
      <w:rPr>
        <w:rFonts w:ascii="Cambria" w:eastAsia="Cambria" w:hAnsi="Cambria"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1DB2AF8"/>
    <w:multiLevelType w:val="hybridMultilevel"/>
    <w:tmpl w:val="E0F01782"/>
    <w:lvl w:ilvl="0" w:tplc="26CE2C76">
      <w:start w:val="1"/>
      <w:numFmt w:val="bullet"/>
      <w:lvlText w:val=""/>
      <w:lvlJc w:val="left"/>
      <w:pPr>
        <w:ind w:left="720" w:hanging="360"/>
      </w:pPr>
      <w:rPr>
        <w:rFonts w:ascii="Symbol" w:hAnsi="Symbol" w:hint="default"/>
        <w:color w:val="36424A"/>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37B77AC"/>
    <w:multiLevelType w:val="hybridMultilevel"/>
    <w:tmpl w:val="8D44D7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52C7971"/>
    <w:multiLevelType w:val="hybridMultilevel"/>
    <w:tmpl w:val="85F2F5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7235E19"/>
    <w:multiLevelType w:val="hybridMultilevel"/>
    <w:tmpl w:val="4B80D6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85E0F5A"/>
    <w:multiLevelType w:val="hybridMultilevel"/>
    <w:tmpl w:val="647E9E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8ED7453"/>
    <w:multiLevelType w:val="hybridMultilevel"/>
    <w:tmpl w:val="336870D6"/>
    <w:lvl w:ilvl="0" w:tplc="6004DA00">
      <w:start w:val="1"/>
      <w:numFmt w:val="bullet"/>
      <w:pStyle w:val="Table-bullet"/>
      <w:lvlText w:val=""/>
      <w:lvlJc w:val="left"/>
      <w:pPr>
        <w:ind w:left="720" w:hanging="360"/>
      </w:pPr>
      <w:rPr>
        <w:rFonts w:ascii="Symbol" w:hAnsi="Symbol" w:hint="default"/>
      </w:rPr>
    </w:lvl>
    <w:lvl w:ilvl="1" w:tplc="F1EEEB36">
      <w:numFmt w:val="bullet"/>
      <w:lvlText w:val="•"/>
      <w:lvlJc w:val="left"/>
      <w:pPr>
        <w:ind w:left="1800" w:hanging="720"/>
      </w:pPr>
      <w:rPr>
        <w:rFonts w:ascii="Cambria" w:eastAsia="Cambria" w:hAnsi="Cambr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417C64"/>
    <w:multiLevelType w:val="hybridMultilevel"/>
    <w:tmpl w:val="A4EC67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1AF6088D"/>
    <w:multiLevelType w:val="hybridMultilevel"/>
    <w:tmpl w:val="58901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DBA1860"/>
    <w:multiLevelType w:val="hybridMultilevel"/>
    <w:tmpl w:val="9AE6E954"/>
    <w:lvl w:ilvl="0" w:tplc="F20C5318">
      <w:start w:val="1"/>
      <w:numFmt w:val="bullet"/>
      <w:lvlText w:val=""/>
      <w:lvlJc w:val="left"/>
      <w:pPr>
        <w:ind w:left="691" w:hanging="360"/>
      </w:pPr>
      <w:rPr>
        <w:rFonts w:ascii="Symbol" w:hAnsi="Symbol" w:hint="default"/>
        <w:color w:val="36424A"/>
      </w:rPr>
    </w:lvl>
    <w:lvl w:ilvl="1" w:tplc="14090003" w:tentative="1">
      <w:start w:val="1"/>
      <w:numFmt w:val="bullet"/>
      <w:lvlText w:val="o"/>
      <w:lvlJc w:val="left"/>
      <w:pPr>
        <w:ind w:left="1411" w:hanging="360"/>
      </w:pPr>
      <w:rPr>
        <w:rFonts w:ascii="Courier New" w:hAnsi="Courier New" w:cs="Courier New" w:hint="default"/>
      </w:rPr>
    </w:lvl>
    <w:lvl w:ilvl="2" w:tplc="14090005" w:tentative="1">
      <w:start w:val="1"/>
      <w:numFmt w:val="bullet"/>
      <w:lvlText w:val=""/>
      <w:lvlJc w:val="left"/>
      <w:pPr>
        <w:ind w:left="2131" w:hanging="360"/>
      </w:pPr>
      <w:rPr>
        <w:rFonts w:ascii="Wingdings" w:hAnsi="Wingdings" w:hint="default"/>
      </w:rPr>
    </w:lvl>
    <w:lvl w:ilvl="3" w:tplc="14090001" w:tentative="1">
      <w:start w:val="1"/>
      <w:numFmt w:val="bullet"/>
      <w:lvlText w:val=""/>
      <w:lvlJc w:val="left"/>
      <w:pPr>
        <w:ind w:left="2851" w:hanging="360"/>
      </w:pPr>
      <w:rPr>
        <w:rFonts w:ascii="Symbol" w:hAnsi="Symbol" w:hint="default"/>
      </w:rPr>
    </w:lvl>
    <w:lvl w:ilvl="4" w:tplc="14090003" w:tentative="1">
      <w:start w:val="1"/>
      <w:numFmt w:val="bullet"/>
      <w:lvlText w:val="o"/>
      <w:lvlJc w:val="left"/>
      <w:pPr>
        <w:ind w:left="3571" w:hanging="360"/>
      </w:pPr>
      <w:rPr>
        <w:rFonts w:ascii="Courier New" w:hAnsi="Courier New" w:cs="Courier New" w:hint="default"/>
      </w:rPr>
    </w:lvl>
    <w:lvl w:ilvl="5" w:tplc="14090005" w:tentative="1">
      <w:start w:val="1"/>
      <w:numFmt w:val="bullet"/>
      <w:lvlText w:val=""/>
      <w:lvlJc w:val="left"/>
      <w:pPr>
        <w:ind w:left="4291" w:hanging="360"/>
      </w:pPr>
      <w:rPr>
        <w:rFonts w:ascii="Wingdings" w:hAnsi="Wingdings" w:hint="default"/>
      </w:rPr>
    </w:lvl>
    <w:lvl w:ilvl="6" w:tplc="14090001" w:tentative="1">
      <w:start w:val="1"/>
      <w:numFmt w:val="bullet"/>
      <w:lvlText w:val=""/>
      <w:lvlJc w:val="left"/>
      <w:pPr>
        <w:ind w:left="5011" w:hanging="360"/>
      </w:pPr>
      <w:rPr>
        <w:rFonts w:ascii="Symbol" w:hAnsi="Symbol" w:hint="default"/>
      </w:rPr>
    </w:lvl>
    <w:lvl w:ilvl="7" w:tplc="14090003" w:tentative="1">
      <w:start w:val="1"/>
      <w:numFmt w:val="bullet"/>
      <w:lvlText w:val="o"/>
      <w:lvlJc w:val="left"/>
      <w:pPr>
        <w:ind w:left="5731" w:hanging="360"/>
      </w:pPr>
      <w:rPr>
        <w:rFonts w:ascii="Courier New" w:hAnsi="Courier New" w:cs="Courier New" w:hint="default"/>
      </w:rPr>
    </w:lvl>
    <w:lvl w:ilvl="8" w:tplc="14090005" w:tentative="1">
      <w:start w:val="1"/>
      <w:numFmt w:val="bullet"/>
      <w:lvlText w:val=""/>
      <w:lvlJc w:val="left"/>
      <w:pPr>
        <w:ind w:left="6451" w:hanging="360"/>
      </w:pPr>
      <w:rPr>
        <w:rFonts w:ascii="Wingdings" w:hAnsi="Wingdings" w:hint="default"/>
      </w:rPr>
    </w:lvl>
  </w:abstractNum>
  <w:abstractNum w:abstractNumId="20" w15:restartNumberingAfterBreak="0">
    <w:nsid w:val="20563528"/>
    <w:multiLevelType w:val="hybridMultilevel"/>
    <w:tmpl w:val="0750CD8A"/>
    <w:lvl w:ilvl="0" w:tplc="C27CBE12">
      <w:start w:val="1"/>
      <w:numFmt w:val="bullet"/>
      <w:lvlText w:val=""/>
      <w:lvlJc w:val="left"/>
      <w:pPr>
        <w:ind w:left="720" w:hanging="360"/>
      </w:pPr>
      <w:rPr>
        <w:rFonts w:ascii="Symbol" w:hAnsi="Symbol" w:hint="default"/>
        <w:color w:val="36424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2EC7272"/>
    <w:multiLevelType w:val="hybridMultilevel"/>
    <w:tmpl w:val="3D86AAC2"/>
    <w:lvl w:ilvl="0" w:tplc="E350F702">
      <w:start w:val="1"/>
      <w:numFmt w:val="decimal"/>
      <w:pStyle w:val="List-AlphanumericLvl1"/>
      <w:lvlText w:val="%1."/>
      <w:lvlJc w:val="left"/>
      <w:pPr>
        <w:ind w:left="993"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A664F336">
      <w:start w:val="1"/>
      <w:numFmt w:val="lowerLetter"/>
      <w:pStyle w:val="List-AlphanumericLvl2"/>
      <w:lvlText w:val="%2."/>
      <w:lvlJc w:val="left"/>
      <w:pPr>
        <w:ind w:left="1560"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tplc="F93051E0">
      <w:start w:val="1"/>
      <w:numFmt w:val="lowerRoman"/>
      <w:pStyle w:val="List-AlphanumericLvl3"/>
      <w:lvlText w:val="%3."/>
      <w:lvlJc w:val="left"/>
      <w:pPr>
        <w:ind w:left="2127"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tplc="71C862E8">
      <w:start w:val="1"/>
      <w:numFmt w:val="decimal"/>
      <w:lvlText w:val="(%4)"/>
      <w:lvlJc w:val="left"/>
      <w:pPr>
        <w:ind w:left="2694" w:hanging="567"/>
      </w:pPr>
      <w:rPr>
        <w:rFonts w:hint="default"/>
      </w:rPr>
    </w:lvl>
    <w:lvl w:ilvl="4" w:tplc="FBB4CDCE">
      <w:start w:val="1"/>
      <w:numFmt w:val="lowerLetter"/>
      <w:lvlText w:val="(%5)"/>
      <w:lvlJc w:val="left"/>
      <w:pPr>
        <w:ind w:left="3261" w:hanging="567"/>
      </w:pPr>
      <w:rPr>
        <w:rFonts w:hint="default"/>
      </w:rPr>
    </w:lvl>
    <w:lvl w:ilvl="5" w:tplc="E012C7E6">
      <w:start w:val="1"/>
      <w:numFmt w:val="lowerRoman"/>
      <w:lvlText w:val="(%6)"/>
      <w:lvlJc w:val="left"/>
      <w:pPr>
        <w:ind w:left="3828" w:hanging="567"/>
      </w:pPr>
      <w:rPr>
        <w:rFonts w:hint="default"/>
      </w:rPr>
    </w:lvl>
    <w:lvl w:ilvl="6" w:tplc="6116176E">
      <w:start w:val="1"/>
      <w:numFmt w:val="decimal"/>
      <w:lvlText w:val="%7."/>
      <w:lvlJc w:val="left"/>
      <w:pPr>
        <w:ind w:left="4395" w:hanging="567"/>
      </w:pPr>
      <w:rPr>
        <w:rFonts w:hint="default"/>
      </w:rPr>
    </w:lvl>
    <w:lvl w:ilvl="7" w:tplc="4650D0CA">
      <w:start w:val="1"/>
      <w:numFmt w:val="lowerLetter"/>
      <w:lvlText w:val="%8."/>
      <w:lvlJc w:val="left"/>
      <w:pPr>
        <w:ind w:left="4962" w:hanging="567"/>
      </w:pPr>
      <w:rPr>
        <w:rFonts w:hint="default"/>
      </w:rPr>
    </w:lvl>
    <w:lvl w:ilvl="8" w:tplc="8DBA92FC">
      <w:start w:val="1"/>
      <w:numFmt w:val="lowerRoman"/>
      <w:lvlText w:val="%9."/>
      <w:lvlJc w:val="left"/>
      <w:pPr>
        <w:ind w:left="5529" w:hanging="567"/>
      </w:pPr>
      <w:rPr>
        <w:rFonts w:hint="default"/>
      </w:rPr>
    </w:lvl>
  </w:abstractNum>
  <w:abstractNum w:abstractNumId="22" w15:restartNumberingAfterBreak="0">
    <w:nsid w:val="23B92EB2"/>
    <w:multiLevelType w:val="hybridMultilevel"/>
    <w:tmpl w:val="349C93AC"/>
    <w:lvl w:ilvl="0" w:tplc="A1AE10A4">
      <w:start w:val="1"/>
      <w:numFmt w:val="bullet"/>
      <w:lvlText w:val=""/>
      <w:lvlJc w:val="left"/>
      <w:pPr>
        <w:ind w:left="720" w:hanging="360"/>
      </w:pPr>
      <w:rPr>
        <w:rFonts w:ascii="Symbol" w:hAnsi="Symbol" w:hint="default"/>
        <w:color w:val="36424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7743DFB"/>
    <w:multiLevelType w:val="multilevel"/>
    <w:tmpl w:val="3320C8AC"/>
    <w:lvl w:ilvl="0">
      <w:start w:val="1"/>
      <w:numFmt w:val="decimal"/>
      <w:pStyle w:val="NumberedHeading1"/>
      <w:lvlText w:val="%1."/>
      <w:lvlJc w:val="left"/>
      <w:pPr>
        <w:ind w:left="680" w:hanging="680"/>
      </w:pPr>
      <w:rPr>
        <w:rFonts w:ascii="Calibri" w:eastAsia="Cambria" w:hAnsi="Calibri" w:cs="Times New Roman"/>
        <w:sz w:val="28"/>
        <w:szCs w:val="28"/>
      </w:rPr>
    </w:lvl>
    <w:lvl w:ilvl="1">
      <w:start w:val="1"/>
      <w:numFmt w:val="decimal"/>
      <w:pStyle w:val="NumberedHeading2"/>
      <w:lvlText w:val="%1.%2."/>
      <w:lvlJc w:val="left"/>
      <w:pPr>
        <w:ind w:left="4366" w:hanging="680"/>
      </w:pPr>
      <w:rPr>
        <w:rFonts w:hint="default"/>
      </w:rPr>
    </w:lvl>
    <w:lvl w:ilvl="2">
      <w:start w:val="1"/>
      <w:numFmt w:val="decimal"/>
      <w:pStyle w:val="NumberedHeading3"/>
      <w:lvlText w:val="%1.%2.%3."/>
      <w:lvlJc w:val="left"/>
      <w:pPr>
        <w:ind w:left="1276" w:hanging="851"/>
      </w:pPr>
      <w:rPr>
        <w:rFonts w:hint="default"/>
        <w:color w:val="36424A"/>
      </w:rPr>
    </w:lvl>
    <w:lvl w:ilvl="3">
      <w:start w:val="1"/>
      <w:numFmt w:val="decimal"/>
      <w:pStyle w:val="NumberedHeading4"/>
      <w:lvlText w:val="%1.%2.%3.%4."/>
      <w:lvlJc w:val="left"/>
      <w:pPr>
        <w:ind w:left="1418" w:hanging="1418"/>
      </w:pPr>
      <w:rPr>
        <w:rFonts w:hint="default"/>
      </w:rPr>
    </w:lvl>
    <w:lvl w:ilvl="4">
      <w:start w:val="1"/>
      <w:numFmt w:val="decimal"/>
      <w:lvlText w:val="%1.%2.%3.%4.%5."/>
      <w:lvlJc w:val="left"/>
      <w:pPr>
        <w:ind w:left="1418" w:hanging="1418"/>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4" w15:restartNumberingAfterBreak="0">
    <w:nsid w:val="2AB22E5F"/>
    <w:multiLevelType w:val="hybridMultilevel"/>
    <w:tmpl w:val="88F8F9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2C614265"/>
    <w:multiLevelType w:val="hybridMultilevel"/>
    <w:tmpl w:val="08EEDC52"/>
    <w:lvl w:ilvl="0" w:tplc="CDFCB4EC">
      <w:start w:val="1"/>
      <w:numFmt w:val="bullet"/>
      <w:lvlText w:val=""/>
      <w:lvlJc w:val="left"/>
      <w:pPr>
        <w:ind w:left="360" w:hanging="360"/>
      </w:pPr>
      <w:rPr>
        <w:rFonts w:ascii="Symbol" w:hAnsi="Symbol" w:hint="default"/>
        <w:color w:val="36424A"/>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33BF7059"/>
    <w:multiLevelType w:val="hybridMultilevel"/>
    <w:tmpl w:val="EEF01FA8"/>
    <w:lvl w:ilvl="0" w:tplc="B7BAD1B6">
      <w:start w:val="1"/>
      <w:numFmt w:val="bullet"/>
      <w:lvlText w:val=""/>
      <w:lvlJc w:val="left"/>
      <w:pPr>
        <w:ind w:left="720" w:hanging="360"/>
      </w:pPr>
      <w:rPr>
        <w:rFonts w:ascii="Symbol" w:hAnsi="Symbol" w:hint="default"/>
        <w:color w:val="36424A"/>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33D06383"/>
    <w:multiLevelType w:val="hybridMultilevel"/>
    <w:tmpl w:val="A3F4779E"/>
    <w:lvl w:ilvl="0" w:tplc="4CA6EF9A">
      <w:start w:val="1"/>
      <w:numFmt w:val="bullet"/>
      <w:lvlText w:val=""/>
      <w:lvlJc w:val="left"/>
      <w:pPr>
        <w:ind w:left="360" w:hanging="360"/>
      </w:pPr>
      <w:rPr>
        <w:rFonts w:ascii="Symbol" w:hAnsi="Symbol" w:hint="default"/>
        <w:color w:val="36424A"/>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34862B97"/>
    <w:multiLevelType w:val="hybridMultilevel"/>
    <w:tmpl w:val="79A6576E"/>
    <w:lvl w:ilvl="0" w:tplc="8690AAF6">
      <w:start w:val="1"/>
      <w:numFmt w:val="bullet"/>
      <w:lvlText w:val=""/>
      <w:lvlJc w:val="left"/>
      <w:pPr>
        <w:ind w:left="720" w:hanging="360"/>
      </w:pPr>
      <w:rPr>
        <w:rFonts w:ascii="Symbol" w:hAnsi="Symbol" w:hint="default"/>
        <w:color w:val="36424A"/>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386F3A56"/>
    <w:multiLevelType w:val="hybridMultilevel"/>
    <w:tmpl w:val="40B86462"/>
    <w:lvl w:ilvl="0" w:tplc="5D12F624">
      <w:start w:val="1"/>
      <w:numFmt w:val="bullet"/>
      <w:lvlText w:val=""/>
      <w:lvlJc w:val="left"/>
      <w:pPr>
        <w:ind w:left="360" w:hanging="360"/>
      </w:pPr>
      <w:rPr>
        <w:rFonts w:ascii="Symbol" w:hAnsi="Symbol" w:hint="default"/>
        <w:color w:val="36424A"/>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3AA470E6"/>
    <w:multiLevelType w:val="hybridMultilevel"/>
    <w:tmpl w:val="2A72C332"/>
    <w:lvl w:ilvl="0" w:tplc="C7E896B0">
      <w:start w:val="1"/>
      <w:numFmt w:val="bullet"/>
      <w:lvlText w:val=""/>
      <w:lvlJc w:val="left"/>
      <w:pPr>
        <w:ind w:left="720" w:hanging="360"/>
      </w:pPr>
      <w:rPr>
        <w:rFonts w:ascii="Symbol" w:hAnsi="Symbol" w:hint="default"/>
        <w:color w:val="36424A"/>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43FA10B2"/>
    <w:multiLevelType w:val="hybridMultilevel"/>
    <w:tmpl w:val="CDA6DF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44025496"/>
    <w:multiLevelType w:val="hybridMultilevel"/>
    <w:tmpl w:val="BC244596"/>
    <w:lvl w:ilvl="0" w:tplc="F9364B7C">
      <w:start w:val="1"/>
      <w:numFmt w:val="bullet"/>
      <w:lvlText w:val=""/>
      <w:lvlJc w:val="left"/>
      <w:pPr>
        <w:ind w:left="720" w:hanging="360"/>
      </w:pPr>
      <w:rPr>
        <w:rFonts w:ascii="Symbol" w:hAnsi="Symbol" w:hint="default"/>
        <w:color w:val="36424A"/>
      </w:rPr>
    </w:lvl>
    <w:lvl w:ilvl="1" w:tplc="D79E5032">
      <w:start w:val="9"/>
      <w:numFmt w:val="bullet"/>
      <w:lvlText w:val="-"/>
      <w:lvlJc w:val="left"/>
      <w:pPr>
        <w:ind w:left="1440" w:hanging="360"/>
      </w:pPr>
      <w:rPr>
        <w:rFonts w:ascii="Cambria" w:eastAsia="Cambria" w:hAnsi="Cambria" w:cs="Times New Roman" w:hint="default"/>
        <w:color w:val="36424A"/>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47A50C5"/>
    <w:multiLevelType w:val="hybridMultilevel"/>
    <w:tmpl w:val="6A2A3EB6"/>
    <w:lvl w:ilvl="0" w:tplc="5E2063DE">
      <w:start w:val="9"/>
      <w:numFmt w:val="bullet"/>
      <w:lvlText w:val="-"/>
      <w:lvlJc w:val="left"/>
      <w:pPr>
        <w:ind w:left="720" w:hanging="360"/>
      </w:pPr>
      <w:rPr>
        <w:rFonts w:ascii="Cambria" w:eastAsia="Cambria" w:hAnsi="Cambria" w:cs="Times New Roman" w:hint="default"/>
        <w:color w:val="36424A"/>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466549E3"/>
    <w:multiLevelType w:val="hybridMultilevel"/>
    <w:tmpl w:val="77209A6A"/>
    <w:lvl w:ilvl="0" w:tplc="1A06CE6A">
      <w:start w:val="9"/>
      <w:numFmt w:val="bullet"/>
      <w:lvlText w:val="-"/>
      <w:lvlJc w:val="left"/>
      <w:pPr>
        <w:ind w:left="720" w:hanging="360"/>
      </w:pPr>
      <w:rPr>
        <w:rFonts w:ascii="Cambria" w:eastAsia="Cambria" w:hAnsi="Cambria"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482737E7"/>
    <w:multiLevelType w:val="hybridMultilevel"/>
    <w:tmpl w:val="D228DD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49B97372"/>
    <w:multiLevelType w:val="multilevel"/>
    <w:tmpl w:val="26446882"/>
    <w:lvl w:ilvl="0">
      <w:start w:val="1"/>
      <w:numFmt w:val="decimal"/>
      <w:lvlText w:val="%1."/>
      <w:lvlJc w:val="left"/>
      <w:pPr>
        <w:tabs>
          <w:tab w:val="num" w:pos="2921"/>
        </w:tabs>
        <w:ind w:left="2921" w:hanging="794"/>
      </w:pPr>
      <w:rPr>
        <w:rFonts w:hint="default"/>
      </w:rPr>
    </w:lvl>
    <w:lvl w:ilvl="1">
      <w:start w:val="1"/>
      <w:numFmt w:val="decimal"/>
      <w:lvlRestart w:val="0"/>
      <w:lvlText w:val="%1.%2."/>
      <w:lvlJc w:val="left"/>
      <w:pPr>
        <w:ind w:left="792" w:hanging="792"/>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1.%2.%3.%4."/>
      <w:lvlJc w:val="left"/>
      <w:pPr>
        <w:tabs>
          <w:tab w:val="num" w:pos="794"/>
        </w:tabs>
        <w:ind w:left="794" w:hanging="794"/>
      </w:pPr>
      <w:rPr>
        <w:rFonts w:hint="default"/>
      </w:rPr>
    </w:lvl>
    <w:lvl w:ilvl="4">
      <w:start w:val="1"/>
      <w:numFmt w:val="decimal"/>
      <w:pStyle w:val="Numbered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9E521E6"/>
    <w:multiLevelType w:val="hybridMultilevel"/>
    <w:tmpl w:val="7E8681A2"/>
    <w:lvl w:ilvl="0" w:tplc="2FE6F9E8">
      <w:start w:val="1"/>
      <w:numFmt w:val="bullet"/>
      <w:lvlText w:val=""/>
      <w:lvlJc w:val="left"/>
      <w:pPr>
        <w:tabs>
          <w:tab w:val="num" w:pos="1080"/>
        </w:tabs>
        <w:ind w:left="1080" w:hanging="360"/>
      </w:pPr>
      <w:rPr>
        <w:rFonts w:ascii="Symbol" w:hAnsi="Symbol" w:hint="default"/>
        <w:sz w:val="20"/>
      </w:rPr>
    </w:lvl>
    <w:lvl w:ilvl="1" w:tplc="D8DC1126" w:tentative="1">
      <w:start w:val="1"/>
      <w:numFmt w:val="bullet"/>
      <w:lvlText w:val=""/>
      <w:lvlJc w:val="left"/>
      <w:pPr>
        <w:tabs>
          <w:tab w:val="num" w:pos="1800"/>
        </w:tabs>
        <w:ind w:left="1800" w:hanging="360"/>
      </w:pPr>
      <w:rPr>
        <w:rFonts w:ascii="Symbol" w:hAnsi="Symbol" w:hint="default"/>
        <w:sz w:val="20"/>
      </w:rPr>
    </w:lvl>
    <w:lvl w:ilvl="2" w:tplc="34C27D08" w:tentative="1">
      <w:start w:val="1"/>
      <w:numFmt w:val="bullet"/>
      <w:lvlText w:val=""/>
      <w:lvlJc w:val="left"/>
      <w:pPr>
        <w:tabs>
          <w:tab w:val="num" w:pos="2520"/>
        </w:tabs>
        <w:ind w:left="2520" w:hanging="360"/>
      </w:pPr>
      <w:rPr>
        <w:rFonts w:ascii="Symbol" w:hAnsi="Symbol" w:hint="default"/>
        <w:sz w:val="20"/>
      </w:rPr>
    </w:lvl>
    <w:lvl w:ilvl="3" w:tplc="3EF24BC4" w:tentative="1">
      <w:start w:val="1"/>
      <w:numFmt w:val="bullet"/>
      <w:lvlText w:val=""/>
      <w:lvlJc w:val="left"/>
      <w:pPr>
        <w:tabs>
          <w:tab w:val="num" w:pos="3240"/>
        </w:tabs>
        <w:ind w:left="3240" w:hanging="360"/>
      </w:pPr>
      <w:rPr>
        <w:rFonts w:ascii="Symbol" w:hAnsi="Symbol" w:hint="default"/>
        <w:sz w:val="20"/>
      </w:rPr>
    </w:lvl>
    <w:lvl w:ilvl="4" w:tplc="17D24082" w:tentative="1">
      <w:start w:val="1"/>
      <w:numFmt w:val="bullet"/>
      <w:lvlText w:val=""/>
      <w:lvlJc w:val="left"/>
      <w:pPr>
        <w:tabs>
          <w:tab w:val="num" w:pos="3960"/>
        </w:tabs>
        <w:ind w:left="3960" w:hanging="360"/>
      </w:pPr>
      <w:rPr>
        <w:rFonts w:ascii="Symbol" w:hAnsi="Symbol" w:hint="default"/>
        <w:sz w:val="20"/>
      </w:rPr>
    </w:lvl>
    <w:lvl w:ilvl="5" w:tplc="09FC7AF6" w:tentative="1">
      <w:start w:val="1"/>
      <w:numFmt w:val="bullet"/>
      <w:lvlText w:val=""/>
      <w:lvlJc w:val="left"/>
      <w:pPr>
        <w:tabs>
          <w:tab w:val="num" w:pos="4680"/>
        </w:tabs>
        <w:ind w:left="4680" w:hanging="360"/>
      </w:pPr>
      <w:rPr>
        <w:rFonts w:ascii="Symbol" w:hAnsi="Symbol" w:hint="default"/>
        <w:sz w:val="20"/>
      </w:rPr>
    </w:lvl>
    <w:lvl w:ilvl="6" w:tplc="A02406AE" w:tentative="1">
      <w:start w:val="1"/>
      <w:numFmt w:val="bullet"/>
      <w:lvlText w:val=""/>
      <w:lvlJc w:val="left"/>
      <w:pPr>
        <w:tabs>
          <w:tab w:val="num" w:pos="5400"/>
        </w:tabs>
        <w:ind w:left="5400" w:hanging="360"/>
      </w:pPr>
      <w:rPr>
        <w:rFonts w:ascii="Symbol" w:hAnsi="Symbol" w:hint="default"/>
        <w:sz w:val="20"/>
      </w:rPr>
    </w:lvl>
    <w:lvl w:ilvl="7" w:tplc="85DA9D14" w:tentative="1">
      <w:start w:val="1"/>
      <w:numFmt w:val="bullet"/>
      <w:lvlText w:val=""/>
      <w:lvlJc w:val="left"/>
      <w:pPr>
        <w:tabs>
          <w:tab w:val="num" w:pos="6120"/>
        </w:tabs>
        <w:ind w:left="6120" w:hanging="360"/>
      </w:pPr>
      <w:rPr>
        <w:rFonts w:ascii="Symbol" w:hAnsi="Symbol" w:hint="default"/>
        <w:sz w:val="20"/>
      </w:rPr>
    </w:lvl>
    <w:lvl w:ilvl="8" w:tplc="A87E7BAA" w:tentative="1">
      <w:start w:val="1"/>
      <w:numFmt w:val="bullet"/>
      <w:lvlText w:val=""/>
      <w:lvlJc w:val="left"/>
      <w:pPr>
        <w:tabs>
          <w:tab w:val="num" w:pos="6840"/>
        </w:tabs>
        <w:ind w:left="6840" w:hanging="360"/>
      </w:pPr>
      <w:rPr>
        <w:rFonts w:ascii="Symbol" w:hAnsi="Symbol" w:hint="default"/>
        <w:sz w:val="20"/>
      </w:rPr>
    </w:lvl>
  </w:abstractNum>
  <w:abstractNum w:abstractNumId="38" w15:restartNumberingAfterBreak="0">
    <w:nsid w:val="4E141685"/>
    <w:multiLevelType w:val="hybridMultilevel"/>
    <w:tmpl w:val="211A6C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4E6E0996"/>
    <w:multiLevelType w:val="hybridMultilevel"/>
    <w:tmpl w:val="B57E1748"/>
    <w:lvl w:ilvl="0" w:tplc="CFFCAAB0">
      <w:start w:val="1"/>
      <w:numFmt w:val="bullet"/>
      <w:pStyle w:val="List-BulletLvl1"/>
      <w:lvlText w:val=""/>
      <w:lvlJc w:val="left"/>
      <w:pPr>
        <w:ind w:left="851" w:hanging="567"/>
      </w:pPr>
      <w:rPr>
        <w:rFonts w:ascii="Symbol" w:hAnsi="Symbol" w:hint="default"/>
        <w:color w:val="36424A"/>
        <w:sz w:val="22"/>
      </w:rPr>
    </w:lvl>
    <w:lvl w:ilvl="1" w:tplc="AF20E4FE">
      <w:start w:val="1"/>
      <w:numFmt w:val="bullet"/>
      <w:pStyle w:val="List-BulletLvl2"/>
      <w:lvlText w:val="-"/>
      <w:lvlJc w:val="left"/>
      <w:pPr>
        <w:ind w:left="1418" w:hanging="567"/>
      </w:pPr>
      <w:rPr>
        <w:rFonts w:ascii="Calibri" w:hAnsi="Calibri" w:hint="default"/>
        <w:color w:val="36424A"/>
        <w:sz w:val="24"/>
      </w:rPr>
    </w:lvl>
    <w:lvl w:ilvl="2" w:tplc="71A0A890">
      <w:start w:val="1"/>
      <w:numFmt w:val="bullet"/>
      <w:pStyle w:val="List-BulletLvl3"/>
      <w:lvlText w:val=""/>
      <w:lvlJc w:val="left"/>
      <w:pPr>
        <w:ind w:left="1985" w:hanging="567"/>
      </w:pPr>
      <w:rPr>
        <w:rFonts w:ascii="Symbol" w:hAnsi="Symbol" w:hint="default"/>
        <w:color w:val="36424A"/>
        <w:sz w:val="18"/>
      </w:rPr>
    </w:lvl>
    <w:lvl w:ilvl="3" w:tplc="21A643CC">
      <w:start w:val="1"/>
      <w:numFmt w:val="decimal"/>
      <w:lvlText w:val="(%4)"/>
      <w:lvlJc w:val="left"/>
      <w:pPr>
        <w:ind w:left="2552" w:hanging="567"/>
      </w:pPr>
      <w:rPr>
        <w:rFonts w:hint="default"/>
      </w:rPr>
    </w:lvl>
    <w:lvl w:ilvl="4" w:tplc="3A6CD24A">
      <w:start w:val="1"/>
      <w:numFmt w:val="lowerLetter"/>
      <w:lvlText w:val="(%5)"/>
      <w:lvlJc w:val="left"/>
      <w:pPr>
        <w:ind w:left="3119" w:hanging="567"/>
      </w:pPr>
      <w:rPr>
        <w:rFonts w:hint="default"/>
      </w:rPr>
    </w:lvl>
    <w:lvl w:ilvl="5" w:tplc="0DE6988A">
      <w:start w:val="1"/>
      <w:numFmt w:val="lowerRoman"/>
      <w:lvlText w:val="(%6)"/>
      <w:lvlJc w:val="left"/>
      <w:pPr>
        <w:ind w:left="3686" w:hanging="567"/>
      </w:pPr>
      <w:rPr>
        <w:rFonts w:hint="default"/>
      </w:rPr>
    </w:lvl>
    <w:lvl w:ilvl="6" w:tplc="8E9C7E12">
      <w:start w:val="1"/>
      <w:numFmt w:val="decimal"/>
      <w:lvlText w:val="%7."/>
      <w:lvlJc w:val="left"/>
      <w:pPr>
        <w:ind w:left="4253" w:hanging="567"/>
      </w:pPr>
      <w:rPr>
        <w:rFonts w:hint="default"/>
      </w:rPr>
    </w:lvl>
    <w:lvl w:ilvl="7" w:tplc="1540AF5A">
      <w:start w:val="1"/>
      <w:numFmt w:val="lowerLetter"/>
      <w:lvlText w:val="%8."/>
      <w:lvlJc w:val="left"/>
      <w:pPr>
        <w:ind w:left="4820" w:hanging="567"/>
      </w:pPr>
      <w:rPr>
        <w:rFonts w:hint="default"/>
      </w:rPr>
    </w:lvl>
    <w:lvl w:ilvl="8" w:tplc="8368AB70">
      <w:start w:val="1"/>
      <w:numFmt w:val="lowerRoman"/>
      <w:lvlText w:val="%9."/>
      <w:lvlJc w:val="left"/>
      <w:pPr>
        <w:ind w:left="5387" w:hanging="567"/>
      </w:pPr>
      <w:rPr>
        <w:rFonts w:hint="default"/>
      </w:rPr>
    </w:lvl>
  </w:abstractNum>
  <w:abstractNum w:abstractNumId="40" w15:restartNumberingAfterBreak="0">
    <w:nsid w:val="5C403BB3"/>
    <w:multiLevelType w:val="hybridMultilevel"/>
    <w:tmpl w:val="E9146330"/>
    <w:lvl w:ilvl="0" w:tplc="8544FBC4">
      <w:start w:val="1"/>
      <w:numFmt w:val="bullet"/>
      <w:lvlText w:val=""/>
      <w:lvlJc w:val="left"/>
      <w:pPr>
        <w:ind w:left="720" w:hanging="360"/>
      </w:pPr>
      <w:rPr>
        <w:rFonts w:ascii="Symbol" w:hAnsi="Symbol" w:hint="default"/>
        <w:color w:val="36424A"/>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5D072D71"/>
    <w:multiLevelType w:val="hybridMultilevel"/>
    <w:tmpl w:val="9ABA5C2E"/>
    <w:lvl w:ilvl="0" w:tplc="F8183C88">
      <w:start w:val="1"/>
      <w:numFmt w:val="decimal"/>
      <w:lvlText w:val="%1."/>
      <w:lvlJc w:val="left"/>
      <w:pPr>
        <w:ind w:left="400" w:hanging="360"/>
      </w:pPr>
      <w:rPr>
        <w:rFonts w:hint="default"/>
      </w:rPr>
    </w:lvl>
    <w:lvl w:ilvl="1" w:tplc="0C090019" w:tentative="1">
      <w:start w:val="1"/>
      <w:numFmt w:val="lowerLetter"/>
      <w:lvlText w:val="%2."/>
      <w:lvlJc w:val="left"/>
      <w:pPr>
        <w:ind w:left="1120" w:hanging="360"/>
      </w:pPr>
    </w:lvl>
    <w:lvl w:ilvl="2" w:tplc="0C09001B" w:tentative="1">
      <w:start w:val="1"/>
      <w:numFmt w:val="lowerRoman"/>
      <w:lvlText w:val="%3."/>
      <w:lvlJc w:val="right"/>
      <w:pPr>
        <w:ind w:left="1840" w:hanging="180"/>
      </w:pPr>
    </w:lvl>
    <w:lvl w:ilvl="3" w:tplc="0C09000F" w:tentative="1">
      <w:start w:val="1"/>
      <w:numFmt w:val="decimal"/>
      <w:lvlText w:val="%4."/>
      <w:lvlJc w:val="left"/>
      <w:pPr>
        <w:ind w:left="2560" w:hanging="360"/>
      </w:pPr>
    </w:lvl>
    <w:lvl w:ilvl="4" w:tplc="0C090019" w:tentative="1">
      <w:start w:val="1"/>
      <w:numFmt w:val="lowerLetter"/>
      <w:lvlText w:val="%5."/>
      <w:lvlJc w:val="left"/>
      <w:pPr>
        <w:ind w:left="3280" w:hanging="360"/>
      </w:pPr>
    </w:lvl>
    <w:lvl w:ilvl="5" w:tplc="0C09001B" w:tentative="1">
      <w:start w:val="1"/>
      <w:numFmt w:val="lowerRoman"/>
      <w:lvlText w:val="%6."/>
      <w:lvlJc w:val="right"/>
      <w:pPr>
        <w:ind w:left="4000" w:hanging="180"/>
      </w:pPr>
    </w:lvl>
    <w:lvl w:ilvl="6" w:tplc="0C09000F" w:tentative="1">
      <w:start w:val="1"/>
      <w:numFmt w:val="decimal"/>
      <w:lvlText w:val="%7."/>
      <w:lvlJc w:val="left"/>
      <w:pPr>
        <w:ind w:left="4720" w:hanging="360"/>
      </w:pPr>
    </w:lvl>
    <w:lvl w:ilvl="7" w:tplc="0C090019" w:tentative="1">
      <w:start w:val="1"/>
      <w:numFmt w:val="lowerLetter"/>
      <w:lvlText w:val="%8."/>
      <w:lvlJc w:val="left"/>
      <w:pPr>
        <w:ind w:left="5440" w:hanging="360"/>
      </w:pPr>
    </w:lvl>
    <w:lvl w:ilvl="8" w:tplc="0C09001B" w:tentative="1">
      <w:start w:val="1"/>
      <w:numFmt w:val="lowerRoman"/>
      <w:lvlText w:val="%9."/>
      <w:lvlJc w:val="right"/>
      <w:pPr>
        <w:ind w:left="6160" w:hanging="180"/>
      </w:pPr>
    </w:lvl>
  </w:abstractNum>
  <w:abstractNum w:abstractNumId="42" w15:restartNumberingAfterBreak="0">
    <w:nsid w:val="5D664BB7"/>
    <w:multiLevelType w:val="hybridMultilevel"/>
    <w:tmpl w:val="60E82C24"/>
    <w:lvl w:ilvl="0" w:tplc="D6DC436C">
      <w:start w:val="1"/>
      <w:numFmt w:val="bullet"/>
      <w:lvlText w:val=""/>
      <w:lvlJc w:val="left"/>
      <w:pPr>
        <w:ind w:left="360" w:hanging="360"/>
      </w:pPr>
      <w:rPr>
        <w:rFonts w:ascii="Symbol" w:hAnsi="Symbol" w:hint="default"/>
        <w:color w:val="36424A"/>
      </w:rPr>
    </w:lvl>
    <w:lvl w:ilvl="1" w:tplc="14090003">
      <w:start w:val="1"/>
      <w:numFmt w:val="bullet"/>
      <w:lvlText w:val="o"/>
      <w:lvlJc w:val="left"/>
      <w:pPr>
        <w:ind w:left="720" w:hanging="360"/>
      </w:pPr>
      <w:rPr>
        <w:rFonts w:ascii="Courier New" w:hAnsi="Courier New" w:cs="Courier New" w:hint="default"/>
      </w:rPr>
    </w:lvl>
    <w:lvl w:ilvl="2" w:tplc="14090005" w:tentative="1">
      <w:start w:val="1"/>
      <w:numFmt w:val="bullet"/>
      <w:lvlText w:val=""/>
      <w:lvlJc w:val="left"/>
      <w:pPr>
        <w:ind w:left="1440" w:hanging="360"/>
      </w:pPr>
      <w:rPr>
        <w:rFonts w:ascii="Wingdings" w:hAnsi="Wingdings" w:hint="default"/>
      </w:rPr>
    </w:lvl>
    <w:lvl w:ilvl="3" w:tplc="14090001" w:tentative="1">
      <w:start w:val="1"/>
      <w:numFmt w:val="bullet"/>
      <w:lvlText w:val=""/>
      <w:lvlJc w:val="left"/>
      <w:pPr>
        <w:ind w:left="2160" w:hanging="360"/>
      </w:pPr>
      <w:rPr>
        <w:rFonts w:ascii="Symbol" w:hAnsi="Symbol" w:hint="default"/>
      </w:rPr>
    </w:lvl>
    <w:lvl w:ilvl="4" w:tplc="14090003" w:tentative="1">
      <w:start w:val="1"/>
      <w:numFmt w:val="bullet"/>
      <w:lvlText w:val="o"/>
      <w:lvlJc w:val="left"/>
      <w:pPr>
        <w:ind w:left="2880" w:hanging="360"/>
      </w:pPr>
      <w:rPr>
        <w:rFonts w:ascii="Courier New" w:hAnsi="Courier New" w:cs="Courier New" w:hint="default"/>
      </w:rPr>
    </w:lvl>
    <w:lvl w:ilvl="5" w:tplc="14090005" w:tentative="1">
      <w:start w:val="1"/>
      <w:numFmt w:val="bullet"/>
      <w:lvlText w:val=""/>
      <w:lvlJc w:val="left"/>
      <w:pPr>
        <w:ind w:left="3600" w:hanging="360"/>
      </w:pPr>
      <w:rPr>
        <w:rFonts w:ascii="Wingdings" w:hAnsi="Wingdings" w:hint="default"/>
      </w:rPr>
    </w:lvl>
    <w:lvl w:ilvl="6" w:tplc="14090001" w:tentative="1">
      <w:start w:val="1"/>
      <w:numFmt w:val="bullet"/>
      <w:lvlText w:val=""/>
      <w:lvlJc w:val="left"/>
      <w:pPr>
        <w:ind w:left="4320" w:hanging="360"/>
      </w:pPr>
      <w:rPr>
        <w:rFonts w:ascii="Symbol" w:hAnsi="Symbol" w:hint="default"/>
      </w:rPr>
    </w:lvl>
    <w:lvl w:ilvl="7" w:tplc="14090003" w:tentative="1">
      <w:start w:val="1"/>
      <w:numFmt w:val="bullet"/>
      <w:lvlText w:val="o"/>
      <w:lvlJc w:val="left"/>
      <w:pPr>
        <w:ind w:left="5040" w:hanging="360"/>
      </w:pPr>
      <w:rPr>
        <w:rFonts w:ascii="Courier New" w:hAnsi="Courier New" w:cs="Courier New" w:hint="default"/>
      </w:rPr>
    </w:lvl>
    <w:lvl w:ilvl="8" w:tplc="14090005" w:tentative="1">
      <w:start w:val="1"/>
      <w:numFmt w:val="bullet"/>
      <w:lvlText w:val=""/>
      <w:lvlJc w:val="left"/>
      <w:pPr>
        <w:ind w:left="5760" w:hanging="360"/>
      </w:pPr>
      <w:rPr>
        <w:rFonts w:ascii="Wingdings" w:hAnsi="Wingdings" w:hint="default"/>
      </w:rPr>
    </w:lvl>
  </w:abstractNum>
  <w:abstractNum w:abstractNumId="43" w15:restartNumberingAfterBreak="0">
    <w:nsid w:val="600F6649"/>
    <w:multiLevelType w:val="hybridMultilevel"/>
    <w:tmpl w:val="D5CCA11A"/>
    <w:lvl w:ilvl="0" w:tplc="ECB808F4">
      <w:start w:val="9"/>
      <w:numFmt w:val="bullet"/>
      <w:lvlText w:val="-"/>
      <w:lvlJc w:val="left"/>
      <w:pPr>
        <w:ind w:left="720" w:hanging="360"/>
      </w:pPr>
      <w:rPr>
        <w:rFonts w:ascii="Cambria" w:eastAsia="Cambria" w:hAnsi="Cambria" w:cs="Times New Roman" w:hint="default"/>
        <w:color w:val="36424A"/>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618922E2"/>
    <w:multiLevelType w:val="hybridMultilevel"/>
    <w:tmpl w:val="31E800EA"/>
    <w:lvl w:ilvl="0" w:tplc="01E05842">
      <w:start w:val="24"/>
      <w:numFmt w:val="bullet"/>
      <w:lvlText w:val="-"/>
      <w:lvlJc w:val="left"/>
      <w:pPr>
        <w:ind w:left="360" w:hanging="360"/>
      </w:pPr>
      <w:rPr>
        <w:rFonts w:ascii="Cambria" w:eastAsia="Cambria" w:hAnsi="Cambria"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2E00786"/>
    <w:multiLevelType w:val="hybridMultilevel"/>
    <w:tmpl w:val="4382289A"/>
    <w:lvl w:ilvl="0" w:tplc="26A630F8">
      <w:start w:val="1"/>
      <w:numFmt w:val="bullet"/>
      <w:lvlText w:val=""/>
      <w:lvlJc w:val="left"/>
      <w:pPr>
        <w:ind w:left="720" w:hanging="360"/>
      </w:pPr>
      <w:rPr>
        <w:rFonts w:ascii="Symbol" w:hAnsi="Symbol" w:hint="default"/>
        <w:color w:val="36424A"/>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644A4A37"/>
    <w:multiLevelType w:val="hybridMultilevel"/>
    <w:tmpl w:val="1409001D"/>
    <w:lvl w:ilvl="0" w:tplc="0024E314">
      <w:start w:val="1"/>
      <w:numFmt w:val="decimal"/>
      <w:lvlText w:val="%1)"/>
      <w:lvlJc w:val="left"/>
      <w:pPr>
        <w:ind w:left="360" w:hanging="360"/>
      </w:pPr>
    </w:lvl>
    <w:lvl w:ilvl="1" w:tplc="F35CA11E">
      <w:start w:val="1"/>
      <w:numFmt w:val="lowerLetter"/>
      <w:lvlText w:val="%2)"/>
      <w:lvlJc w:val="left"/>
      <w:pPr>
        <w:ind w:left="720" w:hanging="360"/>
      </w:pPr>
    </w:lvl>
    <w:lvl w:ilvl="2" w:tplc="62A85394">
      <w:start w:val="1"/>
      <w:numFmt w:val="lowerRoman"/>
      <w:lvlText w:val="%3)"/>
      <w:lvlJc w:val="left"/>
      <w:pPr>
        <w:ind w:left="1080" w:hanging="360"/>
      </w:pPr>
    </w:lvl>
    <w:lvl w:ilvl="3" w:tplc="D1648054">
      <w:start w:val="1"/>
      <w:numFmt w:val="decimal"/>
      <w:lvlText w:val="(%4)"/>
      <w:lvlJc w:val="left"/>
      <w:pPr>
        <w:ind w:left="1440" w:hanging="360"/>
      </w:pPr>
    </w:lvl>
    <w:lvl w:ilvl="4" w:tplc="B5F8623E">
      <w:start w:val="1"/>
      <w:numFmt w:val="lowerLetter"/>
      <w:lvlText w:val="(%5)"/>
      <w:lvlJc w:val="left"/>
      <w:pPr>
        <w:ind w:left="1800" w:hanging="360"/>
      </w:pPr>
    </w:lvl>
    <w:lvl w:ilvl="5" w:tplc="8266E0C4">
      <w:start w:val="1"/>
      <w:numFmt w:val="lowerRoman"/>
      <w:lvlText w:val="(%6)"/>
      <w:lvlJc w:val="left"/>
      <w:pPr>
        <w:ind w:left="2160" w:hanging="360"/>
      </w:pPr>
    </w:lvl>
    <w:lvl w:ilvl="6" w:tplc="5B0683C2">
      <w:start w:val="1"/>
      <w:numFmt w:val="decimal"/>
      <w:lvlText w:val="%7."/>
      <w:lvlJc w:val="left"/>
      <w:pPr>
        <w:ind w:left="2520" w:hanging="360"/>
      </w:pPr>
    </w:lvl>
    <w:lvl w:ilvl="7" w:tplc="25AED824">
      <w:start w:val="1"/>
      <w:numFmt w:val="lowerLetter"/>
      <w:lvlText w:val="%8."/>
      <w:lvlJc w:val="left"/>
      <w:pPr>
        <w:ind w:left="2880" w:hanging="360"/>
      </w:pPr>
    </w:lvl>
    <w:lvl w:ilvl="8" w:tplc="833E76E2">
      <w:start w:val="1"/>
      <w:numFmt w:val="lowerRoman"/>
      <w:lvlText w:val="%9."/>
      <w:lvlJc w:val="left"/>
      <w:pPr>
        <w:ind w:left="3240" w:hanging="360"/>
      </w:pPr>
    </w:lvl>
  </w:abstractNum>
  <w:abstractNum w:abstractNumId="47" w15:restartNumberingAfterBreak="0">
    <w:nsid w:val="64D638E1"/>
    <w:multiLevelType w:val="hybridMultilevel"/>
    <w:tmpl w:val="732498F0"/>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8" w15:restartNumberingAfterBreak="0">
    <w:nsid w:val="657C05B9"/>
    <w:multiLevelType w:val="hybridMultilevel"/>
    <w:tmpl w:val="DEC6DE20"/>
    <w:lvl w:ilvl="0" w:tplc="2E0E3E96">
      <w:start w:val="1"/>
      <w:numFmt w:val="bullet"/>
      <w:lvlText w:val=""/>
      <w:lvlJc w:val="left"/>
      <w:pPr>
        <w:ind w:left="360" w:hanging="360"/>
      </w:pPr>
      <w:rPr>
        <w:rFonts w:ascii="Symbol" w:hAnsi="Symbol" w:hint="default"/>
        <w:color w:val="36424A"/>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9" w15:restartNumberingAfterBreak="0">
    <w:nsid w:val="6AC71BB6"/>
    <w:multiLevelType w:val="hybridMultilevel"/>
    <w:tmpl w:val="BD1EB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0F23D34"/>
    <w:multiLevelType w:val="hybridMultilevel"/>
    <w:tmpl w:val="E5B2A084"/>
    <w:lvl w:ilvl="0" w:tplc="444EE634">
      <w:start w:val="9"/>
      <w:numFmt w:val="bullet"/>
      <w:lvlText w:val="-"/>
      <w:lvlJc w:val="left"/>
      <w:pPr>
        <w:ind w:left="720" w:hanging="360"/>
      </w:pPr>
      <w:rPr>
        <w:rFonts w:ascii="Cambria" w:eastAsia="Cambria" w:hAnsi="Cambria"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71E40082"/>
    <w:multiLevelType w:val="hybridMultilevel"/>
    <w:tmpl w:val="D31C5514"/>
    <w:lvl w:ilvl="0" w:tplc="6D827AFE">
      <w:start w:val="1"/>
      <w:numFmt w:val="bullet"/>
      <w:lvlText w:val=""/>
      <w:lvlJc w:val="left"/>
      <w:pPr>
        <w:ind w:left="720" w:hanging="360"/>
      </w:pPr>
      <w:rPr>
        <w:rFonts w:ascii="Symbol" w:hAnsi="Symbol" w:hint="default"/>
        <w:color w:val="36424A"/>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73A42673"/>
    <w:multiLevelType w:val="hybridMultilevel"/>
    <w:tmpl w:val="C58C342A"/>
    <w:lvl w:ilvl="0" w:tplc="ACE4523C">
      <w:numFmt w:val="bullet"/>
      <w:lvlText w:val="-"/>
      <w:lvlJc w:val="left"/>
      <w:pPr>
        <w:ind w:left="720" w:hanging="360"/>
      </w:pPr>
      <w:rPr>
        <w:rFonts w:ascii="Calibri" w:eastAsia="Cambria" w:hAnsi="Calibri" w:cs="Calibri" w:hint="default"/>
        <w:color w:val="36424A"/>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78662DC2"/>
    <w:multiLevelType w:val="hybridMultilevel"/>
    <w:tmpl w:val="425E6AAA"/>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54" w15:restartNumberingAfterBreak="0">
    <w:nsid w:val="795B776D"/>
    <w:multiLevelType w:val="hybridMultilevel"/>
    <w:tmpl w:val="638A0FF4"/>
    <w:lvl w:ilvl="0" w:tplc="C61CC438">
      <w:start w:val="1"/>
      <w:numFmt w:val="bullet"/>
      <w:pStyle w:val="ListBullet3"/>
      <w:lvlText w:val=""/>
      <w:lvlJc w:val="left"/>
      <w:pPr>
        <w:ind w:left="1920" w:hanging="360"/>
      </w:pPr>
      <w:rPr>
        <w:rFonts w:ascii="Symbol" w:hAnsi="Symbol" w:hint="default"/>
        <w:color w:val="36424A"/>
        <w:sz w:val="18"/>
      </w:rPr>
    </w:lvl>
    <w:lvl w:ilvl="1" w:tplc="42CCDA4C">
      <w:start w:val="1"/>
      <w:numFmt w:val="bullet"/>
      <w:lvlText w:val="o"/>
      <w:lvlJc w:val="left"/>
      <w:pPr>
        <w:ind w:left="2640" w:hanging="360"/>
      </w:pPr>
      <w:rPr>
        <w:rFonts w:ascii="Courier New" w:hAnsi="Courier New" w:cs="Courier New" w:hint="default"/>
      </w:rPr>
    </w:lvl>
    <w:lvl w:ilvl="2" w:tplc="DE422694">
      <w:start w:val="1"/>
      <w:numFmt w:val="bullet"/>
      <w:lvlText w:val="•"/>
      <w:lvlJc w:val="left"/>
      <w:pPr>
        <w:ind w:left="3360" w:hanging="360"/>
      </w:pPr>
      <w:rPr>
        <w:rFonts w:ascii="Cambria" w:hAnsi="Cambria" w:hint="default"/>
        <w:color w:val="36424A"/>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55" w15:restartNumberingAfterBreak="0">
    <w:nsid w:val="7EC81F9C"/>
    <w:multiLevelType w:val="hybridMultilevel"/>
    <w:tmpl w:val="C5FE1612"/>
    <w:lvl w:ilvl="0" w:tplc="2B5A7E44">
      <w:start w:val="1"/>
      <w:numFmt w:val="bullet"/>
      <w:lvlText w:val=""/>
      <w:lvlJc w:val="left"/>
      <w:pPr>
        <w:ind w:left="720" w:hanging="360"/>
      </w:pPr>
      <w:rPr>
        <w:rFonts w:ascii="Symbol" w:hAnsi="Symbol" w:hint="default"/>
        <w:color w:val="36424A"/>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6"/>
  </w:num>
  <w:num w:numId="2">
    <w:abstractNumId w:val="23"/>
  </w:num>
  <w:num w:numId="3">
    <w:abstractNumId w:val="36"/>
  </w:num>
  <w:num w:numId="4">
    <w:abstractNumId w:val="54"/>
  </w:num>
  <w:num w:numId="5">
    <w:abstractNumId w:val="21"/>
  </w:num>
  <w:num w:numId="6">
    <w:abstractNumId w:val="39"/>
  </w:num>
  <w:num w:numId="7">
    <w:abstractNumId w:val="25"/>
  </w:num>
  <w:num w:numId="8">
    <w:abstractNumId w:val="47"/>
  </w:num>
  <w:num w:numId="9">
    <w:abstractNumId w:val="6"/>
  </w:num>
  <w:num w:numId="10">
    <w:abstractNumId w:val="33"/>
  </w:num>
  <w:num w:numId="11">
    <w:abstractNumId w:val="28"/>
  </w:num>
  <w:num w:numId="12">
    <w:abstractNumId w:val="19"/>
  </w:num>
  <w:num w:numId="13">
    <w:abstractNumId w:val="30"/>
  </w:num>
  <w:num w:numId="14">
    <w:abstractNumId w:val="26"/>
  </w:num>
  <w:num w:numId="15">
    <w:abstractNumId w:val="45"/>
  </w:num>
  <w:num w:numId="16">
    <w:abstractNumId w:val="29"/>
  </w:num>
  <w:num w:numId="17">
    <w:abstractNumId w:val="40"/>
  </w:num>
  <w:num w:numId="18">
    <w:abstractNumId w:val="8"/>
  </w:num>
  <w:num w:numId="19">
    <w:abstractNumId w:val="51"/>
  </w:num>
  <w:num w:numId="20">
    <w:abstractNumId w:val="55"/>
  </w:num>
  <w:num w:numId="21">
    <w:abstractNumId w:val="49"/>
  </w:num>
  <w:num w:numId="22">
    <w:abstractNumId w:val="32"/>
  </w:num>
  <w:num w:numId="23">
    <w:abstractNumId w:val="41"/>
  </w:num>
  <w:num w:numId="24">
    <w:abstractNumId w:val="7"/>
  </w:num>
  <w:num w:numId="25">
    <w:abstractNumId w:val="15"/>
  </w:num>
  <w:num w:numId="26">
    <w:abstractNumId w:val="17"/>
  </w:num>
  <w:num w:numId="27">
    <w:abstractNumId w:val="14"/>
  </w:num>
  <w:num w:numId="28">
    <w:abstractNumId w:val="53"/>
  </w:num>
  <w:num w:numId="29">
    <w:abstractNumId w:val="24"/>
  </w:num>
  <w:num w:numId="30">
    <w:abstractNumId w:val="9"/>
  </w:num>
  <w:num w:numId="31">
    <w:abstractNumId w:val="11"/>
  </w:num>
  <w:num w:numId="32">
    <w:abstractNumId w:val="38"/>
  </w:num>
  <w:num w:numId="33">
    <w:abstractNumId w:val="13"/>
  </w:num>
  <w:num w:numId="34">
    <w:abstractNumId w:val="39"/>
  </w:num>
  <w:num w:numId="35">
    <w:abstractNumId w:val="35"/>
  </w:num>
  <w:num w:numId="36">
    <w:abstractNumId w:val="4"/>
  </w:num>
  <w:num w:numId="37">
    <w:abstractNumId w:val="50"/>
  </w:num>
  <w:num w:numId="38">
    <w:abstractNumId w:val="10"/>
  </w:num>
  <w:num w:numId="39">
    <w:abstractNumId w:val="34"/>
  </w:num>
  <w:num w:numId="40">
    <w:abstractNumId w:val="43"/>
  </w:num>
  <w:num w:numId="41">
    <w:abstractNumId w:val="48"/>
  </w:num>
  <w:num w:numId="42">
    <w:abstractNumId w:val="46"/>
  </w:num>
  <w:num w:numId="43">
    <w:abstractNumId w:val="42"/>
  </w:num>
  <w:num w:numId="44">
    <w:abstractNumId w:val="37"/>
  </w:num>
  <w:num w:numId="45">
    <w:abstractNumId w:val="5"/>
  </w:num>
  <w:num w:numId="46">
    <w:abstractNumId w:val="31"/>
  </w:num>
  <w:num w:numId="47">
    <w:abstractNumId w:val="27"/>
  </w:num>
  <w:num w:numId="48">
    <w:abstractNumId w:val="18"/>
  </w:num>
  <w:num w:numId="49">
    <w:abstractNumId w:val="20"/>
  </w:num>
  <w:num w:numId="50">
    <w:abstractNumId w:val="22"/>
  </w:num>
  <w:num w:numId="51">
    <w:abstractNumId w:val="44"/>
  </w:num>
  <w:num w:numId="52">
    <w:abstractNumId w:val="52"/>
  </w:num>
  <w:num w:numId="53">
    <w:abstractNumId w:val="3"/>
  </w:num>
  <w:num w:numId="54">
    <w:abstractNumId w:val="2"/>
  </w:num>
  <w:num w:numId="55">
    <w:abstractNumId w:val="1"/>
  </w:num>
  <w:num w:numId="56">
    <w:abstractNumId w:val="0"/>
  </w:num>
  <w:num w:numId="57">
    <w:abstractNumId w:val="1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removePersonalInformation/>
  <w:removeDateAndTime/>
  <w:defaultTabStop w:val="720"/>
  <w:evenAndOddHeaders/>
  <w:drawingGridHorizontalSpacing w:val="110"/>
  <w:displayHorizontalDrawingGridEvery w:val="2"/>
  <w:characterSpacingControl w:val="doNotCompress"/>
  <w:hdrShapeDefaults>
    <o:shapedefaults v:ext="edit" spidmax="13313" style="mso-position-horizontal:center;mso-position-horizontal-relative:page;mso-position-vertical-relative:page" fillcolor="none [671]" stroke="f">
      <v:fill color="none [671]" opacity=".75"/>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2C6"/>
    <w:rsid w:val="00000111"/>
    <w:rsid w:val="00000260"/>
    <w:rsid w:val="000002BE"/>
    <w:rsid w:val="00000400"/>
    <w:rsid w:val="000005A2"/>
    <w:rsid w:val="00000EBE"/>
    <w:rsid w:val="000012B2"/>
    <w:rsid w:val="0000145D"/>
    <w:rsid w:val="000015EE"/>
    <w:rsid w:val="00001650"/>
    <w:rsid w:val="00001721"/>
    <w:rsid w:val="00001931"/>
    <w:rsid w:val="00001B5E"/>
    <w:rsid w:val="00001C49"/>
    <w:rsid w:val="000020DD"/>
    <w:rsid w:val="000023C1"/>
    <w:rsid w:val="00002825"/>
    <w:rsid w:val="000028A3"/>
    <w:rsid w:val="00002B27"/>
    <w:rsid w:val="00002EAB"/>
    <w:rsid w:val="00003762"/>
    <w:rsid w:val="0000423A"/>
    <w:rsid w:val="000048D0"/>
    <w:rsid w:val="00004C48"/>
    <w:rsid w:val="00004F6F"/>
    <w:rsid w:val="000050C1"/>
    <w:rsid w:val="000054BE"/>
    <w:rsid w:val="00005689"/>
    <w:rsid w:val="000056FC"/>
    <w:rsid w:val="00005BD1"/>
    <w:rsid w:val="00005EC1"/>
    <w:rsid w:val="0000627A"/>
    <w:rsid w:val="000062F5"/>
    <w:rsid w:val="000063A0"/>
    <w:rsid w:val="000065EC"/>
    <w:rsid w:val="000068AD"/>
    <w:rsid w:val="00006958"/>
    <w:rsid w:val="000070DA"/>
    <w:rsid w:val="0000765D"/>
    <w:rsid w:val="00007755"/>
    <w:rsid w:val="00007BC1"/>
    <w:rsid w:val="0001045F"/>
    <w:rsid w:val="000104D9"/>
    <w:rsid w:val="000105B6"/>
    <w:rsid w:val="0001096A"/>
    <w:rsid w:val="00010B2A"/>
    <w:rsid w:val="00010C36"/>
    <w:rsid w:val="00010ED0"/>
    <w:rsid w:val="000110CE"/>
    <w:rsid w:val="00011382"/>
    <w:rsid w:val="0001155D"/>
    <w:rsid w:val="0001174A"/>
    <w:rsid w:val="00011A75"/>
    <w:rsid w:val="00011AE2"/>
    <w:rsid w:val="00011B95"/>
    <w:rsid w:val="00011BAC"/>
    <w:rsid w:val="00011DD8"/>
    <w:rsid w:val="0001203E"/>
    <w:rsid w:val="0001206B"/>
    <w:rsid w:val="00012310"/>
    <w:rsid w:val="0001278F"/>
    <w:rsid w:val="00012A29"/>
    <w:rsid w:val="00012C45"/>
    <w:rsid w:val="00012D17"/>
    <w:rsid w:val="00012F6B"/>
    <w:rsid w:val="000132FD"/>
    <w:rsid w:val="00013C8D"/>
    <w:rsid w:val="00013EA1"/>
    <w:rsid w:val="00014048"/>
    <w:rsid w:val="00014296"/>
    <w:rsid w:val="00014EA4"/>
    <w:rsid w:val="0001513E"/>
    <w:rsid w:val="000151FC"/>
    <w:rsid w:val="00015695"/>
    <w:rsid w:val="00015ABD"/>
    <w:rsid w:val="000160D9"/>
    <w:rsid w:val="0001657F"/>
    <w:rsid w:val="000165EC"/>
    <w:rsid w:val="000168E2"/>
    <w:rsid w:val="00016A73"/>
    <w:rsid w:val="0001707B"/>
    <w:rsid w:val="0001722C"/>
    <w:rsid w:val="000178E9"/>
    <w:rsid w:val="000179F5"/>
    <w:rsid w:val="00017F5D"/>
    <w:rsid w:val="00020300"/>
    <w:rsid w:val="00020E43"/>
    <w:rsid w:val="00020F69"/>
    <w:rsid w:val="000219E0"/>
    <w:rsid w:val="00021AFD"/>
    <w:rsid w:val="00021CDC"/>
    <w:rsid w:val="00021D68"/>
    <w:rsid w:val="00021DE0"/>
    <w:rsid w:val="00021FBE"/>
    <w:rsid w:val="00022456"/>
    <w:rsid w:val="000224E3"/>
    <w:rsid w:val="000229A1"/>
    <w:rsid w:val="00022C57"/>
    <w:rsid w:val="0002364C"/>
    <w:rsid w:val="0002378D"/>
    <w:rsid w:val="00023CD3"/>
    <w:rsid w:val="000240B8"/>
    <w:rsid w:val="0002451A"/>
    <w:rsid w:val="000245E8"/>
    <w:rsid w:val="000247E2"/>
    <w:rsid w:val="000249FF"/>
    <w:rsid w:val="000251DB"/>
    <w:rsid w:val="00025A80"/>
    <w:rsid w:val="00025AF7"/>
    <w:rsid w:val="0002688A"/>
    <w:rsid w:val="00026C47"/>
    <w:rsid w:val="000273BA"/>
    <w:rsid w:val="00027709"/>
    <w:rsid w:val="000278F8"/>
    <w:rsid w:val="00027A64"/>
    <w:rsid w:val="00030147"/>
    <w:rsid w:val="00030F54"/>
    <w:rsid w:val="000310A8"/>
    <w:rsid w:val="0003142C"/>
    <w:rsid w:val="000325D5"/>
    <w:rsid w:val="000326E9"/>
    <w:rsid w:val="00032E9E"/>
    <w:rsid w:val="0003387B"/>
    <w:rsid w:val="000338FD"/>
    <w:rsid w:val="00033BD4"/>
    <w:rsid w:val="00033CCA"/>
    <w:rsid w:val="00033DB0"/>
    <w:rsid w:val="0003419D"/>
    <w:rsid w:val="000342A6"/>
    <w:rsid w:val="00034ED2"/>
    <w:rsid w:val="0003577E"/>
    <w:rsid w:val="000357D2"/>
    <w:rsid w:val="00035BD8"/>
    <w:rsid w:val="00035EBD"/>
    <w:rsid w:val="00036CFC"/>
    <w:rsid w:val="0003725D"/>
    <w:rsid w:val="00037698"/>
    <w:rsid w:val="000379CB"/>
    <w:rsid w:val="0004037F"/>
    <w:rsid w:val="000403D5"/>
    <w:rsid w:val="000403D9"/>
    <w:rsid w:val="0004065B"/>
    <w:rsid w:val="0004098C"/>
    <w:rsid w:val="00040F0F"/>
    <w:rsid w:val="00041165"/>
    <w:rsid w:val="0004119B"/>
    <w:rsid w:val="0004126E"/>
    <w:rsid w:val="00041289"/>
    <w:rsid w:val="000418EE"/>
    <w:rsid w:val="00041AED"/>
    <w:rsid w:val="00041E31"/>
    <w:rsid w:val="00042337"/>
    <w:rsid w:val="000429F7"/>
    <w:rsid w:val="000438E2"/>
    <w:rsid w:val="00043ED5"/>
    <w:rsid w:val="000441B3"/>
    <w:rsid w:val="0004438A"/>
    <w:rsid w:val="00044B91"/>
    <w:rsid w:val="00044D9B"/>
    <w:rsid w:val="00045398"/>
    <w:rsid w:val="000454D0"/>
    <w:rsid w:val="00045AA3"/>
    <w:rsid w:val="00045D80"/>
    <w:rsid w:val="000460E7"/>
    <w:rsid w:val="000461FD"/>
    <w:rsid w:val="0004663A"/>
    <w:rsid w:val="00047136"/>
    <w:rsid w:val="0004744C"/>
    <w:rsid w:val="000475C3"/>
    <w:rsid w:val="00047908"/>
    <w:rsid w:val="00047AD1"/>
    <w:rsid w:val="00047D7A"/>
    <w:rsid w:val="00047E64"/>
    <w:rsid w:val="00050206"/>
    <w:rsid w:val="00050491"/>
    <w:rsid w:val="000507A9"/>
    <w:rsid w:val="00050A1A"/>
    <w:rsid w:val="00050D1C"/>
    <w:rsid w:val="00050DCB"/>
    <w:rsid w:val="000512A6"/>
    <w:rsid w:val="000521E9"/>
    <w:rsid w:val="0005261A"/>
    <w:rsid w:val="00052AD3"/>
    <w:rsid w:val="00052E10"/>
    <w:rsid w:val="00053493"/>
    <w:rsid w:val="0005400C"/>
    <w:rsid w:val="000543CC"/>
    <w:rsid w:val="000544E1"/>
    <w:rsid w:val="0005451D"/>
    <w:rsid w:val="00054963"/>
    <w:rsid w:val="0005496F"/>
    <w:rsid w:val="00054977"/>
    <w:rsid w:val="00055107"/>
    <w:rsid w:val="000552F7"/>
    <w:rsid w:val="00055516"/>
    <w:rsid w:val="0005563E"/>
    <w:rsid w:val="00055F9A"/>
    <w:rsid w:val="00056057"/>
    <w:rsid w:val="00056487"/>
    <w:rsid w:val="00056B5E"/>
    <w:rsid w:val="00056D23"/>
    <w:rsid w:val="00056DE7"/>
    <w:rsid w:val="000576E6"/>
    <w:rsid w:val="0005793F"/>
    <w:rsid w:val="00057BCA"/>
    <w:rsid w:val="000601F5"/>
    <w:rsid w:val="000603AF"/>
    <w:rsid w:val="00060719"/>
    <w:rsid w:val="00060A3F"/>
    <w:rsid w:val="00060B3A"/>
    <w:rsid w:val="00061512"/>
    <w:rsid w:val="00061950"/>
    <w:rsid w:val="0006253F"/>
    <w:rsid w:val="00062906"/>
    <w:rsid w:val="00062DC2"/>
    <w:rsid w:val="00063463"/>
    <w:rsid w:val="00063A4E"/>
    <w:rsid w:val="00063F27"/>
    <w:rsid w:val="00063FB4"/>
    <w:rsid w:val="00064831"/>
    <w:rsid w:val="00064CE3"/>
    <w:rsid w:val="00064D5D"/>
    <w:rsid w:val="00065359"/>
    <w:rsid w:val="00065E94"/>
    <w:rsid w:val="0006604A"/>
    <w:rsid w:val="0006607F"/>
    <w:rsid w:val="000660BF"/>
    <w:rsid w:val="00066734"/>
    <w:rsid w:val="00066895"/>
    <w:rsid w:val="00066D54"/>
    <w:rsid w:val="00067093"/>
    <w:rsid w:val="00067112"/>
    <w:rsid w:val="000673F0"/>
    <w:rsid w:val="000674EF"/>
    <w:rsid w:val="00067BA2"/>
    <w:rsid w:val="00070057"/>
    <w:rsid w:val="0007082E"/>
    <w:rsid w:val="000708FB"/>
    <w:rsid w:val="00070A0E"/>
    <w:rsid w:val="00071570"/>
    <w:rsid w:val="000715BA"/>
    <w:rsid w:val="00071A56"/>
    <w:rsid w:val="00071D9B"/>
    <w:rsid w:val="0007200B"/>
    <w:rsid w:val="0007202C"/>
    <w:rsid w:val="0007214A"/>
    <w:rsid w:val="00072329"/>
    <w:rsid w:val="00072370"/>
    <w:rsid w:val="0007285F"/>
    <w:rsid w:val="0007286B"/>
    <w:rsid w:val="00072E77"/>
    <w:rsid w:val="00073FD0"/>
    <w:rsid w:val="000742DF"/>
    <w:rsid w:val="0007495C"/>
    <w:rsid w:val="00074CFC"/>
    <w:rsid w:val="0007510C"/>
    <w:rsid w:val="000751AF"/>
    <w:rsid w:val="000759E1"/>
    <w:rsid w:val="00075C65"/>
    <w:rsid w:val="00075F85"/>
    <w:rsid w:val="00076336"/>
    <w:rsid w:val="00076482"/>
    <w:rsid w:val="00076678"/>
    <w:rsid w:val="00076A8D"/>
    <w:rsid w:val="00076DA3"/>
    <w:rsid w:val="00076F27"/>
    <w:rsid w:val="0007715E"/>
    <w:rsid w:val="00077666"/>
    <w:rsid w:val="00077764"/>
    <w:rsid w:val="0007794F"/>
    <w:rsid w:val="00077CFD"/>
    <w:rsid w:val="00077DD9"/>
    <w:rsid w:val="00080B5F"/>
    <w:rsid w:val="00080C54"/>
    <w:rsid w:val="0008109A"/>
    <w:rsid w:val="00081B2E"/>
    <w:rsid w:val="00081FA4"/>
    <w:rsid w:val="000822C1"/>
    <w:rsid w:val="00082539"/>
    <w:rsid w:val="00082670"/>
    <w:rsid w:val="000826C0"/>
    <w:rsid w:val="00082EC2"/>
    <w:rsid w:val="000838A9"/>
    <w:rsid w:val="00083A5D"/>
    <w:rsid w:val="00084277"/>
    <w:rsid w:val="0008462B"/>
    <w:rsid w:val="000846DF"/>
    <w:rsid w:val="000847DA"/>
    <w:rsid w:val="00084CFA"/>
    <w:rsid w:val="00084D90"/>
    <w:rsid w:val="00084F09"/>
    <w:rsid w:val="00084F67"/>
    <w:rsid w:val="00084FF4"/>
    <w:rsid w:val="000854C2"/>
    <w:rsid w:val="00085C8A"/>
    <w:rsid w:val="00086312"/>
    <w:rsid w:val="000863A5"/>
    <w:rsid w:val="00087435"/>
    <w:rsid w:val="00087436"/>
    <w:rsid w:val="0008799F"/>
    <w:rsid w:val="00087CBF"/>
    <w:rsid w:val="00087ECC"/>
    <w:rsid w:val="00087F69"/>
    <w:rsid w:val="000903A2"/>
    <w:rsid w:val="0009061E"/>
    <w:rsid w:val="000906ED"/>
    <w:rsid w:val="00090754"/>
    <w:rsid w:val="0009118A"/>
    <w:rsid w:val="000912CE"/>
    <w:rsid w:val="000912DF"/>
    <w:rsid w:val="000912FD"/>
    <w:rsid w:val="000916FB"/>
    <w:rsid w:val="000917D7"/>
    <w:rsid w:val="00091D10"/>
    <w:rsid w:val="00091DB9"/>
    <w:rsid w:val="0009210B"/>
    <w:rsid w:val="000924A6"/>
    <w:rsid w:val="00092A89"/>
    <w:rsid w:val="00092D6D"/>
    <w:rsid w:val="00092FD6"/>
    <w:rsid w:val="00092FD9"/>
    <w:rsid w:val="0009305B"/>
    <w:rsid w:val="00093AB5"/>
    <w:rsid w:val="00093E3D"/>
    <w:rsid w:val="0009453E"/>
    <w:rsid w:val="00094A29"/>
    <w:rsid w:val="00094FBA"/>
    <w:rsid w:val="00095860"/>
    <w:rsid w:val="000959A1"/>
    <w:rsid w:val="000959FA"/>
    <w:rsid w:val="00095B8E"/>
    <w:rsid w:val="000960D1"/>
    <w:rsid w:val="0009621E"/>
    <w:rsid w:val="00096323"/>
    <w:rsid w:val="000963ED"/>
    <w:rsid w:val="0009641C"/>
    <w:rsid w:val="000968A5"/>
    <w:rsid w:val="000969F3"/>
    <w:rsid w:val="00096B91"/>
    <w:rsid w:val="00097263"/>
    <w:rsid w:val="000974BC"/>
    <w:rsid w:val="000977B9"/>
    <w:rsid w:val="00097ECB"/>
    <w:rsid w:val="000A08B3"/>
    <w:rsid w:val="000A08C5"/>
    <w:rsid w:val="000A090D"/>
    <w:rsid w:val="000A09E6"/>
    <w:rsid w:val="000A0C99"/>
    <w:rsid w:val="000A0D9B"/>
    <w:rsid w:val="000A16C6"/>
    <w:rsid w:val="000A183E"/>
    <w:rsid w:val="000A1A0A"/>
    <w:rsid w:val="000A1A80"/>
    <w:rsid w:val="000A1A81"/>
    <w:rsid w:val="000A1BFA"/>
    <w:rsid w:val="000A1D43"/>
    <w:rsid w:val="000A2093"/>
    <w:rsid w:val="000A25F9"/>
    <w:rsid w:val="000A26A3"/>
    <w:rsid w:val="000A2CCB"/>
    <w:rsid w:val="000A2F25"/>
    <w:rsid w:val="000A3024"/>
    <w:rsid w:val="000A319F"/>
    <w:rsid w:val="000A368B"/>
    <w:rsid w:val="000A380A"/>
    <w:rsid w:val="000A3964"/>
    <w:rsid w:val="000A3B63"/>
    <w:rsid w:val="000A3B65"/>
    <w:rsid w:val="000A3F65"/>
    <w:rsid w:val="000A4714"/>
    <w:rsid w:val="000A49AD"/>
    <w:rsid w:val="000A52D6"/>
    <w:rsid w:val="000A5839"/>
    <w:rsid w:val="000A58F2"/>
    <w:rsid w:val="000A5D6A"/>
    <w:rsid w:val="000A5F96"/>
    <w:rsid w:val="000A67F1"/>
    <w:rsid w:val="000A6D38"/>
    <w:rsid w:val="000A6DE3"/>
    <w:rsid w:val="000A7238"/>
    <w:rsid w:val="000A72D8"/>
    <w:rsid w:val="000A745E"/>
    <w:rsid w:val="000A77E1"/>
    <w:rsid w:val="000A7E9D"/>
    <w:rsid w:val="000B01A6"/>
    <w:rsid w:val="000B033F"/>
    <w:rsid w:val="000B0C54"/>
    <w:rsid w:val="000B2111"/>
    <w:rsid w:val="000B2596"/>
    <w:rsid w:val="000B25A5"/>
    <w:rsid w:val="000B2849"/>
    <w:rsid w:val="000B28B0"/>
    <w:rsid w:val="000B28FC"/>
    <w:rsid w:val="000B2AFF"/>
    <w:rsid w:val="000B3299"/>
    <w:rsid w:val="000B3463"/>
    <w:rsid w:val="000B3B0E"/>
    <w:rsid w:val="000B3B3D"/>
    <w:rsid w:val="000B3E5C"/>
    <w:rsid w:val="000B422A"/>
    <w:rsid w:val="000B4721"/>
    <w:rsid w:val="000B4881"/>
    <w:rsid w:val="000B491D"/>
    <w:rsid w:val="000B4FD5"/>
    <w:rsid w:val="000B51FC"/>
    <w:rsid w:val="000B5351"/>
    <w:rsid w:val="000B56C0"/>
    <w:rsid w:val="000B5896"/>
    <w:rsid w:val="000B5A89"/>
    <w:rsid w:val="000B5DD1"/>
    <w:rsid w:val="000B60DB"/>
    <w:rsid w:val="000B6650"/>
    <w:rsid w:val="000B6A58"/>
    <w:rsid w:val="000B6A65"/>
    <w:rsid w:val="000B6B3D"/>
    <w:rsid w:val="000B6BD2"/>
    <w:rsid w:val="000B6C9B"/>
    <w:rsid w:val="000B7537"/>
    <w:rsid w:val="000B76EE"/>
    <w:rsid w:val="000B76F1"/>
    <w:rsid w:val="000B785E"/>
    <w:rsid w:val="000B7C8A"/>
    <w:rsid w:val="000B7F1B"/>
    <w:rsid w:val="000B7F59"/>
    <w:rsid w:val="000B7FF9"/>
    <w:rsid w:val="000C03CD"/>
    <w:rsid w:val="000C0533"/>
    <w:rsid w:val="000C054B"/>
    <w:rsid w:val="000C0815"/>
    <w:rsid w:val="000C0BAD"/>
    <w:rsid w:val="000C0D06"/>
    <w:rsid w:val="000C0FC4"/>
    <w:rsid w:val="000C161E"/>
    <w:rsid w:val="000C179B"/>
    <w:rsid w:val="000C17B0"/>
    <w:rsid w:val="000C187D"/>
    <w:rsid w:val="000C1D21"/>
    <w:rsid w:val="000C1DB3"/>
    <w:rsid w:val="000C21B9"/>
    <w:rsid w:val="000C22BD"/>
    <w:rsid w:val="000C26E9"/>
    <w:rsid w:val="000C2A1C"/>
    <w:rsid w:val="000C3B14"/>
    <w:rsid w:val="000C3B69"/>
    <w:rsid w:val="000C4117"/>
    <w:rsid w:val="000C4B0F"/>
    <w:rsid w:val="000C57EE"/>
    <w:rsid w:val="000C5C80"/>
    <w:rsid w:val="000C6109"/>
    <w:rsid w:val="000C6A1F"/>
    <w:rsid w:val="000C6BFC"/>
    <w:rsid w:val="000C6D09"/>
    <w:rsid w:val="000C6D74"/>
    <w:rsid w:val="000C6E1D"/>
    <w:rsid w:val="000C714C"/>
    <w:rsid w:val="000C740F"/>
    <w:rsid w:val="000C762F"/>
    <w:rsid w:val="000C78BB"/>
    <w:rsid w:val="000C7A55"/>
    <w:rsid w:val="000C7B19"/>
    <w:rsid w:val="000C7D89"/>
    <w:rsid w:val="000D0186"/>
    <w:rsid w:val="000D02CC"/>
    <w:rsid w:val="000D03C2"/>
    <w:rsid w:val="000D05F2"/>
    <w:rsid w:val="000D07A6"/>
    <w:rsid w:val="000D086A"/>
    <w:rsid w:val="000D0DB1"/>
    <w:rsid w:val="000D189D"/>
    <w:rsid w:val="000D1E85"/>
    <w:rsid w:val="000D2067"/>
    <w:rsid w:val="000D2119"/>
    <w:rsid w:val="000D2A3F"/>
    <w:rsid w:val="000D2FE7"/>
    <w:rsid w:val="000D3006"/>
    <w:rsid w:val="000D35E2"/>
    <w:rsid w:val="000D3A10"/>
    <w:rsid w:val="000D3A93"/>
    <w:rsid w:val="000D464B"/>
    <w:rsid w:val="000D469F"/>
    <w:rsid w:val="000D474B"/>
    <w:rsid w:val="000D4824"/>
    <w:rsid w:val="000D4F31"/>
    <w:rsid w:val="000D55F7"/>
    <w:rsid w:val="000D618F"/>
    <w:rsid w:val="000D62EE"/>
    <w:rsid w:val="000D639C"/>
    <w:rsid w:val="000D64B7"/>
    <w:rsid w:val="000D64FA"/>
    <w:rsid w:val="000D6508"/>
    <w:rsid w:val="000D6781"/>
    <w:rsid w:val="000D6863"/>
    <w:rsid w:val="000D6F8F"/>
    <w:rsid w:val="000D71AC"/>
    <w:rsid w:val="000D74A6"/>
    <w:rsid w:val="000E116E"/>
    <w:rsid w:val="000E160D"/>
    <w:rsid w:val="000E1E8F"/>
    <w:rsid w:val="000E1F42"/>
    <w:rsid w:val="000E282C"/>
    <w:rsid w:val="000E2845"/>
    <w:rsid w:val="000E2BBF"/>
    <w:rsid w:val="000E3796"/>
    <w:rsid w:val="000E3934"/>
    <w:rsid w:val="000E4445"/>
    <w:rsid w:val="000E444D"/>
    <w:rsid w:val="000E45D4"/>
    <w:rsid w:val="000E57AB"/>
    <w:rsid w:val="000E5845"/>
    <w:rsid w:val="000E5EAD"/>
    <w:rsid w:val="000E60B4"/>
    <w:rsid w:val="000E6A63"/>
    <w:rsid w:val="000E6BCA"/>
    <w:rsid w:val="000E6C96"/>
    <w:rsid w:val="000E6D0F"/>
    <w:rsid w:val="000E7BD7"/>
    <w:rsid w:val="000E7F46"/>
    <w:rsid w:val="000E7FD8"/>
    <w:rsid w:val="000F0481"/>
    <w:rsid w:val="000F0788"/>
    <w:rsid w:val="000F09FF"/>
    <w:rsid w:val="000F0EED"/>
    <w:rsid w:val="000F121B"/>
    <w:rsid w:val="000F15F6"/>
    <w:rsid w:val="000F174D"/>
    <w:rsid w:val="000F195A"/>
    <w:rsid w:val="000F2310"/>
    <w:rsid w:val="000F2361"/>
    <w:rsid w:val="000F250B"/>
    <w:rsid w:val="000F27E3"/>
    <w:rsid w:val="000F2C2A"/>
    <w:rsid w:val="000F2F4F"/>
    <w:rsid w:val="000F35C0"/>
    <w:rsid w:val="000F3618"/>
    <w:rsid w:val="000F3713"/>
    <w:rsid w:val="000F3901"/>
    <w:rsid w:val="000F3AFB"/>
    <w:rsid w:val="000F4272"/>
    <w:rsid w:val="000F44F2"/>
    <w:rsid w:val="000F45CC"/>
    <w:rsid w:val="000F4FC2"/>
    <w:rsid w:val="000F526B"/>
    <w:rsid w:val="000F5494"/>
    <w:rsid w:val="000F5517"/>
    <w:rsid w:val="000F5780"/>
    <w:rsid w:val="000F6710"/>
    <w:rsid w:val="000F6924"/>
    <w:rsid w:val="000F6EB1"/>
    <w:rsid w:val="000F7249"/>
    <w:rsid w:val="000F736D"/>
    <w:rsid w:val="000F7673"/>
    <w:rsid w:val="000F7B00"/>
    <w:rsid w:val="000F7CC3"/>
    <w:rsid w:val="000F7D4D"/>
    <w:rsid w:val="000F7ED8"/>
    <w:rsid w:val="000F7EE3"/>
    <w:rsid w:val="001009E0"/>
    <w:rsid w:val="00100D44"/>
    <w:rsid w:val="00101284"/>
    <w:rsid w:val="00101341"/>
    <w:rsid w:val="0010158F"/>
    <w:rsid w:val="00101A23"/>
    <w:rsid w:val="00101B44"/>
    <w:rsid w:val="00101F63"/>
    <w:rsid w:val="00102083"/>
    <w:rsid w:val="001021D8"/>
    <w:rsid w:val="00102479"/>
    <w:rsid w:val="001024FD"/>
    <w:rsid w:val="0010293C"/>
    <w:rsid w:val="00102A42"/>
    <w:rsid w:val="00102DA6"/>
    <w:rsid w:val="001042E9"/>
    <w:rsid w:val="001048FC"/>
    <w:rsid w:val="00104E6B"/>
    <w:rsid w:val="00104FFF"/>
    <w:rsid w:val="00105861"/>
    <w:rsid w:val="0010636E"/>
    <w:rsid w:val="0010637E"/>
    <w:rsid w:val="001063E3"/>
    <w:rsid w:val="0010643C"/>
    <w:rsid w:val="00106664"/>
    <w:rsid w:val="00106AFA"/>
    <w:rsid w:val="00106DED"/>
    <w:rsid w:val="00106F45"/>
    <w:rsid w:val="0010706B"/>
    <w:rsid w:val="00107087"/>
    <w:rsid w:val="001074B2"/>
    <w:rsid w:val="00107B80"/>
    <w:rsid w:val="00107DA9"/>
    <w:rsid w:val="00107E5A"/>
    <w:rsid w:val="00107FA3"/>
    <w:rsid w:val="00110031"/>
    <w:rsid w:val="00110759"/>
    <w:rsid w:val="0011082C"/>
    <w:rsid w:val="0011087B"/>
    <w:rsid w:val="00110AB0"/>
    <w:rsid w:val="00110D4D"/>
    <w:rsid w:val="0011133F"/>
    <w:rsid w:val="001114C3"/>
    <w:rsid w:val="00111723"/>
    <w:rsid w:val="0011214B"/>
    <w:rsid w:val="001122CC"/>
    <w:rsid w:val="00112454"/>
    <w:rsid w:val="00112B22"/>
    <w:rsid w:val="00112C11"/>
    <w:rsid w:val="00112CF8"/>
    <w:rsid w:val="00112E95"/>
    <w:rsid w:val="00112EDD"/>
    <w:rsid w:val="001131A8"/>
    <w:rsid w:val="00113393"/>
    <w:rsid w:val="001143AC"/>
    <w:rsid w:val="0011471E"/>
    <w:rsid w:val="00114DDC"/>
    <w:rsid w:val="00114E2E"/>
    <w:rsid w:val="0011501B"/>
    <w:rsid w:val="00115CF2"/>
    <w:rsid w:val="00115E80"/>
    <w:rsid w:val="00116299"/>
    <w:rsid w:val="001164F6"/>
    <w:rsid w:val="00116C3A"/>
    <w:rsid w:val="001170A3"/>
    <w:rsid w:val="001172A1"/>
    <w:rsid w:val="00117321"/>
    <w:rsid w:val="001173E6"/>
    <w:rsid w:val="001175BF"/>
    <w:rsid w:val="00117A5C"/>
    <w:rsid w:val="00117ED1"/>
    <w:rsid w:val="00117F5D"/>
    <w:rsid w:val="00117FC6"/>
    <w:rsid w:val="00120420"/>
    <w:rsid w:val="00120627"/>
    <w:rsid w:val="001207C8"/>
    <w:rsid w:val="001207D6"/>
    <w:rsid w:val="00120B17"/>
    <w:rsid w:val="00120C61"/>
    <w:rsid w:val="00121CF7"/>
    <w:rsid w:val="00122640"/>
    <w:rsid w:val="001226BA"/>
    <w:rsid w:val="00122C9E"/>
    <w:rsid w:val="00122D6C"/>
    <w:rsid w:val="00122E57"/>
    <w:rsid w:val="00122F74"/>
    <w:rsid w:val="0012371F"/>
    <w:rsid w:val="001238F2"/>
    <w:rsid w:val="00123B9D"/>
    <w:rsid w:val="00123CCD"/>
    <w:rsid w:val="00123F76"/>
    <w:rsid w:val="0012448C"/>
    <w:rsid w:val="0012480C"/>
    <w:rsid w:val="00124B89"/>
    <w:rsid w:val="00124E58"/>
    <w:rsid w:val="001253CD"/>
    <w:rsid w:val="0012554F"/>
    <w:rsid w:val="0012561C"/>
    <w:rsid w:val="00125925"/>
    <w:rsid w:val="00125AA9"/>
    <w:rsid w:val="00125FF3"/>
    <w:rsid w:val="001263C4"/>
    <w:rsid w:val="001267A7"/>
    <w:rsid w:val="00126A3E"/>
    <w:rsid w:val="00126EFE"/>
    <w:rsid w:val="001271B0"/>
    <w:rsid w:val="0012775A"/>
    <w:rsid w:val="001277C9"/>
    <w:rsid w:val="0012793F"/>
    <w:rsid w:val="001279BF"/>
    <w:rsid w:val="00127C4E"/>
    <w:rsid w:val="00130036"/>
    <w:rsid w:val="00130629"/>
    <w:rsid w:val="00130737"/>
    <w:rsid w:val="00130954"/>
    <w:rsid w:val="00130A13"/>
    <w:rsid w:val="00130A5C"/>
    <w:rsid w:val="00130B1F"/>
    <w:rsid w:val="00130EF1"/>
    <w:rsid w:val="00130F5D"/>
    <w:rsid w:val="001313AA"/>
    <w:rsid w:val="0013151F"/>
    <w:rsid w:val="001315FA"/>
    <w:rsid w:val="001318A3"/>
    <w:rsid w:val="00131983"/>
    <w:rsid w:val="00131C83"/>
    <w:rsid w:val="00131FC5"/>
    <w:rsid w:val="00132592"/>
    <w:rsid w:val="001325A4"/>
    <w:rsid w:val="001330E3"/>
    <w:rsid w:val="00133281"/>
    <w:rsid w:val="001332A0"/>
    <w:rsid w:val="00133444"/>
    <w:rsid w:val="00133491"/>
    <w:rsid w:val="001335E9"/>
    <w:rsid w:val="001339B3"/>
    <w:rsid w:val="00133E2B"/>
    <w:rsid w:val="001341F6"/>
    <w:rsid w:val="00134882"/>
    <w:rsid w:val="00134A3A"/>
    <w:rsid w:val="00134A62"/>
    <w:rsid w:val="00134AFC"/>
    <w:rsid w:val="00134F7C"/>
    <w:rsid w:val="00134FC6"/>
    <w:rsid w:val="0013502B"/>
    <w:rsid w:val="001353D2"/>
    <w:rsid w:val="00135FAB"/>
    <w:rsid w:val="00136348"/>
    <w:rsid w:val="001368C5"/>
    <w:rsid w:val="001369C4"/>
    <w:rsid w:val="00136C07"/>
    <w:rsid w:val="0013732B"/>
    <w:rsid w:val="00137698"/>
    <w:rsid w:val="00137902"/>
    <w:rsid w:val="00137BA8"/>
    <w:rsid w:val="00137E84"/>
    <w:rsid w:val="00140030"/>
    <w:rsid w:val="0014017B"/>
    <w:rsid w:val="00140474"/>
    <w:rsid w:val="00140B84"/>
    <w:rsid w:val="0014144F"/>
    <w:rsid w:val="00141FAD"/>
    <w:rsid w:val="0014216E"/>
    <w:rsid w:val="00142692"/>
    <w:rsid w:val="00142DE9"/>
    <w:rsid w:val="00143251"/>
    <w:rsid w:val="001435BD"/>
    <w:rsid w:val="00143DB2"/>
    <w:rsid w:val="00143F52"/>
    <w:rsid w:val="00144107"/>
    <w:rsid w:val="001443F1"/>
    <w:rsid w:val="00144CC1"/>
    <w:rsid w:val="00144D62"/>
    <w:rsid w:val="00144E7E"/>
    <w:rsid w:val="00144ED8"/>
    <w:rsid w:val="00145698"/>
    <w:rsid w:val="00145BF7"/>
    <w:rsid w:val="00145D84"/>
    <w:rsid w:val="0014662A"/>
    <w:rsid w:val="0014685A"/>
    <w:rsid w:val="00146A00"/>
    <w:rsid w:val="00146B4D"/>
    <w:rsid w:val="00146F44"/>
    <w:rsid w:val="001470D6"/>
    <w:rsid w:val="00147318"/>
    <w:rsid w:val="00147512"/>
    <w:rsid w:val="00147C7F"/>
    <w:rsid w:val="001500AE"/>
    <w:rsid w:val="00150256"/>
    <w:rsid w:val="001503C6"/>
    <w:rsid w:val="001506B5"/>
    <w:rsid w:val="00150FF5"/>
    <w:rsid w:val="001516B1"/>
    <w:rsid w:val="00151764"/>
    <w:rsid w:val="00151D39"/>
    <w:rsid w:val="00152AF7"/>
    <w:rsid w:val="001532FC"/>
    <w:rsid w:val="00153455"/>
    <w:rsid w:val="0015359A"/>
    <w:rsid w:val="001539E6"/>
    <w:rsid w:val="00153C06"/>
    <w:rsid w:val="00153EA5"/>
    <w:rsid w:val="0015434B"/>
    <w:rsid w:val="0015455C"/>
    <w:rsid w:val="00154725"/>
    <w:rsid w:val="00154C0A"/>
    <w:rsid w:val="00154EAD"/>
    <w:rsid w:val="0015561B"/>
    <w:rsid w:val="00155BAC"/>
    <w:rsid w:val="00155D2A"/>
    <w:rsid w:val="00155F5F"/>
    <w:rsid w:val="00156067"/>
    <w:rsid w:val="0015654A"/>
    <w:rsid w:val="00156773"/>
    <w:rsid w:val="001567D5"/>
    <w:rsid w:val="00156DF9"/>
    <w:rsid w:val="00156FB6"/>
    <w:rsid w:val="001573E9"/>
    <w:rsid w:val="001579E5"/>
    <w:rsid w:val="00157ABB"/>
    <w:rsid w:val="00157CD4"/>
    <w:rsid w:val="00160021"/>
    <w:rsid w:val="001602B9"/>
    <w:rsid w:val="001606AE"/>
    <w:rsid w:val="00160C97"/>
    <w:rsid w:val="00161ADF"/>
    <w:rsid w:val="00161C9B"/>
    <w:rsid w:val="001624B6"/>
    <w:rsid w:val="001628BB"/>
    <w:rsid w:val="00162940"/>
    <w:rsid w:val="00162C61"/>
    <w:rsid w:val="00162E6C"/>
    <w:rsid w:val="0016347A"/>
    <w:rsid w:val="00163712"/>
    <w:rsid w:val="00163CEB"/>
    <w:rsid w:val="00163D8E"/>
    <w:rsid w:val="00163EC7"/>
    <w:rsid w:val="001647AD"/>
    <w:rsid w:val="00164BBF"/>
    <w:rsid w:val="0016548F"/>
    <w:rsid w:val="001657E1"/>
    <w:rsid w:val="001659E5"/>
    <w:rsid w:val="00166484"/>
    <w:rsid w:val="0016686E"/>
    <w:rsid w:val="00166B14"/>
    <w:rsid w:val="00167097"/>
    <w:rsid w:val="00167169"/>
    <w:rsid w:val="001674DB"/>
    <w:rsid w:val="00167612"/>
    <w:rsid w:val="0016773E"/>
    <w:rsid w:val="00167BB0"/>
    <w:rsid w:val="00170082"/>
    <w:rsid w:val="00170115"/>
    <w:rsid w:val="00170303"/>
    <w:rsid w:val="00170369"/>
    <w:rsid w:val="00170A80"/>
    <w:rsid w:val="00170CC9"/>
    <w:rsid w:val="00170F8F"/>
    <w:rsid w:val="00171B0B"/>
    <w:rsid w:val="0017270D"/>
    <w:rsid w:val="00172798"/>
    <w:rsid w:val="001728B2"/>
    <w:rsid w:val="00172F67"/>
    <w:rsid w:val="001730E7"/>
    <w:rsid w:val="00173ED3"/>
    <w:rsid w:val="00173EE9"/>
    <w:rsid w:val="001741A2"/>
    <w:rsid w:val="00174322"/>
    <w:rsid w:val="001746D7"/>
    <w:rsid w:val="00174CA0"/>
    <w:rsid w:val="001758D9"/>
    <w:rsid w:val="00175A70"/>
    <w:rsid w:val="00175AA0"/>
    <w:rsid w:val="00175E83"/>
    <w:rsid w:val="00176245"/>
    <w:rsid w:val="00176864"/>
    <w:rsid w:val="00177037"/>
    <w:rsid w:val="00177F97"/>
    <w:rsid w:val="00180011"/>
    <w:rsid w:val="00180402"/>
    <w:rsid w:val="00181121"/>
    <w:rsid w:val="0018161C"/>
    <w:rsid w:val="00181EF2"/>
    <w:rsid w:val="0018292C"/>
    <w:rsid w:val="00182CE7"/>
    <w:rsid w:val="00183365"/>
    <w:rsid w:val="00183586"/>
    <w:rsid w:val="00183771"/>
    <w:rsid w:val="00183CC9"/>
    <w:rsid w:val="00184137"/>
    <w:rsid w:val="001844CB"/>
    <w:rsid w:val="00184DC5"/>
    <w:rsid w:val="001855DC"/>
    <w:rsid w:val="00185854"/>
    <w:rsid w:val="001859FD"/>
    <w:rsid w:val="00185C8A"/>
    <w:rsid w:val="00185E6F"/>
    <w:rsid w:val="0018653C"/>
    <w:rsid w:val="00186542"/>
    <w:rsid w:val="00186B09"/>
    <w:rsid w:val="001876F8"/>
    <w:rsid w:val="001879A6"/>
    <w:rsid w:val="001900D9"/>
    <w:rsid w:val="001901D0"/>
    <w:rsid w:val="00191242"/>
    <w:rsid w:val="00191367"/>
    <w:rsid w:val="00191BB9"/>
    <w:rsid w:val="00191D7D"/>
    <w:rsid w:val="00191F46"/>
    <w:rsid w:val="001920ED"/>
    <w:rsid w:val="00192150"/>
    <w:rsid w:val="00192C71"/>
    <w:rsid w:val="00192E8A"/>
    <w:rsid w:val="00192EE4"/>
    <w:rsid w:val="00192F68"/>
    <w:rsid w:val="00193293"/>
    <w:rsid w:val="00193356"/>
    <w:rsid w:val="00193D29"/>
    <w:rsid w:val="00193DD1"/>
    <w:rsid w:val="00194219"/>
    <w:rsid w:val="001946DC"/>
    <w:rsid w:val="00194BE3"/>
    <w:rsid w:val="00194C6B"/>
    <w:rsid w:val="00194C73"/>
    <w:rsid w:val="00194E78"/>
    <w:rsid w:val="00194EEB"/>
    <w:rsid w:val="00195E3E"/>
    <w:rsid w:val="001961EE"/>
    <w:rsid w:val="00196B27"/>
    <w:rsid w:val="00196B2E"/>
    <w:rsid w:val="00196BDE"/>
    <w:rsid w:val="00197199"/>
    <w:rsid w:val="0019763D"/>
    <w:rsid w:val="00197A4B"/>
    <w:rsid w:val="00197B1B"/>
    <w:rsid w:val="001A0037"/>
    <w:rsid w:val="001A0450"/>
    <w:rsid w:val="001A0632"/>
    <w:rsid w:val="001A07E7"/>
    <w:rsid w:val="001A0A4B"/>
    <w:rsid w:val="001A1542"/>
    <w:rsid w:val="001A1C23"/>
    <w:rsid w:val="001A1F35"/>
    <w:rsid w:val="001A1F64"/>
    <w:rsid w:val="001A211A"/>
    <w:rsid w:val="001A213C"/>
    <w:rsid w:val="001A22C9"/>
    <w:rsid w:val="001A2555"/>
    <w:rsid w:val="001A27BD"/>
    <w:rsid w:val="001A2A5A"/>
    <w:rsid w:val="001A2A7F"/>
    <w:rsid w:val="001A2D42"/>
    <w:rsid w:val="001A30C9"/>
    <w:rsid w:val="001A311F"/>
    <w:rsid w:val="001A3417"/>
    <w:rsid w:val="001A3822"/>
    <w:rsid w:val="001A494E"/>
    <w:rsid w:val="001A4DFB"/>
    <w:rsid w:val="001A4EC5"/>
    <w:rsid w:val="001A55BB"/>
    <w:rsid w:val="001A58D9"/>
    <w:rsid w:val="001A60EF"/>
    <w:rsid w:val="001A612E"/>
    <w:rsid w:val="001A638C"/>
    <w:rsid w:val="001A66D7"/>
    <w:rsid w:val="001A6A00"/>
    <w:rsid w:val="001A6DC9"/>
    <w:rsid w:val="001A6F51"/>
    <w:rsid w:val="001A73C5"/>
    <w:rsid w:val="001A749F"/>
    <w:rsid w:val="001A74D9"/>
    <w:rsid w:val="001A76FC"/>
    <w:rsid w:val="001A7798"/>
    <w:rsid w:val="001B0029"/>
    <w:rsid w:val="001B04C9"/>
    <w:rsid w:val="001B0821"/>
    <w:rsid w:val="001B0852"/>
    <w:rsid w:val="001B0971"/>
    <w:rsid w:val="001B1031"/>
    <w:rsid w:val="001B11F5"/>
    <w:rsid w:val="001B12ED"/>
    <w:rsid w:val="001B13B5"/>
    <w:rsid w:val="001B14D4"/>
    <w:rsid w:val="001B1853"/>
    <w:rsid w:val="001B1A2E"/>
    <w:rsid w:val="001B1BA6"/>
    <w:rsid w:val="001B1D35"/>
    <w:rsid w:val="001B1E5F"/>
    <w:rsid w:val="001B1FA3"/>
    <w:rsid w:val="001B22FA"/>
    <w:rsid w:val="001B24C4"/>
    <w:rsid w:val="001B2929"/>
    <w:rsid w:val="001B2A60"/>
    <w:rsid w:val="001B3519"/>
    <w:rsid w:val="001B3929"/>
    <w:rsid w:val="001B3AFD"/>
    <w:rsid w:val="001B4473"/>
    <w:rsid w:val="001B4926"/>
    <w:rsid w:val="001B49A7"/>
    <w:rsid w:val="001B49B6"/>
    <w:rsid w:val="001B49BD"/>
    <w:rsid w:val="001B4AF6"/>
    <w:rsid w:val="001B4C27"/>
    <w:rsid w:val="001B4DEC"/>
    <w:rsid w:val="001B5572"/>
    <w:rsid w:val="001B5EC9"/>
    <w:rsid w:val="001B5FC1"/>
    <w:rsid w:val="001B60BF"/>
    <w:rsid w:val="001B6186"/>
    <w:rsid w:val="001B6611"/>
    <w:rsid w:val="001B6E84"/>
    <w:rsid w:val="001B7BA1"/>
    <w:rsid w:val="001B7C7E"/>
    <w:rsid w:val="001B7DCD"/>
    <w:rsid w:val="001B7F05"/>
    <w:rsid w:val="001B7FD2"/>
    <w:rsid w:val="001C0238"/>
    <w:rsid w:val="001C03FD"/>
    <w:rsid w:val="001C072C"/>
    <w:rsid w:val="001C0CE9"/>
    <w:rsid w:val="001C0EA4"/>
    <w:rsid w:val="001C0EFA"/>
    <w:rsid w:val="001C1396"/>
    <w:rsid w:val="001C188B"/>
    <w:rsid w:val="001C18F8"/>
    <w:rsid w:val="001C1D02"/>
    <w:rsid w:val="001C21D0"/>
    <w:rsid w:val="001C2380"/>
    <w:rsid w:val="001C277C"/>
    <w:rsid w:val="001C2A5F"/>
    <w:rsid w:val="001C2FF2"/>
    <w:rsid w:val="001C309A"/>
    <w:rsid w:val="001C312D"/>
    <w:rsid w:val="001C3312"/>
    <w:rsid w:val="001C356A"/>
    <w:rsid w:val="001C35C4"/>
    <w:rsid w:val="001C3728"/>
    <w:rsid w:val="001C39C3"/>
    <w:rsid w:val="001C3B58"/>
    <w:rsid w:val="001C3B9F"/>
    <w:rsid w:val="001C3C80"/>
    <w:rsid w:val="001C4494"/>
    <w:rsid w:val="001C4664"/>
    <w:rsid w:val="001C483B"/>
    <w:rsid w:val="001C4857"/>
    <w:rsid w:val="001C48B2"/>
    <w:rsid w:val="001C4CAE"/>
    <w:rsid w:val="001C4CE6"/>
    <w:rsid w:val="001C5095"/>
    <w:rsid w:val="001C5385"/>
    <w:rsid w:val="001C5576"/>
    <w:rsid w:val="001C5880"/>
    <w:rsid w:val="001C5B2F"/>
    <w:rsid w:val="001C5BD3"/>
    <w:rsid w:val="001C5D01"/>
    <w:rsid w:val="001C6308"/>
    <w:rsid w:val="001C68F9"/>
    <w:rsid w:val="001C6AF9"/>
    <w:rsid w:val="001C70A0"/>
    <w:rsid w:val="001C7450"/>
    <w:rsid w:val="001C7708"/>
    <w:rsid w:val="001C7974"/>
    <w:rsid w:val="001C7CBC"/>
    <w:rsid w:val="001C7CE1"/>
    <w:rsid w:val="001D0153"/>
    <w:rsid w:val="001D0827"/>
    <w:rsid w:val="001D0EE0"/>
    <w:rsid w:val="001D11AC"/>
    <w:rsid w:val="001D1287"/>
    <w:rsid w:val="001D1534"/>
    <w:rsid w:val="001D15C2"/>
    <w:rsid w:val="001D17F2"/>
    <w:rsid w:val="001D1820"/>
    <w:rsid w:val="001D1927"/>
    <w:rsid w:val="001D2030"/>
    <w:rsid w:val="001D206F"/>
    <w:rsid w:val="001D240E"/>
    <w:rsid w:val="001D2792"/>
    <w:rsid w:val="001D280F"/>
    <w:rsid w:val="001D291B"/>
    <w:rsid w:val="001D29ED"/>
    <w:rsid w:val="001D2AB6"/>
    <w:rsid w:val="001D2BF2"/>
    <w:rsid w:val="001D2DB5"/>
    <w:rsid w:val="001D3654"/>
    <w:rsid w:val="001D37AB"/>
    <w:rsid w:val="001D3A50"/>
    <w:rsid w:val="001D3B5F"/>
    <w:rsid w:val="001D4F79"/>
    <w:rsid w:val="001D57FD"/>
    <w:rsid w:val="001D59A9"/>
    <w:rsid w:val="001D5B2C"/>
    <w:rsid w:val="001D5BA7"/>
    <w:rsid w:val="001D5CFD"/>
    <w:rsid w:val="001D6244"/>
    <w:rsid w:val="001D6365"/>
    <w:rsid w:val="001D660E"/>
    <w:rsid w:val="001D6B0A"/>
    <w:rsid w:val="001D790C"/>
    <w:rsid w:val="001D7B4C"/>
    <w:rsid w:val="001D7D46"/>
    <w:rsid w:val="001E0A63"/>
    <w:rsid w:val="001E0D27"/>
    <w:rsid w:val="001E0FBA"/>
    <w:rsid w:val="001E13B8"/>
    <w:rsid w:val="001E14FA"/>
    <w:rsid w:val="001E1573"/>
    <w:rsid w:val="001E172C"/>
    <w:rsid w:val="001E1D6A"/>
    <w:rsid w:val="001E1EE8"/>
    <w:rsid w:val="001E25A0"/>
    <w:rsid w:val="001E2AAB"/>
    <w:rsid w:val="001E2BE8"/>
    <w:rsid w:val="001E2C80"/>
    <w:rsid w:val="001E2DE6"/>
    <w:rsid w:val="001E2F07"/>
    <w:rsid w:val="001E331A"/>
    <w:rsid w:val="001E3423"/>
    <w:rsid w:val="001E3897"/>
    <w:rsid w:val="001E3963"/>
    <w:rsid w:val="001E3D9B"/>
    <w:rsid w:val="001E434A"/>
    <w:rsid w:val="001E4356"/>
    <w:rsid w:val="001E4661"/>
    <w:rsid w:val="001E467E"/>
    <w:rsid w:val="001E5452"/>
    <w:rsid w:val="001E58C9"/>
    <w:rsid w:val="001E597C"/>
    <w:rsid w:val="001E60D7"/>
    <w:rsid w:val="001E61AD"/>
    <w:rsid w:val="001E6283"/>
    <w:rsid w:val="001E7167"/>
    <w:rsid w:val="001E7322"/>
    <w:rsid w:val="001E758A"/>
    <w:rsid w:val="001F03C4"/>
    <w:rsid w:val="001F0848"/>
    <w:rsid w:val="001F0BA9"/>
    <w:rsid w:val="001F0BDD"/>
    <w:rsid w:val="001F0EAC"/>
    <w:rsid w:val="001F147E"/>
    <w:rsid w:val="001F1733"/>
    <w:rsid w:val="001F18DA"/>
    <w:rsid w:val="001F1A09"/>
    <w:rsid w:val="001F1C6F"/>
    <w:rsid w:val="001F1FA5"/>
    <w:rsid w:val="001F23F4"/>
    <w:rsid w:val="001F275C"/>
    <w:rsid w:val="001F2B61"/>
    <w:rsid w:val="001F3011"/>
    <w:rsid w:val="001F3179"/>
    <w:rsid w:val="001F337C"/>
    <w:rsid w:val="001F3383"/>
    <w:rsid w:val="001F3A8F"/>
    <w:rsid w:val="001F3DDF"/>
    <w:rsid w:val="001F3EF2"/>
    <w:rsid w:val="001F3F45"/>
    <w:rsid w:val="001F40DA"/>
    <w:rsid w:val="001F4694"/>
    <w:rsid w:val="001F4D4F"/>
    <w:rsid w:val="001F4E26"/>
    <w:rsid w:val="001F5AB7"/>
    <w:rsid w:val="001F5E75"/>
    <w:rsid w:val="001F5EF4"/>
    <w:rsid w:val="001F6338"/>
    <w:rsid w:val="001F6348"/>
    <w:rsid w:val="001F6732"/>
    <w:rsid w:val="001F7120"/>
    <w:rsid w:val="001F72D9"/>
    <w:rsid w:val="001F7AAA"/>
    <w:rsid w:val="001F7AC7"/>
    <w:rsid w:val="001F7D14"/>
    <w:rsid w:val="001F7E44"/>
    <w:rsid w:val="001F7F1B"/>
    <w:rsid w:val="0020006A"/>
    <w:rsid w:val="00200115"/>
    <w:rsid w:val="002002A9"/>
    <w:rsid w:val="002002F6"/>
    <w:rsid w:val="002005F3"/>
    <w:rsid w:val="00200D90"/>
    <w:rsid w:val="00201955"/>
    <w:rsid w:val="00201A16"/>
    <w:rsid w:val="00201A99"/>
    <w:rsid w:val="00201BE7"/>
    <w:rsid w:val="002023F5"/>
    <w:rsid w:val="00202474"/>
    <w:rsid w:val="00202548"/>
    <w:rsid w:val="0020258D"/>
    <w:rsid w:val="0020326C"/>
    <w:rsid w:val="0020422B"/>
    <w:rsid w:val="0020453D"/>
    <w:rsid w:val="0020482D"/>
    <w:rsid w:val="00204A47"/>
    <w:rsid w:val="00204D75"/>
    <w:rsid w:val="002050FB"/>
    <w:rsid w:val="002052B7"/>
    <w:rsid w:val="0020553E"/>
    <w:rsid w:val="002055BF"/>
    <w:rsid w:val="0020598F"/>
    <w:rsid w:val="00205BD4"/>
    <w:rsid w:val="00206624"/>
    <w:rsid w:val="002066A7"/>
    <w:rsid w:val="002068EA"/>
    <w:rsid w:val="00206D0E"/>
    <w:rsid w:val="002071E8"/>
    <w:rsid w:val="00207471"/>
    <w:rsid w:val="00207DDF"/>
    <w:rsid w:val="00207ECE"/>
    <w:rsid w:val="00207F9A"/>
    <w:rsid w:val="002104DC"/>
    <w:rsid w:val="00210549"/>
    <w:rsid w:val="00210711"/>
    <w:rsid w:val="00210AE6"/>
    <w:rsid w:val="00210B45"/>
    <w:rsid w:val="00210C2A"/>
    <w:rsid w:val="00211B25"/>
    <w:rsid w:val="00211E9E"/>
    <w:rsid w:val="00211FD6"/>
    <w:rsid w:val="0021246C"/>
    <w:rsid w:val="002124C1"/>
    <w:rsid w:val="002125A6"/>
    <w:rsid w:val="002125CB"/>
    <w:rsid w:val="00212D73"/>
    <w:rsid w:val="00212DC0"/>
    <w:rsid w:val="00213295"/>
    <w:rsid w:val="00213643"/>
    <w:rsid w:val="0021437D"/>
    <w:rsid w:val="00214453"/>
    <w:rsid w:val="00215780"/>
    <w:rsid w:val="00215FD3"/>
    <w:rsid w:val="00215FE0"/>
    <w:rsid w:val="00216110"/>
    <w:rsid w:val="002161AA"/>
    <w:rsid w:val="002165E7"/>
    <w:rsid w:val="00216AC4"/>
    <w:rsid w:val="00217158"/>
    <w:rsid w:val="002171EF"/>
    <w:rsid w:val="002177CC"/>
    <w:rsid w:val="00217A3E"/>
    <w:rsid w:val="00217D2C"/>
    <w:rsid w:val="002201C1"/>
    <w:rsid w:val="002207FC"/>
    <w:rsid w:val="00220D23"/>
    <w:rsid w:val="00220D84"/>
    <w:rsid w:val="00220E9F"/>
    <w:rsid w:val="00221557"/>
    <w:rsid w:val="0022162A"/>
    <w:rsid w:val="00221812"/>
    <w:rsid w:val="00221B6E"/>
    <w:rsid w:val="00221D83"/>
    <w:rsid w:val="00221E2C"/>
    <w:rsid w:val="00222110"/>
    <w:rsid w:val="002223C5"/>
    <w:rsid w:val="002227C3"/>
    <w:rsid w:val="0022325B"/>
    <w:rsid w:val="002233F1"/>
    <w:rsid w:val="00223F09"/>
    <w:rsid w:val="00223F37"/>
    <w:rsid w:val="0022412F"/>
    <w:rsid w:val="0022488A"/>
    <w:rsid w:val="00224A03"/>
    <w:rsid w:val="00224A77"/>
    <w:rsid w:val="002250B8"/>
    <w:rsid w:val="00225104"/>
    <w:rsid w:val="00225122"/>
    <w:rsid w:val="002256B5"/>
    <w:rsid w:val="00225A08"/>
    <w:rsid w:val="00225AAD"/>
    <w:rsid w:val="00225EC3"/>
    <w:rsid w:val="00226B21"/>
    <w:rsid w:val="00226ED0"/>
    <w:rsid w:val="00226EFD"/>
    <w:rsid w:val="00227383"/>
    <w:rsid w:val="0022795F"/>
    <w:rsid w:val="00227AC6"/>
    <w:rsid w:val="00227F5A"/>
    <w:rsid w:val="00227FAA"/>
    <w:rsid w:val="0023005F"/>
    <w:rsid w:val="0023008B"/>
    <w:rsid w:val="00230135"/>
    <w:rsid w:val="002306E8"/>
    <w:rsid w:val="0023071B"/>
    <w:rsid w:val="00230DFB"/>
    <w:rsid w:val="00230E6E"/>
    <w:rsid w:val="00230E7D"/>
    <w:rsid w:val="00230FAD"/>
    <w:rsid w:val="00231000"/>
    <w:rsid w:val="0023132F"/>
    <w:rsid w:val="00231352"/>
    <w:rsid w:val="002316E8"/>
    <w:rsid w:val="00231D98"/>
    <w:rsid w:val="0023247C"/>
    <w:rsid w:val="0023276E"/>
    <w:rsid w:val="00232ADC"/>
    <w:rsid w:val="0023328B"/>
    <w:rsid w:val="0023382A"/>
    <w:rsid w:val="0023398F"/>
    <w:rsid w:val="0023424D"/>
    <w:rsid w:val="0023428A"/>
    <w:rsid w:val="002344EE"/>
    <w:rsid w:val="0023471F"/>
    <w:rsid w:val="00234833"/>
    <w:rsid w:val="00234CEC"/>
    <w:rsid w:val="0023546A"/>
    <w:rsid w:val="00235FDF"/>
    <w:rsid w:val="00236851"/>
    <w:rsid w:val="00236AEF"/>
    <w:rsid w:val="002373C5"/>
    <w:rsid w:val="00237639"/>
    <w:rsid w:val="00237887"/>
    <w:rsid w:val="00237CD8"/>
    <w:rsid w:val="00237D9A"/>
    <w:rsid w:val="00237F7F"/>
    <w:rsid w:val="002406AF"/>
    <w:rsid w:val="002407EC"/>
    <w:rsid w:val="002409AB"/>
    <w:rsid w:val="002409CA"/>
    <w:rsid w:val="00240EE4"/>
    <w:rsid w:val="00240F88"/>
    <w:rsid w:val="00241465"/>
    <w:rsid w:val="00241740"/>
    <w:rsid w:val="00241B45"/>
    <w:rsid w:val="00241B93"/>
    <w:rsid w:val="00241BA9"/>
    <w:rsid w:val="00241FDF"/>
    <w:rsid w:val="0024258A"/>
    <w:rsid w:val="002426F2"/>
    <w:rsid w:val="0024270C"/>
    <w:rsid w:val="00242A06"/>
    <w:rsid w:val="00242C2A"/>
    <w:rsid w:val="00243C28"/>
    <w:rsid w:val="00243CDA"/>
    <w:rsid w:val="002450FC"/>
    <w:rsid w:val="0024555D"/>
    <w:rsid w:val="00245AB4"/>
    <w:rsid w:val="00245BEB"/>
    <w:rsid w:val="002463B3"/>
    <w:rsid w:val="002464DF"/>
    <w:rsid w:val="00246747"/>
    <w:rsid w:val="00246BA4"/>
    <w:rsid w:val="00246BAA"/>
    <w:rsid w:val="00247337"/>
    <w:rsid w:val="00247557"/>
    <w:rsid w:val="002476D7"/>
    <w:rsid w:val="002477F5"/>
    <w:rsid w:val="002479DE"/>
    <w:rsid w:val="00250F6C"/>
    <w:rsid w:val="00250FDA"/>
    <w:rsid w:val="002514F2"/>
    <w:rsid w:val="00251D95"/>
    <w:rsid w:val="00251D9B"/>
    <w:rsid w:val="00252236"/>
    <w:rsid w:val="00252615"/>
    <w:rsid w:val="00252924"/>
    <w:rsid w:val="00252930"/>
    <w:rsid w:val="00252BA4"/>
    <w:rsid w:val="00252BC4"/>
    <w:rsid w:val="00252DF5"/>
    <w:rsid w:val="00252DFD"/>
    <w:rsid w:val="0025315D"/>
    <w:rsid w:val="00253B4E"/>
    <w:rsid w:val="00253BF2"/>
    <w:rsid w:val="00253C75"/>
    <w:rsid w:val="0025428D"/>
    <w:rsid w:val="00254443"/>
    <w:rsid w:val="0025528C"/>
    <w:rsid w:val="002552CF"/>
    <w:rsid w:val="002554BF"/>
    <w:rsid w:val="0025577C"/>
    <w:rsid w:val="002558EF"/>
    <w:rsid w:val="00255EFD"/>
    <w:rsid w:val="00256002"/>
    <w:rsid w:val="0025620E"/>
    <w:rsid w:val="00256645"/>
    <w:rsid w:val="002566A6"/>
    <w:rsid w:val="002574EF"/>
    <w:rsid w:val="00257BD2"/>
    <w:rsid w:val="00257CF5"/>
    <w:rsid w:val="00257F84"/>
    <w:rsid w:val="002603ED"/>
    <w:rsid w:val="00260A0C"/>
    <w:rsid w:val="00260C8F"/>
    <w:rsid w:val="00261304"/>
    <w:rsid w:val="00261754"/>
    <w:rsid w:val="002623CD"/>
    <w:rsid w:val="002628C1"/>
    <w:rsid w:val="00262A0E"/>
    <w:rsid w:val="00263BE2"/>
    <w:rsid w:val="0026417C"/>
    <w:rsid w:val="0026442C"/>
    <w:rsid w:val="002646E1"/>
    <w:rsid w:val="00264995"/>
    <w:rsid w:val="00264CEA"/>
    <w:rsid w:val="0026647A"/>
    <w:rsid w:val="0026675D"/>
    <w:rsid w:val="00266997"/>
    <w:rsid w:val="00266D47"/>
    <w:rsid w:val="00266F16"/>
    <w:rsid w:val="00267B27"/>
    <w:rsid w:val="00267DE2"/>
    <w:rsid w:val="00267FEB"/>
    <w:rsid w:val="00270445"/>
    <w:rsid w:val="002704DF"/>
    <w:rsid w:val="00270AE3"/>
    <w:rsid w:val="00271154"/>
    <w:rsid w:val="002712F6"/>
    <w:rsid w:val="002726DB"/>
    <w:rsid w:val="00273B08"/>
    <w:rsid w:val="002743BA"/>
    <w:rsid w:val="0027452C"/>
    <w:rsid w:val="00274666"/>
    <w:rsid w:val="002753D6"/>
    <w:rsid w:val="00275458"/>
    <w:rsid w:val="00275695"/>
    <w:rsid w:val="002756A5"/>
    <w:rsid w:val="00275D13"/>
    <w:rsid w:val="00275D51"/>
    <w:rsid w:val="00276089"/>
    <w:rsid w:val="0027636B"/>
    <w:rsid w:val="002765D3"/>
    <w:rsid w:val="00276928"/>
    <w:rsid w:val="002771FF"/>
    <w:rsid w:val="002772D5"/>
    <w:rsid w:val="002779C8"/>
    <w:rsid w:val="0028014C"/>
    <w:rsid w:val="00280177"/>
    <w:rsid w:val="00280B91"/>
    <w:rsid w:val="00280BBD"/>
    <w:rsid w:val="00280E04"/>
    <w:rsid w:val="00280EB2"/>
    <w:rsid w:val="00280FCD"/>
    <w:rsid w:val="002810C2"/>
    <w:rsid w:val="002819E6"/>
    <w:rsid w:val="00281B96"/>
    <w:rsid w:val="00282604"/>
    <w:rsid w:val="00282A3B"/>
    <w:rsid w:val="00282FBC"/>
    <w:rsid w:val="00283685"/>
    <w:rsid w:val="002836DD"/>
    <w:rsid w:val="00283E5B"/>
    <w:rsid w:val="002848B0"/>
    <w:rsid w:val="00284978"/>
    <w:rsid w:val="00285680"/>
    <w:rsid w:val="002859FD"/>
    <w:rsid w:val="00285DDD"/>
    <w:rsid w:val="00286383"/>
    <w:rsid w:val="00286774"/>
    <w:rsid w:val="00286B22"/>
    <w:rsid w:val="002870AC"/>
    <w:rsid w:val="002871A3"/>
    <w:rsid w:val="002871E7"/>
    <w:rsid w:val="00287205"/>
    <w:rsid w:val="00287574"/>
    <w:rsid w:val="00287760"/>
    <w:rsid w:val="00287808"/>
    <w:rsid w:val="002879C5"/>
    <w:rsid w:val="00287C7F"/>
    <w:rsid w:val="002901DB"/>
    <w:rsid w:val="00290856"/>
    <w:rsid w:val="002908BB"/>
    <w:rsid w:val="00290A21"/>
    <w:rsid w:val="00290DA2"/>
    <w:rsid w:val="00291065"/>
    <w:rsid w:val="0029147D"/>
    <w:rsid w:val="00291A4D"/>
    <w:rsid w:val="00291B60"/>
    <w:rsid w:val="0029222A"/>
    <w:rsid w:val="0029225C"/>
    <w:rsid w:val="0029237F"/>
    <w:rsid w:val="00292567"/>
    <w:rsid w:val="00292855"/>
    <w:rsid w:val="00292DD9"/>
    <w:rsid w:val="00292E9A"/>
    <w:rsid w:val="002930BA"/>
    <w:rsid w:val="002932AC"/>
    <w:rsid w:val="002933C6"/>
    <w:rsid w:val="00293645"/>
    <w:rsid w:val="00293864"/>
    <w:rsid w:val="00293899"/>
    <w:rsid w:val="00293958"/>
    <w:rsid w:val="00293E7D"/>
    <w:rsid w:val="00294784"/>
    <w:rsid w:val="00294C3F"/>
    <w:rsid w:val="00295188"/>
    <w:rsid w:val="00295547"/>
    <w:rsid w:val="002957F3"/>
    <w:rsid w:val="00295F8B"/>
    <w:rsid w:val="002961C3"/>
    <w:rsid w:val="002962EC"/>
    <w:rsid w:val="00296388"/>
    <w:rsid w:val="00296429"/>
    <w:rsid w:val="00296764"/>
    <w:rsid w:val="002968CF"/>
    <w:rsid w:val="00297026"/>
    <w:rsid w:val="00297BB9"/>
    <w:rsid w:val="00297CB4"/>
    <w:rsid w:val="00297F4F"/>
    <w:rsid w:val="002A0599"/>
    <w:rsid w:val="002A09B0"/>
    <w:rsid w:val="002A0B78"/>
    <w:rsid w:val="002A1565"/>
    <w:rsid w:val="002A16D6"/>
    <w:rsid w:val="002A1AE3"/>
    <w:rsid w:val="002A1C7F"/>
    <w:rsid w:val="002A1D40"/>
    <w:rsid w:val="002A22D2"/>
    <w:rsid w:val="002A23B1"/>
    <w:rsid w:val="002A2F0D"/>
    <w:rsid w:val="002A3004"/>
    <w:rsid w:val="002A3147"/>
    <w:rsid w:val="002A3717"/>
    <w:rsid w:val="002A38BE"/>
    <w:rsid w:val="002A3BE7"/>
    <w:rsid w:val="002A3CA6"/>
    <w:rsid w:val="002A3DCF"/>
    <w:rsid w:val="002A42EE"/>
    <w:rsid w:val="002A43B4"/>
    <w:rsid w:val="002A49C0"/>
    <w:rsid w:val="002A554A"/>
    <w:rsid w:val="002A55C3"/>
    <w:rsid w:val="002A565A"/>
    <w:rsid w:val="002A5697"/>
    <w:rsid w:val="002A56FE"/>
    <w:rsid w:val="002A5946"/>
    <w:rsid w:val="002A5BB7"/>
    <w:rsid w:val="002A5DE7"/>
    <w:rsid w:val="002A5E7C"/>
    <w:rsid w:val="002A5FFE"/>
    <w:rsid w:val="002A6189"/>
    <w:rsid w:val="002A6525"/>
    <w:rsid w:val="002A6CA9"/>
    <w:rsid w:val="002A7532"/>
    <w:rsid w:val="002A78C5"/>
    <w:rsid w:val="002A7CBF"/>
    <w:rsid w:val="002A7D91"/>
    <w:rsid w:val="002A7FF0"/>
    <w:rsid w:val="002B005A"/>
    <w:rsid w:val="002B08AD"/>
    <w:rsid w:val="002B0B49"/>
    <w:rsid w:val="002B0E1E"/>
    <w:rsid w:val="002B0E54"/>
    <w:rsid w:val="002B1394"/>
    <w:rsid w:val="002B1510"/>
    <w:rsid w:val="002B1700"/>
    <w:rsid w:val="002B182A"/>
    <w:rsid w:val="002B1BD3"/>
    <w:rsid w:val="002B1FD1"/>
    <w:rsid w:val="002B1FDE"/>
    <w:rsid w:val="002B22A0"/>
    <w:rsid w:val="002B2654"/>
    <w:rsid w:val="002B273A"/>
    <w:rsid w:val="002B2BA1"/>
    <w:rsid w:val="002B2CA7"/>
    <w:rsid w:val="002B2D1B"/>
    <w:rsid w:val="002B31C7"/>
    <w:rsid w:val="002B37C1"/>
    <w:rsid w:val="002B399E"/>
    <w:rsid w:val="002B3F1B"/>
    <w:rsid w:val="002B3F60"/>
    <w:rsid w:val="002B4176"/>
    <w:rsid w:val="002B460D"/>
    <w:rsid w:val="002B4750"/>
    <w:rsid w:val="002B48FD"/>
    <w:rsid w:val="002B49D7"/>
    <w:rsid w:val="002B4B0F"/>
    <w:rsid w:val="002B4CA1"/>
    <w:rsid w:val="002B4D1F"/>
    <w:rsid w:val="002B4FB7"/>
    <w:rsid w:val="002B548E"/>
    <w:rsid w:val="002B55D6"/>
    <w:rsid w:val="002B5626"/>
    <w:rsid w:val="002B5A92"/>
    <w:rsid w:val="002B5C58"/>
    <w:rsid w:val="002B5F1D"/>
    <w:rsid w:val="002B632C"/>
    <w:rsid w:val="002B651F"/>
    <w:rsid w:val="002B7495"/>
    <w:rsid w:val="002B74B0"/>
    <w:rsid w:val="002B79C8"/>
    <w:rsid w:val="002B7BD4"/>
    <w:rsid w:val="002B7C3D"/>
    <w:rsid w:val="002B7F08"/>
    <w:rsid w:val="002C008C"/>
    <w:rsid w:val="002C012A"/>
    <w:rsid w:val="002C01DD"/>
    <w:rsid w:val="002C0252"/>
    <w:rsid w:val="002C07FF"/>
    <w:rsid w:val="002C0A5C"/>
    <w:rsid w:val="002C0BCA"/>
    <w:rsid w:val="002C1847"/>
    <w:rsid w:val="002C23B1"/>
    <w:rsid w:val="002C2600"/>
    <w:rsid w:val="002C271F"/>
    <w:rsid w:val="002C2C6D"/>
    <w:rsid w:val="002C2EBD"/>
    <w:rsid w:val="002C367C"/>
    <w:rsid w:val="002C383B"/>
    <w:rsid w:val="002C3F4E"/>
    <w:rsid w:val="002C4098"/>
    <w:rsid w:val="002C435F"/>
    <w:rsid w:val="002C47C2"/>
    <w:rsid w:val="002C488C"/>
    <w:rsid w:val="002C4BD9"/>
    <w:rsid w:val="002C5545"/>
    <w:rsid w:val="002C5730"/>
    <w:rsid w:val="002C5D69"/>
    <w:rsid w:val="002C64C8"/>
    <w:rsid w:val="002C6AB3"/>
    <w:rsid w:val="002C6D38"/>
    <w:rsid w:val="002C6FCC"/>
    <w:rsid w:val="002C7089"/>
    <w:rsid w:val="002C7102"/>
    <w:rsid w:val="002C7184"/>
    <w:rsid w:val="002C7383"/>
    <w:rsid w:val="002C74ED"/>
    <w:rsid w:val="002C7630"/>
    <w:rsid w:val="002C766E"/>
    <w:rsid w:val="002C7C43"/>
    <w:rsid w:val="002D00E9"/>
    <w:rsid w:val="002D011E"/>
    <w:rsid w:val="002D1027"/>
    <w:rsid w:val="002D1046"/>
    <w:rsid w:val="002D152A"/>
    <w:rsid w:val="002D1A24"/>
    <w:rsid w:val="002D1B56"/>
    <w:rsid w:val="002D1DE3"/>
    <w:rsid w:val="002D20A7"/>
    <w:rsid w:val="002D2E14"/>
    <w:rsid w:val="002D309A"/>
    <w:rsid w:val="002D30FE"/>
    <w:rsid w:val="002D31DF"/>
    <w:rsid w:val="002D36C8"/>
    <w:rsid w:val="002D3ADD"/>
    <w:rsid w:val="002D3D1E"/>
    <w:rsid w:val="002D3DE7"/>
    <w:rsid w:val="002D3F82"/>
    <w:rsid w:val="002D4008"/>
    <w:rsid w:val="002D4277"/>
    <w:rsid w:val="002D45B0"/>
    <w:rsid w:val="002D477F"/>
    <w:rsid w:val="002D4956"/>
    <w:rsid w:val="002D4D6B"/>
    <w:rsid w:val="002D4D81"/>
    <w:rsid w:val="002D5236"/>
    <w:rsid w:val="002D524E"/>
    <w:rsid w:val="002D557C"/>
    <w:rsid w:val="002D58FB"/>
    <w:rsid w:val="002D5E98"/>
    <w:rsid w:val="002D623A"/>
    <w:rsid w:val="002D6558"/>
    <w:rsid w:val="002D680B"/>
    <w:rsid w:val="002D683E"/>
    <w:rsid w:val="002D6DD1"/>
    <w:rsid w:val="002D6FEE"/>
    <w:rsid w:val="002D72CA"/>
    <w:rsid w:val="002D73D6"/>
    <w:rsid w:val="002D74C5"/>
    <w:rsid w:val="002D76CD"/>
    <w:rsid w:val="002D7806"/>
    <w:rsid w:val="002D790B"/>
    <w:rsid w:val="002D7A86"/>
    <w:rsid w:val="002E0BCD"/>
    <w:rsid w:val="002E0C55"/>
    <w:rsid w:val="002E0CDB"/>
    <w:rsid w:val="002E0E7F"/>
    <w:rsid w:val="002E1343"/>
    <w:rsid w:val="002E1806"/>
    <w:rsid w:val="002E1891"/>
    <w:rsid w:val="002E1950"/>
    <w:rsid w:val="002E1997"/>
    <w:rsid w:val="002E19D7"/>
    <w:rsid w:val="002E1AC5"/>
    <w:rsid w:val="002E2385"/>
    <w:rsid w:val="002E241B"/>
    <w:rsid w:val="002E25A3"/>
    <w:rsid w:val="002E274A"/>
    <w:rsid w:val="002E277C"/>
    <w:rsid w:val="002E2850"/>
    <w:rsid w:val="002E2B3F"/>
    <w:rsid w:val="002E2BA6"/>
    <w:rsid w:val="002E2BD4"/>
    <w:rsid w:val="002E33E9"/>
    <w:rsid w:val="002E3D00"/>
    <w:rsid w:val="002E4472"/>
    <w:rsid w:val="002E477F"/>
    <w:rsid w:val="002E4F7B"/>
    <w:rsid w:val="002E4FF2"/>
    <w:rsid w:val="002E5000"/>
    <w:rsid w:val="002E54B4"/>
    <w:rsid w:val="002E5A1E"/>
    <w:rsid w:val="002E5D09"/>
    <w:rsid w:val="002E5F57"/>
    <w:rsid w:val="002E5F66"/>
    <w:rsid w:val="002E6033"/>
    <w:rsid w:val="002E623C"/>
    <w:rsid w:val="002E66A8"/>
    <w:rsid w:val="002E77E6"/>
    <w:rsid w:val="002E7BBC"/>
    <w:rsid w:val="002F0A55"/>
    <w:rsid w:val="002F0F12"/>
    <w:rsid w:val="002F0F4C"/>
    <w:rsid w:val="002F116F"/>
    <w:rsid w:val="002F1ACD"/>
    <w:rsid w:val="002F2330"/>
    <w:rsid w:val="002F28D4"/>
    <w:rsid w:val="002F2E16"/>
    <w:rsid w:val="002F3AE5"/>
    <w:rsid w:val="002F3EF3"/>
    <w:rsid w:val="002F3F0E"/>
    <w:rsid w:val="002F465F"/>
    <w:rsid w:val="002F4E5A"/>
    <w:rsid w:val="002F51A6"/>
    <w:rsid w:val="002F51A7"/>
    <w:rsid w:val="002F5712"/>
    <w:rsid w:val="002F5791"/>
    <w:rsid w:val="002F5B13"/>
    <w:rsid w:val="002F5B79"/>
    <w:rsid w:val="002F5DC9"/>
    <w:rsid w:val="002F6C91"/>
    <w:rsid w:val="002F6F01"/>
    <w:rsid w:val="002F7100"/>
    <w:rsid w:val="002F761A"/>
    <w:rsid w:val="002F7666"/>
    <w:rsid w:val="002F7A4C"/>
    <w:rsid w:val="002F7D25"/>
    <w:rsid w:val="002F7D7E"/>
    <w:rsid w:val="002F7EEA"/>
    <w:rsid w:val="0030040A"/>
    <w:rsid w:val="0030046C"/>
    <w:rsid w:val="003004AC"/>
    <w:rsid w:val="003007D1"/>
    <w:rsid w:val="003007F9"/>
    <w:rsid w:val="00300863"/>
    <w:rsid w:val="00300CE7"/>
    <w:rsid w:val="00301428"/>
    <w:rsid w:val="00301EEB"/>
    <w:rsid w:val="00302501"/>
    <w:rsid w:val="003025E2"/>
    <w:rsid w:val="0030297D"/>
    <w:rsid w:val="00302A1A"/>
    <w:rsid w:val="00302DBE"/>
    <w:rsid w:val="00302E19"/>
    <w:rsid w:val="00302E38"/>
    <w:rsid w:val="00302EF9"/>
    <w:rsid w:val="00303453"/>
    <w:rsid w:val="00303500"/>
    <w:rsid w:val="00303A72"/>
    <w:rsid w:val="00303FEC"/>
    <w:rsid w:val="00304376"/>
    <w:rsid w:val="0030437F"/>
    <w:rsid w:val="003045C3"/>
    <w:rsid w:val="003048AB"/>
    <w:rsid w:val="00304B91"/>
    <w:rsid w:val="00305331"/>
    <w:rsid w:val="00305533"/>
    <w:rsid w:val="0030555E"/>
    <w:rsid w:val="003056DE"/>
    <w:rsid w:val="003063CF"/>
    <w:rsid w:val="00306728"/>
    <w:rsid w:val="00306F53"/>
    <w:rsid w:val="00306FCF"/>
    <w:rsid w:val="00307146"/>
    <w:rsid w:val="00307304"/>
    <w:rsid w:val="003074E7"/>
    <w:rsid w:val="00310A3D"/>
    <w:rsid w:val="00310A57"/>
    <w:rsid w:val="00310D06"/>
    <w:rsid w:val="00310E24"/>
    <w:rsid w:val="00310EEB"/>
    <w:rsid w:val="0031152F"/>
    <w:rsid w:val="003120F4"/>
    <w:rsid w:val="00312842"/>
    <w:rsid w:val="00312964"/>
    <w:rsid w:val="00313679"/>
    <w:rsid w:val="0031370E"/>
    <w:rsid w:val="00313C89"/>
    <w:rsid w:val="00313FAF"/>
    <w:rsid w:val="003141ED"/>
    <w:rsid w:val="00314473"/>
    <w:rsid w:val="00314BFB"/>
    <w:rsid w:val="00314F00"/>
    <w:rsid w:val="0031558D"/>
    <w:rsid w:val="00315868"/>
    <w:rsid w:val="00316711"/>
    <w:rsid w:val="00317042"/>
    <w:rsid w:val="003171EE"/>
    <w:rsid w:val="003172A5"/>
    <w:rsid w:val="0031746A"/>
    <w:rsid w:val="0031793D"/>
    <w:rsid w:val="00317AA4"/>
    <w:rsid w:val="003202D7"/>
    <w:rsid w:val="003206A5"/>
    <w:rsid w:val="00320991"/>
    <w:rsid w:val="00320BF4"/>
    <w:rsid w:val="00320C7F"/>
    <w:rsid w:val="00320FA1"/>
    <w:rsid w:val="00320FDB"/>
    <w:rsid w:val="003211E6"/>
    <w:rsid w:val="00321711"/>
    <w:rsid w:val="00321758"/>
    <w:rsid w:val="00321E36"/>
    <w:rsid w:val="00321F0C"/>
    <w:rsid w:val="003222EC"/>
    <w:rsid w:val="00322BDD"/>
    <w:rsid w:val="00322DD1"/>
    <w:rsid w:val="00323D26"/>
    <w:rsid w:val="00323E1C"/>
    <w:rsid w:val="00323F1B"/>
    <w:rsid w:val="00324594"/>
    <w:rsid w:val="0032459B"/>
    <w:rsid w:val="00324925"/>
    <w:rsid w:val="00324A1A"/>
    <w:rsid w:val="00324EEA"/>
    <w:rsid w:val="0032504A"/>
    <w:rsid w:val="003257A3"/>
    <w:rsid w:val="00326482"/>
    <w:rsid w:val="003265FD"/>
    <w:rsid w:val="00326A21"/>
    <w:rsid w:val="00326BB9"/>
    <w:rsid w:val="00326EED"/>
    <w:rsid w:val="0032700F"/>
    <w:rsid w:val="003271E5"/>
    <w:rsid w:val="003275F6"/>
    <w:rsid w:val="00327809"/>
    <w:rsid w:val="00330181"/>
    <w:rsid w:val="003309A4"/>
    <w:rsid w:val="0033110C"/>
    <w:rsid w:val="0033133D"/>
    <w:rsid w:val="003314C8"/>
    <w:rsid w:val="003314F9"/>
    <w:rsid w:val="0033196B"/>
    <w:rsid w:val="00331A83"/>
    <w:rsid w:val="00331BD6"/>
    <w:rsid w:val="00331BDC"/>
    <w:rsid w:val="00331DF2"/>
    <w:rsid w:val="00332058"/>
    <w:rsid w:val="00332520"/>
    <w:rsid w:val="00332764"/>
    <w:rsid w:val="003327E9"/>
    <w:rsid w:val="0033283F"/>
    <w:rsid w:val="00332B94"/>
    <w:rsid w:val="00332BBE"/>
    <w:rsid w:val="00332D7E"/>
    <w:rsid w:val="003331E6"/>
    <w:rsid w:val="00333428"/>
    <w:rsid w:val="0033347D"/>
    <w:rsid w:val="00333EAB"/>
    <w:rsid w:val="00333FF2"/>
    <w:rsid w:val="003341F0"/>
    <w:rsid w:val="00334298"/>
    <w:rsid w:val="00334DAA"/>
    <w:rsid w:val="00334DE8"/>
    <w:rsid w:val="0033519E"/>
    <w:rsid w:val="003355B6"/>
    <w:rsid w:val="00335654"/>
    <w:rsid w:val="00335AE2"/>
    <w:rsid w:val="00335BCC"/>
    <w:rsid w:val="00335BDB"/>
    <w:rsid w:val="00336140"/>
    <w:rsid w:val="00336304"/>
    <w:rsid w:val="0033685B"/>
    <w:rsid w:val="00336F36"/>
    <w:rsid w:val="003372BF"/>
    <w:rsid w:val="00337947"/>
    <w:rsid w:val="00337CE6"/>
    <w:rsid w:val="00337D3B"/>
    <w:rsid w:val="00337E05"/>
    <w:rsid w:val="00340A1F"/>
    <w:rsid w:val="00340D26"/>
    <w:rsid w:val="00341133"/>
    <w:rsid w:val="00341377"/>
    <w:rsid w:val="003414C1"/>
    <w:rsid w:val="00341501"/>
    <w:rsid w:val="0034152C"/>
    <w:rsid w:val="00342077"/>
    <w:rsid w:val="00342BDD"/>
    <w:rsid w:val="00342C66"/>
    <w:rsid w:val="003431E8"/>
    <w:rsid w:val="00343273"/>
    <w:rsid w:val="0034354E"/>
    <w:rsid w:val="003436D0"/>
    <w:rsid w:val="00344373"/>
    <w:rsid w:val="00344380"/>
    <w:rsid w:val="00344776"/>
    <w:rsid w:val="00344A3E"/>
    <w:rsid w:val="00345044"/>
    <w:rsid w:val="00345ACD"/>
    <w:rsid w:val="00345F74"/>
    <w:rsid w:val="00346505"/>
    <w:rsid w:val="00346D30"/>
    <w:rsid w:val="0035009C"/>
    <w:rsid w:val="003500F3"/>
    <w:rsid w:val="003504B3"/>
    <w:rsid w:val="003505BF"/>
    <w:rsid w:val="00350F00"/>
    <w:rsid w:val="0035105B"/>
    <w:rsid w:val="003510D5"/>
    <w:rsid w:val="00351301"/>
    <w:rsid w:val="00351567"/>
    <w:rsid w:val="003517C5"/>
    <w:rsid w:val="00352884"/>
    <w:rsid w:val="003528CA"/>
    <w:rsid w:val="00352909"/>
    <w:rsid w:val="00352927"/>
    <w:rsid w:val="00352AE5"/>
    <w:rsid w:val="0035320F"/>
    <w:rsid w:val="003535C1"/>
    <w:rsid w:val="003537D5"/>
    <w:rsid w:val="00353FE9"/>
    <w:rsid w:val="00354092"/>
    <w:rsid w:val="003548C2"/>
    <w:rsid w:val="00354988"/>
    <w:rsid w:val="00354D13"/>
    <w:rsid w:val="00355098"/>
    <w:rsid w:val="00355812"/>
    <w:rsid w:val="00355871"/>
    <w:rsid w:val="00355B90"/>
    <w:rsid w:val="00356807"/>
    <w:rsid w:val="00356861"/>
    <w:rsid w:val="0035694F"/>
    <w:rsid w:val="00356B5F"/>
    <w:rsid w:val="0035723E"/>
    <w:rsid w:val="00357752"/>
    <w:rsid w:val="00357982"/>
    <w:rsid w:val="00357B21"/>
    <w:rsid w:val="00357F26"/>
    <w:rsid w:val="00357F2A"/>
    <w:rsid w:val="00360041"/>
    <w:rsid w:val="003602E7"/>
    <w:rsid w:val="003603CE"/>
    <w:rsid w:val="00360939"/>
    <w:rsid w:val="00360AC6"/>
    <w:rsid w:val="00360B7B"/>
    <w:rsid w:val="00360CD8"/>
    <w:rsid w:val="00360E04"/>
    <w:rsid w:val="00361037"/>
    <w:rsid w:val="00361108"/>
    <w:rsid w:val="003619D6"/>
    <w:rsid w:val="00361BA0"/>
    <w:rsid w:val="0036283B"/>
    <w:rsid w:val="00362872"/>
    <w:rsid w:val="00362B85"/>
    <w:rsid w:val="00362C43"/>
    <w:rsid w:val="00363275"/>
    <w:rsid w:val="00363457"/>
    <w:rsid w:val="00363687"/>
    <w:rsid w:val="00363C80"/>
    <w:rsid w:val="00363D90"/>
    <w:rsid w:val="00364267"/>
    <w:rsid w:val="00364579"/>
    <w:rsid w:val="003646CD"/>
    <w:rsid w:val="00364966"/>
    <w:rsid w:val="00364C3D"/>
    <w:rsid w:val="00364F27"/>
    <w:rsid w:val="00365327"/>
    <w:rsid w:val="0036568D"/>
    <w:rsid w:val="00365D63"/>
    <w:rsid w:val="003667F2"/>
    <w:rsid w:val="003668C6"/>
    <w:rsid w:val="0036695A"/>
    <w:rsid w:val="003671DF"/>
    <w:rsid w:val="00367308"/>
    <w:rsid w:val="00367620"/>
    <w:rsid w:val="0036765D"/>
    <w:rsid w:val="00367766"/>
    <w:rsid w:val="003678F9"/>
    <w:rsid w:val="00367EF4"/>
    <w:rsid w:val="00367FC5"/>
    <w:rsid w:val="003701ED"/>
    <w:rsid w:val="00370232"/>
    <w:rsid w:val="003703CD"/>
    <w:rsid w:val="00370756"/>
    <w:rsid w:val="00370AFD"/>
    <w:rsid w:val="00370B5E"/>
    <w:rsid w:val="00370F90"/>
    <w:rsid w:val="00370FB5"/>
    <w:rsid w:val="0037131E"/>
    <w:rsid w:val="003714B7"/>
    <w:rsid w:val="00371837"/>
    <w:rsid w:val="00371935"/>
    <w:rsid w:val="00371D98"/>
    <w:rsid w:val="00371E2C"/>
    <w:rsid w:val="003724E2"/>
    <w:rsid w:val="00372995"/>
    <w:rsid w:val="00372BBE"/>
    <w:rsid w:val="00372C26"/>
    <w:rsid w:val="00372FD9"/>
    <w:rsid w:val="00373044"/>
    <w:rsid w:val="00373083"/>
    <w:rsid w:val="003732A5"/>
    <w:rsid w:val="00373BD9"/>
    <w:rsid w:val="00373EAE"/>
    <w:rsid w:val="00374071"/>
    <w:rsid w:val="0037427A"/>
    <w:rsid w:val="003743F7"/>
    <w:rsid w:val="00374E02"/>
    <w:rsid w:val="00374FF6"/>
    <w:rsid w:val="003750EC"/>
    <w:rsid w:val="003754C5"/>
    <w:rsid w:val="003756BA"/>
    <w:rsid w:val="00375AB0"/>
    <w:rsid w:val="00375CEE"/>
    <w:rsid w:val="00376087"/>
    <w:rsid w:val="0037610F"/>
    <w:rsid w:val="003761CF"/>
    <w:rsid w:val="003768E2"/>
    <w:rsid w:val="00376A13"/>
    <w:rsid w:val="00376A85"/>
    <w:rsid w:val="0037747D"/>
    <w:rsid w:val="0037768B"/>
    <w:rsid w:val="0037771D"/>
    <w:rsid w:val="0037792D"/>
    <w:rsid w:val="00377F4B"/>
    <w:rsid w:val="003800FD"/>
    <w:rsid w:val="0038045F"/>
    <w:rsid w:val="00380542"/>
    <w:rsid w:val="00380747"/>
    <w:rsid w:val="00380837"/>
    <w:rsid w:val="003808F2"/>
    <w:rsid w:val="003812BC"/>
    <w:rsid w:val="0038145D"/>
    <w:rsid w:val="003819C8"/>
    <w:rsid w:val="00381D70"/>
    <w:rsid w:val="00381FD8"/>
    <w:rsid w:val="003820BA"/>
    <w:rsid w:val="003821F9"/>
    <w:rsid w:val="003825BC"/>
    <w:rsid w:val="00382AF5"/>
    <w:rsid w:val="003835AC"/>
    <w:rsid w:val="00383CD0"/>
    <w:rsid w:val="00383E84"/>
    <w:rsid w:val="00384123"/>
    <w:rsid w:val="00384CFA"/>
    <w:rsid w:val="00384DC5"/>
    <w:rsid w:val="003850BE"/>
    <w:rsid w:val="0038512F"/>
    <w:rsid w:val="00385503"/>
    <w:rsid w:val="00386019"/>
    <w:rsid w:val="003860AE"/>
    <w:rsid w:val="00386337"/>
    <w:rsid w:val="003866D8"/>
    <w:rsid w:val="00386758"/>
    <w:rsid w:val="003867D6"/>
    <w:rsid w:val="00386A34"/>
    <w:rsid w:val="00386A43"/>
    <w:rsid w:val="00386A88"/>
    <w:rsid w:val="00387031"/>
    <w:rsid w:val="00387109"/>
    <w:rsid w:val="0038713A"/>
    <w:rsid w:val="003901C2"/>
    <w:rsid w:val="003902C8"/>
    <w:rsid w:val="003907EB"/>
    <w:rsid w:val="0039098C"/>
    <w:rsid w:val="00390DEB"/>
    <w:rsid w:val="003910AA"/>
    <w:rsid w:val="00391208"/>
    <w:rsid w:val="00392844"/>
    <w:rsid w:val="00393062"/>
    <w:rsid w:val="003930C1"/>
    <w:rsid w:val="003935BB"/>
    <w:rsid w:val="00393866"/>
    <w:rsid w:val="00393AB2"/>
    <w:rsid w:val="00393ECC"/>
    <w:rsid w:val="00394231"/>
    <w:rsid w:val="00394993"/>
    <w:rsid w:val="00394E75"/>
    <w:rsid w:val="0039561C"/>
    <w:rsid w:val="00395658"/>
    <w:rsid w:val="00395896"/>
    <w:rsid w:val="00395CF0"/>
    <w:rsid w:val="003961E1"/>
    <w:rsid w:val="0039653E"/>
    <w:rsid w:val="00396562"/>
    <w:rsid w:val="003968DA"/>
    <w:rsid w:val="003968F4"/>
    <w:rsid w:val="00396BBB"/>
    <w:rsid w:val="00396DBA"/>
    <w:rsid w:val="00396E41"/>
    <w:rsid w:val="00396F00"/>
    <w:rsid w:val="003977EE"/>
    <w:rsid w:val="00397B61"/>
    <w:rsid w:val="00397BCD"/>
    <w:rsid w:val="00397F41"/>
    <w:rsid w:val="003A0097"/>
    <w:rsid w:val="003A00C9"/>
    <w:rsid w:val="003A01D4"/>
    <w:rsid w:val="003A02D9"/>
    <w:rsid w:val="003A0358"/>
    <w:rsid w:val="003A0B33"/>
    <w:rsid w:val="003A0C21"/>
    <w:rsid w:val="003A1214"/>
    <w:rsid w:val="003A196C"/>
    <w:rsid w:val="003A1A5D"/>
    <w:rsid w:val="003A1D9B"/>
    <w:rsid w:val="003A1F7C"/>
    <w:rsid w:val="003A21C0"/>
    <w:rsid w:val="003A2239"/>
    <w:rsid w:val="003A2316"/>
    <w:rsid w:val="003A23F3"/>
    <w:rsid w:val="003A3762"/>
    <w:rsid w:val="003A3972"/>
    <w:rsid w:val="003A3F44"/>
    <w:rsid w:val="003A414A"/>
    <w:rsid w:val="003A4358"/>
    <w:rsid w:val="003A44C0"/>
    <w:rsid w:val="003A4D00"/>
    <w:rsid w:val="003A4DC9"/>
    <w:rsid w:val="003A4F9A"/>
    <w:rsid w:val="003A5374"/>
    <w:rsid w:val="003A541E"/>
    <w:rsid w:val="003A5ADD"/>
    <w:rsid w:val="003A6332"/>
    <w:rsid w:val="003A642D"/>
    <w:rsid w:val="003A6460"/>
    <w:rsid w:val="003A6A7B"/>
    <w:rsid w:val="003A6C43"/>
    <w:rsid w:val="003B0274"/>
    <w:rsid w:val="003B052C"/>
    <w:rsid w:val="003B0573"/>
    <w:rsid w:val="003B05A1"/>
    <w:rsid w:val="003B0881"/>
    <w:rsid w:val="003B0D32"/>
    <w:rsid w:val="003B14C6"/>
    <w:rsid w:val="003B16FA"/>
    <w:rsid w:val="003B1CC0"/>
    <w:rsid w:val="003B206A"/>
    <w:rsid w:val="003B2136"/>
    <w:rsid w:val="003B23BC"/>
    <w:rsid w:val="003B272B"/>
    <w:rsid w:val="003B298E"/>
    <w:rsid w:val="003B2A8D"/>
    <w:rsid w:val="003B30A5"/>
    <w:rsid w:val="003B3C54"/>
    <w:rsid w:val="003B3E01"/>
    <w:rsid w:val="003B3FB6"/>
    <w:rsid w:val="003B4746"/>
    <w:rsid w:val="003B4C0E"/>
    <w:rsid w:val="003B4D07"/>
    <w:rsid w:val="003B4F51"/>
    <w:rsid w:val="003B5CFF"/>
    <w:rsid w:val="003B6549"/>
    <w:rsid w:val="003B66EC"/>
    <w:rsid w:val="003B689A"/>
    <w:rsid w:val="003B6924"/>
    <w:rsid w:val="003B6D2C"/>
    <w:rsid w:val="003B773F"/>
    <w:rsid w:val="003B7A56"/>
    <w:rsid w:val="003C08BC"/>
    <w:rsid w:val="003C0A59"/>
    <w:rsid w:val="003C0BEA"/>
    <w:rsid w:val="003C118D"/>
    <w:rsid w:val="003C1207"/>
    <w:rsid w:val="003C1261"/>
    <w:rsid w:val="003C1865"/>
    <w:rsid w:val="003C19EE"/>
    <w:rsid w:val="003C214E"/>
    <w:rsid w:val="003C2574"/>
    <w:rsid w:val="003C2B44"/>
    <w:rsid w:val="003C2BDE"/>
    <w:rsid w:val="003C2ED4"/>
    <w:rsid w:val="003C32B7"/>
    <w:rsid w:val="003C332D"/>
    <w:rsid w:val="003C3411"/>
    <w:rsid w:val="003C3B26"/>
    <w:rsid w:val="003C3DD1"/>
    <w:rsid w:val="003C422A"/>
    <w:rsid w:val="003C45E7"/>
    <w:rsid w:val="003C47FC"/>
    <w:rsid w:val="003C4AA0"/>
    <w:rsid w:val="003C4BE3"/>
    <w:rsid w:val="003C56A3"/>
    <w:rsid w:val="003C5B4D"/>
    <w:rsid w:val="003C5E52"/>
    <w:rsid w:val="003C6351"/>
    <w:rsid w:val="003C6418"/>
    <w:rsid w:val="003C64E9"/>
    <w:rsid w:val="003C6871"/>
    <w:rsid w:val="003C6AB5"/>
    <w:rsid w:val="003C6C7F"/>
    <w:rsid w:val="003C6FF7"/>
    <w:rsid w:val="003C7448"/>
    <w:rsid w:val="003C791D"/>
    <w:rsid w:val="003D0011"/>
    <w:rsid w:val="003D055D"/>
    <w:rsid w:val="003D0629"/>
    <w:rsid w:val="003D06D8"/>
    <w:rsid w:val="003D0A1E"/>
    <w:rsid w:val="003D1260"/>
    <w:rsid w:val="003D1588"/>
    <w:rsid w:val="003D15FD"/>
    <w:rsid w:val="003D19F2"/>
    <w:rsid w:val="003D1A6B"/>
    <w:rsid w:val="003D221B"/>
    <w:rsid w:val="003D2597"/>
    <w:rsid w:val="003D279B"/>
    <w:rsid w:val="003D28F0"/>
    <w:rsid w:val="003D2A87"/>
    <w:rsid w:val="003D2C3A"/>
    <w:rsid w:val="003D2CE9"/>
    <w:rsid w:val="003D2CFC"/>
    <w:rsid w:val="003D306C"/>
    <w:rsid w:val="003D30A9"/>
    <w:rsid w:val="003D3136"/>
    <w:rsid w:val="003D3A1F"/>
    <w:rsid w:val="003D459D"/>
    <w:rsid w:val="003D4D0D"/>
    <w:rsid w:val="003D582F"/>
    <w:rsid w:val="003D59C7"/>
    <w:rsid w:val="003D5D2B"/>
    <w:rsid w:val="003D5E3B"/>
    <w:rsid w:val="003D6833"/>
    <w:rsid w:val="003D68EB"/>
    <w:rsid w:val="003D7353"/>
    <w:rsid w:val="003D761B"/>
    <w:rsid w:val="003D7664"/>
    <w:rsid w:val="003D7FB3"/>
    <w:rsid w:val="003E0138"/>
    <w:rsid w:val="003E0437"/>
    <w:rsid w:val="003E0499"/>
    <w:rsid w:val="003E06E5"/>
    <w:rsid w:val="003E0728"/>
    <w:rsid w:val="003E0ADF"/>
    <w:rsid w:val="003E1100"/>
    <w:rsid w:val="003E1243"/>
    <w:rsid w:val="003E12B8"/>
    <w:rsid w:val="003E16CF"/>
    <w:rsid w:val="003E2029"/>
    <w:rsid w:val="003E262C"/>
    <w:rsid w:val="003E26DD"/>
    <w:rsid w:val="003E27A9"/>
    <w:rsid w:val="003E27B9"/>
    <w:rsid w:val="003E2D7A"/>
    <w:rsid w:val="003E2E43"/>
    <w:rsid w:val="003E3259"/>
    <w:rsid w:val="003E3572"/>
    <w:rsid w:val="003E35FD"/>
    <w:rsid w:val="003E36F9"/>
    <w:rsid w:val="003E3C10"/>
    <w:rsid w:val="003E426E"/>
    <w:rsid w:val="003E42A2"/>
    <w:rsid w:val="003E481C"/>
    <w:rsid w:val="003E4BF4"/>
    <w:rsid w:val="003E52BC"/>
    <w:rsid w:val="003E5382"/>
    <w:rsid w:val="003E572C"/>
    <w:rsid w:val="003E59B0"/>
    <w:rsid w:val="003E5CA2"/>
    <w:rsid w:val="003E5D29"/>
    <w:rsid w:val="003E62EC"/>
    <w:rsid w:val="003E6528"/>
    <w:rsid w:val="003E674D"/>
    <w:rsid w:val="003E67C5"/>
    <w:rsid w:val="003E6D3E"/>
    <w:rsid w:val="003E72EB"/>
    <w:rsid w:val="003E761B"/>
    <w:rsid w:val="003F003E"/>
    <w:rsid w:val="003F008F"/>
    <w:rsid w:val="003F0417"/>
    <w:rsid w:val="003F05AA"/>
    <w:rsid w:val="003F0994"/>
    <w:rsid w:val="003F0B59"/>
    <w:rsid w:val="003F0B6D"/>
    <w:rsid w:val="003F0BFF"/>
    <w:rsid w:val="003F0CE7"/>
    <w:rsid w:val="003F168E"/>
    <w:rsid w:val="003F1AAC"/>
    <w:rsid w:val="003F1AE8"/>
    <w:rsid w:val="003F1D54"/>
    <w:rsid w:val="003F1DA7"/>
    <w:rsid w:val="003F1EEE"/>
    <w:rsid w:val="003F2419"/>
    <w:rsid w:val="003F274A"/>
    <w:rsid w:val="003F2988"/>
    <w:rsid w:val="003F2E24"/>
    <w:rsid w:val="003F386B"/>
    <w:rsid w:val="003F3ADC"/>
    <w:rsid w:val="003F3BDE"/>
    <w:rsid w:val="003F443D"/>
    <w:rsid w:val="003F4529"/>
    <w:rsid w:val="003F45ED"/>
    <w:rsid w:val="003F46C0"/>
    <w:rsid w:val="003F4B7B"/>
    <w:rsid w:val="003F4E9C"/>
    <w:rsid w:val="003F5075"/>
    <w:rsid w:val="003F5318"/>
    <w:rsid w:val="003F55D1"/>
    <w:rsid w:val="003F561E"/>
    <w:rsid w:val="003F5629"/>
    <w:rsid w:val="003F574B"/>
    <w:rsid w:val="003F5B61"/>
    <w:rsid w:val="003F658A"/>
    <w:rsid w:val="003F6E74"/>
    <w:rsid w:val="003F7429"/>
    <w:rsid w:val="003F762E"/>
    <w:rsid w:val="003F79E1"/>
    <w:rsid w:val="003F79F1"/>
    <w:rsid w:val="003F7B36"/>
    <w:rsid w:val="003F7C98"/>
    <w:rsid w:val="003F7EDD"/>
    <w:rsid w:val="00400BBD"/>
    <w:rsid w:val="00400ED0"/>
    <w:rsid w:val="00401025"/>
    <w:rsid w:val="00401463"/>
    <w:rsid w:val="0040180E"/>
    <w:rsid w:val="00401821"/>
    <w:rsid w:val="00401A3F"/>
    <w:rsid w:val="00401EAE"/>
    <w:rsid w:val="00403404"/>
    <w:rsid w:val="0040340B"/>
    <w:rsid w:val="00403612"/>
    <w:rsid w:val="00403A79"/>
    <w:rsid w:val="00403AA6"/>
    <w:rsid w:val="004041BC"/>
    <w:rsid w:val="00404223"/>
    <w:rsid w:val="004046BF"/>
    <w:rsid w:val="00404B8A"/>
    <w:rsid w:val="00404F6C"/>
    <w:rsid w:val="0040559B"/>
    <w:rsid w:val="004056D9"/>
    <w:rsid w:val="0040573E"/>
    <w:rsid w:val="00405CAF"/>
    <w:rsid w:val="0040602C"/>
    <w:rsid w:val="004061BC"/>
    <w:rsid w:val="0040631B"/>
    <w:rsid w:val="00406471"/>
    <w:rsid w:val="00406509"/>
    <w:rsid w:val="00406AF6"/>
    <w:rsid w:val="00406D89"/>
    <w:rsid w:val="004073E6"/>
    <w:rsid w:val="00407ADB"/>
    <w:rsid w:val="004100BC"/>
    <w:rsid w:val="004106A5"/>
    <w:rsid w:val="00410868"/>
    <w:rsid w:val="004116A3"/>
    <w:rsid w:val="004119CB"/>
    <w:rsid w:val="00411C09"/>
    <w:rsid w:val="00411E7C"/>
    <w:rsid w:val="00412471"/>
    <w:rsid w:val="00412BED"/>
    <w:rsid w:val="00412CB4"/>
    <w:rsid w:val="00412E6B"/>
    <w:rsid w:val="00412F1D"/>
    <w:rsid w:val="00413147"/>
    <w:rsid w:val="004133BE"/>
    <w:rsid w:val="0041361D"/>
    <w:rsid w:val="00413652"/>
    <w:rsid w:val="0041382A"/>
    <w:rsid w:val="0041395D"/>
    <w:rsid w:val="004139F4"/>
    <w:rsid w:val="00415B8E"/>
    <w:rsid w:val="00415CA4"/>
    <w:rsid w:val="00415DD2"/>
    <w:rsid w:val="0041649E"/>
    <w:rsid w:val="00416DFC"/>
    <w:rsid w:val="004170A7"/>
    <w:rsid w:val="004173BE"/>
    <w:rsid w:val="00417418"/>
    <w:rsid w:val="00417F12"/>
    <w:rsid w:val="004200A5"/>
    <w:rsid w:val="004201B5"/>
    <w:rsid w:val="00420666"/>
    <w:rsid w:val="00420683"/>
    <w:rsid w:val="004209BE"/>
    <w:rsid w:val="004209D6"/>
    <w:rsid w:val="004210DA"/>
    <w:rsid w:val="00421445"/>
    <w:rsid w:val="004218EA"/>
    <w:rsid w:val="00421DA8"/>
    <w:rsid w:val="00421F7A"/>
    <w:rsid w:val="0042261A"/>
    <w:rsid w:val="00422F1D"/>
    <w:rsid w:val="00423133"/>
    <w:rsid w:val="00423EEC"/>
    <w:rsid w:val="004243EE"/>
    <w:rsid w:val="004247DA"/>
    <w:rsid w:val="004248D9"/>
    <w:rsid w:val="004253F9"/>
    <w:rsid w:val="004255F9"/>
    <w:rsid w:val="00425640"/>
    <w:rsid w:val="00425DC2"/>
    <w:rsid w:val="00426097"/>
    <w:rsid w:val="0042673C"/>
    <w:rsid w:val="00426C31"/>
    <w:rsid w:val="00426D56"/>
    <w:rsid w:val="00426DE4"/>
    <w:rsid w:val="0042705C"/>
    <w:rsid w:val="0042710E"/>
    <w:rsid w:val="00427551"/>
    <w:rsid w:val="004275A0"/>
    <w:rsid w:val="00427918"/>
    <w:rsid w:val="00427C3E"/>
    <w:rsid w:val="004304A2"/>
    <w:rsid w:val="004308F6"/>
    <w:rsid w:val="004316D7"/>
    <w:rsid w:val="00431B4C"/>
    <w:rsid w:val="00431C5F"/>
    <w:rsid w:val="0043218B"/>
    <w:rsid w:val="00432E46"/>
    <w:rsid w:val="00432F1F"/>
    <w:rsid w:val="00433265"/>
    <w:rsid w:val="00433A53"/>
    <w:rsid w:val="00433D22"/>
    <w:rsid w:val="004345B8"/>
    <w:rsid w:val="00434742"/>
    <w:rsid w:val="00434D23"/>
    <w:rsid w:val="004354E3"/>
    <w:rsid w:val="00437581"/>
    <w:rsid w:val="00437865"/>
    <w:rsid w:val="004378EB"/>
    <w:rsid w:val="004378F6"/>
    <w:rsid w:val="00440028"/>
    <w:rsid w:val="00440342"/>
    <w:rsid w:val="0044035D"/>
    <w:rsid w:val="004406D4"/>
    <w:rsid w:val="004407AF"/>
    <w:rsid w:val="00440AA8"/>
    <w:rsid w:val="004410BC"/>
    <w:rsid w:val="00441230"/>
    <w:rsid w:val="0044136F"/>
    <w:rsid w:val="00441A4B"/>
    <w:rsid w:val="0044248E"/>
    <w:rsid w:val="0044286B"/>
    <w:rsid w:val="00442B43"/>
    <w:rsid w:val="00442B5B"/>
    <w:rsid w:val="00442CD5"/>
    <w:rsid w:val="00442E0C"/>
    <w:rsid w:val="00444270"/>
    <w:rsid w:val="00444373"/>
    <w:rsid w:val="004443C2"/>
    <w:rsid w:val="004445A4"/>
    <w:rsid w:val="004445E3"/>
    <w:rsid w:val="0044469A"/>
    <w:rsid w:val="00444805"/>
    <w:rsid w:val="0044482A"/>
    <w:rsid w:val="00444D7A"/>
    <w:rsid w:val="00445033"/>
    <w:rsid w:val="004451C2"/>
    <w:rsid w:val="0044571E"/>
    <w:rsid w:val="00445875"/>
    <w:rsid w:val="00445D0D"/>
    <w:rsid w:val="00446B9A"/>
    <w:rsid w:val="00446D40"/>
    <w:rsid w:val="00446FD7"/>
    <w:rsid w:val="004471B2"/>
    <w:rsid w:val="0044761A"/>
    <w:rsid w:val="0044790D"/>
    <w:rsid w:val="00447B37"/>
    <w:rsid w:val="00447F04"/>
    <w:rsid w:val="00447FCC"/>
    <w:rsid w:val="004501BF"/>
    <w:rsid w:val="00450268"/>
    <w:rsid w:val="0045033E"/>
    <w:rsid w:val="00450394"/>
    <w:rsid w:val="004505AD"/>
    <w:rsid w:val="00450BA2"/>
    <w:rsid w:val="00450E31"/>
    <w:rsid w:val="00451113"/>
    <w:rsid w:val="00451844"/>
    <w:rsid w:val="00451CA4"/>
    <w:rsid w:val="00451CE5"/>
    <w:rsid w:val="00452772"/>
    <w:rsid w:val="004527C7"/>
    <w:rsid w:val="004527DE"/>
    <w:rsid w:val="00452EE3"/>
    <w:rsid w:val="00452F8B"/>
    <w:rsid w:val="00453470"/>
    <w:rsid w:val="00453528"/>
    <w:rsid w:val="00453A32"/>
    <w:rsid w:val="00454165"/>
    <w:rsid w:val="0045422C"/>
    <w:rsid w:val="00454272"/>
    <w:rsid w:val="0045441D"/>
    <w:rsid w:val="004548E5"/>
    <w:rsid w:val="00454D74"/>
    <w:rsid w:val="00455318"/>
    <w:rsid w:val="0045531F"/>
    <w:rsid w:val="00455443"/>
    <w:rsid w:val="00455537"/>
    <w:rsid w:val="00455BA9"/>
    <w:rsid w:val="00455E50"/>
    <w:rsid w:val="004560E4"/>
    <w:rsid w:val="00456117"/>
    <w:rsid w:val="00456159"/>
    <w:rsid w:val="00456585"/>
    <w:rsid w:val="00456A0F"/>
    <w:rsid w:val="00457127"/>
    <w:rsid w:val="004575A8"/>
    <w:rsid w:val="0045763E"/>
    <w:rsid w:val="00457983"/>
    <w:rsid w:val="00460269"/>
    <w:rsid w:val="004602C1"/>
    <w:rsid w:val="00460B01"/>
    <w:rsid w:val="0046117F"/>
    <w:rsid w:val="004612C0"/>
    <w:rsid w:val="00461934"/>
    <w:rsid w:val="00461AB9"/>
    <w:rsid w:val="00461D82"/>
    <w:rsid w:val="00461F69"/>
    <w:rsid w:val="00462297"/>
    <w:rsid w:val="0046267C"/>
    <w:rsid w:val="0046296D"/>
    <w:rsid w:val="00462AC2"/>
    <w:rsid w:val="00462AFD"/>
    <w:rsid w:val="00462EC4"/>
    <w:rsid w:val="00462FE8"/>
    <w:rsid w:val="00463030"/>
    <w:rsid w:val="0046311E"/>
    <w:rsid w:val="0046320F"/>
    <w:rsid w:val="004633C0"/>
    <w:rsid w:val="0046377E"/>
    <w:rsid w:val="00463A5F"/>
    <w:rsid w:val="00463CBF"/>
    <w:rsid w:val="00463D08"/>
    <w:rsid w:val="00463FF9"/>
    <w:rsid w:val="004641B5"/>
    <w:rsid w:val="0046441A"/>
    <w:rsid w:val="00464594"/>
    <w:rsid w:val="004649BE"/>
    <w:rsid w:val="00464D2C"/>
    <w:rsid w:val="004654DE"/>
    <w:rsid w:val="0046571C"/>
    <w:rsid w:val="00465A0A"/>
    <w:rsid w:val="00465BD8"/>
    <w:rsid w:val="0046662B"/>
    <w:rsid w:val="0046693D"/>
    <w:rsid w:val="00466DD5"/>
    <w:rsid w:val="00466E42"/>
    <w:rsid w:val="0046702D"/>
    <w:rsid w:val="00467381"/>
    <w:rsid w:val="004673C2"/>
    <w:rsid w:val="00467AEE"/>
    <w:rsid w:val="00467E5B"/>
    <w:rsid w:val="004701AD"/>
    <w:rsid w:val="004705F4"/>
    <w:rsid w:val="00470CEF"/>
    <w:rsid w:val="00470E20"/>
    <w:rsid w:val="0047117B"/>
    <w:rsid w:val="004716D3"/>
    <w:rsid w:val="00471A32"/>
    <w:rsid w:val="00472549"/>
    <w:rsid w:val="004728DD"/>
    <w:rsid w:val="00472B26"/>
    <w:rsid w:val="00472C2C"/>
    <w:rsid w:val="004731F2"/>
    <w:rsid w:val="0047356E"/>
    <w:rsid w:val="00473D5E"/>
    <w:rsid w:val="00474DE2"/>
    <w:rsid w:val="00474F44"/>
    <w:rsid w:val="00475744"/>
    <w:rsid w:val="004757E0"/>
    <w:rsid w:val="00475BDE"/>
    <w:rsid w:val="00475D17"/>
    <w:rsid w:val="0047667C"/>
    <w:rsid w:val="0047683E"/>
    <w:rsid w:val="004769C7"/>
    <w:rsid w:val="00476A10"/>
    <w:rsid w:val="00476A1B"/>
    <w:rsid w:val="0047720B"/>
    <w:rsid w:val="00477475"/>
    <w:rsid w:val="00477A0E"/>
    <w:rsid w:val="00477F23"/>
    <w:rsid w:val="00477F39"/>
    <w:rsid w:val="00477FB3"/>
    <w:rsid w:val="004803BB"/>
    <w:rsid w:val="00480BCD"/>
    <w:rsid w:val="00480FA3"/>
    <w:rsid w:val="004816AD"/>
    <w:rsid w:val="00481F1E"/>
    <w:rsid w:val="00481F82"/>
    <w:rsid w:val="004826E4"/>
    <w:rsid w:val="00482ED6"/>
    <w:rsid w:val="004831B1"/>
    <w:rsid w:val="0048347E"/>
    <w:rsid w:val="00483525"/>
    <w:rsid w:val="00483DFA"/>
    <w:rsid w:val="00484118"/>
    <w:rsid w:val="0048474F"/>
    <w:rsid w:val="00484A0A"/>
    <w:rsid w:val="00485514"/>
    <w:rsid w:val="0048568A"/>
    <w:rsid w:val="00485810"/>
    <w:rsid w:val="004858C5"/>
    <w:rsid w:val="00485E61"/>
    <w:rsid w:val="00486929"/>
    <w:rsid w:val="00486A6A"/>
    <w:rsid w:val="00486EDE"/>
    <w:rsid w:val="004870E7"/>
    <w:rsid w:val="00487404"/>
    <w:rsid w:val="004901BF"/>
    <w:rsid w:val="004907F9"/>
    <w:rsid w:val="00490996"/>
    <w:rsid w:val="00490A6D"/>
    <w:rsid w:val="00490DBE"/>
    <w:rsid w:val="004911B3"/>
    <w:rsid w:val="00491483"/>
    <w:rsid w:val="004915F3"/>
    <w:rsid w:val="004918B2"/>
    <w:rsid w:val="004919DC"/>
    <w:rsid w:val="00491A85"/>
    <w:rsid w:val="00491B27"/>
    <w:rsid w:val="004924F4"/>
    <w:rsid w:val="0049254E"/>
    <w:rsid w:val="00492971"/>
    <w:rsid w:val="00492B10"/>
    <w:rsid w:val="00492E74"/>
    <w:rsid w:val="00493657"/>
    <w:rsid w:val="0049378E"/>
    <w:rsid w:val="004939FF"/>
    <w:rsid w:val="00493CFE"/>
    <w:rsid w:val="00493EB4"/>
    <w:rsid w:val="00494632"/>
    <w:rsid w:val="00494905"/>
    <w:rsid w:val="00494FD2"/>
    <w:rsid w:val="004950E0"/>
    <w:rsid w:val="004951BC"/>
    <w:rsid w:val="00495E82"/>
    <w:rsid w:val="00495F13"/>
    <w:rsid w:val="0049600B"/>
    <w:rsid w:val="0049611D"/>
    <w:rsid w:val="0049649B"/>
    <w:rsid w:val="004965F7"/>
    <w:rsid w:val="00496E7D"/>
    <w:rsid w:val="00497157"/>
    <w:rsid w:val="004977C3"/>
    <w:rsid w:val="004978AE"/>
    <w:rsid w:val="00497A79"/>
    <w:rsid w:val="00497BD4"/>
    <w:rsid w:val="00497D2D"/>
    <w:rsid w:val="004A03DD"/>
    <w:rsid w:val="004A1098"/>
    <w:rsid w:val="004A149C"/>
    <w:rsid w:val="004A1713"/>
    <w:rsid w:val="004A1793"/>
    <w:rsid w:val="004A1F25"/>
    <w:rsid w:val="004A221D"/>
    <w:rsid w:val="004A2330"/>
    <w:rsid w:val="004A2770"/>
    <w:rsid w:val="004A2A00"/>
    <w:rsid w:val="004A2A77"/>
    <w:rsid w:val="004A32E2"/>
    <w:rsid w:val="004A3A41"/>
    <w:rsid w:val="004A3DAF"/>
    <w:rsid w:val="004A4358"/>
    <w:rsid w:val="004A4458"/>
    <w:rsid w:val="004A4B5D"/>
    <w:rsid w:val="004A4EC6"/>
    <w:rsid w:val="004A5331"/>
    <w:rsid w:val="004A5449"/>
    <w:rsid w:val="004A5E1A"/>
    <w:rsid w:val="004A5E37"/>
    <w:rsid w:val="004A5F51"/>
    <w:rsid w:val="004A63E9"/>
    <w:rsid w:val="004A6FB5"/>
    <w:rsid w:val="004A7348"/>
    <w:rsid w:val="004A7C5D"/>
    <w:rsid w:val="004A7CB5"/>
    <w:rsid w:val="004A7EF8"/>
    <w:rsid w:val="004B0284"/>
    <w:rsid w:val="004B07FD"/>
    <w:rsid w:val="004B088E"/>
    <w:rsid w:val="004B0CE1"/>
    <w:rsid w:val="004B14ED"/>
    <w:rsid w:val="004B1DBF"/>
    <w:rsid w:val="004B1F69"/>
    <w:rsid w:val="004B221B"/>
    <w:rsid w:val="004B22C8"/>
    <w:rsid w:val="004B2442"/>
    <w:rsid w:val="004B26A7"/>
    <w:rsid w:val="004B2A7C"/>
    <w:rsid w:val="004B2B51"/>
    <w:rsid w:val="004B2BED"/>
    <w:rsid w:val="004B3757"/>
    <w:rsid w:val="004B3E71"/>
    <w:rsid w:val="004B448B"/>
    <w:rsid w:val="004B456D"/>
    <w:rsid w:val="004B4A8D"/>
    <w:rsid w:val="004B4D8B"/>
    <w:rsid w:val="004B4F09"/>
    <w:rsid w:val="004B52AC"/>
    <w:rsid w:val="004B5526"/>
    <w:rsid w:val="004B576B"/>
    <w:rsid w:val="004B6068"/>
    <w:rsid w:val="004B667E"/>
    <w:rsid w:val="004B6836"/>
    <w:rsid w:val="004B690E"/>
    <w:rsid w:val="004B6E02"/>
    <w:rsid w:val="004B6E78"/>
    <w:rsid w:val="004B6EC7"/>
    <w:rsid w:val="004B7163"/>
    <w:rsid w:val="004B72C0"/>
    <w:rsid w:val="004B73A3"/>
    <w:rsid w:val="004B73EE"/>
    <w:rsid w:val="004B7676"/>
    <w:rsid w:val="004C034E"/>
    <w:rsid w:val="004C0494"/>
    <w:rsid w:val="004C0C73"/>
    <w:rsid w:val="004C0CAB"/>
    <w:rsid w:val="004C10E0"/>
    <w:rsid w:val="004C1930"/>
    <w:rsid w:val="004C1B86"/>
    <w:rsid w:val="004C21B3"/>
    <w:rsid w:val="004C26A2"/>
    <w:rsid w:val="004C2C88"/>
    <w:rsid w:val="004C3495"/>
    <w:rsid w:val="004C3767"/>
    <w:rsid w:val="004C3958"/>
    <w:rsid w:val="004C40D8"/>
    <w:rsid w:val="004C4D0D"/>
    <w:rsid w:val="004C4DBA"/>
    <w:rsid w:val="004C4E01"/>
    <w:rsid w:val="004C517F"/>
    <w:rsid w:val="004C561F"/>
    <w:rsid w:val="004C5AE2"/>
    <w:rsid w:val="004C66B0"/>
    <w:rsid w:val="004C6897"/>
    <w:rsid w:val="004C68B0"/>
    <w:rsid w:val="004C6959"/>
    <w:rsid w:val="004C6AD0"/>
    <w:rsid w:val="004C6CD7"/>
    <w:rsid w:val="004C7518"/>
    <w:rsid w:val="004C7696"/>
    <w:rsid w:val="004C76D2"/>
    <w:rsid w:val="004C78BA"/>
    <w:rsid w:val="004C7A58"/>
    <w:rsid w:val="004C7AE4"/>
    <w:rsid w:val="004C7B46"/>
    <w:rsid w:val="004C7D9D"/>
    <w:rsid w:val="004D0014"/>
    <w:rsid w:val="004D031D"/>
    <w:rsid w:val="004D07C6"/>
    <w:rsid w:val="004D10E6"/>
    <w:rsid w:val="004D1215"/>
    <w:rsid w:val="004D171A"/>
    <w:rsid w:val="004D17E2"/>
    <w:rsid w:val="004D18D3"/>
    <w:rsid w:val="004D1B41"/>
    <w:rsid w:val="004D1B6D"/>
    <w:rsid w:val="004D21B3"/>
    <w:rsid w:val="004D23A9"/>
    <w:rsid w:val="004D23EE"/>
    <w:rsid w:val="004D2527"/>
    <w:rsid w:val="004D271B"/>
    <w:rsid w:val="004D29FA"/>
    <w:rsid w:val="004D3350"/>
    <w:rsid w:val="004D33AA"/>
    <w:rsid w:val="004D355A"/>
    <w:rsid w:val="004D3D31"/>
    <w:rsid w:val="004D4989"/>
    <w:rsid w:val="004D4A49"/>
    <w:rsid w:val="004D50F3"/>
    <w:rsid w:val="004D5405"/>
    <w:rsid w:val="004D5B7C"/>
    <w:rsid w:val="004D613F"/>
    <w:rsid w:val="004D647B"/>
    <w:rsid w:val="004D6618"/>
    <w:rsid w:val="004D6B54"/>
    <w:rsid w:val="004D7197"/>
    <w:rsid w:val="004D7631"/>
    <w:rsid w:val="004D7774"/>
    <w:rsid w:val="004D78CC"/>
    <w:rsid w:val="004D7924"/>
    <w:rsid w:val="004D7B85"/>
    <w:rsid w:val="004D7E51"/>
    <w:rsid w:val="004E00AE"/>
    <w:rsid w:val="004E01A1"/>
    <w:rsid w:val="004E0401"/>
    <w:rsid w:val="004E052B"/>
    <w:rsid w:val="004E0E85"/>
    <w:rsid w:val="004E0FB8"/>
    <w:rsid w:val="004E10F9"/>
    <w:rsid w:val="004E11F7"/>
    <w:rsid w:val="004E2A15"/>
    <w:rsid w:val="004E2D15"/>
    <w:rsid w:val="004E301C"/>
    <w:rsid w:val="004E3144"/>
    <w:rsid w:val="004E35B3"/>
    <w:rsid w:val="004E39FC"/>
    <w:rsid w:val="004E3A29"/>
    <w:rsid w:val="004E3C7B"/>
    <w:rsid w:val="004E3FD5"/>
    <w:rsid w:val="004E4271"/>
    <w:rsid w:val="004E4695"/>
    <w:rsid w:val="004E4A0A"/>
    <w:rsid w:val="004E4DCE"/>
    <w:rsid w:val="004E5106"/>
    <w:rsid w:val="004E5546"/>
    <w:rsid w:val="004E5B25"/>
    <w:rsid w:val="004E5C5C"/>
    <w:rsid w:val="004E5F68"/>
    <w:rsid w:val="004E61BE"/>
    <w:rsid w:val="004E6322"/>
    <w:rsid w:val="004E652D"/>
    <w:rsid w:val="004E6676"/>
    <w:rsid w:val="004E729A"/>
    <w:rsid w:val="004E74D5"/>
    <w:rsid w:val="004E75EB"/>
    <w:rsid w:val="004E7B22"/>
    <w:rsid w:val="004F0C06"/>
    <w:rsid w:val="004F0D10"/>
    <w:rsid w:val="004F0DBB"/>
    <w:rsid w:val="004F0F9D"/>
    <w:rsid w:val="004F0FD7"/>
    <w:rsid w:val="004F1C2D"/>
    <w:rsid w:val="004F2777"/>
    <w:rsid w:val="004F2932"/>
    <w:rsid w:val="004F2C30"/>
    <w:rsid w:val="004F3180"/>
    <w:rsid w:val="004F31E3"/>
    <w:rsid w:val="004F3D65"/>
    <w:rsid w:val="004F4ADF"/>
    <w:rsid w:val="004F4B1A"/>
    <w:rsid w:val="004F5593"/>
    <w:rsid w:val="004F5880"/>
    <w:rsid w:val="004F618D"/>
    <w:rsid w:val="004F6412"/>
    <w:rsid w:val="004F6A03"/>
    <w:rsid w:val="004F6BEA"/>
    <w:rsid w:val="004F6C57"/>
    <w:rsid w:val="004F70BB"/>
    <w:rsid w:val="004F70C8"/>
    <w:rsid w:val="004F7349"/>
    <w:rsid w:val="004F7448"/>
    <w:rsid w:val="004F77BF"/>
    <w:rsid w:val="004F786A"/>
    <w:rsid w:val="004F7A17"/>
    <w:rsid w:val="004F7E04"/>
    <w:rsid w:val="004F7FB7"/>
    <w:rsid w:val="004F7FD8"/>
    <w:rsid w:val="0050016F"/>
    <w:rsid w:val="0050044A"/>
    <w:rsid w:val="005010F1"/>
    <w:rsid w:val="005016BD"/>
    <w:rsid w:val="005016C8"/>
    <w:rsid w:val="00501AF2"/>
    <w:rsid w:val="00501C81"/>
    <w:rsid w:val="005023A1"/>
    <w:rsid w:val="00503613"/>
    <w:rsid w:val="00503825"/>
    <w:rsid w:val="00503DD3"/>
    <w:rsid w:val="00504124"/>
    <w:rsid w:val="0050420B"/>
    <w:rsid w:val="005044FD"/>
    <w:rsid w:val="0050468A"/>
    <w:rsid w:val="00504830"/>
    <w:rsid w:val="00504912"/>
    <w:rsid w:val="00504C00"/>
    <w:rsid w:val="00504EBC"/>
    <w:rsid w:val="00505430"/>
    <w:rsid w:val="00505BE1"/>
    <w:rsid w:val="00505C52"/>
    <w:rsid w:val="00505FC7"/>
    <w:rsid w:val="00506974"/>
    <w:rsid w:val="00506989"/>
    <w:rsid w:val="00506A88"/>
    <w:rsid w:val="00507502"/>
    <w:rsid w:val="00507D7C"/>
    <w:rsid w:val="00507ECD"/>
    <w:rsid w:val="00510672"/>
    <w:rsid w:val="0051096B"/>
    <w:rsid w:val="00510D23"/>
    <w:rsid w:val="00510EA5"/>
    <w:rsid w:val="005111C6"/>
    <w:rsid w:val="00511B0F"/>
    <w:rsid w:val="00511EB4"/>
    <w:rsid w:val="00512000"/>
    <w:rsid w:val="0051269F"/>
    <w:rsid w:val="005127C8"/>
    <w:rsid w:val="00512877"/>
    <w:rsid w:val="005128D5"/>
    <w:rsid w:val="00512F0F"/>
    <w:rsid w:val="0051338A"/>
    <w:rsid w:val="00513395"/>
    <w:rsid w:val="005133FC"/>
    <w:rsid w:val="0051349E"/>
    <w:rsid w:val="00513E2F"/>
    <w:rsid w:val="00513F42"/>
    <w:rsid w:val="005142E6"/>
    <w:rsid w:val="005146FE"/>
    <w:rsid w:val="005148D5"/>
    <w:rsid w:val="00514E41"/>
    <w:rsid w:val="0051514D"/>
    <w:rsid w:val="005151FB"/>
    <w:rsid w:val="005157E5"/>
    <w:rsid w:val="00515F93"/>
    <w:rsid w:val="0051684C"/>
    <w:rsid w:val="00516C94"/>
    <w:rsid w:val="0051737C"/>
    <w:rsid w:val="005173BA"/>
    <w:rsid w:val="0051767E"/>
    <w:rsid w:val="00517970"/>
    <w:rsid w:val="0052010D"/>
    <w:rsid w:val="00520167"/>
    <w:rsid w:val="005204FC"/>
    <w:rsid w:val="00520796"/>
    <w:rsid w:val="00520897"/>
    <w:rsid w:val="00520A5D"/>
    <w:rsid w:val="00520CD9"/>
    <w:rsid w:val="00520DBB"/>
    <w:rsid w:val="00520FD5"/>
    <w:rsid w:val="00521016"/>
    <w:rsid w:val="00521881"/>
    <w:rsid w:val="005220C9"/>
    <w:rsid w:val="005221FE"/>
    <w:rsid w:val="0052280E"/>
    <w:rsid w:val="00523124"/>
    <w:rsid w:val="00523871"/>
    <w:rsid w:val="00523E6D"/>
    <w:rsid w:val="005241B2"/>
    <w:rsid w:val="00524743"/>
    <w:rsid w:val="005259C5"/>
    <w:rsid w:val="00525D74"/>
    <w:rsid w:val="005260CA"/>
    <w:rsid w:val="0052685B"/>
    <w:rsid w:val="00527403"/>
    <w:rsid w:val="00527AE1"/>
    <w:rsid w:val="00527BB2"/>
    <w:rsid w:val="00527DDD"/>
    <w:rsid w:val="00527EE7"/>
    <w:rsid w:val="0053016F"/>
    <w:rsid w:val="005301BC"/>
    <w:rsid w:val="00530697"/>
    <w:rsid w:val="00530AA8"/>
    <w:rsid w:val="005312E1"/>
    <w:rsid w:val="00531444"/>
    <w:rsid w:val="00531B58"/>
    <w:rsid w:val="00532DA3"/>
    <w:rsid w:val="00532DD5"/>
    <w:rsid w:val="00532EC5"/>
    <w:rsid w:val="00532FB0"/>
    <w:rsid w:val="0053300E"/>
    <w:rsid w:val="0053383C"/>
    <w:rsid w:val="00533E5A"/>
    <w:rsid w:val="005342C3"/>
    <w:rsid w:val="00534ACA"/>
    <w:rsid w:val="00535608"/>
    <w:rsid w:val="00535A57"/>
    <w:rsid w:val="00535BF0"/>
    <w:rsid w:val="00536091"/>
    <w:rsid w:val="00536757"/>
    <w:rsid w:val="00536C1A"/>
    <w:rsid w:val="00536CD8"/>
    <w:rsid w:val="00536D1B"/>
    <w:rsid w:val="00536E65"/>
    <w:rsid w:val="00537021"/>
    <w:rsid w:val="005376EE"/>
    <w:rsid w:val="0053796E"/>
    <w:rsid w:val="005379B6"/>
    <w:rsid w:val="00537EE9"/>
    <w:rsid w:val="00540081"/>
    <w:rsid w:val="005400F4"/>
    <w:rsid w:val="00540893"/>
    <w:rsid w:val="00540B71"/>
    <w:rsid w:val="00540C25"/>
    <w:rsid w:val="00540D8F"/>
    <w:rsid w:val="00541A06"/>
    <w:rsid w:val="0054214C"/>
    <w:rsid w:val="00542157"/>
    <w:rsid w:val="00542564"/>
    <w:rsid w:val="0054259C"/>
    <w:rsid w:val="00543210"/>
    <w:rsid w:val="00543249"/>
    <w:rsid w:val="00543932"/>
    <w:rsid w:val="00543953"/>
    <w:rsid w:val="00543A2E"/>
    <w:rsid w:val="00543AF3"/>
    <w:rsid w:val="00543D60"/>
    <w:rsid w:val="00543DC2"/>
    <w:rsid w:val="0054447D"/>
    <w:rsid w:val="00545107"/>
    <w:rsid w:val="00545126"/>
    <w:rsid w:val="00545163"/>
    <w:rsid w:val="0054577B"/>
    <w:rsid w:val="00545887"/>
    <w:rsid w:val="00545A05"/>
    <w:rsid w:val="00545E3B"/>
    <w:rsid w:val="005461D5"/>
    <w:rsid w:val="00546B51"/>
    <w:rsid w:val="00546BA7"/>
    <w:rsid w:val="00546DD7"/>
    <w:rsid w:val="00547644"/>
    <w:rsid w:val="005479BB"/>
    <w:rsid w:val="00550824"/>
    <w:rsid w:val="00550D78"/>
    <w:rsid w:val="005511D6"/>
    <w:rsid w:val="00551746"/>
    <w:rsid w:val="00551AA0"/>
    <w:rsid w:val="00551AB6"/>
    <w:rsid w:val="005520B1"/>
    <w:rsid w:val="00552365"/>
    <w:rsid w:val="00552A06"/>
    <w:rsid w:val="00552CBB"/>
    <w:rsid w:val="00552DF9"/>
    <w:rsid w:val="00552E93"/>
    <w:rsid w:val="0055312C"/>
    <w:rsid w:val="005535B4"/>
    <w:rsid w:val="00553662"/>
    <w:rsid w:val="00553876"/>
    <w:rsid w:val="00553895"/>
    <w:rsid w:val="005539DE"/>
    <w:rsid w:val="00553C28"/>
    <w:rsid w:val="00553C51"/>
    <w:rsid w:val="00554003"/>
    <w:rsid w:val="005546AB"/>
    <w:rsid w:val="00554BD4"/>
    <w:rsid w:val="00554D4B"/>
    <w:rsid w:val="00554E96"/>
    <w:rsid w:val="00554ED5"/>
    <w:rsid w:val="005551F6"/>
    <w:rsid w:val="005555BD"/>
    <w:rsid w:val="00555CAD"/>
    <w:rsid w:val="00555D3C"/>
    <w:rsid w:val="00556312"/>
    <w:rsid w:val="00556C9C"/>
    <w:rsid w:val="005575D6"/>
    <w:rsid w:val="0055779C"/>
    <w:rsid w:val="005579F5"/>
    <w:rsid w:val="00557BF9"/>
    <w:rsid w:val="00560000"/>
    <w:rsid w:val="00560FD3"/>
    <w:rsid w:val="0056106B"/>
    <w:rsid w:val="005617FE"/>
    <w:rsid w:val="005620DF"/>
    <w:rsid w:val="005626C6"/>
    <w:rsid w:val="005627C3"/>
    <w:rsid w:val="00563330"/>
    <w:rsid w:val="00563462"/>
    <w:rsid w:val="0056356A"/>
    <w:rsid w:val="005638C6"/>
    <w:rsid w:val="00563D85"/>
    <w:rsid w:val="00563E8F"/>
    <w:rsid w:val="00563EA8"/>
    <w:rsid w:val="00564248"/>
    <w:rsid w:val="0056472B"/>
    <w:rsid w:val="00564741"/>
    <w:rsid w:val="00564E9C"/>
    <w:rsid w:val="00565066"/>
    <w:rsid w:val="005650BC"/>
    <w:rsid w:val="005654CF"/>
    <w:rsid w:val="005657C3"/>
    <w:rsid w:val="0056584D"/>
    <w:rsid w:val="00565B43"/>
    <w:rsid w:val="00565E76"/>
    <w:rsid w:val="00565FBE"/>
    <w:rsid w:val="00566639"/>
    <w:rsid w:val="005669C5"/>
    <w:rsid w:val="00566C4A"/>
    <w:rsid w:val="00566EAA"/>
    <w:rsid w:val="005670CE"/>
    <w:rsid w:val="00567297"/>
    <w:rsid w:val="005672F7"/>
    <w:rsid w:val="005706AD"/>
    <w:rsid w:val="00570B23"/>
    <w:rsid w:val="00570EBA"/>
    <w:rsid w:val="00570FB9"/>
    <w:rsid w:val="00571B50"/>
    <w:rsid w:val="0057237A"/>
    <w:rsid w:val="00572494"/>
    <w:rsid w:val="0057314D"/>
    <w:rsid w:val="00573344"/>
    <w:rsid w:val="005737C9"/>
    <w:rsid w:val="00573818"/>
    <w:rsid w:val="00573958"/>
    <w:rsid w:val="00573F8B"/>
    <w:rsid w:val="00573F94"/>
    <w:rsid w:val="005740DB"/>
    <w:rsid w:val="00574B44"/>
    <w:rsid w:val="0057558D"/>
    <w:rsid w:val="005755D4"/>
    <w:rsid w:val="005757CC"/>
    <w:rsid w:val="005758B6"/>
    <w:rsid w:val="005758C1"/>
    <w:rsid w:val="00575D68"/>
    <w:rsid w:val="0057611D"/>
    <w:rsid w:val="005769DF"/>
    <w:rsid w:val="005769E2"/>
    <w:rsid w:val="00576B86"/>
    <w:rsid w:val="00576D80"/>
    <w:rsid w:val="00577508"/>
    <w:rsid w:val="0057756E"/>
    <w:rsid w:val="00577843"/>
    <w:rsid w:val="005801B6"/>
    <w:rsid w:val="005801E1"/>
    <w:rsid w:val="005806BB"/>
    <w:rsid w:val="00580A2B"/>
    <w:rsid w:val="00580FFF"/>
    <w:rsid w:val="00581256"/>
    <w:rsid w:val="00581535"/>
    <w:rsid w:val="00581553"/>
    <w:rsid w:val="00581649"/>
    <w:rsid w:val="00581A89"/>
    <w:rsid w:val="005825C1"/>
    <w:rsid w:val="00582B17"/>
    <w:rsid w:val="00582BF4"/>
    <w:rsid w:val="005831CB"/>
    <w:rsid w:val="005834D3"/>
    <w:rsid w:val="005839ED"/>
    <w:rsid w:val="005839F2"/>
    <w:rsid w:val="00583BFB"/>
    <w:rsid w:val="00583CF5"/>
    <w:rsid w:val="00583F16"/>
    <w:rsid w:val="005841DB"/>
    <w:rsid w:val="0058430F"/>
    <w:rsid w:val="0058515C"/>
    <w:rsid w:val="005857F7"/>
    <w:rsid w:val="00585A6A"/>
    <w:rsid w:val="00585C6D"/>
    <w:rsid w:val="00585C6E"/>
    <w:rsid w:val="005860DE"/>
    <w:rsid w:val="005866EA"/>
    <w:rsid w:val="00586880"/>
    <w:rsid w:val="00586D27"/>
    <w:rsid w:val="00586FD1"/>
    <w:rsid w:val="0058745A"/>
    <w:rsid w:val="00587D98"/>
    <w:rsid w:val="005904EC"/>
    <w:rsid w:val="0059081D"/>
    <w:rsid w:val="00590E27"/>
    <w:rsid w:val="00591078"/>
    <w:rsid w:val="00591307"/>
    <w:rsid w:val="0059144E"/>
    <w:rsid w:val="0059152E"/>
    <w:rsid w:val="00591AC8"/>
    <w:rsid w:val="005924C6"/>
    <w:rsid w:val="00592914"/>
    <w:rsid w:val="0059308E"/>
    <w:rsid w:val="0059332C"/>
    <w:rsid w:val="00593A28"/>
    <w:rsid w:val="00593A29"/>
    <w:rsid w:val="005940E0"/>
    <w:rsid w:val="0059442E"/>
    <w:rsid w:val="00594ED2"/>
    <w:rsid w:val="005953DE"/>
    <w:rsid w:val="00595E65"/>
    <w:rsid w:val="005962C6"/>
    <w:rsid w:val="00596351"/>
    <w:rsid w:val="00596654"/>
    <w:rsid w:val="005966E4"/>
    <w:rsid w:val="00596B38"/>
    <w:rsid w:val="00596C99"/>
    <w:rsid w:val="00597680"/>
    <w:rsid w:val="00597739"/>
    <w:rsid w:val="005977A2"/>
    <w:rsid w:val="00597FFD"/>
    <w:rsid w:val="005A006A"/>
    <w:rsid w:val="005A0AAE"/>
    <w:rsid w:val="005A0BB6"/>
    <w:rsid w:val="005A0E42"/>
    <w:rsid w:val="005A307E"/>
    <w:rsid w:val="005A30D2"/>
    <w:rsid w:val="005A3ACE"/>
    <w:rsid w:val="005A3BF7"/>
    <w:rsid w:val="005A3F04"/>
    <w:rsid w:val="005A4007"/>
    <w:rsid w:val="005A408B"/>
    <w:rsid w:val="005A41E2"/>
    <w:rsid w:val="005A484C"/>
    <w:rsid w:val="005A4ADD"/>
    <w:rsid w:val="005A4C82"/>
    <w:rsid w:val="005A4EEE"/>
    <w:rsid w:val="005A4FE7"/>
    <w:rsid w:val="005A5186"/>
    <w:rsid w:val="005A5260"/>
    <w:rsid w:val="005A5942"/>
    <w:rsid w:val="005A5978"/>
    <w:rsid w:val="005A5AE3"/>
    <w:rsid w:val="005A5B01"/>
    <w:rsid w:val="005A5FFD"/>
    <w:rsid w:val="005A6583"/>
    <w:rsid w:val="005A662B"/>
    <w:rsid w:val="005A6E7E"/>
    <w:rsid w:val="005A72F2"/>
    <w:rsid w:val="005A74B9"/>
    <w:rsid w:val="005A764A"/>
    <w:rsid w:val="005A7823"/>
    <w:rsid w:val="005A79B7"/>
    <w:rsid w:val="005A7DDC"/>
    <w:rsid w:val="005B009F"/>
    <w:rsid w:val="005B00B1"/>
    <w:rsid w:val="005B03E0"/>
    <w:rsid w:val="005B0B7B"/>
    <w:rsid w:val="005B0FAC"/>
    <w:rsid w:val="005B17A2"/>
    <w:rsid w:val="005B1E80"/>
    <w:rsid w:val="005B233F"/>
    <w:rsid w:val="005B2E0E"/>
    <w:rsid w:val="005B2EBF"/>
    <w:rsid w:val="005B35E4"/>
    <w:rsid w:val="005B3BF4"/>
    <w:rsid w:val="005B3CE7"/>
    <w:rsid w:val="005B4199"/>
    <w:rsid w:val="005B467A"/>
    <w:rsid w:val="005B4BF9"/>
    <w:rsid w:val="005B50A0"/>
    <w:rsid w:val="005B539F"/>
    <w:rsid w:val="005B55FF"/>
    <w:rsid w:val="005B595E"/>
    <w:rsid w:val="005B620B"/>
    <w:rsid w:val="005B643D"/>
    <w:rsid w:val="005B6592"/>
    <w:rsid w:val="005B7100"/>
    <w:rsid w:val="005B712A"/>
    <w:rsid w:val="005B7403"/>
    <w:rsid w:val="005B7D6B"/>
    <w:rsid w:val="005C03D9"/>
    <w:rsid w:val="005C093B"/>
    <w:rsid w:val="005C0BF5"/>
    <w:rsid w:val="005C0CD0"/>
    <w:rsid w:val="005C0DF5"/>
    <w:rsid w:val="005C0FC7"/>
    <w:rsid w:val="005C1038"/>
    <w:rsid w:val="005C1056"/>
    <w:rsid w:val="005C1122"/>
    <w:rsid w:val="005C1136"/>
    <w:rsid w:val="005C2334"/>
    <w:rsid w:val="005C24EB"/>
    <w:rsid w:val="005C34B4"/>
    <w:rsid w:val="005C3A30"/>
    <w:rsid w:val="005C3EF8"/>
    <w:rsid w:val="005C3F4A"/>
    <w:rsid w:val="005C4886"/>
    <w:rsid w:val="005C4AA1"/>
    <w:rsid w:val="005C57C1"/>
    <w:rsid w:val="005C5A1B"/>
    <w:rsid w:val="005C5DD0"/>
    <w:rsid w:val="005C63D7"/>
    <w:rsid w:val="005C6617"/>
    <w:rsid w:val="005C69C7"/>
    <w:rsid w:val="005C7123"/>
    <w:rsid w:val="005C7233"/>
    <w:rsid w:val="005C7992"/>
    <w:rsid w:val="005C7C2D"/>
    <w:rsid w:val="005C7D85"/>
    <w:rsid w:val="005D003F"/>
    <w:rsid w:val="005D00A0"/>
    <w:rsid w:val="005D026D"/>
    <w:rsid w:val="005D0546"/>
    <w:rsid w:val="005D0809"/>
    <w:rsid w:val="005D0ADC"/>
    <w:rsid w:val="005D0B12"/>
    <w:rsid w:val="005D0D4B"/>
    <w:rsid w:val="005D0E9C"/>
    <w:rsid w:val="005D10E2"/>
    <w:rsid w:val="005D15A3"/>
    <w:rsid w:val="005D160F"/>
    <w:rsid w:val="005D168B"/>
    <w:rsid w:val="005D16EF"/>
    <w:rsid w:val="005D1BAB"/>
    <w:rsid w:val="005D1CD7"/>
    <w:rsid w:val="005D1CDB"/>
    <w:rsid w:val="005D1CF8"/>
    <w:rsid w:val="005D1D79"/>
    <w:rsid w:val="005D2338"/>
    <w:rsid w:val="005D2DD3"/>
    <w:rsid w:val="005D35DC"/>
    <w:rsid w:val="005D47AB"/>
    <w:rsid w:val="005D4B82"/>
    <w:rsid w:val="005D5690"/>
    <w:rsid w:val="005D5BA8"/>
    <w:rsid w:val="005D5CBA"/>
    <w:rsid w:val="005D5D14"/>
    <w:rsid w:val="005D62FD"/>
    <w:rsid w:val="005D6AAF"/>
    <w:rsid w:val="005D6B5D"/>
    <w:rsid w:val="005D6C82"/>
    <w:rsid w:val="005D6EE7"/>
    <w:rsid w:val="005D6F24"/>
    <w:rsid w:val="005D70B1"/>
    <w:rsid w:val="005D71E4"/>
    <w:rsid w:val="005D7B81"/>
    <w:rsid w:val="005E0AA0"/>
    <w:rsid w:val="005E0AAB"/>
    <w:rsid w:val="005E0FC4"/>
    <w:rsid w:val="005E1097"/>
    <w:rsid w:val="005E1265"/>
    <w:rsid w:val="005E1693"/>
    <w:rsid w:val="005E16C7"/>
    <w:rsid w:val="005E18FF"/>
    <w:rsid w:val="005E1ACB"/>
    <w:rsid w:val="005E1CD2"/>
    <w:rsid w:val="005E1E97"/>
    <w:rsid w:val="005E2110"/>
    <w:rsid w:val="005E2444"/>
    <w:rsid w:val="005E25DD"/>
    <w:rsid w:val="005E29B7"/>
    <w:rsid w:val="005E2B83"/>
    <w:rsid w:val="005E2FFC"/>
    <w:rsid w:val="005E3713"/>
    <w:rsid w:val="005E3E55"/>
    <w:rsid w:val="005E3F06"/>
    <w:rsid w:val="005E40FF"/>
    <w:rsid w:val="005E48FE"/>
    <w:rsid w:val="005E4A5C"/>
    <w:rsid w:val="005E4D45"/>
    <w:rsid w:val="005E4D5B"/>
    <w:rsid w:val="005E4E1F"/>
    <w:rsid w:val="005E512D"/>
    <w:rsid w:val="005E5268"/>
    <w:rsid w:val="005E56CC"/>
    <w:rsid w:val="005E58B3"/>
    <w:rsid w:val="005E5BED"/>
    <w:rsid w:val="005E5DD7"/>
    <w:rsid w:val="005E63A3"/>
    <w:rsid w:val="005E6A29"/>
    <w:rsid w:val="005E6EF4"/>
    <w:rsid w:val="005E735E"/>
    <w:rsid w:val="005E7412"/>
    <w:rsid w:val="005E758A"/>
    <w:rsid w:val="005E7CEC"/>
    <w:rsid w:val="005E7DB1"/>
    <w:rsid w:val="005F0015"/>
    <w:rsid w:val="005F07FD"/>
    <w:rsid w:val="005F08D9"/>
    <w:rsid w:val="005F09F4"/>
    <w:rsid w:val="005F0B3D"/>
    <w:rsid w:val="005F0D90"/>
    <w:rsid w:val="005F11CF"/>
    <w:rsid w:val="005F1392"/>
    <w:rsid w:val="005F13CB"/>
    <w:rsid w:val="005F1E22"/>
    <w:rsid w:val="005F2736"/>
    <w:rsid w:val="005F27DD"/>
    <w:rsid w:val="005F2B83"/>
    <w:rsid w:val="005F2DBA"/>
    <w:rsid w:val="005F392D"/>
    <w:rsid w:val="005F3E35"/>
    <w:rsid w:val="005F4251"/>
    <w:rsid w:val="005F46C7"/>
    <w:rsid w:val="005F4C26"/>
    <w:rsid w:val="005F4D17"/>
    <w:rsid w:val="005F4DCB"/>
    <w:rsid w:val="005F4E7D"/>
    <w:rsid w:val="005F5227"/>
    <w:rsid w:val="005F5356"/>
    <w:rsid w:val="005F565A"/>
    <w:rsid w:val="005F56CA"/>
    <w:rsid w:val="005F58F7"/>
    <w:rsid w:val="005F595F"/>
    <w:rsid w:val="005F5A91"/>
    <w:rsid w:val="005F5AD3"/>
    <w:rsid w:val="005F5D85"/>
    <w:rsid w:val="005F606B"/>
    <w:rsid w:val="005F6170"/>
    <w:rsid w:val="005F6491"/>
    <w:rsid w:val="005F6AEC"/>
    <w:rsid w:val="005F6B0B"/>
    <w:rsid w:val="005F70FE"/>
    <w:rsid w:val="005F7948"/>
    <w:rsid w:val="006004FE"/>
    <w:rsid w:val="0060061D"/>
    <w:rsid w:val="0060069D"/>
    <w:rsid w:val="0060072C"/>
    <w:rsid w:val="00600CB4"/>
    <w:rsid w:val="0060137C"/>
    <w:rsid w:val="006018D7"/>
    <w:rsid w:val="00601C54"/>
    <w:rsid w:val="00601D1E"/>
    <w:rsid w:val="006031A0"/>
    <w:rsid w:val="0060327D"/>
    <w:rsid w:val="00603289"/>
    <w:rsid w:val="00603407"/>
    <w:rsid w:val="00604371"/>
    <w:rsid w:val="0060449B"/>
    <w:rsid w:val="006048CF"/>
    <w:rsid w:val="006048DC"/>
    <w:rsid w:val="00604E5A"/>
    <w:rsid w:val="0060577F"/>
    <w:rsid w:val="00605EB7"/>
    <w:rsid w:val="0060678D"/>
    <w:rsid w:val="00606A48"/>
    <w:rsid w:val="00606FD8"/>
    <w:rsid w:val="006072ED"/>
    <w:rsid w:val="006075BA"/>
    <w:rsid w:val="00607625"/>
    <w:rsid w:val="00607A4E"/>
    <w:rsid w:val="00607BD6"/>
    <w:rsid w:val="00607E77"/>
    <w:rsid w:val="00607FB2"/>
    <w:rsid w:val="0061033D"/>
    <w:rsid w:val="006103EC"/>
    <w:rsid w:val="006104E8"/>
    <w:rsid w:val="0061071A"/>
    <w:rsid w:val="006107AD"/>
    <w:rsid w:val="00610B62"/>
    <w:rsid w:val="00610F3E"/>
    <w:rsid w:val="00611872"/>
    <w:rsid w:val="006118E9"/>
    <w:rsid w:val="006119CA"/>
    <w:rsid w:val="00611F65"/>
    <w:rsid w:val="00612749"/>
    <w:rsid w:val="006127D3"/>
    <w:rsid w:val="00612849"/>
    <w:rsid w:val="006128A2"/>
    <w:rsid w:val="00612FBB"/>
    <w:rsid w:val="00613257"/>
    <w:rsid w:val="00613ACE"/>
    <w:rsid w:val="0061426D"/>
    <w:rsid w:val="006144F8"/>
    <w:rsid w:val="00614549"/>
    <w:rsid w:val="006146D5"/>
    <w:rsid w:val="0061493C"/>
    <w:rsid w:val="00614A4F"/>
    <w:rsid w:val="0061507D"/>
    <w:rsid w:val="006153AA"/>
    <w:rsid w:val="00615540"/>
    <w:rsid w:val="0061563C"/>
    <w:rsid w:val="00615715"/>
    <w:rsid w:val="00615F28"/>
    <w:rsid w:val="00616019"/>
    <w:rsid w:val="00616216"/>
    <w:rsid w:val="00616B6B"/>
    <w:rsid w:val="00616BF0"/>
    <w:rsid w:val="00616D0A"/>
    <w:rsid w:val="00616D71"/>
    <w:rsid w:val="00616F86"/>
    <w:rsid w:val="006173A4"/>
    <w:rsid w:val="00617931"/>
    <w:rsid w:val="00617CD6"/>
    <w:rsid w:val="00617F25"/>
    <w:rsid w:val="00617FA1"/>
    <w:rsid w:val="00620261"/>
    <w:rsid w:val="00620564"/>
    <w:rsid w:val="00620D25"/>
    <w:rsid w:val="00621106"/>
    <w:rsid w:val="00622115"/>
    <w:rsid w:val="00622501"/>
    <w:rsid w:val="00622690"/>
    <w:rsid w:val="00622B6C"/>
    <w:rsid w:val="00622D78"/>
    <w:rsid w:val="00622FA4"/>
    <w:rsid w:val="00623280"/>
    <w:rsid w:val="006234D9"/>
    <w:rsid w:val="0062371E"/>
    <w:rsid w:val="006239CA"/>
    <w:rsid w:val="00623CBE"/>
    <w:rsid w:val="0062425E"/>
    <w:rsid w:val="00624287"/>
    <w:rsid w:val="006243C3"/>
    <w:rsid w:val="0062447D"/>
    <w:rsid w:val="006245AC"/>
    <w:rsid w:val="00624629"/>
    <w:rsid w:val="00624A5B"/>
    <w:rsid w:val="00624A60"/>
    <w:rsid w:val="00624B11"/>
    <w:rsid w:val="00624F91"/>
    <w:rsid w:val="00624FE9"/>
    <w:rsid w:val="00625005"/>
    <w:rsid w:val="006255DA"/>
    <w:rsid w:val="00625A08"/>
    <w:rsid w:val="00625B6E"/>
    <w:rsid w:val="00625D6B"/>
    <w:rsid w:val="00625E38"/>
    <w:rsid w:val="00626CEF"/>
    <w:rsid w:val="006301B3"/>
    <w:rsid w:val="006306C2"/>
    <w:rsid w:val="006311D9"/>
    <w:rsid w:val="006312B4"/>
    <w:rsid w:val="00631435"/>
    <w:rsid w:val="0063157A"/>
    <w:rsid w:val="0063178A"/>
    <w:rsid w:val="006319C6"/>
    <w:rsid w:val="006322CE"/>
    <w:rsid w:val="006324CA"/>
    <w:rsid w:val="00632CA7"/>
    <w:rsid w:val="00632D85"/>
    <w:rsid w:val="0063328C"/>
    <w:rsid w:val="006334CD"/>
    <w:rsid w:val="006336AD"/>
    <w:rsid w:val="0063388A"/>
    <w:rsid w:val="006339E4"/>
    <w:rsid w:val="00633C1E"/>
    <w:rsid w:val="00634525"/>
    <w:rsid w:val="00634F45"/>
    <w:rsid w:val="00635115"/>
    <w:rsid w:val="00635161"/>
    <w:rsid w:val="00635293"/>
    <w:rsid w:val="006354CD"/>
    <w:rsid w:val="006357EA"/>
    <w:rsid w:val="00635B0F"/>
    <w:rsid w:val="00635D1A"/>
    <w:rsid w:val="00636205"/>
    <w:rsid w:val="00636779"/>
    <w:rsid w:val="00636ACA"/>
    <w:rsid w:val="00636E07"/>
    <w:rsid w:val="006370A6"/>
    <w:rsid w:val="00637431"/>
    <w:rsid w:val="00637509"/>
    <w:rsid w:val="006407B4"/>
    <w:rsid w:val="00640B86"/>
    <w:rsid w:val="00640F36"/>
    <w:rsid w:val="00641320"/>
    <w:rsid w:val="0064140E"/>
    <w:rsid w:val="00641533"/>
    <w:rsid w:val="006423B2"/>
    <w:rsid w:val="0064242A"/>
    <w:rsid w:val="00643068"/>
    <w:rsid w:val="006430A4"/>
    <w:rsid w:val="0064362E"/>
    <w:rsid w:val="00643E6D"/>
    <w:rsid w:val="00644629"/>
    <w:rsid w:val="006449F5"/>
    <w:rsid w:val="00644B81"/>
    <w:rsid w:val="00644CCC"/>
    <w:rsid w:val="00644F48"/>
    <w:rsid w:val="00645764"/>
    <w:rsid w:val="00645F3D"/>
    <w:rsid w:val="00646328"/>
    <w:rsid w:val="00646805"/>
    <w:rsid w:val="00646BAD"/>
    <w:rsid w:val="00646BF9"/>
    <w:rsid w:val="00646E9F"/>
    <w:rsid w:val="00650236"/>
    <w:rsid w:val="00650445"/>
    <w:rsid w:val="006506D8"/>
    <w:rsid w:val="00650844"/>
    <w:rsid w:val="006509BE"/>
    <w:rsid w:val="00650AAC"/>
    <w:rsid w:val="00650BB5"/>
    <w:rsid w:val="00650C8D"/>
    <w:rsid w:val="00651388"/>
    <w:rsid w:val="00651C59"/>
    <w:rsid w:val="00651D81"/>
    <w:rsid w:val="0065253B"/>
    <w:rsid w:val="0065283D"/>
    <w:rsid w:val="00652BED"/>
    <w:rsid w:val="00652CBF"/>
    <w:rsid w:val="0065305F"/>
    <w:rsid w:val="00653119"/>
    <w:rsid w:val="00653A28"/>
    <w:rsid w:val="006549C8"/>
    <w:rsid w:val="00654B14"/>
    <w:rsid w:val="00654C3D"/>
    <w:rsid w:val="00654CF2"/>
    <w:rsid w:val="00655306"/>
    <w:rsid w:val="006553D9"/>
    <w:rsid w:val="00655568"/>
    <w:rsid w:val="00655ACE"/>
    <w:rsid w:val="00655FC9"/>
    <w:rsid w:val="00655FE0"/>
    <w:rsid w:val="006561D7"/>
    <w:rsid w:val="00656209"/>
    <w:rsid w:val="00656297"/>
    <w:rsid w:val="0065642E"/>
    <w:rsid w:val="006564AA"/>
    <w:rsid w:val="00656AF1"/>
    <w:rsid w:val="00656C05"/>
    <w:rsid w:val="00656CE2"/>
    <w:rsid w:val="00656D00"/>
    <w:rsid w:val="00656DF1"/>
    <w:rsid w:val="00657B3D"/>
    <w:rsid w:val="00660636"/>
    <w:rsid w:val="00660DE8"/>
    <w:rsid w:val="00660FAC"/>
    <w:rsid w:val="00661245"/>
    <w:rsid w:val="00661CEF"/>
    <w:rsid w:val="00662186"/>
    <w:rsid w:val="006625CC"/>
    <w:rsid w:val="006628C2"/>
    <w:rsid w:val="006629C0"/>
    <w:rsid w:val="00662D26"/>
    <w:rsid w:val="00662DA7"/>
    <w:rsid w:val="00662E34"/>
    <w:rsid w:val="00662F93"/>
    <w:rsid w:val="006633F7"/>
    <w:rsid w:val="0066367F"/>
    <w:rsid w:val="006638A8"/>
    <w:rsid w:val="006639F6"/>
    <w:rsid w:val="00663CC7"/>
    <w:rsid w:val="00663D2D"/>
    <w:rsid w:val="00664357"/>
    <w:rsid w:val="00664B24"/>
    <w:rsid w:val="00664F4D"/>
    <w:rsid w:val="006653B6"/>
    <w:rsid w:val="00665897"/>
    <w:rsid w:val="006660AD"/>
    <w:rsid w:val="00666158"/>
    <w:rsid w:val="00666524"/>
    <w:rsid w:val="00666610"/>
    <w:rsid w:val="0066710B"/>
    <w:rsid w:val="00667165"/>
    <w:rsid w:val="00667284"/>
    <w:rsid w:val="00667415"/>
    <w:rsid w:val="006676B5"/>
    <w:rsid w:val="00667F7C"/>
    <w:rsid w:val="006701BC"/>
    <w:rsid w:val="00670625"/>
    <w:rsid w:val="006711CF"/>
    <w:rsid w:val="00671CB9"/>
    <w:rsid w:val="00671E31"/>
    <w:rsid w:val="006720C0"/>
    <w:rsid w:val="006720DF"/>
    <w:rsid w:val="006723F2"/>
    <w:rsid w:val="00673165"/>
    <w:rsid w:val="006731AC"/>
    <w:rsid w:val="0067332D"/>
    <w:rsid w:val="00673464"/>
    <w:rsid w:val="006735EE"/>
    <w:rsid w:val="00673665"/>
    <w:rsid w:val="00673816"/>
    <w:rsid w:val="0067382F"/>
    <w:rsid w:val="00673B2D"/>
    <w:rsid w:val="00673CAF"/>
    <w:rsid w:val="006740CB"/>
    <w:rsid w:val="006742A6"/>
    <w:rsid w:val="00674341"/>
    <w:rsid w:val="006743BA"/>
    <w:rsid w:val="00674767"/>
    <w:rsid w:val="0067478C"/>
    <w:rsid w:val="00674DFD"/>
    <w:rsid w:val="00674F30"/>
    <w:rsid w:val="00675151"/>
    <w:rsid w:val="00675503"/>
    <w:rsid w:val="0067551A"/>
    <w:rsid w:val="0067553B"/>
    <w:rsid w:val="00675587"/>
    <w:rsid w:val="00675780"/>
    <w:rsid w:val="00675B56"/>
    <w:rsid w:val="00675B97"/>
    <w:rsid w:val="00675E19"/>
    <w:rsid w:val="006761DE"/>
    <w:rsid w:val="006762F9"/>
    <w:rsid w:val="00676329"/>
    <w:rsid w:val="0067645E"/>
    <w:rsid w:val="00676983"/>
    <w:rsid w:val="00676F6B"/>
    <w:rsid w:val="00677630"/>
    <w:rsid w:val="0068047A"/>
    <w:rsid w:val="0068062D"/>
    <w:rsid w:val="006806AF"/>
    <w:rsid w:val="006807B3"/>
    <w:rsid w:val="00680FE7"/>
    <w:rsid w:val="00681375"/>
    <w:rsid w:val="006814D6"/>
    <w:rsid w:val="00681741"/>
    <w:rsid w:val="00681852"/>
    <w:rsid w:val="00681A14"/>
    <w:rsid w:val="00681AAE"/>
    <w:rsid w:val="00681E25"/>
    <w:rsid w:val="00681F20"/>
    <w:rsid w:val="006822F7"/>
    <w:rsid w:val="006823F5"/>
    <w:rsid w:val="00682517"/>
    <w:rsid w:val="006826D6"/>
    <w:rsid w:val="006834E3"/>
    <w:rsid w:val="00683D7E"/>
    <w:rsid w:val="00683DFD"/>
    <w:rsid w:val="00683F2E"/>
    <w:rsid w:val="00684195"/>
    <w:rsid w:val="00684321"/>
    <w:rsid w:val="0068445F"/>
    <w:rsid w:val="00684963"/>
    <w:rsid w:val="00684B11"/>
    <w:rsid w:val="00685097"/>
    <w:rsid w:val="006855BF"/>
    <w:rsid w:val="00685C96"/>
    <w:rsid w:val="00685FDE"/>
    <w:rsid w:val="00686B78"/>
    <w:rsid w:val="00686FC9"/>
    <w:rsid w:val="00687125"/>
    <w:rsid w:val="00687710"/>
    <w:rsid w:val="00687874"/>
    <w:rsid w:val="00687BFD"/>
    <w:rsid w:val="006901E3"/>
    <w:rsid w:val="006907F9"/>
    <w:rsid w:val="006912DC"/>
    <w:rsid w:val="006914CE"/>
    <w:rsid w:val="00691A31"/>
    <w:rsid w:val="00691E04"/>
    <w:rsid w:val="00692351"/>
    <w:rsid w:val="0069240B"/>
    <w:rsid w:val="00692449"/>
    <w:rsid w:val="006929B8"/>
    <w:rsid w:val="006931DC"/>
    <w:rsid w:val="006933BF"/>
    <w:rsid w:val="0069386B"/>
    <w:rsid w:val="0069416F"/>
    <w:rsid w:val="006946F7"/>
    <w:rsid w:val="006947BD"/>
    <w:rsid w:val="00694FA9"/>
    <w:rsid w:val="006950CB"/>
    <w:rsid w:val="00695650"/>
    <w:rsid w:val="00695B73"/>
    <w:rsid w:val="00695FEE"/>
    <w:rsid w:val="00696478"/>
    <w:rsid w:val="00696562"/>
    <w:rsid w:val="00696566"/>
    <w:rsid w:val="00696597"/>
    <w:rsid w:val="006967AE"/>
    <w:rsid w:val="00696CA4"/>
    <w:rsid w:val="0069738E"/>
    <w:rsid w:val="00697A82"/>
    <w:rsid w:val="00697BB0"/>
    <w:rsid w:val="00697C58"/>
    <w:rsid w:val="00697D31"/>
    <w:rsid w:val="00697D43"/>
    <w:rsid w:val="006A00E9"/>
    <w:rsid w:val="006A0295"/>
    <w:rsid w:val="006A07C3"/>
    <w:rsid w:val="006A09DE"/>
    <w:rsid w:val="006A0DF8"/>
    <w:rsid w:val="006A0F82"/>
    <w:rsid w:val="006A1066"/>
    <w:rsid w:val="006A1753"/>
    <w:rsid w:val="006A187D"/>
    <w:rsid w:val="006A232A"/>
    <w:rsid w:val="006A2362"/>
    <w:rsid w:val="006A2C0D"/>
    <w:rsid w:val="006A2DF2"/>
    <w:rsid w:val="006A349C"/>
    <w:rsid w:val="006A35EB"/>
    <w:rsid w:val="006A3A26"/>
    <w:rsid w:val="006A3C41"/>
    <w:rsid w:val="006A3FAD"/>
    <w:rsid w:val="006A40B0"/>
    <w:rsid w:val="006A42AC"/>
    <w:rsid w:val="006A489B"/>
    <w:rsid w:val="006A4975"/>
    <w:rsid w:val="006A519B"/>
    <w:rsid w:val="006A5361"/>
    <w:rsid w:val="006A591A"/>
    <w:rsid w:val="006A5A30"/>
    <w:rsid w:val="006A5B31"/>
    <w:rsid w:val="006A5C90"/>
    <w:rsid w:val="006A5ECF"/>
    <w:rsid w:val="006A6214"/>
    <w:rsid w:val="006A627C"/>
    <w:rsid w:val="006A64AA"/>
    <w:rsid w:val="006A6E26"/>
    <w:rsid w:val="006A714E"/>
    <w:rsid w:val="006A718F"/>
    <w:rsid w:val="006A750F"/>
    <w:rsid w:val="006A7C50"/>
    <w:rsid w:val="006A7D0A"/>
    <w:rsid w:val="006B000A"/>
    <w:rsid w:val="006B0168"/>
    <w:rsid w:val="006B03FB"/>
    <w:rsid w:val="006B0AB4"/>
    <w:rsid w:val="006B0DED"/>
    <w:rsid w:val="006B0F8C"/>
    <w:rsid w:val="006B111D"/>
    <w:rsid w:val="006B148A"/>
    <w:rsid w:val="006B1BEC"/>
    <w:rsid w:val="006B1E75"/>
    <w:rsid w:val="006B22CB"/>
    <w:rsid w:val="006B32E0"/>
    <w:rsid w:val="006B3478"/>
    <w:rsid w:val="006B3577"/>
    <w:rsid w:val="006B3AF9"/>
    <w:rsid w:val="006B405A"/>
    <w:rsid w:val="006B408A"/>
    <w:rsid w:val="006B42D4"/>
    <w:rsid w:val="006B59E5"/>
    <w:rsid w:val="006B5E44"/>
    <w:rsid w:val="006B6256"/>
    <w:rsid w:val="006B63FC"/>
    <w:rsid w:val="006B6AF5"/>
    <w:rsid w:val="006B73BF"/>
    <w:rsid w:val="006B7400"/>
    <w:rsid w:val="006B75EE"/>
    <w:rsid w:val="006B7639"/>
    <w:rsid w:val="006B770C"/>
    <w:rsid w:val="006B789F"/>
    <w:rsid w:val="006B78BB"/>
    <w:rsid w:val="006C072E"/>
    <w:rsid w:val="006C085F"/>
    <w:rsid w:val="006C0AFA"/>
    <w:rsid w:val="006C0C58"/>
    <w:rsid w:val="006C0D6C"/>
    <w:rsid w:val="006C0DAD"/>
    <w:rsid w:val="006C0FAB"/>
    <w:rsid w:val="006C15CE"/>
    <w:rsid w:val="006C18E2"/>
    <w:rsid w:val="006C1A96"/>
    <w:rsid w:val="006C1D82"/>
    <w:rsid w:val="006C1F51"/>
    <w:rsid w:val="006C224C"/>
    <w:rsid w:val="006C2374"/>
    <w:rsid w:val="006C24D7"/>
    <w:rsid w:val="006C2572"/>
    <w:rsid w:val="006C27E8"/>
    <w:rsid w:val="006C3412"/>
    <w:rsid w:val="006C399E"/>
    <w:rsid w:val="006C3BE5"/>
    <w:rsid w:val="006C3DC3"/>
    <w:rsid w:val="006C4446"/>
    <w:rsid w:val="006C5052"/>
    <w:rsid w:val="006C511F"/>
    <w:rsid w:val="006C5382"/>
    <w:rsid w:val="006C5670"/>
    <w:rsid w:val="006C585D"/>
    <w:rsid w:val="006C59C4"/>
    <w:rsid w:val="006C5B7D"/>
    <w:rsid w:val="006C6147"/>
    <w:rsid w:val="006C6167"/>
    <w:rsid w:val="006C6694"/>
    <w:rsid w:val="006C690C"/>
    <w:rsid w:val="006C6960"/>
    <w:rsid w:val="006C6C8F"/>
    <w:rsid w:val="006C75E7"/>
    <w:rsid w:val="006C76BE"/>
    <w:rsid w:val="006C7842"/>
    <w:rsid w:val="006C7A68"/>
    <w:rsid w:val="006C7D86"/>
    <w:rsid w:val="006C7DD4"/>
    <w:rsid w:val="006D042E"/>
    <w:rsid w:val="006D064D"/>
    <w:rsid w:val="006D1165"/>
    <w:rsid w:val="006D1324"/>
    <w:rsid w:val="006D162B"/>
    <w:rsid w:val="006D199A"/>
    <w:rsid w:val="006D1A0E"/>
    <w:rsid w:val="006D1B32"/>
    <w:rsid w:val="006D28E2"/>
    <w:rsid w:val="006D2E04"/>
    <w:rsid w:val="006D2EA5"/>
    <w:rsid w:val="006D2EFE"/>
    <w:rsid w:val="006D3957"/>
    <w:rsid w:val="006D3AE3"/>
    <w:rsid w:val="006D4507"/>
    <w:rsid w:val="006D45C2"/>
    <w:rsid w:val="006D467F"/>
    <w:rsid w:val="006D4C30"/>
    <w:rsid w:val="006D5694"/>
    <w:rsid w:val="006D5A03"/>
    <w:rsid w:val="006D5E27"/>
    <w:rsid w:val="006D5F97"/>
    <w:rsid w:val="006D63C4"/>
    <w:rsid w:val="006D6633"/>
    <w:rsid w:val="006D67C8"/>
    <w:rsid w:val="006D6C86"/>
    <w:rsid w:val="006D6D21"/>
    <w:rsid w:val="006D7585"/>
    <w:rsid w:val="006D7C89"/>
    <w:rsid w:val="006D7CEE"/>
    <w:rsid w:val="006D7FB2"/>
    <w:rsid w:val="006E00BE"/>
    <w:rsid w:val="006E03BA"/>
    <w:rsid w:val="006E0512"/>
    <w:rsid w:val="006E0527"/>
    <w:rsid w:val="006E0688"/>
    <w:rsid w:val="006E08F8"/>
    <w:rsid w:val="006E097D"/>
    <w:rsid w:val="006E1318"/>
    <w:rsid w:val="006E1736"/>
    <w:rsid w:val="006E1DA8"/>
    <w:rsid w:val="006E22E8"/>
    <w:rsid w:val="006E23EA"/>
    <w:rsid w:val="006E272E"/>
    <w:rsid w:val="006E2780"/>
    <w:rsid w:val="006E2C3C"/>
    <w:rsid w:val="006E2EA5"/>
    <w:rsid w:val="006E35DB"/>
    <w:rsid w:val="006E3ACC"/>
    <w:rsid w:val="006E443B"/>
    <w:rsid w:val="006E4551"/>
    <w:rsid w:val="006E46BD"/>
    <w:rsid w:val="006E4AEE"/>
    <w:rsid w:val="006E4BFB"/>
    <w:rsid w:val="006E4CB4"/>
    <w:rsid w:val="006E4CD6"/>
    <w:rsid w:val="006E5796"/>
    <w:rsid w:val="006E589F"/>
    <w:rsid w:val="006E593E"/>
    <w:rsid w:val="006E5F88"/>
    <w:rsid w:val="006E62BC"/>
    <w:rsid w:val="006E64AF"/>
    <w:rsid w:val="006E6567"/>
    <w:rsid w:val="006E6C76"/>
    <w:rsid w:val="006E72EE"/>
    <w:rsid w:val="006E7492"/>
    <w:rsid w:val="006E7578"/>
    <w:rsid w:val="006E7B35"/>
    <w:rsid w:val="006E7D36"/>
    <w:rsid w:val="006F01FA"/>
    <w:rsid w:val="006F0FE2"/>
    <w:rsid w:val="006F179B"/>
    <w:rsid w:val="006F1A28"/>
    <w:rsid w:val="006F1B0A"/>
    <w:rsid w:val="006F1C90"/>
    <w:rsid w:val="006F2407"/>
    <w:rsid w:val="006F253D"/>
    <w:rsid w:val="006F2544"/>
    <w:rsid w:val="006F25B9"/>
    <w:rsid w:val="006F2A60"/>
    <w:rsid w:val="006F2F78"/>
    <w:rsid w:val="006F316A"/>
    <w:rsid w:val="006F3643"/>
    <w:rsid w:val="006F3672"/>
    <w:rsid w:val="006F368B"/>
    <w:rsid w:val="006F36F1"/>
    <w:rsid w:val="006F38CF"/>
    <w:rsid w:val="006F39E3"/>
    <w:rsid w:val="006F3BC2"/>
    <w:rsid w:val="006F3CEA"/>
    <w:rsid w:val="006F3D74"/>
    <w:rsid w:val="006F3F51"/>
    <w:rsid w:val="006F4536"/>
    <w:rsid w:val="006F4627"/>
    <w:rsid w:val="006F4A4D"/>
    <w:rsid w:val="006F4AEB"/>
    <w:rsid w:val="006F4BEB"/>
    <w:rsid w:val="006F572A"/>
    <w:rsid w:val="006F5831"/>
    <w:rsid w:val="006F598E"/>
    <w:rsid w:val="006F662F"/>
    <w:rsid w:val="006F6AB8"/>
    <w:rsid w:val="006F6DC8"/>
    <w:rsid w:val="006F72D4"/>
    <w:rsid w:val="006F741B"/>
    <w:rsid w:val="006F748C"/>
    <w:rsid w:val="006F7862"/>
    <w:rsid w:val="006F79D1"/>
    <w:rsid w:val="006F7A11"/>
    <w:rsid w:val="006F7B97"/>
    <w:rsid w:val="006F7E5F"/>
    <w:rsid w:val="00700120"/>
    <w:rsid w:val="007001DE"/>
    <w:rsid w:val="00700CF6"/>
    <w:rsid w:val="00700DA7"/>
    <w:rsid w:val="00700DF8"/>
    <w:rsid w:val="00700DFD"/>
    <w:rsid w:val="00701127"/>
    <w:rsid w:val="00701342"/>
    <w:rsid w:val="0070170E"/>
    <w:rsid w:val="00701714"/>
    <w:rsid w:val="0070252C"/>
    <w:rsid w:val="00702DB1"/>
    <w:rsid w:val="00703220"/>
    <w:rsid w:val="00703A36"/>
    <w:rsid w:val="00703ADF"/>
    <w:rsid w:val="007040B2"/>
    <w:rsid w:val="00704388"/>
    <w:rsid w:val="0070469F"/>
    <w:rsid w:val="00704BE9"/>
    <w:rsid w:val="00704C54"/>
    <w:rsid w:val="00704CBD"/>
    <w:rsid w:val="00704E50"/>
    <w:rsid w:val="0070509F"/>
    <w:rsid w:val="00705168"/>
    <w:rsid w:val="007051D2"/>
    <w:rsid w:val="00705349"/>
    <w:rsid w:val="007055B8"/>
    <w:rsid w:val="0070563E"/>
    <w:rsid w:val="007059E8"/>
    <w:rsid w:val="00706279"/>
    <w:rsid w:val="0070631A"/>
    <w:rsid w:val="0070640B"/>
    <w:rsid w:val="0070643C"/>
    <w:rsid w:val="007067CF"/>
    <w:rsid w:val="00707313"/>
    <w:rsid w:val="007074B5"/>
    <w:rsid w:val="00707811"/>
    <w:rsid w:val="00707824"/>
    <w:rsid w:val="007078E4"/>
    <w:rsid w:val="00710284"/>
    <w:rsid w:val="0071053B"/>
    <w:rsid w:val="00710C82"/>
    <w:rsid w:val="007111A0"/>
    <w:rsid w:val="007112CD"/>
    <w:rsid w:val="0071223D"/>
    <w:rsid w:val="00712991"/>
    <w:rsid w:val="00712A3A"/>
    <w:rsid w:val="00712AE0"/>
    <w:rsid w:val="00712E22"/>
    <w:rsid w:val="007130F2"/>
    <w:rsid w:val="00713B7F"/>
    <w:rsid w:val="00714074"/>
    <w:rsid w:val="007148E3"/>
    <w:rsid w:val="00714908"/>
    <w:rsid w:val="00714A2F"/>
    <w:rsid w:val="00714C6A"/>
    <w:rsid w:val="00715097"/>
    <w:rsid w:val="007152FA"/>
    <w:rsid w:val="007156A5"/>
    <w:rsid w:val="00715D03"/>
    <w:rsid w:val="00715ED6"/>
    <w:rsid w:val="00716199"/>
    <w:rsid w:val="007166E9"/>
    <w:rsid w:val="007168A8"/>
    <w:rsid w:val="007169CE"/>
    <w:rsid w:val="00716AC6"/>
    <w:rsid w:val="00716BFF"/>
    <w:rsid w:val="0071706F"/>
    <w:rsid w:val="0071789C"/>
    <w:rsid w:val="00717B5B"/>
    <w:rsid w:val="00717D4B"/>
    <w:rsid w:val="00720D67"/>
    <w:rsid w:val="00721395"/>
    <w:rsid w:val="007214C2"/>
    <w:rsid w:val="00721814"/>
    <w:rsid w:val="00721CAA"/>
    <w:rsid w:val="0072224A"/>
    <w:rsid w:val="007224FB"/>
    <w:rsid w:val="00722708"/>
    <w:rsid w:val="00722842"/>
    <w:rsid w:val="00722900"/>
    <w:rsid w:val="00722AC9"/>
    <w:rsid w:val="00722B6C"/>
    <w:rsid w:val="00723A5F"/>
    <w:rsid w:val="0072412C"/>
    <w:rsid w:val="007245A6"/>
    <w:rsid w:val="00724798"/>
    <w:rsid w:val="00724980"/>
    <w:rsid w:val="007249DF"/>
    <w:rsid w:val="00724C4F"/>
    <w:rsid w:val="00724F24"/>
    <w:rsid w:val="00725469"/>
    <w:rsid w:val="007254B2"/>
    <w:rsid w:val="007254D3"/>
    <w:rsid w:val="007259A8"/>
    <w:rsid w:val="0072615B"/>
    <w:rsid w:val="00726500"/>
    <w:rsid w:val="00726787"/>
    <w:rsid w:val="00726DF0"/>
    <w:rsid w:val="00726EE3"/>
    <w:rsid w:val="00727449"/>
    <w:rsid w:val="00727613"/>
    <w:rsid w:val="00727FBD"/>
    <w:rsid w:val="0073064F"/>
    <w:rsid w:val="00730969"/>
    <w:rsid w:val="00730B6B"/>
    <w:rsid w:val="00730E99"/>
    <w:rsid w:val="00731233"/>
    <w:rsid w:val="00731264"/>
    <w:rsid w:val="00731B40"/>
    <w:rsid w:val="00731BFE"/>
    <w:rsid w:val="00731E01"/>
    <w:rsid w:val="0073206B"/>
    <w:rsid w:val="00732139"/>
    <w:rsid w:val="0073214A"/>
    <w:rsid w:val="0073267D"/>
    <w:rsid w:val="0073293F"/>
    <w:rsid w:val="00732BFA"/>
    <w:rsid w:val="00732CD4"/>
    <w:rsid w:val="00733458"/>
    <w:rsid w:val="00733582"/>
    <w:rsid w:val="0073361E"/>
    <w:rsid w:val="00733807"/>
    <w:rsid w:val="007339DF"/>
    <w:rsid w:val="00734278"/>
    <w:rsid w:val="007342ED"/>
    <w:rsid w:val="007345E9"/>
    <w:rsid w:val="007349BC"/>
    <w:rsid w:val="00734EA1"/>
    <w:rsid w:val="00734FAF"/>
    <w:rsid w:val="00735071"/>
    <w:rsid w:val="00735E41"/>
    <w:rsid w:val="00735F36"/>
    <w:rsid w:val="00736BF6"/>
    <w:rsid w:val="00736D44"/>
    <w:rsid w:val="00736F56"/>
    <w:rsid w:val="007370C5"/>
    <w:rsid w:val="0073762C"/>
    <w:rsid w:val="00737994"/>
    <w:rsid w:val="00737B80"/>
    <w:rsid w:val="0074035D"/>
    <w:rsid w:val="007405AA"/>
    <w:rsid w:val="0074064F"/>
    <w:rsid w:val="00740D24"/>
    <w:rsid w:val="00740D43"/>
    <w:rsid w:val="00740F44"/>
    <w:rsid w:val="0074160F"/>
    <w:rsid w:val="007416C2"/>
    <w:rsid w:val="00741807"/>
    <w:rsid w:val="007419D3"/>
    <w:rsid w:val="00742A0D"/>
    <w:rsid w:val="00742A24"/>
    <w:rsid w:val="00742B06"/>
    <w:rsid w:val="00742D2F"/>
    <w:rsid w:val="00742DC9"/>
    <w:rsid w:val="00742FBF"/>
    <w:rsid w:val="0074304A"/>
    <w:rsid w:val="007435B2"/>
    <w:rsid w:val="007435BC"/>
    <w:rsid w:val="00743A27"/>
    <w:rsid w:val="0074434F"/>
    <w:rsid w:val="00744973"/>
    <w:rsid w:val="0074498F"/>
    <w:rsid w:val="00744D4A"/>
    <w:rsid w:val="00745252"/>
    <w:rsid w:val="0074553E"/>
    <w:rsid w:val="00745A28"/>
    <w:rsid w:val="007460B1"/>
    <w:rsid w:val="00746197"/>
    <w:rsid w:val="007468B8"/>
    <w:rsid w:val="00746B90"/>
    <w:rsid w:val="007472F8"/>
    <w:rsid w:val="0074737C"/>
    <w:rsid w:val="007476F5"/>
    <w:rsid w:val="00747C0B"/>
    <w:rsid w:val="00747D4D"/>
    <w:rsid w:val="0075034E"/>
    <w:rsid w:val="00750C25"/>
    <w:rsid w:val="00751093"/>
    <w:rsid w:val="00751094"/>
    <w:rsid w:val="007513FE"/>
    <w:rsid w:val="00751572"/>
    <w:rsid w:val="00751694"/>
    <w:rsid w:val="007516DA"/>
    <w:rsid w:val="00751B1E"/>
    <w:rsid w:val="007521C4"/>
    <w:rsid w:val="00752280"/>
    <w:rsid w:val="0075261C"/>
    <w:rsid w:val="0075270F"/>
    <w:rsid w:val="00752B86"/>
    <w:rsid w:val="00752CC0"/>
    <w:rsid w:val="00752E33"/>
    <w:rsid w:val="00752F9A"/>
    <w:rsid w:val="007532E1"/>
    <w:rsid w:val="007533BC"/>
    <w:rsid w:val="007535FB"/>
    <w:rsid w:val="0075411C"/>
    <w:rsid w:val="007543E2"/>
    <w:rsid w:val="00754434"/>
    <w:rsid w:val="00754493"/>
    <w:rsid w:val="00754BBF"/>
    <w:rsid w:val="00754C06"/>
    <w:rsid w:val="00754C8D"/>
    <w:rsid w:val="00754CC4"/>
    <w:rsid w:val="00754CD4"/>
    <w:rsid w:val="00754F88"/>
    <w:rsid w:val="00755023"/>
    <w:rsid w:val="007550B4"/>
    <w:rsid w:val="007553A4"/>
    <w:rsid w:val="007554FF"/>
    <w:rsid w:val="00755879"/>
    <w:rsid w:val="00755BB5"/>
    <w:rsid w:val="00756489"/>
    <w:rsid w:val="00756727"/>
    <w:rsid w:val="00756D14"/>
    <w:rsid w:val="00756D26"/>
    <w:rsid w:val="00757137"/>
    <w:rsid w:val="007571F6"/>
    <w:rsid w:val="00757A21"/>
    <w:rsid w:val="00757BDF"/>
    <w:rsid w:val="007603F5"/>
    <w:rsid w:val="007605FF"/>
    <w:rsid w:val="00760D4D"/>
    <w:rsid w:val="0076124C"/>
    <w:rsid w:val="00761363"/>
    <w:rsid w:val="00761433"/>
    <w:rsid w:val="00761555"/>
    <w:rsid w:val="007616F5"/>
    <w:rsid w:val="00761D62"/>
    <w:rsid w:val="00762410"/>
    <w:rsid w:val="0076279A"/>
    <w:rsid w:val="00762995"/>
    <w:rsid w:val="00762CAB"/>
    <w:rsid w:val="00763071"/>
    <w:rsid w:val="007635D9"/>
    <w:rsid w:val="00763DB7"/>
    <w:rsid w:val="00763EB1"/>
    <w:rsid w:val="00764230"/>
    <w:rsid w:val="0076424C"/>
    <w:rsid w:val="00764356"/>
    <w:rsid w:val="007648FA"/>
    <w:rsid w:val="00764B5F"/>
    <w:rsid w:val="00764E79"/>
    <w:rsid w:val="00764F55"/>
    <w:rsid w:val="0076529B"/>
    <w:rsid w:val="0076538B"/>
    <w:rsid w:val="007656F2"/>
    <w:rsid w:val="00765E79"/>
    <w:rsid w:val="00766113"/>
    <w:rsid w:val="007663B8"/>
    <w:rsid w:val="00766768"/>
    <w:rsid w:val="007668E9"/>
    <w:rsid w:val="00767A8D"/>
    <w:rsid w:val="00767CC6"/>
    <w:rsid w:val="00767D86"/>
    <w:rsid w:val="00767E49"/>
    <w:rsid w:val="0077052C"/>
    <w:rsid w:val="007705FD"/>
    <w:rsid w:val="00770687"/>
    <w:rsid w:val="007706F3"/>
    <w:rsid w:val="00770810"/>
    <w:rsid w:val="00770E5C"/>
    <w:rsid w:val="00770FFA"/>
    <w:rsid w:val="00771916"/>
    <w:rsid w:val="00771F99"/>
    <w:rsid w:val="007720DE"/>
    <w:rsid w:val="00772217"/>
    <w:rsid w:val="00772510"/>
    <w:rsid w:val="007730E6"/>
    <w:rsid w:val="00773198"/>
    <w:rsid w:val="0077324C"/>
    <w:rsid w:val="007732E0"/>
    <w:rsid w:val="0077353B"/>
    <w:rsid w:val="007735B7"/>
    <w:rsid w:val="00773996"/>
    <w:rsid w:val="007739C6"/>
    <w:rsid w:val="00773CBD"/>
    <w:rsid w:val="00773F6D"/>
    <w:rsid w:val="00774018"/>
    <w:rsid w:val="00774950"/>
    <w:rsid w:val="00774B71"/>
    <w:rsid w:val="00774C37"/>
    <w:rsid w:val="00774D77"/>
    <w:rsid w:val="007754AE"/>
    <w:rsid w:val="007754B5"/>
    <w:rsid w:val="00775558"/>
    <w:rsid w:val="0077592D"/>
    <w:rsid w:val="00775AB2"/>
    <w:rsid w:val="0077622A"/>
    <w:rsid w:val="007764CB"/>
    <w:rsid w:val="00776CDE"/>
    <w:rsid w:val="0077793E"/>
    <w:rsid w:val="0077795E"/>
    <w:rsid w:val="0077799D"/>
    <w:rsid w:val="00780586"/>
    <w:rsid w:val="007808F1"/>
    <w:rsid w:val="00780932"/>
    <w:rsid w:val="0078156F"/>
    <w:rsid w:val="00781764"/>
    <w:rsid w:val="00781EE7"/>
    <w:rsid w:val="007820AD"/>
    <w:rsid w:val="007822FF"/>
    <w:rsid w:val="00782B92"/>
    <w:rsid w:val="00782BB6"/>
    <w:rsid w:val="00782C07"/>
    <w:rsid w:val="00782DBC"/>
    <w:rsid w:val="007831DC"/>
    <w:rsid w:val="00783323"/>
    <w:rsid w:val="00783918"/>
    <w:rsid w:val="007839C0"/>
    <w:rsid w:val="00783C2A"/>
    <w:rsid w:val="007841D4"/>
    <w:rsid w:val="00784278"/>
    <w:rsid w:val="00784283"/>
    <w:rsid w:val="00784758"/>
    <w:rsid w:val="00785719"/>
    <w:rsid w:val="00785EE0"/>
    <w:rsid w:val="00786040"/>
    <w:rsid w:val="007864B7"/>
    <w:rsid w:val="00786877"/>
    <w:rsid w:val="0078726B"/>
    <w:rsid w:val="00787352"/>
    <w:rsid w:val="0078778A"/>
    <w:rsid w:val="007879D0"/>
    <w:rsid w:val="00787A5F"/>
    <w:rsid w:val="00787AD3"/>
    <w:rsid w:val="00790827"/>
    <w:rsid w:val="00790842"/>
    <w:rsid w:val="00791518"/>
    <w:rsid w:val="007915D8"/>
    <w:rsid w:val="00791702"/>
    <w:rsid w:val="00791CF0"/>
    <w:rsid w:val="00792C71"/>
    <w:rsid w:val="0079356E"/>
    <w:rsid w:val="00793941"/>
    <w:rsid w:val="00793DF6"/>
    <w:rsid w:val="00794293"/>
    <w:rsid w:val="00794447"/>
    <w:rsid w:val="00794581"/>
    <w:rsid w:val="00794597"/>
    <w:rsid w:val="007945AB"/>
    <w:rsid w:val="00794695"/>
    <w:rsid w:val="0079482B"/>
    <w:rsid w:val="007949D0"/>
    <w:rsid w:val="00794B98"/>
    <w:rsid w:val="00794E1E"/>
    <w:rsid w:val="00795241"/>
    <w:rsid w:val="0079529B"/>
    <w:rsid w:val="0079597C"/>
    <w:rsid w:val="00795B24"/>
    <w:rsid w:val="00795BDF"/>
    <w:rsid w:val="00795F83"/>
    <w:rsid w:val="00796160"/>
    <w:rsid w:val="00796304"/>
    <w:rsid w:val="007963C5"/>
    <w:rsid w:val="00796420"/>
    <w:rsid w:val="00796A57"/>
    <w:rsid w:val="00796E1C"/>
    <w:rsid w:val="0079743B"/>
    <w:rsid w:val="007975BB"/>
    <w:rsid w:val="007976C2"/>
    <w:rsid w:val="00797773"/>
    <w:rsid w:val="007A05F5"/>
    <w:rsid w:val="007A0ED8"/>
    <w:rsid w:val="007A1076"/>
    <w:rsid w:val="007A14BD"/>
    <w:rsid w:val="007A1886"/>
    <w:rsid w:val="007A18DF"/>
    <w:rsid w:val="007A1982"/>
    <w:rsid w:val="007A1A7A"/>
    <w:rsid w:val="007A1B16"/>
    <w:rsid w:val="007A1F6F"/>
    <w:rsid w:val="007A2054"/>
    <w:rsid w:val="007A206E"/>
    <w:rsid w:val="007A210F"/>
    <w:rsid w:val="007A2126"/>
    <w:rsid w:val="007A24CA"/>
    <w:rsid w:val="007A2AB8"/>
    <w:rsid w:val="007A2D63"/>
    <w:rsid w:val="007A2EA6"/>
    <w:rsid w:val="007A3062"/>
    <w:rsid w:val="007A308D"/>
    <w:rsid w:val="007A41C3"/>
    <w:rsid w:val="007A4503"/>
    <w:rsid w:val="007A45CF"/>
    <w:rsid w:val="007A4A2B"/>
    <w:rsid w:val="007A4C71"/>
    <w:rsid w:val="007A4FC5"/>
    <w:rsid w:val="007A506D"/>
    <w:rsid w:val="007A5162"/>
    <w:rsid w:val="007A589B"/>
    <w:rsid w:val="007A5AFD"/>
    <w:rsid w:val="007A5D26"/>
    <w:rsid w:val="007A5FE6"/>
    <w:rsid w:val="007A6050"/>
    <w:rsid w:val="007A6D9B"/>
    <w:rsid w:val="007A711C"/>
    <w:rsid w:val="007A71C1"/>
    <w:rsid w:val="007A767B"/>
    <w:rsid w:val="007A79C1"/>
    <w:rsid w:val="007A7C63"/>
    <w:rsid w:val="007A7DFA"/>
    <w:rsid w:val="007B03A3"/>
    <w:rsid w:val="007B04EA"/>
    <w:rsid w:val="007B06BF"/>
    <w:rsid w:val="007B0B43"/>
    <w:rsid w:val="007B11F7"/>
    <w:rsid w:val="007B18E3"/>
    <w:rsid w:val="007B1B8C"/>
    <w:rsid w:val="007B1ED6"/>
    <w:rsid w:val="007B288E"/>
    <w:rsid w:val="007B30D1"/>
    <w:rsid w:val="007B313B"/>
    <w:rsid w:val="007B31BA"/>
    <w:rsid w:val="007B3622"/>
    <w:rsid w:val="007B3E4B"/>
    <w:rsid w:val="007B3E9F"/>
    <w:rsid w:val="007B3EE6"/>
    <w:rsid w:val="007B41CC"/>
    <w:rsid w:val="007B4418"/>
    <w:rsid w:val="007B4938"/>
    <w:rsid w:val="007B4F3A"/>
    <w:rsid w:val="007B509A"/>
    <w:rsid w:val="007B60E3"/>
    <w:rsid w:val="007B67CD"/>
    <w:rsid w:val="007B6A86"/>
    <w:rsid w:val="007B6DB5"/>
    <w:rsid w:val="007B77A4"/>
    <w:rsid w:val="007C0424"/>
    <w:rsid w:val="007C06D0"/>
    <w:rsid w:val="007C0C48"/>
    <w:rsid w:val="007C1152"/>
    <w:rsid w:val="007C119F"/>
    <w:rsid w:val="007C137E"/>
    <w:rsid w:val="007C1CFF"/>
    <w:rsid w:val="007C1D6C"/>
    <w:rsid w:val="007C1D7A"/>
    <w:rsid w:val="007C1F2A"/>
    <w:rsid w:val="007C2052"/>
    <w:rsid w:val="007C221F"/>
    <w:rsid w:val="007C2232"/>
    <w:rsid w:val="007C2899"/>
    <w:rsid w:val="007C2BF6"/>
    <w:rsid w:val="007C2FBB"/>
    <w:rsid w:val="007C34A4"/>
    <w:rsid w:val="007C3813"/>
    <w:rsid w:val="007C3A5D"/>
    <w:rsid w:val="007C3C1C"/>
    <w:rsid w:val="007C3D14"/>
    <w:rsid w:val="007C3F3A"/>
    <w:rsid w:val="007C3F74"/>
    <w:rsid w:val="007C4508"/>
    <w:rsid w:val="007C4543"/>
    <w:rsid w:val="007C4937"/>
    <w:rsid w:val="007C5534"/>
    <w:rsid w:val="007C56F7"/>
    <w:rsid w:val="007C5ADF"/>
    <w:rsid w:val="007C5D97"/>
    <w:rsid w:val="007C6378"/>
    <w:rsid w:val="007C63FA"/>
    <w:rsid w:val="007C6530"/>
    <w:rsid w:val="007C6ED0"/>
    <w:rsid w:val="007C73BB"/>
    <w:rsid w:val="007C7444"/>
    <w:rsid w:val="007C7D39"/>
    <w:rsid w:val="007C7F2D"/>
    <w:rsid w:val="007D0836"/>
    <w:rsid w:val="007D0E82"/>
    <w:rsid w:val="007D0FC0"/>
    <w:rsid w:val="007D1012"/>
    <w:rsid w:val="007D1044"/>
    <w:rsid w:val="007D104C"/>
    <w:rsid w:val="007D13D8"/>
    <w:rsid w:val="007D16B3"/>
    <w:rsid w:val="007D16ED"/>
    <w:rsid w:val="007D170D"/>
    <w:rsid w:val="007D18AA"/>
    <w:rsid w:val="007D1FC6"/>
    <w:rsid w:val="007D2310"/>
    <w:rsid w:val="007D262B"/>
    <w:rsid w:val="007D2CBB"/>
    <w:rsid w:val="007D2ED9"/>
    <w:rsid w:val="007D31AA"/>
    <w:rsid w:val="007D33F6"/>
    <w:rsid w:val="007D3469"/>
    <w:rsid w:val="007D3A27"/>
    <w:rsid w:val="007D3E21"/>
    <w:rsid w:val="007D42EF"/>
    <w:rsid w:val="007D44F8"/>
    <w:rsid w:val="007D4554"/>
    <w:rsid w:val="007D4C85"/>
    <w:rsid w:val="007D56B2"/>
    <w:rsid w:val="007D58BF"/>
    <w:rsid w:val="007D5D57"/>
    <w:rsid w:val="007D5F3E"/>
    <w:rsid w:val="007D6510"/>
    <w:rsid w:val="007D704A"/>
    <w:rsid w:val="007D7294"/>
    <w:rsid w:val="007D7A51"/>
    <w:rsid w:val="007D7D2F"/>
    <w:rsid w:val="007D7F66"/>
    <w:rsid w:val="007E0207"/>
    <w:rsid w:val="007E026A"/>
    <w:rsid w:val="007E0302"/>
    <w:rsid w:val="007E07AC"/>
    <w:rsid w:val="007E0860"/>
    <w:rsid w:val="007E122E"/>
    <w:rsid w:val="007E1597"/>
    <w:rsid w:val="007E170C"/>
    <w:rsid w:val="007E185F"/>
    <w:rsid w:val="007E19FF"/>
    <w:rsid w:val="007E1A7A"/>
    <w:rsid w:val="007E1E2F"/>
    <w:rsid w:val="007E1F43"/>
    <w:rsid w:val="007E21BD"/>
    <w:rsid w:val="007E223A"/>
    <w:rsid w:val="007E24FA"/>
    <w:rsid w:val="007E28E0"/>
    <w:rsid w:val="007E2973"/>
    <w:rsid w:val="007E314D"/>
    <w:rsid w:val="007E3290"/>
    <w:rsid w:val="007E36A3"/>
    <w:rsid w:val="007E3F40"/>
    <w:rsid w:val="007E4A6E"/>
    <w:rsid w:val="007E4D23"/>
    <w:rsid w:val="007E5056"/>
    <w:rsid w:val="007E5823"/>
    <w:rsid w:val="007E592F"/>
    <w:rsid w:val="007E5CAF"/>
    <w:rsid w:val="007E5DC4"/>
    <w:rsid w:val="007E5ED2"/>
    <w:rsid w:val="007E6464"/>
    <w:rsid w:val="007E6492"/>
    <w:rsid w:val="007E67A9"/>
    <w:rsid w:val="007E6AA6"/>
    <w:rsid w:val="007E6EF3"/>
    <w:rsid w:val="007E6FEB"/>
    <w:rsid w:val="007E746C"/>
    <w:rsid w:val="007E7497"/>
    <w:rsid w:val="007E7A12"/>
    <w:rsid w:val="007F01D4"/>
    <w:rsid w:val="007F0400"/>
    <w:rsid w:val="007F0587"/>
    <w:rsid w:val="007F0B25"/>
    <w:rsid w:val="007F0CAB"/>
    <w:rsid w:val="007F0E78"/>
    <w:rsid w:val="007F15B2"/>
    <w:rsid w:val="007F1CBA"/>
    <w:rsid w:val="007F1E5D"/>
    <w:rsid w:val="007F22A7"/>
    <w:rsid w:val="007F2820"/>
    <w:rsid w:val="007F2E98"/>
    <w:rsid w:val="007F3154"/>
    <w:rsid w:val="007F33A7"/>
    <w:rsid w:val="007F3695"/>
    <w:rsid w:val="007F3EA4"/>
    <w:rsid w:val="007F3F19"/>
    <w:rsid w:val="007F4598"/>
    <w:rsid w:val="007F4BC3"/>
    <w:rsid w:val="007F4D33"/>
    <w:rsid w:val="007F4F91"/>
    <w:rsid w:val="007F5349"/>
    <w:rsid w:val="007F53EC"/>
    <w:rsid w:val="007F553E"/>
    <w:rsid w:val="007F586F"/>
    <w:rsid w:val="007F6055"/>
    <w:rsid w:val="007F6596"/>
    <w:rsid w:val="007F66BD"/>
    <w:rsid w:val="007F6A26"/>
    <w:rsid w:val="007F6C63"/>
    <w:rsid w:val="007F7034"/>
    <w:rsid w:val="007F76C5"/>
    <w:rsid w:val="007F7760"/>
    <w:rsid w:val="007F78B1"/>
    <w:rsid w:val="007F7B4B"/>
    <w:rsid w:val="007F7CE2"/>
    <w:rsid w:val="0080034D"/>
    <w:rsid w:val="0080095C"/>
    <w:rsid w:val="008010C6"/>
    <w:rsid w:val="00801C5D"/>
    <w:rsid w:val="00801FBC"/>
    <w:rsid w:val="00802437"/>
    <w:rsid w:val="00802E64"/>
    <w:rsid w:val="00802FBD"/>
    <w:rsid w:val="008033ED"/>
    <w:rsid w:val="0080373A"/>
    <w:rsid w:val="00803A85"/>
    <w:rsid w:val="00803F5C"/>
    <w:rsid w:val="0080461B"/>
    <w:rsid w:val="00804EE2"/>
    <w:rsid w:val="00805316"/>
    <w:rsid w:val="00805AE7"/>
    <w:rsid w:val="00805F9A"/>
    <w:rsid w:val="008064EC"/>
    <w:rsid w:val="008066CC"/>
    <w:rsid w:val="0080679F"/>
    <w:rsid w:val="00806ECA"/>
    <w:rsid w:val="008070E6"/>
    <w:rsid w:val="00807B7E"/>
    <w:rsid w:val="00807B85"/>
    <w:rsid w:val="00807D58"/>
    <w:rsid w:val="008108E7"/>
    <w:rsid w:val="00810B6D"/>
    <w:rsid w:val="00810DCF"/>
    <w:rsid w:val="008116EB"/>
    <w:rsid w:val="0081174B"/>
    <w:rsid w:val="00811FF7"/>
    <w:rsid w:val="008123FA"/>
    <w:rsid w:val="008129FE"/>
    <w:rsid w:val="00812BCD"/>
    <w:rsid w:val="00812D30"/>
    <w:rsid w:val="00812EC2"/>
    <w:rsid w:val="00813040"/>
    <w:rsid w:val="008137D2"/>
    <w:rsid w:val="0081397C"/>
    <w:rsid w:val="008140A5"/>
    <w:rsid w:val="008142BB"/>
    <w:rsid w:val="0081465F"/>
    <w:rsid w:val="0081494A"/>
    <w:rsid w:val="00814A5C"/>
    <w:rsid w:val="00814DF0"/>
    <w:rsid w:val="008158BB"/>
    <w:rsid w:val="0081590D"/>
    <w:rsid w:val="008161BB"/>
    <w:rsid w:val="0081641C"/>
    <w:rsid w:val="00816481"/>
    <w:rsid w:val="0081676B"/>
    <w:rsid w:val="00816921"/>
    <w:rsid w:val="00816B91"/>
    <w:rsid w:val="00816CC1"/>
    <w:rsid w:val="00816D20"/>
    <w:rsid w:val="00816FB0"/>
    <w:rsid w:val="00817174"/>
    <w:rsid w:val="00817590"/>
    <w:rsid w:val="008175E5"/>
    <w:rsid w:val="008178DE"/>
    <w:rsid w:val="00817F81"/>
    <w:rsid w:val="008200BE"/>
    <w:rsid w:val="00820133"/>
    <w:rsid w:val="008203F0"/>
    <w:rsid w:val="0082078B"/>
    <w:rsid w:val="00820A30"/>
    <w:rsid w:val="00820DD1"/>
    <w:rsid w:val="00820F48"/>
    <w:rsid w:val="00821A6F"/>
    <w:rsid w:val="00821AF0"/>
    <w:rsid w:val="00821C5F"/>
    <w:rsid w:val="008221FE"/>
    <w:rsid w:val="00822580"/>
    <w:rsid w:val="00822944"/>
    <w:rsid w:val="00823244"/>
    <w:rsid w:val="008234CF"/>
    <w:rsid w:val="00823526"/>
    <w:rsid w:val="0082422E"/>
    <w:rsid w:val="0082436C"/>
    <w:rsid w:val="008244E1"/>
    <w:rsid w:val="00824714"/>
    <w:rsid w:val="008247B1"/>
    <w:rsid w:val="00824EDE"/>
    <w:rsid w:val="0082562F"/>
    <w:rsid w:val="008256BA"/>
    <w:rsid w:val="008256D9"/>
    <w:rsid w:val="00825736"/>
    <w:rsid w:val="008257B5"/>
    <w:rsid w:val="00825ACB"/>
    <w:rsid w:val="00825D7A"/>
    <w:rsid w:val="00825E7B"/>
    <w:rsid w:val="00826568"/>
    <w:rsid w:val="0082656D"/>
    <w:rsid w:val="00826A86"/>
    <w:rsid w:val="00826D5F"/>
    <w:rsid w:val="00826E4D"/>
    <w:rsid w:val="008271F0"/>
    <w:rsid w:val="00827251"/>
    <w:rsid w:val="00827700"/>
    <w:rsid w:val="008277E5"/>
    <w:rsid w:val="008278B6"/>
    <w:rsid w:val="00827AC6"/>
    <w:rsid w:val="00830B4D"/>
    <w:rsid w:val="00830CCF"/>
    <w:rsid w:val="00830CF5"/>
    <w:rsid w:val="0083139E"/>
    <w:rsid w:val="008319FF"/>
    <w:rsid w:val="00831EE9"/>
    <w:rsid w:val="00832062"/>
    <w:rsid w:val="008321EC"/>
    <w:rsid w:val="00832433"/>
    <w:rsid w:val="00832B44"/>
    <w:rsid w:val="00832CF9"/>
    <w:rsid w:val="00832DB5"/>
    <w:rsid w:val="008330B5"/>
    <w:rsid w:val="008331B1"/>
    <w:rsid w:val="0083356E"/>
    <w:rsid w:val="008337C7"/>
    <w:rsid w:val="0083402D"/>
    <w:rsid w:val="0083414E"/>
    <w:rsid w:val="00834ACD"/>
    <w:rsid w:val="00834C53"/>
    <w:rsid w:val="008353DA"/>
    <w:rsid w:val="0083566A"/>
    <w:rsid w:val="00835D80"/>
    <w:rsid w:val="00835EAC"/>
    <w:rsid w:val="0083627C"/>
    <w:rsid w:val="00836628"/>
    <w:rsid w:val="00836A28"/>
    <w:rsid w:val="00836A8A"/>
    <w:rsid w:val="00837266"/>
    <w:rsid w:val="008373A0"/>
    <w:rsid w:val="00837A4D"/>
    <w:rsid w:val="00837D0C"/>
    <w:rsid w:val="008401B1"/>
    <w:rsid w:val="008404A6"/>
    <w:rsid w:val="00840798"/>
    <w:rsid w:val="00840E7F"/>
    <w:rsid w:val="0084124E"/>
    <w:rsid w:val="0084136E"/>
    <w:rsid w:val="008413DF"/>
    <w:rsid w:val="0084141B"/>
    <w:rsid w:val="00841552"/>
    <w:rsid w:val="00841587"/>
    <w:rsid w:val="00841750"/>
    <w:rsid w:val="0084188E"/>
    <w:rsid w:val="008425A8"/>
    <w:rsid w:val="00842932"/>
    <w:rsid w:val="00842C39"/>
    <w:rsid w:val="00842C60"/>
    <w:rsid w:val="00842E05"/>
    <w:rsid w:val="00843544"/>
    <w:rsid w:val="00844099"/>
    <w:rsid w:val="008442AE"/>
    <w:rsid w:val="008444CA"/>
    <w:rsid w:val="00844B16"/>
    <w:rsid w:val="0084529A"/>
    <w:rsid w:val="0084530C"/>
    <w:rsid w:val="00845932"/>
    <w:rsid w:val="00845C30"/>
    <w:rsid w:val="00846803"/>
    <w:rsid w:val="00846959"/>
    <w:rsid w:val="0084747E"/>
    <w:rsid w:val="00847843"/>
    <w:rsid w:val="008479DF"/>
    <w:rsid w:val="00847BE4"/>
    <w:rsid w:val="00850265"/>
    <w:rsid w:val="00850FA0"/>
    <w:rsid w:val="00850FE4"/>
    <w:rsid w:val="00851176"/>
    <w:rsid w:val="008516C3"/>
    <w:rsid w:val="00851ED6"/>
    <w:rsid w:val="00852020"/>
    <w:rsid w:val="008524B8"/>
    <w:rsid w:val="0085267C"/>
    <w:rsid w:val="00852FED"/>
    <w:rsid w:val="00853085"/>
    <w:rsid w:val="0085339B"/>
    <w:rsid w:val="008535DB"/>
    <w:rsid w:val="008536C7"/>
    <w:rsid w:val="008544A4"/>
    <w:rsid w:val="008547AD"/>
    <w:rsid w:val="0085486A"/>
    <w:rsid w:val="00854975"/>
    <w:rsid w:val="00854B96"/>
    <w:rsid w:val="00854E69"/>
    <w:rsid w:val="0085513B"/>
    <w:rsid w:val="008553F0"/>
    <w:rsid w:val="008554E9"/>
    <w:rsid w:val="00855FDD"/>
    <w:rsid w:val="00855FE7"/>
    <w:rsid w:val="00856370"/>
    <w:rsid w:val="008564ED"/>
    <w:rsid w:val="008565EE"/>
    <w:rsid w:val="008568D7"/>
    <w:rsid w:val="00856B09"/>
    <w:rsid w:val="00856CF0"/>
    <w:rsid w:val="00857E28"/>
    <w:rsid w:val="00857F0E"/>
    <w:rsid w:val="00857FA2"/>
    <w:rsid w:val="00857FF7"/>
    <w:rsid w:val="0086023E"/>
    <w:rsid w:val="008604DC"/>
    <w:rsid w:val="0086054A"/>
    <w:rsid w:val="00860D4F"/>
    <w:rsid w:val="00860DA4"/>
    <w:rsid w:val="008614CC"/>
    <w:rsid w:val="00861786"/>
    <w:rsid w:val="00861812"/>
    <w:rsid w:val="00861A32"/>
    <w:rsid w:val="00861F85"/>
    <w:rsid w:val="00862973"/>
    <w:rsid w:val="008629D9"/>
    <w:rsid w:val="00862F0F"/>
    <w:rsid w:val="00862F80"/>
    <w:rsid w:val="0086350D"/>
    <w:rsid w:val="008640EB"/>
    <w:rsid w:val="00864393"/>
    <w:rsid w:val="00864746"/>
    <w:rsid w:val="0086491E"/>
    <w:rsid w:val="00864A84"/>
    <w:rsid w:val="00865BC4"/>
    <w:rsid w:val="00865D75"/>
    <w:rsid w:val="008660BA"/>
    <w:rsid w:val="00866292"/>
    <w:rsid w:val="00866807"/>
    <w:rsid w:val="008669CC"/>
    <w:rsid w:val="008669E3"/>
    <w:rsid w:val="00866E67"/>
    <w:rsid w:val="00866F88"/>
    <w:rsid w:val="00867005"/>
    <w:rsid w:val="008671A2"/>
    <w:rsid w:val="008671D5"/>
    <w:rsid w:val="00867245"/>
    <w:rsid w:val="0086741C"/>
    <w:rsid w:val="00867579"/>
    <w:rsid w:val="00867A13"/>
    <w:rsid w:val="00870E2C"/>
    <w:rsid w:val="00871751"/>
    <w:rsid w:val="0087196B"/>
    <w:rsid w:val="00871AEF"/>
    <w:rsid w:val="00871B76"/>
    <w:rsid w:val="00871BC5"/>
    <w:rsid w:val="00871CCA"/>
    <w:rsid w:val="0087254C"/>
    <w:rsid w:val="00872A28"/>
    <w:rsid w:val="00872CB2"/>
    <w:rsid w:val="00872D1A"/>
    <w:rsid w:val="00872D27"/>
    <w:rsid w:val="00872EFF"/>
    <w:rsid w:val="00872F29"/>
    <w:rsid w:val="00873351"/>
    <w:rsid w:val="00873A1E"/>
    <w:rsid w:val="00873F64"/>
    <w:rsid w:val="008743E9"/>
    <w:rsid w:val="0087450B"/>
    <w:rsid w:val="00874510"/>
    <w:rsid w:val="00874539"/>
    <w:rsid w:val="00874787"/>
    <w:rsid w:val="00874C2B"/>
    <w:rsid w:val="00875006"/>
    <w:rsid w:val="008757D3"/>
    <w:rsid w:val="008758E8"/>
    <w:rsid w:val="00875C52"/>
    <w:rsid w:val="0087645C"/>
    <w:rsid w:val="008765B6"/>
    <w:rsid w:val="00876BD0"/>
    <w:rsid w:val="00877B3B"/>
    <w:rsid w:val="00877CD1"/>
    <w:rsid w:val="00877D1E"/>
    <w:rsid w:val="00877EDB"/>
    <w:rsid w:val="00877F4D"/>
    <w:rsid w:val="0088001F"/>
    <w:rsid w:val="008802D8"/>
    <w:rsid w:val="00880414"/>
    <w:rsid w:val="008806D6"/>
    <w:rsid w:val="00880865"/>
    <w:rsid w:val="00880907"/>
    <w:rsid w:val="00880AD8"/>
    <w:rsid w:val="00880AE8"/>
    <w:rsid w:val="00880B93"/>
    <w:rsid w:val="00880E9E"/>
    <w:rsid w:val="00881FA9"/>
    <w:rsid w:val="00882669"/>
    <w:rsid w:val="00882A70"/>
    <w:rsid w:val="00882EAB"/>
    <w:rsid w:val="00882EDC"/>
    <w:rsid w:val="00883034"/>
    <w:rsid w:val="00883131"/>
    <w:rsid w:val="008832EC"/>
    <w:rsid w:val="008833F3"/>
    <w:rsid w:val="00883617"/>
    <w:rsid w:val="0088384F"/>
    <w:rsid w:val="008840BA"/>
    <w:rsid w:val="00884470"/>
    <w:rsid w:val="00884558"/>
    <w:rsid w:val="008848A7"/>
    <w:rsid w:val="00884AF6"/>
    <w:rsid w:val="008850FF"/>
    <w:rsid w:val="00885593"/>
    <w:rsid w:val="00885804"/>
    <w:rsid w:val="008859F5"/>
    <w:rsid w:val="00885A3F"/>
    <w:rsid w:val="00885F74"/>
    <w:rsid w:val="00886083"/>
    <w:rsid w:val="00886255"/>
    <w:rsid w:val="008864C6"/>
    <w:rsid w:val="0088665C"/>
    <w:rsid w:val="00886EA2"/>
    <w:rsid w:val="008873EB"/>
    <w:rsid w:val="0088748B"/>
    <w:rsid w:val="00887A12"/>
    <w:rsid w:val="00890345"/>
    <w:rsid w:val="00890456"/>
    <w:rsid w:val="00890573"/>
    <w:rsid w:val="00890926"/>
    <w:rsid w:val="00890A12"/>
    <w:rsid w:val="00890C71"/>
    <w:rsid w:val="008912D6"/>
    <w:rsid w:val="0089155C"/>
    <w:rsid w:val="00891612"/>
    <w:rsid w:val="00891C00"/>
    <w:rsid w:val="00892281"/>
    <w:rsid w:val="0089230A"/>
    <w:rsid w:val="00892675"/>
    <w:rsid w:val="00892C37"/>
    <w:rsid w:val="00892D9C"/>
    <w:rsid w:val="00892DDE"/>
    <w:rsid w:val="00893ABE"/>
    <w:rsid w:val="00893B23"/>
    <w:rsid w:val="00893C74"/>
    <w:rsid w:val="00893FE5"/>
    <w:rsid w:val="0089439C"/>
    <w:rsid w:val="00894E69"/>
    <w:rsid w:val="00894EA2"/>
    <w:rsid w:val="00894F40"/>
    <w:rsid w:val="008950C5"/>
    <w:rsid w:val="008955A7"/>
    <w:rsid w:val="0089564F"/>
    <w:rsid w:val="00895B5A"/>
    <w:rsid w:val="00895EED"/>
    <w:rsid w:val="0089602E"/>
    <w:rsid w:val="0089700C"/>
    <w:rsid w:val="00897770"/>
    <w:rsid w:val="00897A9D"/>
    <w:rsid w:val="00897A9F"/>
    <w:rsid w:val="008A08C9"/>
    <w:rsid w:val="008A09A3"/>
    <w:rsid w:val="008A0C2C"/>
    <w:rsid w:val="008A0D16"/>
    <w:rsid w:val="008A0E9D"/>
    <w:rsid w:val="008A15F7"/>
    <w:rsid w:val="008A1779"/>
    <w:rsid w:val="008A1BE7"/>
    <w:rsid w:val="008A1DEF"/>
    <w:rsid w:val="008A20EB"/>
    <w:rsid w:val="008A2542"/>
    <w:rsid w:val="008A2813"/>
    <w:rsid w:val="008A2C51"/>
    <w:rsid w:val="008A2C8B"/>
    <w:rsid w:val="008A31F6"/>
    <w:rsid w:val="008A3C24"/>
    <w:rsid w:val="008A3DCA"/>
    <w:rsid w:val="008A42C0"/>
    <w:rsid w:val="008A4494"/>
    <w:rsid w:val="008A4AFD"/>
    <w:rsid w:val="008A4B61"/>
    <w:rsid w:val="008A4FA7"/>
    <w:rsid w:val="008A531F"/>
    <w:rsid w:val="008A5E16"/>
    <w:rsid w:val="008A604D"/>
    <w:rsid w:val="008A6280"/>
    <w:rsid w:val="008A63CE"/>
    <w:rsid w:val="008A6473"/>
    <w:rsid w:val="008A6FEA"/>
    <w:rsid w:val="008A7493"/>
    <w:rsid w:val="008B0583"/>
    <w:rsid w:val="008B07DD"/>
    <w:rsid w:val="008B0915"/>
    <w:rsid w:val="008B0BBC"/>
    <w:rsid w:val="008B0E39"/>
    <w:rsid w:val="008B0F3E"/>
    <w:rsid w:val="008B1359"/>
    <w:rsid w:val="008B14E1"/>
    <w:rsid w:val="008B1703"/>
    <w:rsid w:val="008B176C"/>
    <w:rsid w:val="008B1CED"/>
    <w:rsid w:val="008B2118"/>
    <w:rsid w:val="008B24F5"/>
    <w:rsid w:val="008B2EC3"/>
    <w:rsid w:val="008B3161"/>
    <w:rsid w:val="008B36F0"/>
    <w:rsid w:val="008B421E"/>
    <w:rsid w:val="008B42CF"/>
    <w:rsid w:val="008B4341"/>
    <w:rsid w:val="008B44F4"/>
    <w:rsid w:val="008B4D9F"/>
    <w:rsid w:val="008B4F4A"/>
    <w:rsid w:val="008B4F65"/>
    <w:rsid w:val="008B57A0"/>
    <w:rsid w:val="008B60AA"/>
    <w:rsid w:val="008B60DF"/>
    <w:rsid w:val="008B629F"/>
    <w:rsid w:val="008B6F0A"/>
    <w:rsid w:val="008B74E0"/>
    <w:rsid w:val="008B79AD"/>
    <w:rsid w:val="008B7A00"/>
    <w:rsid w:val="008C0362"/>
    <w:rsid w:val="008C0940"/>
    <w:rsid w:val="008C096D"/>
    <w:rsid w:val="008C0B53"/>
    <w:rsid w:val="008C0BD2"/>
    <w:rsid w:val="008C0CB1"/>
    <w:rsid w:val="008C0EC9"/>
    <w:rsid w:val="008C1033"/>
    <w:rsid w:val="008C14A7"/>
    <w:rsid w:val="008C1564"/>
    <w:rsid w:val="008C18BE"/>
    <w:rsid w:val="008C1918"/>
    <w:rsid w:val="008C1AA8"/>
    <w:rsid w:val="008C1E32"/>
    <w:rsid w:val="008C2572"/>
    <w:rsid w:val="008C2779"/>
    <w:rsid w:val="008C2802"/>
    <w:rsid w:val="008C2897"/>
    <w:rsid w:val="008C2D21"/>
    <w:rsid w:val="008C32E5"/>
    <w:rsid w:val="008C33C7"/>
    <w:rsid w:val="008C349C"/>
    <w:rsid w:val="008C372E"/>
    <w:rsid w:val="008C3888"/>
    <w:rsid w:val="008C39EC"/>
    <w:rsid w:val="008C3F73"/>
    <w:rsid w:val="008C459F"/>
    <w:rsid w:val="008C47AB"/>
    <w:rsid w:val="008C4A6A"/>
    <w:rsid w:val="008C4E21"/>
    <w:rsid w:val="008C4FAF"/>
    <w:rsid w:val="008C5658"/>
    <w:rsid w:val="008C5A39"/>
    <w:rsid w:val="008C5D78"/>
    <w:rsid w:val="008C5EA5"/>
    <w:rsid w:val="008C6748"/>
    <w:rsid w:val="008C6814"/>
    <w:rsid w:val="008C696E"/>
    <w:rsid w:val="008C6CFF"/>
    <w:rsid w:val="008C6E24"/>
    <w:rsid w:val="008C6EC3"/>
    <w:rsid w:val="008C728A"/>
    <w:rsid w:val="008C74D8"/>
    <w:rsid w:val="008C7A03"/>
    <w:rsid w:val="008C7DCD"/>
    <w:rsid w:val="008C7DE8"/>
    <w:rsid w:val="008D03EC"/>
    <w:rsid w:val="008D0558"/>
    <w:rsid w:val="008D0744"/>
    <w:rsid w:val="008D09C1"/>
    <w:rsid w:val="008D0B15"/>
    <w:rsid w:val="008D0B57"/>
    <w:rsid w:val="008D0E8C"/>
    <w:rsid w:val="008D0EC5"/>
    <w:rsid w:val="008D100C"/>
    <w:rsid w:val="008D117A"/>
    <w:rsid w:val="008D1521"/>
    <w:rsid w:val="008D16E6"/>
    <w:rsid w:val="008D1AE8"/>
    <w:rsid w:val="008D1C4C"/>
    <w:rsid w:val="008D1F33"/>
    <w:rsid w:val="008D23CD"/>
    <w:rsid w:val="008D2634"/>
    <w:rsid w:val="008D274F"/>
    <w:rsid w:val="008D27EF"/>
    <w:rsid w:val="008D2959"/>
    <w:rsid w:val="008D29DD"/>
    <w:rsid w:val="008D319A"/>
    <w:rsid w:val="008D3702"/>
    <w:rsid w:val="008D3933"/>
    <w:rsid w:val="008D398F"/>
    <w:rsid w:val="008D3B4B"/>
    <w:rsid w:val="008D3BEF"/>
    <w:rsid w:val="008D3C31"/>
    <w:rsid w:val="008D4155"/>
    <w:rsid w:val="008D4204"/>
    <w:rsid w:val="008D440E"/>
    <w:rsid w:val="008D4857"/>
    <w:rsid w:val="008D496C"/>
    <w:rsid w:val="008D49ED"/>
    <w:rsid w:val="008D4B1B"/>
    <w:rsid w:val="008D50DD"/>
    <w:rsid w:val="008D54F9"/>
    <w:rsid w:val="008D5653"/>
    <w:rsid w:val="008D56D8"/>
    <w:rsid w:val="008D5A6E"/>
    <w:rsid w:val="008D5C3D"/>
    <w:rsid w:val="008D5C6B"/>
    <w:rsid w:val="008D6713"/>
    <w:rsid w:val="008D68A6"/>
    <w:rsid w:val="008D6D63"/>
    <w:rsid w:val="008D79FB"/>
    <w:rsid w:val="008D7E94"/>
    <w:rsid w:val="008E065E"/>
    <w:rsid w:val="008E074E"/>
    <w:rsid w:val="008E088D"/>
    <w:rsid w:val="008E1CD6"/>
    <w:rsid w:val="008E22A2"/>
    <w:rsid w:val="008E2700"/>
    <w:rsid w:val="008E2C21"/>
    <w:rsid w:val="008E31BC"/>
    <w:rsid w:val="008E327B"/>
    <w:rsid w:val="008E3311"/>
    <w:rsid w:val="008E34A3"/>
    <w:rsid w:val="008E351D"/>
    <w:rsid w:val="008E3763"/>
    <w:rsid w:val="008E37C9"/>
    <w:rsid w:val="008E460B"/>
    <w:rsid w:val="008E4902"/>
    <w:rsid w:val="008E4A1E"/>
    <w:rsid w:val="008E4E81"/>
    <w:rsid w:val="008E5518"/>
    <w:rsid w:val="008E57C3"/>
    <w:rsid w:val="008E61E2"/>
    <w:rsid w:val="008E621A"/>
    <w:rsid w:val="008E63FD"/>
    <w:rsid w:val="008E6636"/>
    <w:rsid w:val="008E6AB3"/>
    <w:rsid w:val="008E6AB5"/>
    <w:rsid w:val="008E6BD4"/>
    <w:rsid w:val="008E6CAA"/>
    <w:rsid w:val="008E75F8"/>
    <w:rsid w:val="008E7AE7"/>
    <w:rsid w:val="008E7B67"/>
    <w:rsid w:val="008E7C7A"/>
    <w:rsid w:val="008E7D8D"/>
    <w:rsid w:val="008F06E8"/>
    <w:rsid w:val="008F0D60"/>
    <w:rsid w:val="008F129C"/>
    <w:rsid w:val="008F14B4"/>
    <w:rsid w:val="008F1951"/>
    <w:rsid w:val="008F2309"/>
    <w:rsid w:val="008F252F"/>
    <w:rsid w:val="008F256F"/>
    <w:rsid w:val="008F282A"/>
    <w:rsid w:val="008F2B03"/>
    <w:rsid w:val="008F2E36"/>
    <w:rsid w:val="008F37D8"/>
    <w:rsid w:val="008F38F4"/>
    <w:rsid w:val="008F4306"/>
    <w:rsid w:val="008F4435"/>
    <w:rsid w:val="008F4D14"/>
    <w:rsid w:val="008F4ED4"/>
    <w:rsid w:val="008F4EFA"/>
    <w:rsid w:val="008F515E"/>
    <w:rsid w:val="008F54A5"/>
    <w:rsid w:val="008F5556"/>
    <w:rsid w:val="008F5E57"/>
    <w:rsid w:val="008F60BE"/>
    <w:rsid w:val="008F695A"/>
    <w:rsid w:val="008F69F6"/>
    <w:rsid w:val="008F6C23"/>
    <w:rsid w:val="008F6C87"/>
    <w:rsid w:val="008F6DE1"/>
    <w:rsid w:val="008F70A8"/>
    <w:rsid w:val="008F789A"/>
    <w:rsid w:val="00900491"/>
    <w:rsid w:val="0090055D"/>
    <w:rsid w:val="00900A49"/>
    <w:rsid w:val="00900C11"/>
    <w:rsid w:val="00900F1A"/>
    <w:rsid w:val="009014AB"/>
    <w:rsid w:val="00901567"/>
    <w:rsid w:val="009018FF"/>
    <w:rsid w:val="00901934"/>
    <w:rsid w:val="009027E4"/>
    <w:rsid w:val="0090321B"/>
    <w:rsid w:val="00903280"/>
    <w:rsid w:val="0090337C"/>
    <w:rsid w:val="00903CAD"/>
    <w:rsid w:val="00903F3A"/>
    <w:rsid w:val="00904021"/>
    <w:rsid w:val="0090468B"/>
    <w:rsid w:val="0090471D"/>
    <w:rsid w:val="0090481D"/>
    <w:rsid w:val="00904C71"/>
    <w:rsid w:val="00904D06"/>
    <w:rsid w:val="00904E55"/>
    <w:rsid w:val="00904F02"/>
    <w:rsid w:val="00906751"/>
    <w:rsid w:val="009074B9"/>
    <w:rsid w:val="0090766E"/>
    <w:rsid w:val="00907678"/>
    <w:rsid w:val="00907F2B"/>
    <w:rsid w:val="00910084"/>
    <w:rsid w:val="00910D0C"/>
    <w:rsid w:val="00910F89"/>
    <w:rsid w:val="009110A8"/>
    <w:rsid w:val="0091127E"/>
    <w:rsid w:val="009114E0"/>
    <w:rsid w:val="00911F8C"/>
    <w:rsid w:val="00911FBB"/>
    <w:rsid w:val="00912E73"/>
    <w:rsid w:val="00912E95"/>
    <w:rsid w:val="00912FBE"/>
    <w:rsid w:val="009130CA"/>
    <w:rsid w:val="0091334B"/>
    <w:rsid w:val="00913601"/>
    <w:rsid w:val="009136E4"/>
    <w:rsid w:val="009136E5"/>
    <w:rsid w:val="00913A99"/>
    <w:rsid w:val="00913ECC"/>
    <w:rsid w:val="00914850"/>
    <w:rsid w:val="0091496A"/>
    <w:rsid w:val="00914971"/>
    <w:rsid w:val="00914D0F"/>
    <w:rsid w:val="0091504E"/>
    <w:rsid w:val="00915804"/>
    <w:rsid w:val="00915D24"/>
    <w:rsid w:val="00916221"/>
    <w:rsid w:val="00916EE5"/>
    <w:rsid w:val="009172DC"/>
    <w:rsid w:val="009174E6"/>
    <w:rsid w:val="0091751E"/>
    <w:rsid w:val="009175CC"/>
    <w:rsid w:val="009175F1"/>
    <w:rsid w:val="0091765D"/>
    <w:rsid w:val="00917683"/>
    <w:rsid w:val="00917AE5"/>
    <w:rsid w:val="00917BE5"/>
    <w:rsid w:val="00917E62"/>
    <w:rsid w:val="00920190"/>
    <w:rsid w:val="00920BD2"/>
    <w:rsid w:val="009210DC"/>
    <w:rsid w:val="009214F0"/>
    <w:rsid w:val="009215D1"/>
    <w:rsid w:val="00921A0C"/>
    <w:rsid w:val="00921C51"/>
    <w:rsid w:val="00921C8C"/>
    <w:rsid w:val="00921FE9"/>
    <w:rsid w:val="009220D9"/>
    <w:rsid w:val="00922809"/>
    <w:rsid w:val="00922A53"/>
    <w:rsid w:val="00922D7B"/>
    <w:rsid w:val="0092331D"/>
    <w:rsid w:val="0092383E"/>
    <w:rsid w:val="00923C1D"/>
    <w:rsid w:val="009245A8"/>
    <w:rsid w:val="00924B5F"/>
    <w:rsid w:val="00924DC1"/>
    <w:rsid w:val="00924EE6"/>
    <w:rsid w:val="00925959"/>
    <w:rsid w:val="00925F41"/>
    <w:rsid w:val="009265CF"/>
    <w:rsid w:val="00926857"/>
    <w:rsid w:val="00927359"/>
    <w:rsid w:val="00927448"/>
    <w:rsid w:val="00927701"/>
    <w:rsid w:val="0092784D"/>
    <w:rsid w:val="00927A94"/>
    <w:rsid w:val="00927C59"/>
    <w:rsid w:val="00927EAE"/>
    <w:rsid w:val="00927F26"/>
    <w:rsid w:val="009300C7"/>
    <w:rsid w:val="009305ED"/>
    <w:rsid w:val="00930948"/>
    <w:rsid w:val="00930FA6"/>
    <w:rsid w:val="00931027"/>
    <w:rsid w:val="0093130F"/>
    <w:rsid w:val="009314E0"/>
    <w:rsid w:val="00931787"/>
    <w:rsid w:val="0093202B"/>
    <w:rsid w:val="00932972"/>
    <w:rsid w:val="00932E00"/>
    <w:rsid w:val="00933002"/>
    <w:rsid w:val="00933500"/>
    <w:rsid w:val="0093388F"/>
    <w:rsid w:val="00934060"/>
    <w:rsid w:val="00934C13"/>
    <w:rsid w:val="00934F42"/>
    <w:rsid w:val="009350A2"/>
    <w:rsid w:val="00935310"/>
    <w:rsid w:val="0093570F"/>
    <w:rsid w:val="0093611D"/>
    <w:rsid w:val="00936124"/>
    <w:rsid w:val="009361C2"/>
    <w:rsid w:val="00936269"/>
    <w:rsid w:val="009364D3"/>
    <w:rsid w:val="00936839"/>
    <w:rsid w:val="0093737C"/>
    <w:rsid w:val="0093783D"/>
    <w:rsid w:val="00937A23"/>
    <w:rsid w:val="00937C42"/>
    <w:rsid w:val="00937DEB"/>
    <w:rsid w:val="00937F02"/>
    <w:rsid w:val="00940326"/>
    <w:rsid w:val="00940765"/>
    <w:rsid w:val="00940772"/>
    <w:rsid w:val="009408E1"/>
    <w:rsid w:val="00940AC1"/>
    <w:rsid w:val="00940D29"/>
    <w:rsid w:val="00940E5D"/>
    <w:rsid w:val="00941183"/>
    <w:rsid w:val="0094160C"/>
    <w:rsid w:val="0094171D"/>
    <w:rsid w:val="00941730"/>
    <w:rsid w:val="00941A97"/>
    <w:rsid w:val="00942372"/>
    <w:rsid w:val="00942CAA"/>
    <w:rsid w:val="00944075"/>
    <w:rsid w:val="00944437"/>
    <w:rsid w:val="00944905"/>
    <w:rsid w:val="00944C16"/>
    <w:rsid w:val="00944E70"/>
    <w:rsid w:val="009452F1"/>
    <w:rsid w:val="009456A0"/>
    <w:rsid w:val="00945B9D"/>
    <w:rsid w:val="00945D93"/>
    <w:rsid w:val="00945DE2"/>
    <w:rsid w:val="00945E23"/>
    <w:rsid w:val="00945E36"/>
    <w:rsid w:val="00946114"/>
    <w:rsid w:val="00946476"/>
    <w:rsid w:val="009468A1"/>
    <w:rsid w:val="00946AAF"/>
    <w:rsid w:val="00947474"/>
    <w:rsid w:val="00947507"/>
    <w:rsid w:val="0094758B"/>
    <w:rsid w:val="009475EF"/>
    <w:rsid w:val="00947734"/>
    <w:rsid w:val="009479CE"/>
    <w:rsid w:val="00947D7F"/>
    <w:rsid w:val="00947FD0"/>
    <w:rsid w:val="009502D3"/>
    <w:rsid w:val="009502FA"/>
    <w:rsid w:val="00950504"/>
    <w:rsid w:val="009509E4"/>
    <w:rsid w:val="00951251"/>
    <w:rsid w:val="00951346"/>
    <w:rsid w:val="00951505"/>
    <w:rsid w:val="0095185D"/>
    <w:rsid w:val="00951933"/>
    <w:rsid w:val="00951F96"/>
    <w:rsid w:val="0095259A"/>
    <w:rsid w:val="00952817"/>
    <w:rsid w:val="009528F3"/>
    <w:rsid w:val="00952CA6"/>
    <w:rsid w:val="009530B8"/>
    <w:rsid w:val="00953190"/>
    <w:rsid w:val="00953309"/>
    <w:rsid w:val="00953417"/>
    <w:rsid w:val="00953D07"/>
    <w:rsid w:val="0095404B"/>
    <w:rsid w:val="0095404F"/>
    <w:rsid w:val="00954663"/>
    <w:rsid w:val="00954CB8"/>
    <w:rsid w:val="0095553F"/>
    <w:rsid w:val="00955557"/>
    <w:rsid w:val="0095602C"/>
    <w:rsid w:val="009568A7"/>
    <w:rsid w:val="009569B4"/>
    <w:rsid w:val="00956B01"/>
    <w:rsid w:val="0095717F"/>
    <w:rsid w:val="00957338"/>
    <w:rsid w:val="0095737A"/>
    <w:rsid w:val="00957380"/>
    <w:rsid w:val="009577B3"/>
    <w:rsid w:val="0096074E"/>
    <w:rsid w:val="00960E58"/>
    <w:rsid w:val="00961EEA"/>
    <w:rsid w:val="009622FB"/>
    <w:rsid w:val="0096274D"/>
    <w:rsid w:val="009627D1"/>
    <w:rsid w:val="009631CD"/>
    <w:rsid w:val="009631EA"/>
    <w:rsid w:val="0096327C"/>
    <w:rsid w:val="00963A4A"/>
    <w:rsid w:val="009642F1"/>
    <w:rsid w:val="009645B9"/>
    <w:rsid w:val="00964734"/>
    <w:rsid w:val="00964910"/>
    <w:rsid w:val="009662BC"/>
    <w:rsid w:val="00966394"/>
    <w:rsid w:val="009665C3"/>
    <w:rsid w:val="00966E7E"/>
    <w:rsid w:val="00966EE2"/>
    <w:rsid w:val="00967861"/>
    <w:rsid w:val="00967AEF"/>
    <w:rsid w:val="00967F0B"/>
    <w:rsid w:val="009707CE"/>
    <w:rsid w:val="00970849"/>
    <w:rsid w:val="00970908"/>
    <w:rsid w:val="0097103A"/>
    <w:rsid w:val="0097121A"/>
    <w:rsid w:val="00971293"/>
    <w:rsid w:val="009717EE"/>
    <w:rsid w:val="00971882"/>
    <w:rsid w:val="00972602"/>
    <w:rsid w:val="00972659"/>
    <w:rsid w:val="00972B18"/>
    <w:rsid w:val="0097320A"/>
    <w:rsid w:val="009732CA"/>
    <w:rsid w:val="00973934"/>
    <w:rsid w:val="009739F4"/>
    <w:rsid w:val="00973A3B"/>
    <w:rsid w:val="00973AAD"/>
    <w:rsid w:val="00973C70"/>
    <w:rsid w:val="009743A4"/>
    <w:rsid w:val="00974872"/>
    <w:rsid w:val="009748A9"/>
    <w:rsid w:val="00974FAA"/>
    <w:rsid w:val="00974FDA"/>
    <w:rsid w:val="00975501"/>
    <w:rsid w:val="00975593"/>
    <w:rsid w:val="00975F0E"/>
    <w:rsid w:val="0097641F"/>
    <w:rsid w:val="0097650A"/>
    <w:rsid w:val="009772C9"/>
    <w:rsid w:val="00977A10"/>
    <w:rsid w:val="00977BAB"/>
    <w:rsid w:val="00977C4A"/>
    <w:rsid w:val="00977F35"/>
    <w:rsid w:val="00977FA2"/>
    <w:rsid w:val="00980132"/>
    <w:rsid w:val="0098024E"/>
    <w:rsid w:val="009802B8"/>
    <w:rsid w:val="0098034F"/>
    <w:rsid w:val="009803A5"/>
    <w:rsid w:val="00980923"/>
    <w:rsid w:val="00980CF3"/>
    <w:rsid w:val="009814F5"/>
    <w:rsid w:val="00981A55"/>
    <w:rsid w:val="00981CAC"/>
    <w:rsid w:val="00981DEC"/>
    <w:rsid w:val="00982588"/>
    <w:rsid w:val="00983091"/>
    <w:rsid w:val="00983186"/>
    <w:rsid w:val="00983319"/>
    <w:rsid w:val="00983743"/>
    <w:rsid w:val="00983830"/>
    <w:rsid w:val="009839DF"/>
    <w:rsid w:val="00983DA4"/>
    <w:rsid w:val="009848B1"/>
    <w:rsid w:val="00984BEA"/>
    <w:rsid w:val="00984C18"/>
    <w:rsid w:val="00985A22"/>
    <w:rsid w:val="00985AAB"/>
    <w:rsid w:val="00985B4F"/>
    <w:rsid w:val="00986C48"/>
    <w:rsid w:val="009873CC"/>
    <w:rsid w:val="00987450"/>
    <w:rsid w:val="00987698"/>
    <w:rsid w:val="00987BEE"/>
    <w:rsid w:val="00987D35"/>
    <w:rsid w:val="00990C29"/>
    <w:rsid w:val="00990E6B"/>
    <w:rsid w:val="00990F0A"/>
    <w:rsid w:val="00991049"/>
    <w:rsid w:val="009914E9"/>
    <w:rsid w:val="00991723"/>
    <w:rsid w:val="00991F09"/>
    <w:rsid w:val="0099209B"/>
    <w:rsid w:val="00992222"/>
    <w:rsid w:val="00992316"/>
    <w:rsid w:val="009927CD"/>
    <w:rsid w:val="009928FD"/>
    <w:rsid w:val="00992997"/>
    <w:rsid w:val="009934AE"/>
    <w:rsid w:val="00993AA2"/>
    <w:rsid w:val="00993AE7"/>
    <w:rsid w:val="00994753"/>
    <w:rsid w:val="00994848"/>
    <w:rsid w:val="00994979"/>
    <w:rsid w:val="00994B7E"/>
    <w:rsid w:val="00994B8D"/>
    <w:rsid w:val="00994EED"/>
    <w:rsid w:val="00995223"/>
    <w:rsid w:val="0099554C"/>
    <w:rsid w:val="00995A2A"/>
    <w:rsid w:val="00995A6A"/>
    <w:rsid w:val="00995B43"/>
    <w:rsid w:val="00995D8B"/>
    <w:rsid w:val="00996141"/>
    <w:rsid w:val="00996646"/>
    <w:rsid w:val="00996911"/>
    <w:rsid w:val="00996A79"/>
    <w:rsid w:val="0099715D"/>
    <w:rsid w:val="00997353"/>
    <w:rsid w:val="009976DD"/>
    <w:rsid w:val="009979F5"/>
    <w:rsid w:val="00997F55"/>
    <w:rsid w:val="009A0496"/>
    <w:rsid w:val="009A098E"/>
    <w:rsid w:val="009A0DF9"/>
    <w:rsid w:val="009A0EFB"/>
    <w:rsid w:val="009A1363"/>
    <w:rsid w:val="009A139D"/>
    <w:rsid w:val="009A18B5"/>
    <w:rsid w:val="009A1973"/>
    <w:rsid w:val="009A1D58"/>
    <w:rsid w:val="009A1F1A"/>
    <w:rsid w:val="009A21D4"/>
    <w:rsid w:val="009A2A90"/>
    <w:rsid w:val="009A34D3"/>
    <w:rsid w:val="009A3607"/>
    <w:rsid w:val="009A3F4B"/>
    <w:rsid w:val="009A41E7"/>
    <w:rsid w:val="009A43B1"/>
    <w:rsid w:val="009A4578"/>
    <w:rsid w:val="009A5208"/>
    <w:rsid w:val="009A5790"/>
    <w:rsid w:val="009A5935"/>
    <w:rsid w:val="009A5B3D"/>
    <w:rsid w:val="009A5DD9"/>
    <w:rsid w:val="009A62C3"/>
    <w:rsid w:val="009A6355"/>
    <w:rsid w:val="009A665D"/>
    <w:rsid w:val="009A6876"/>
    <w:rsid w:val="009A6EE1"/>
    <w:rsid w:val="009A6F6C"/>
    <w:rsid w:val="009A7E94"/>
    <w:rsid w:val="009B0240"/>
    <w:rsid w:val="009B05D7"/>
    <w:rsid w:val="009B067E"/>
    <w:rsid w:val="009B0B60"/>
    <w:rsid w:val="009B0CF5"/>
    <w:rsid w:val="009B0DD6"/>
    <w:rsid w:val="009B17EA"/>
    <w:rsid w:val="009B1875"/>
    <w:rsid w:val="009B1933"/>
    <w:rsid w:val="009B1A3D"/>
    <w:rsid w:val="009B2075"/>
    <w:rsid w:val="009B2105"/>
    <w:rsid w:val="009B2257"/>
    <w:rsid w:val="009B23D5"/>
    <w:rsid w:val="009B2536"/>
    <w:rsid w:val="009B2AE3"/>
    <w:rsid w:val="009B30B7"/>
    <w:rsid w:val="009B3270"/>
    <w:rsid w:val="009B3337"/>
    <w:rsid w:val="009B3360"/>
    <w:rsid w:val="009B3874"/>
    <w:rsid w:val="009B4756"/>
    <w:rsid w:val="009B48B1"/>
    <w:rsid w:val="009B49F8"/>
    <w:rsid w:val="009B4F3D"/>
    <w:rsid w:val="009B54C0"/>
    <w:rsid w:val="009B563D"/>
    <w:rsid w:val="009B660A"/>
    <w:rsid w:val="009B6722"/>
    <w:rsid w:val="009B684B"/>
    <w:rsid w:val="009B69DF"/>
    <w:rsid w:val="009B6BA3"/>
    <w:rsid w:val="009B7087"/>
    <w:rsid w:val="009C0191"/>
    <w:rsid w:val="009C036F"/>
    <w:rsid w:val="009C0497"/>
    <w:rsid w:val="009C0846"/>
    <w:rsid w:val="009C0A20"/>
    <w:rsid w:val="009C0C21"/>
    <w:rsid w:val="009C0CC9"/>
    <w:rsid w:val="009C0D16"/>
    <w:rsid w:val="009C159D"/>
    <w:rsid w:val="009C1707"/>
    <w:rsid w:val="009C19A5"/>
    <w:rsid w:val="009C1E0D"/>
    <w:rsid w:val="009C1E7B"/>
    <w:rsid w:val="009C214C"/>
    <w:rsid w:val="009C22EA"/>
    <w:rsid w:val="009C2836"/>
    <w:rsid w:val="009C2B9F"/>
    <w:rsid w:val="009C2BFA"/>
    <w:rsid w:val="009C2C64"/>
    <w:rsid w:val="009C3468"/>
    <w:rsid w:val="009C3497"/>
    <w:rsid w:val="009C3601"/>
    <w:rsid w:val="009C3F15"/>
    <w:rsid w:val="009C4252"/>
    <w:rsid w:val="009C4724"/>
    <w:rsid w:val="009C504C"/>
    <w:rsid w:val="009C5545"/>
    <w:rsid w:val="009C5AA7"/>
    <w:rsid w:val="009C5CAA"/>
    <w:rsid w:val="009C5FA2"/>
    <w:rsid w:val="009C6790"/>
    <w:rsid w:val="009C697B"/>
    <w:rsid w:val="009C6CC0"/>
    <w:rsid w:val="009C6E7E"/>
    <w:rsid w:val="009C75F7"/>
    <w:rsid w:val="009C7C40"/>
    <w:rsid w:val="009D049A"/>
    <w:rsid w:val="009D0797"/>
    <w:rsid w:val="009D0877"/>
    <w:rsid w:val="009D0B46"/>
    <w:rsid w:val="009D0C2B"/>
    <w:rsid w:val="009D0CA7"/>
    <w:rsid w:val="009D0CE1"/>
    <w:rsid w:val="009D0D77"/>
    <w:rsid w:val="009D0F51"/>
    <w:rsid w:val="009D17FF"/>
    <w:rsid w:val="009D1B2E"/>
    <w:rsid w:val="009D1B9D"/>
    <w:rsid w:val="009D25D6"/>
    <w:rsid w:val="009D2740"/>
    <w:rsid w:val="009D2FCF"/>
    <w:rsid w:val="009D342C"/>
    <w:rsid w:val="009D35EB"/>
    <w:rsid w:val="009D44B6"/>
    <w:rsid w:val="009D4986"/>
    <w:rsid w:val="009D4B65"/>
    <w:rsid w:val="009D5557"/>
    <w:rsid w:val="009D5781"/>
    <w:rsid w:val="009D5B37"/>
    <w:rsid w:val="009D5F1E"/>
    <w:rsid w:val="009D6334"/>
    <w:rsid w:val="009D674B"/>
    <w:rsid w:val="009D68FF"/>
    <w:rsid w:val="009D6DA6"/>
    <w:rsid w:val="009D7296"/>
    <w:rsid w:val="009D7444"/>
    <w:rsid w:val="009D7648"/>
    <w:rsid w:val="009D7DBF"/>
    <w:rsid w:val="009E066A"/>
    <w:rsid w:val="009E06FE"/>
    <w:rsid w:val="009E19BB"/>
    <w:rsid w:val="009E1ECA"/>
    <w:rsid w:val="009E1F7E"/>
    <w:rsid w:val="009E2512"/>
    <w:rsid w:val="009E25DE"/>
    <w:rsid w:val="009E25E8"/>
    <w:rsid w:val="009E2790"/>
    <w:rsid w:val="009E28A4"/>
    <w:rsid w:val="009E2C89"/>
    <w:rsid w:val="009E2F28"/>
    <w:rsid w:val="009E30C5"/>
    <w:rsid w:val="009E34CF"/>
    <w:rsid w:val="009E3615"/>
    <w:rsid w:val="009E3895"/>
    <w:rsid w:val="009E3B6F"/>
    <w:rsid w:val="009E3C98"/>
    <w:rsid w:val="009E3F71"/>
    <w:rsid w:val="009E41BF"/>
    <w:rsid w:val="009E42C3"/>
    <w:rsid w:val="009E4A89"/>
    <w:rsid w:val="009E4D63"/>
    <w:rsid w:val="009E5B03"/>
    <w:rsid w:val="009E5D56"/>
    <w:rsid w:val="009E61C0"/>
    <w:rsid w:val="009E61DA"/>
    <w:rsid w:val="009E6750"/>
    <w:rsid w:val="009E7248"/>
    <w:rsid w:val="009E7322"/>
    <w:rsid w:val="009E75E7"/>
    <w:rsid w:val="009F0245"/>
    <w:rsid w:val="009F02C7"/>
    <w:rsid w:val="009F0609"/>
    <w:rsid w:val="009F088E"/>
    <w:rsid w:val="009F0B11"/>
    <w:rsid w:val="009F0B7F"/>
    <w:rsid w:val="009F10F8"/>
    <w:rsid w:val="009F13A1"/>
    <w:rsid w:val="009F1470"/>
    <w:rsid w:val="009F168C"/>
    <w:rsid w:val="009F16EB"/>
    <w:rsid w:val="009F18CE"/>
    <w:rsid w:val="009F19ED"/>
    <w:rsid w:val="009F2105"/>
    <w:rsid w:val="009F2165"/>
    <w:rsid w:val="009F22DC"/>
    <w:rsid w:val="009F2775"/>
    <w:rsid w:val="009F2B86"/>
    <w:rsid w:val="009F2CA6"/>
    <w:rsid w:val="009F2D80"/>
    <w:rsid w:val="009F2D9E"/>
    <w:rsid w:val="009F2E05"/>
    <w:rsid w:val="009F2EB0"/>
    <w:rsid w:val="009F2FAB"/>
    <w:rsid w:val="009F3289"/>
    <w:rsid w:val="009F34B9"/>
    <w:rsid w:val="009F3547"/>
    <w:rsid w:val="009F380A"/>
    <w:rsid w:val="009F3C49"/>
    <w:rsid w:val="009F3FF3"/>
    <w:rsid w:val="009F4452"/>
    <w:rsid w:val="009F4478"/>
    <w:rsid w:val="009F4523"/>
    <w:rsid w:val="009F4893"/>
    <w:rsid w:val="009F499E"/>
    <w:rsid w:val="009F4C5C"/>
    <w:rsid w:val="009F536D"/>
    <w:rsid w:val="009F590B"/>
    <w:rsid w:val="009F66C5"/>
    <w:rsid w:val="009F6F13"/>
    <w:rsid w:val="009F728F"/>
    <w:rsid w:val="009F7364"/>
    <w:rsid w:val="009F75C1"/>
    <w:rsid w:val="009F78AD"/>
    <w:rsid w:val="009F7B3F"/>
    <w:rsid w:val="00A00189"/>
    <w:rsid w:val="00A002FE"/>
    <w:rsid w:val="00A00427"/>
    <w:rsid w:val="00A005E5"/>
    <w:rsid w:val="00A0093F"/>
    <w:rsid w:val="00A00F2A"/>
    <w:rsid w:val="00A014B3"/>
    <w:rsid w:val="00A01762"/>
    <w:rsid w:val="00A01A2B"/>
    <w:rsid w:val="00A01FE5"/>
    <w:rsid w:val="00A022D8"/>
    <w:rsid w:val="00A02813"/>
    <w:rsid w:val="00A02C9C"/>
    <w:rsid w:val="00A03128"/>
    <w:rsid w:val="00A037BE"/>
    <w:rsid w:val="00A03936"/>
    <w:rsid w:val="00A039A7"/>
    <w:rsid w:val="00A03B6D"/>
    <w:rsid w:val="00A0433B"/>
    <w:rsid w:val="00A04C1A"/>
    <w:rsid w:val="00A04F30"/>
    <w:rsid w:val="00A04FE6"/>
    <w:rsid w:val="00A05725"/>
    <w:rsid w:val="00A06951"/>
    <w:rsid w:val="00A06C19"/>
    <w:rsid w:val="00A0767C"/>
    <w:rsid w:val="00A07975"/>
    <w:rsid w:val="00A07EA3"/>
    <w:rsid w:val="00A07FE4"/>
    <w:rsid w:val="00A10108"/>
    <w:rsid w:val="00A102D1"/>
    <w:rsid w:val="00A10B71"/>
    <w:rsid w:val="00A10E8A"/>
    <w:rsid w:val="00A10EF8"/>
    <w:rsid w:val="00A110BD"/>
    <w:rsid w:val="00A1184B"/>
    <w:rsid w:val="00A11960"/>
    <w:rsid w:val="00A11A63"/>
    <w:rsid w:val="00A1238B"/>
    <w:rsid w:val="00A126D0"/>
    <w:rsid w:val="00A12F26"/>
    <w:rsid w:val="00A132F6"/>
    <w:rsid w:val="00A139F9"/>
    <w:rsid w:val="00A13E2C"/>
    <w:rsid w:val="00A141FB"/>
    <w:rsid w:val="00A14AEC"/>
    <w:rsid w:val="00A1591C"/>
    <w:rsid w:val="00A15CAF"/>
    <w:rsid w:val="00A15F3D"/>
    <w:rsid w:val="00A164AD"/>
    <w:rsid w:val="00A16577"/>
    <w:rsid w:val="00A16D3C"/>
    <w:rsid w:val="00A175B5"/>
    <w:rsid w:val="00A175E1"/>
    <w:rsid w:val="00A178F6"/>
    <w:rsid w:val="00A17C56"/>
    <w:rsid w:val="00A2004C"/>
    <w:rsid w:val="00A20271"/>
    <w:rsid w:val="00A214A0"/>
    <w:rsid w:val="00A217C2"/>
    <w:rsid w:val="00A218C6"/>
    <w:rsid w:val="00A21A67"/>
    <w:rsid w:val="00A21A93"/>
    <w:rsid w:val="00A21B6A"/>
    <w:rsid w:val="00A21C0E"/>
    <w:rsid w:val="00A2207C"/>
    <w:rsid w:val="00A22272"/>
    <w:rsid w:val="00A22278"/>
    <w:rsid w:val="00A22709"/>
    <w:rsid w:val="00A22799"/>
    <w:rsid w:val="00A22CC8"/>
    <w:rsid w:val="00A22D5F"/>
    <w:rsid w:val="00A23270"/>
    <w:rsid w:val="00A239F5"/>
    <w:rsid w:val="00A23C11"/>
    <w:rsid w:val="00A23DE7"/>
    <w:rsid w:val="00A2417B"/>
    <w:rsid w:val="00A2431F"/>
    <w:rsid w:val="00A24985"/>
    <w:rsid w:val="00A2583A"/>
    <w:rsid w:val="00A25857"/>
    <w:rsid w:val="00A25CF2"/>
    <w:rsid w:val="00A25F03"/>
    <w:rsid w:val="00A263D4"/>
    <w:rsid w:val="00A26B53"/>
    <w:rsid w:val="00A26E41"/>
    <w:rsid w:val="00A26EC5"/>
    <w:rsid w:val="00A26F1F"/>
    <w:rsid w:val="00A270E9"/>
    <w:rsid w:val="00A272ED"/>
    <w:rsid w:val="00A27539"/>
    <w:rsid w:val="00A2760C"/>
    <w:rsid w:val="00A2769C"/>
    <w:rsid w:val="00A27CF8"/>
    <w:rsid w:val="00A30010"/>
    <w:rsid w:val="00A30087"/>
    <w:rsid w:val="00A305B3"/>
    <w:rsid w:val="00A305BD"/>
    <w:rsid w:val="00A305FD"/>
    <w:rsid w:val="00A306C3"/>
    <w:rsid w:val="00A30731"/>
    <w:rsid w:val="00A3103F"/>
    <w:rsid w:val="00A31521"/>
    <w:rsid w:val="00A31551"/>
    <w:rsid w:val="00A317EB"/>
    <w:rsid w:val="00A31AED"/>
    <w:rsid w:val="00A31B5D"/>
    <w:rsid w:val="00A31E8E"/>
    <w:rsid w:val="00A32509"/>
    <w:rsid w:val="00A32574"/>
    <w:rsid w:val="00A325E7"/>
    <w:rsid w:val="00A3269C"/>
    <w:rsid w:val="00A32A85"/>
    <w:rsid w:val="00A32B2E"/>
    <w:rsid w:val="00A32EB0"/>
    <w:rsid w:val="00A33847"/>
    <w:rsid w:val="00A33B6A"/>
    <w:rsid w:val="00A342A6"/>
    <w:rsid w:val="00A34449"/>
    <w:rsid w:val="00A348C0"/>
    <w:rsid w:val="00A34C3E"/>
    <w:rsid w:val="00A34E1D"/>
    <w:rsid w:val="00A34E42"/>
    <w:rsid w:val="00A35004"/>
    <w:rsid w:val="00A35202"/>
    <w:rsid w:val="00A35431"/>
    <w:rsid w:val="00A35619"/>
    <w:rsid w:val="00A35E10"/>
    <w:rsid w:val="00A362E3"/>
    <w:rsid w:val="00A365A7"/>
    <w:rsid w:val="00A3662F"/>
    <w:rsid w:val="00A366D8"/>
    <w:rsid w:val="00A3697F"/>
    <w:rsid w:val="00A36B1E"/>
    <w:rsid w:val="00A37550"/>
    <w:rsid w:val="00A3773F"/>
    <w:rsid w:val="00A37E01"/>
    <w:rsid w:val="00A37EA5"/>
    <w:rsid w:val="00A4017B"/>
    <w:rsid w:val="00A4038F"/>
    <w:rsid w:val="00A4085B"/>
    <w:rsid w:val="00A40A45"/>
    <w:rsid w:val="00A40AF3"/>
    <w:rsid w:val="00A410D2"/>
    <w:rsid w:val="00A411C8"/>
    <w:rsid w:val="00A41487"/>
    <w:rsid w:val="00A41790"/>
    <w:rsid w:val="00A41B19"/>
    <w:rsid w:val="00A424E5"/>
    <w:rsid w:val="00A42829"/>
    <w:rsid w:val="00A4289D"/>
    <w:rsid w:val="00A42B70"/>
    <w:rsid w:val="00A42FC2"/>
    <w:rsid w:val="00A432BD"/>
    <w:rsid w:val="00A43E4F"/>
    <w:rsid w:val="00A442E5"/>
    <w:rsid w:val="00A442F3"/>
    <w:rsid w:val="00A4432F"/>
    <w:rsid w:val="00A44548"/>
    <w:rsid w:val="00A4457F"/>
    <w:rsid w:val="00A44DBF"/>
    <w:rsid w:val="00A4565B"/>
    <w:rsid w:val="00A456D1"/>
    <w:rsid w:val="00A458E3"/>
    <w:rsid w:val="00A45F99"/>
    <w:rsid w:val="00A461EF"/>
    <w:rsid w:val="00A46296"/>
    <w:rsid w:val="00A4653B"/>
    <w:rsid w:val="00A46A49"/>
    <w:rsid w:val="00A46FAE"/>
    <w:rsid w:val="00A46FE0"/>
    <w:rsid w:val="00A47118"/>
    <w:rsid w:val="00A47158"/>
    <w:rsid w:val="00A474AF"/>
    <w:rsid w:val="00A475C2"/>
    <w:rsid w:val="00A4771A"/>
    <w:rsid w:val="00A47E66"/>
    <w:rsid w:val="00A5000F"/>
    <w:rsid w:val="00A50062"/>
    <w:rsid w:val="00A50477"/>
    <w:rsid w:val="00A508AD"/>
    <w:rsid w:val="00A508D2"/>
    <w:rsid w:val="00A50912"/>
    <w:rsid w:val="00A50AEE"/>
    <w:rsid w:val="00A50E21"/>
    <w:rsid w:val="00A50E61"/>
    <w:rsid w:val="00A51650"/>
    <w:rsid w:val="00A5190C"/>
    <w:rsid w:val="00A51DE4"/>
    <w:rsid w:val="00A527F6"/>
    <w:rsid w:val="00A52A93"/>
    <w:rsid w:val="00A53EB5"/>
    <w:rsid w:val="00A546EB"/>
    <w:rsid w:val="00A54916"/>
    <w:rsid w:val="00A54D9D"/>
    <w:rsid w:val="00A552BC"/>
    <w:rsid w:val="00A55446"/>
    <w:rsid w:val="00A554D3"/>
    <w:rsid w:val="00A55F1A"/>
    <w:rsid w:val="00A55FCC"/>
    <w:rsid w:val="00A56980"/>
    <w:rsid w:val="00A56EFB"/>
    <w:rsid w:val="00A57175"/>
    <w:rsid w:val="00A57428"/>
    <w:rsid w:val="00A57701"/>
    <w:rsid w:val="00A5770F"/>
    <w:rsid w:val="00A57EA5"/>
    <w:rsid w:val="00A6076B"/>
    <w:rsid w:val="00A60A42"/>
    <w:rsid w:val="00A60BCC"/>
    <w:rsid w:val="00A60C1C"/>
    <w:rsid w:val="00A60CA2"/>
    <w:rsid w:val="00A6128F"/>
    <w:rsid w:val="00A616E7"/>
    <w:rsid w:val="00A622C6"/>
    <w:rsid w:val="00A623B0"/>
    <w:rsid w:val="00A6326E"/>
    <w:rsid w:val="00A634EF"/>
    <w:rsid w:val="00A6371E"/>
    <w:rsid w:val="00A638AE"/>
    <w:rsid w:val="00A638FC"/>
    <w:rsid w:val="00A63956"/>
    <w:rsid w:val="00A6410A"/>
    <w:rsid w:val="00A64271"/>
    <w:rsid w:val="00A6466C"/>
    <w:rsid w:val="00A647DC"/>
    <w:rsid w:val="00A64C89"/>
    <w:rsid w:val="00A64ED9"/>
    <w:rsid w:val="00A65753"/>
    <w:rsid w:val="00A65DDF"/>
    <w:rsid w:val="00A65F7A"/>
    <w:rsid w:val="00A6628C"/>
    <w:rsid w:val="00A6630A"/>
    <w:rsid w:val="00A666F1"/>
    <w:rsid w:val="00A66E08"/>
    <w:rsid w:val="00A715BF"/>
    <w:rsid w:val="00A715F8"/>
    <w:rsid w:val="00A718CF"/>
    <w:rsid w:val="00A71C80"/>
    <w:rsid w:val="00A72295"/>
    <w:rsid w:val="00A72338"/>
    <w:rsid w:val="00A724A0"/>
    <w:rsid w:val="00A7292D"/>
    <w:rsid w:val="00A72A91"/>
    <w:rsid w:val="00A72E13"/>
    <w:rsid w:val="00A72ED1"/>
    <w:rsid w:val="00A732EA"/>
    <w:rsid w:val="00A73A1E"/>
    <w:rsid w:val="00A73D40"/>
    <w:rsid w:val="00A73F70"/>
    <w:rsid w:val="00A74179"/>
    <w:rsid w:val="00A7419B"/>
    <w:rsid w:val="00A743BE"/>
    <w:rsid w:val="00A746B0"/>
    <w:rsid w:val="00A74867"/>
    <w:rsid w:val="00A7492C"/>
    <w:rsid w:val="00A74B0D"/>
    <w:rsid w:val="00A74B11"/>
    <w:rsid w:val="00A74E8D"/>
    <w:rsid w:val="00A753A0"/>
    <w:rsid w:val="00A755D7"/>
    <w:rsid w:val="00A75BEE"/>
    <w:rsid w:val="00A76409"/>
    <w:rsid w:val="00A767D1"/>
    <w:rsid w:val="00A76E17"/>
    <w:rsid w:val="00A76E33"/>
    <w:rsid w:val="00A76F02"/>
    <w:rsid w:val="00A77394"/>
    <w:rsid w:val="00A77B0B"/>
    <w:rsid w:val="00A80B8A"/>
    <w:rsid w:val="00A810F2"/>
    <w:rsid w:val="00A812DE"/>
    <w:rsid w:val="00A8147D"/>
    <w:rsid w:val="00A819C0"/>
    <w:rsid w:val="00A81AD0"/>
    <w:rsid w:val="00A8247C"/>
    <w:rsid w:val="00A83AD1"/>
    <w:rsid w:val="00A842FB"/>
    <w:rsid w:val="00A845A8"/>
    <w:rsid w:val="00A846D5"/>
    <w:rsid w:val="00A84A8A"/>
    <w:rsid w:val="00A84D16"/>
    <w:rsid w:val="00A84FF7"/>
    <w:rsid w:val="00A858DE"/>
    <w:rsid w:val="00A860CA"/>
    <w:rsid w:val="00A86129"/>
    <w:rsid w:val="00A86904"/>
    <w:rsid w:val="00A86C9F"/>
    <w:rsid w:val="00A86EB6"/>
    <w:rsid w:val="00A86EE9"/>
    <w:rsid w:val="00A8705B"/>
    <w:rsid w:val="00A878FE"/>
    <w:rsid w:val="00A90159"/>
    <w:rsid w:val="00A901A4"/>
    <w:rsid w:val="00A9059F"/>
    <w:rsid w:val="00A90625"/>
    <w:rsid w:val="00A90E0A"/>
    <w:rsid w:val="00A91932"/>
    <w:rsid w:val="00A91E20"/>
    <w:rsid w:val="00A9233B"/>
    <w:rsid w:val="00A935EB"/>
    <w:rsid w:val="00A93A12"/>
    <w:rsid w:val="00A94726"/>
    <w:rsid w:val="00A94846"/>
    <w:rsid w:val="00A94C08"/>
    <w:rsid w:val="00A9524B"/>
    <w:rsid w:val="00A95C53"/>
    <w:rsid w:val="00A9606F"/>
    <w:rsid w:val="00A9641D"/>
    <w:rsid w:val="00A965D5"/>
    <w:rsid w:val="00A967D3"/>
    <w:rsid w:val="00A96CBE"/>
    <w:rsid w:val="00A96F73"/>
    <w:rsid w:val="00A9736A"/>
    <w:rsid w:val="00A973E8"/>
    <w:rsid w:val="00A974F7"/>
    <w:rsid w:val="00AA1207"/>
    <w:rsid w:val="00AA1373"/>
    <w:rsid w:val="00AA13F2"/>
    <w:rsid w:val="00AA1613"/>
    <w:rsid w:val="00AA1C85"/>
    <w:rsid w:val="00AA1DDB"/>
    <w:rsid w:val="00AA1E38"/>
    <w:rsid w:val="00AA1EF5"/>
    <w:rsid w:val="00AA1F57"/>
    <w:rsid w:val="00AA208D"/>
    <w:rsid w:val="00AA22D1"/>
    <w:rsid w:val="00AA30FB"/>
    <w:rsid w:val="00AA36F3"/>
    <w:rsid w:val="00AA394B"/>
    <w:rsid w:val="00AA3CDD"/>
    <w:rsid w:val="00AA3D3B"/>
    <w:rsid w:val="00AA41AF"/>
    <w:rsid w:val="00AA496E"/>
    <w:rsid w:val="00AA4B3D"/>
    <w:rsid w:val="00AA5036"/>
    <w:rsid w:val="00AA521C"/>
    <w:rsid w:val="00AA556E"/>
    <w:rsid w:val="00AA5606"/>
    <w:rsid w:val="00AA5E71"/>
    <w:rsid w:val="00AA5F95"/>
    <w:rsid w:val="00AA63C8"/>
    <w:rsid w:val="00AA682E"/>
    <w:rsid w:val="00AA7401"/>
    <w:rsid w:val="00AA7432"/>
    <w:rsid w:val="00AA7580"/>
    <w:rsid w:val="00AA761D"/>
    <w:rsid w:val="00AA7B6F"/>
    <w:rsid w:val="00AB03D2"/>
    <w:rsid w:val="00AB0409"/>
    <w:rsid w:val="00AB0B55"/>
    <w:rsid w:val="00AB0CCC"/>
    <w:rsid w:val="00AB0D85"/>
    <w:rsid w:val="00AB0E68"/>
    <w:rsid w:val="00AB18A6"/>
    <w:rsid w:val="00AB195A"/>
    <w:rsid w:val="00AB1B5B"/>
    <w:rsid w:val="00AB1F75"/>
    <w:rsid w:val="00AB27FA"/>
    <w:rsid w:val="00AB296D"/>
    <w:rsid w:val="00AB2DE2"/>
    <w:rsid w:val="00AB360B"/>
    <w:rsid w:val="00AB37F4"/>
    <w:rsid w:val="00AB3AA4"/>
    <w:rsid w:val="00AB454B"/>
    <w:rsid w:val="00AB495F"/>
    <w:rsid w:val="00AB4C74"/>
    <w:rsid w:val="00AB5175"/>
    <w:rsid w:val="00AB52B2"/>
    <w:rsid w:val="00AB52CC"/>
    <w:rsid w:val="00AB5475"/>
    <w:rsid w:val="00AB5481"/>
    <w:rsid w:val="00AB5674"/>
    <w:rsid w:val="00AB5C51"/>
    <w:rsid w:val="00AB5CC5"/>
    <w:rsid w:val="00AB5E8D"/>
    <w:rsid w:val="00AB5FA2"/>
    <w:rsid w:val="00AB602C"/>
    <w:rsid w:val="00AB7501"/>
    <w:rsid w:val="00AC0140"/>
    <w:rsid w:val="00AC04CF"/>
    <w:rsid w:val="00AC08F9"/>
    <w:rsid w:val="00AC0C3C"/>
    <w:rsid w:val="00AC0F80"/>
    <w:rsid w:val="00AC105F"/>
    <w:rsid w:val="00AC1745"/>
    <w:rsid w:val="00AC2755"/>
    <w:rsid w:val="00AC2ECB"/>
    <w:rsid w:val="00AC3795"/>
    <w:rsid w:val="00AC3ED9"/>
    <w:rsid w:val="00AC3FEB"/>
    <w:rsid w:val="00AC4212"/>
    <w:rsid w:val="00AC44C2"/>
    <w:rsid w:val="00AC47B7"/>
    <w:rsid w:val="00AC48D3"/>
    <w:rsid w:val="00AC532E"/>
    <w:rsid w:val="00AC5411"/>
    <w:rsid w:val="00AC5BEB"/>
    <w:rsid w:val="00AC5F70"/>
    <w:rsid w:val="00AC5F98"/>
    <w:rsid w:val="00AC6081"/>
    <w:rsid w:val="00AC61AC"/>
    <w:rsid w:val="00AC67D3"/>
    <w:rsid w:val="00AC6823"/>
    <w:rsid w:val="00AC68CA"/>
    <w:rsid w:val="00AC694B"/>
    <w:rsid w:val="00AC6DC9"/>
    <w:rsid w:val="00AC7A6A"/>
    <w:rsid w:val="00AC7E8E"/>
    <w:rsid w:val="00AC7F68"/>
    <w:rsid w:val="00AD033E"/>
    <w:rsid w:val="00AD095A"/>
    <w:rsid w:val="00AD0A0D"/>
    <w:rsid w:val="00AD0FDD"/>
    <w:rsid w:val="00AD12D1"/>
    <w:rsid w:val="00AD1764"/>
    <w:rsid w:val="00AD1D25"/>
    <w:rsid w:val="00AD1ECD"/>
    <w:rsid w:val="00AD2360"/>
    <w:rsid w:val="00AD3221"/>
    <w:rsid w:val="00AD322C"/>
    <w:rsid w:val="00AD32F7"/>
    <w:rsid w:val="00AD35FE"/>
    <w:rsid w:val="00AD39FC"/>
    <w:rsid w:val="00AD3A78"/>
    <w:rsid w:val="00AD3BBF"/>
    <w:rsid w:val="00AD4024"/>
    <w:rsid w:val="00AD4360"/>
    <w:rsid w:val="00AD4A79"/>
    <w:rsid w:val="00AD4D23"/>
    <w:rsid w:val="00AD5117"/>
    <w:rsid w:val="00AD552B"/>
    <w:rsid w:val="00AD566F"/>
    <w:rsid w:val="00AD5683"/>
    <w:rsid w:val="00AD57CF"/>
    <w:rsid w:val="00AD58EA"/>
    <w:rsid w:val="00AD591D"/>
    <w:rsid w:val="00AD5999"/>
    <w:rsid w:val="00AD59D7"/>
    <w:rsid w:val="00AD601B"/>
    <w:rsid w:val="00AD61E5"/>
    <w:rsid w:val="00AD6288"/>
    <w:rsid w:val="00AD6303"/>
    <w:rsid w:val="00AD6586"/>
    <w:rsid w:val="00AD6B6E"/>
    <w:rsid w:val="00AD7503"/>
    <w:rsid w:val="00AD7732"/>
    <w:rsid w:val="00AD7A21"/>
    <w:rsid w:val="00AD7DA1"/>
    <w:rsid w:val="00AE0196"/>
    <w:rsid w:val="00AE0492"/>
    <w:rsid w:val="00AE0766"/>
    <w:rsid w:val="00AE08E8"/>
    <w:rsid w:val="00AE0BD4"/>
    <w:rsid w:val="00AE0E28"/>
    <w:rsid w:val="00AE11D4"/>
    <w:rsid w:val="00AE1435"/>
    <w:rsid w:val="00AE14A1"/>
    <w:rsid w:val="00AE151D"/>
    <w:rsid w:val="00AE1752"/>
    <w:rsid w:val="00AE1D8A"/>
    <w:rsid w:val="00AE1EE1"/>
    <w:rsid w:val="00AE2073"/>
    <w:rsid w:val="00AE20CA"/>
    <w:rsid w:val="00AE210F"/>
    <w:rsid w:val="00AE22AB"/>
    <w:rsid w:val="00AE2363"/>
    <w:rsid w:val="00AE241B"/>
    <w:rsid w:val="00AE292B"/>
    <w:rsid w:val="00AE3621"/>
    <w:rsid w:val="00AE392A"/>
    <w:rsid w:val="00AE392B"/>
    <w:rsid w:val="00AE39AD"/>
    <w:rsid w:val="00AE3A9C"/>
    <w:rsid w:val="00AE4457"/>
    <w:rsid w:val="00AE46F5"/>
    <w:rsid w:val="00AE4707"/>
    <w:rsid w:val="00AE4A05"/>
    <w:rsid w:val="00AE5033"/>
    <w:rsid w:val="00AE5230"/>
    <w:rsid w:val="00AE5462"/>
    <w:rsid w:val="00AE573D"/>
    <w:rsid w:val="00AE60D7"/>
    <w:rsid w:val="00AE6541"/>
    <w:rsid w:val="00AE6783"/>
    <w:rsid w:val="00AE6A47"/>
    <w:rsid w:val="00AE6D7E"/>
    <w:rsid w:val="00AE7C90"/>
    <w:rsid w:val="00AF00FF"/>
    <w:rsid w:val="00AF04B2"/>
    <w:rsid w:val="00AF0521"/>
    <w:rsid w:val="00AF0535"/>
    <w:rsid w:val="00AF0738"/>
    <w:rsid w:val="00AF09E9"/>
    <w:rsid w:val="00AF0A7E"/>
    <w:rsid w:val="00AF103B"/>
    <w:rsid w:val="00AF1206"/>
    <w:rsid w:val="00AF13FE"/>
    <w:rsid w:val="00AF14BC"/>
    <w:rsid w:val="00AF1730"/>
    <w:rsid w:val="00AF1BA3"/>
    <w:rsid w:val="00AF1CCD"/>
    <w:rsid w:val="00AF1D7D"/>
    <w:rsid w:val="00AF1EED"/>
    <w:rsid w:val="00AF27D5"/>
    <w:rsid w:val="00AF2872"/>
    <w:rsid w:val="00AF2D45"/>
    <w:rsid w:val="00AF2D79"/>
    <w:rsid w:val="00AF2F71"/>
    <w:rsid w:val="00AF302B"/>
    <w:rsid w:val="00AF311C"/>
    <w:rsid w:val="00AF3250"/>
    <w:rsid w:val="00AF33D5"/>
    <w:rsid w:val="00AF38B1"/>
    <w:rsid w:val="00AF3A7C"/>
    <w:rsid w:val="00AF3DDA"/>
    <w:rsid w:val="00AF3E0D"/>
    <w:rsid w:val="00AF3E11"/>
    <w:rsid w:val="00AF435C"/>
    <w:rsid w:val="00AF46B1"/>
    <w:rsid w:val="00AF4813"/>
    <w:rsid w:val="00AF4AA9"/>
    <w:rsid w:val="00AF4E39"/>
    <w:rsid w:val="00AF4EEB"/>
    <w:rsid w:val="00AF5113"/>
    <w:rsid w:val="00AF55E8"/>
    <w:rsid w:val="00AF562C"/>
    <w:rsid w:val="00AF5B06"/>
    <w:rsid w:val="00AF5B90"/>
    <w:rsid w:val="00AF6099"/>
    <w:rsid w:val="00AF639C"/>
    <w:rsid w:val="00AF6AB9"/>
    <w:rsid w:val="00AF6BEA"/>
    <w:rsid w:val="00AF76AB"/>
    <w:rsid w:val="00AF799C"/>
    <w:rsid w:val="00AF79E5"/>
    <w:rsid w:val="00AF7A6B"/>
    <w:rsid w:val="00AF7FA0"/>
    <w:rsid w:val="00B005A0"/>
    <w:rsid w:val="00B005FD"/>
    <w:rsid w:val="00B00AB9"/>
    <w:rsid w:val="00B00D2D"/>
    <w:rsid w:val="00B00E15"/>
    <w:rsid w:val="00B010FF"/>
    <w:rsid w:val="00B013B0"/>
    <w:rsid w:val="00B01643"/>
    <w:rsid w:val="00B01C56"/>
    <w:rsid w:val="00B0267A"/>
    <w:rsid w:val="00B02A37"/>
    <w:rsid w:val="00B03143"/>
    <w:rsid w:val="00B0320D"/>
    <w:rsid w:val="00B035AB"/>
    <w:rsid w:val="00B036AC"/>
    <w:rsid w:val="00B03BC5"/>
    <w:rsid w:val="00B03E95"/>
    <w:rsid w:val="00B04242"/>
    <w:rsid w:val="00B048C0"/>
    <w:rsid w:val="00B04AC6"/>
    <w:rsid w:val="00B053D1"/>
    <w:rsid w:val="00B05541"/>
    <w:rsid w:val="00B05593"/>
    <w:rsid w:val="00B055BB"/>
    <w:rsid w:val="00B0590C"/>
    <w:rsid w:val="00B05B74"/>
    <w:rsid w:val="00B05F0A"/>
    <w:rsid w:val="00B05F9D"/>
    <w:rsid w:val="00B063CD"/>
    <w:rsid w:val="00B068D2"/>
    <w:rsid w:val="00B06E39"/>
    <w:rsid w:val="00B06E75"/>
    <w:rsid w:val="00B071FC"/>
    <w:rsid w:val="00B0731F"/>
    <w:rsid w:val="00B07496"/>
    <w:rsid w:val="00B07690"/>
    <w:rsid w:val="00B10116"/>
    <w:rsid w:val="00B10451"/>
    <w:rsid w:val="00B10554"/>
    <w:rsid w:val="00B10591"/>
    <w:rsid w:val="00B108E5"/>
    <w:rsid w:val="00B10F70"/>
    <w:rsid w:val="00B111D2"/>
    <w:rsid w:val="00B115A1"/>
    <w:rsid w:val="00B11709"/>
    <w:rsid w:val="00B1178E"/>
    <w:rsid w:val="00B11964"/>
    <w:rsid w:val="00B11CAB"/>
    <w:rsid w:val="00B11D13"/>
    <w:rsid w:val="00B124C4"/>
    <w:rsid w:val="00B126F8"/>
    <w:rsid w:val="00B12AA3"/>
    <w:rsid w:val="00B12DF0"/>
    <w:rsid w:val="00B12EBF"/>
    <w:rsid w:val="00B132D9"/>
    <w:rsid w:val="00B1346E"/>
    <w:rsid w:val="00B13DA4"/>
    <w:rsid w:val="00B13DDA"/>
    <w:rsid w:val="00B142C6"/>
    <w:rsid w:val="00B142FA"/>
    <w:rsid w:val="00B1465E"/>
    <w:rsid w:val="00B14EA6"/>
    <w:rsid w:val="00B15814"/>
    <w:rsid w:val="00B15834"/>
    <w:rsid w:val="00B1592B"/>
    <w:rsid w:val="00B15B22"/>
    <w:rsid w:val="00B16049"/>
    <w:rsid w:val="00B16184"/>
    <w:rsid w:val="00B163EC"/>
    <w:rsid w:val="00B16BB4"/>
    <w:rsid w:val="00B16CC0"/>
    <w:rsid w:val="00B170FA"/>
    <w:rsid w:val="00B17179"/>
    <w:rsid w:val="00B174E5"/>
    <w:rsid w:val="00B17690"/>
    <w:rsid w:val="00B17C04"/>
    <w:rsid w:val="00B20846"/>
    <w:rsid w:val="00B20AEC"/>
    <w:rsid w:val="00B20C0B"/>
    <w:rsid w:val="00B20DC4"/>
    <w:rsid w:val="00B21579"/>
    <w:rsid w:val="00B21745"/>
    <w:rsid w:val="00B218FF"/>
    <w:rsid w:val="00B21CAE"/>
    <w:rsid w:val="00B22C46"/>
    <w:rsid w:val="00B22D32"/>
    <w:rsid w:val="00B22EE9"/>
    <w:rsid w:val="00B23345"/>
    <w:rsid w:val="00B23B0F"/>
    <w:rsid w:val="00B23D42"/>
    <w:rsid w:val="00B23D9D"/>
    <w:rsid w:val="00B23E19"/>
    <w:rsid w:val="00B23F74"/>
    <w:rsid w:val="00B24C1E"/>
    <w:rsid w:val="00B24CF4"/>
    <w:rsid w:val="00B24F50"/>
    <w:rsid w:val="00B25439"/>
    <w:rsid w:val="00B25510"/>
    <w:rsid w:val="00B25B47"/>
    <w:rsid w:val="00B25DD4"/>
    <w:rsid w:val="00B25F6D"/>
    <w:rsid w:val="00B2601A"/>
    <w:rsid w:val="00B2604A"/>
    <w:rsid w:val="00B26402"/>
    <w:rsid w:val="00B26BC4"/>
    <w:rsid w:val="00B26C52"/>
    <w:rsid w:val="00B26D5B"/>
    <w:rsid w:val="00B27026"/>
    <w:rsid w:val="00B2729B"/>
    <w:rsid w:val="00B276C4"/>
    <w:rsid w:val="00B27773"/>
    <w:rsid w:val="00B27898"/>
    <w:rsid w:val="00B27F7A"/>
    <w:rsid w:val="00B3076F"/>
    <w:rsid w:val="00B30CAD"/>
    <w:rsid w:val="00B30E8B"/>
    <w:rsid w:val="00B30E96"/>
    <w:rsid w:val="00B313AB"/>
    <w:rsid w:val="00B313FE"/>
    <w:rsid w:val="00B314B7"/>
    <w:rsid w:val="00B320D0"/>
    <w:rsid w:val="00B3280E"/>
    <w:rsid w:val="00B32BF0"/>
    <w:rsid w:val="00B3350D"/>
    <w:rsid w:val="00B33B4F"/>
    <w:rsid w:val="00B33B9D"/>
    <w:rsid w:val="00B33DA5"/>
    <w:rsid w:val="00B33E15"/>
    <w:rsid w:val="00B33E5D"/>
    <w:rsid w:val="00B33EF4"/>
    <w:rsid w:val="00B3448C"/>
    <w:rsid w:val="00B34F5B"/>
    <w:rsid w:val="00B3500A"/>
    <w:rsid w:val="00B35358"/>
    <w:rsid w:val="00B35875"/>
    <w:rsid w:val="00B35A50"/>
    <w:rsid w:val="00B35C84"/>
    <w:rsid w:val="00B35D3E"/>
    <w:rsid w:val="00B365D1"/>
    <w:rsid w:val="00B36C0F"/>
    <w:rsid w:val="00B36F92"/>
    <w:rsid w:val="00B3704D"/>
    <w:rsid w:val="00B3725F"/>
    <w:rsid w:val="00B37515"/>
    <w:rsid w:val="00B37662"/>
    <w:rsid w:val="00B37A27"/>
    <w:rsid w:val="00B37B3E"/>
    <w:rsid w:val="00B37B96"/>
    <w:rsid w:val="00B37BD2"/>
    <w:rsid w:val="00B37FC5"/>
    <w:rsid w:val="00B40062"/>
    <w:rsid w:val="00B40549"/>
    <w:rsid w:val="00B40F53"/>
    <w:rsid w:val="00B415E1"/>
    <w:rsid w:val="00B41601"/>
    <w:rsid w:val="00B41737"/>
    <w:rsid w:val="00B4199F"/>
    <w:rsid w:val="00B419D8"/>
    <w:rsid w:val="00B41B41"/>
    <w:rsid w:val="00B41D0F"/>
    <w:rsid w:val="00B41DB5"/>
    <w:rsid w:val="00B41F22"/>
    <w:rsid w:val="00B420BC"/>
    <w:rsid w:val="00B42385"/>
    <w:rsid w:val="00B43084"/>
    <w:rsid w:val="00B430D9"/>
    <w:rsid w:val="00B43406"/>
    <w:rsid w:val="00B43805"/>
    <w:rsid w:val="00B43917"/>
    <w:rsid w:val="00B43F14"/>
    <w:rsid w:val="00B43FB9"/>
    <w:rsid w:val="00B445A5"/>
    <w:rsid w:val="00B445E9"/>
    <w:rsid w:val="00B447BA"/>
    <w:rsid w:val="00B44B49"/>
    <w:rsid w:val="00B450C3"/>
    <w:rsid w:val="00B453C6"/>
    <w:rsid w:val="00B458ED"/>
    <w:rsid w:val="00B45F29"/>
    <w:rsid w:val="00B466A5"/>
    <w:rsid w:val="00B468E4"/>
    <w:rsid w:val="00B46A77"/>
    <w:rsid w:val="00B46B56"/>
    <w:rsid w:val="00B46C1E"/>
    <w:rsid w:val="00B46D77"/>
    <w:rsid w:val="00B46DEC"/>
    <w:rsid w:val="00B47474"/>
    <w:rsid w:val="00B477E0"/>
    <w:rsid w:val="00B50488"/>
    <w:rsid w:val="00B50680"/>
    <w:rsid w:val="00B50748"/>
    <w:rsid w:val="00B50B54"/>
    <w:rsid w:val="00B50C8F"/>
    <w:rsid w:val="00B50C91"/>
    <w:rsid w:val="00B50F6F"/>
    <w:rsid w:val="00B50F76"/>
    <w:rsid w:val="00B51140"/>
    <w:rsid w:val="00B5122D"/>
    <w:rsid w:val="00B51760"/>
    <w:rsid w:val="00B51EF1"/>
    <w:rsid w:val="00B520B8"/>
    <w:rsid w:val="00B5214B"/>
    <w:rsid w:val="00B524F7"/>
    <w:rsid w:val="00B52952"/>
    <w:rsid w:val="00B52E00"/>
    <w:rsid w:val="00B53075"/>
    <w:rsid w:val="00B5318A"/>
    <w:rsid w:val="00B5342C"/>
    <w:rsid w:val="00B53B33"/>
    <w:rsid w:val="00B53ED6"/>
    <w:rsid w:val="00B544EF"/>
    <w:rsid w:val="00B54A2A"/>
    <w:rsid w:val="00B556BF"/>
    <w:rsid w:val="00B559C4"/>
    <w:rsid w:val="00B55FB6"/>
    <w:rsid w:val="00B56340"/>
    <w:rsid w:val="00B5652C"/>
    <w:rsid w:val="00B57614"/>
    <w:rsid w:val="00B57A83"/>
    <w:rsid w:val="00B57CEC"/>
    <w:rsid w:val="00B603FD"/>
    <w:rsid w:val="00B60475"/>
    <w:rsid w:val="00B6053A"/>
    <w:rsid w:val="00B60919"/>
    <w:rsid w:val="00B609E6"/>
    <w:rsid w:val="00B60AFC"/>
    <w:rsid w:val="00B60E38"/>
    <w:rsid w:val="00B60EB6"/>
    <w:rsid w:val="00B6111D"/>
    <w:rsid w:val="00B6146F"/>
    <w:rsid w:val="00B619AE"/>
    <w:rsid w:val="00B619D8"/>
    <w:rsid w:val="00B61B37"/>
    <w:rsid w:val="00B61B60"/>
    <w:rsid w:val="00B62DC0"/>
    <w:rsid w:val="00B62DF3"/>
    <w:rsid w:val="00B631B7"/>
    <w:rsid w:val="00B63343"/>
    <w:rsid w:val="00B6344D"/>
    <w:rsid w:val="00B63796"/>
    <w:rsid w:val="00B6389D"/>
    <w:rsid w:val="00B638ED"/>
    <w:rsid w:val="00B63907"/>
    <w:rsid w:val="00B63E92"/>
    <w:rsid w:val="00B63FFE"/>
    <w:rsid w:val="00B641BF"/>
    <w:rsid w:val="00B6434C"/>
    <w:rsid w:val="00B6447C"/>
    <w:rsid w:val="00B65041"/>
    <w:rsid w:val="00B65160"/>
    <w:rsid w:val="00B6525D"/>
    <w:rsid w:val="00B652D1"/>
    <w:rsid w:val="00B65784"/>
    <w:rsid w:val="00B65B42"/>
    <w:rsid w:val="00B673F7"/>
    <w:rsid w:val="00B6763E"/>
    <w:rsid w:val="00B67862"/>
    <w:rsid w:val="00B67A8F"/>
    <w:rsid w:val="00B67E2B"/>
    <w:rsid w:val="00B705B5"/>
    <w:rsid w:val="00B7075C"/>
    <w:rsid w:val="00B707F4"/>
    <w:rsid w:val="00B708E0"/>
    <w:rsid w:val="00B70D72"/>
    <w:rsid w:val="00B716F5"/>
    <w:rsid w:val="00B71FBC"/>
    <w:rsid w:val="00B71FE4"/>
    <w:rsid w:val="00B7231C"/>
    <w:rsid w:val="00B72E1C"/>
    <w:rsid w:val="00B73354"/>
    <w:rsid w:val="00B735A4"/>
    <w:rsid w:val="00B736E0"/>
    <w:rsid w:val="00B73B6B"/>
    <w:rsid w:val="00B73C49"/>
    <w:rsid w:val="00B740FC"/>
    <w:rsid w:val="00B745B0"/>
    <w:rsid w:val="00B74628"/>
    <w:rsid w:val="00B74A3F"/>
    <w:rsid w:val="00B74A87"/>
    <w:rsid w:val="00B74D0A"/>
    <w:rsid w:val="00B75831"/>
    <w:rsid w:val="00B758FA"/>
    <w:rsid w:val="00B75B88"/>
    <w:rsid w:val="00B76D4D"/>
    <w:rsid w:val="00B76D7A"/>
    <w:rsid w:val="00B76E4F"/>
    <w:rsid w:val="00B80187"/>
    <w:rsid w:val="00B805DF"/>
    <w:rsid w:val="00B80CA6"/>
    <w:rsid w:val="00B80CBD"/>
    <w:rsid w:val="00B80DDF"/>
    <w:rsid w:val="00B8108C"/>
    <w:rsid w:val="00B818C8"/>
    <w:rsid w:val="00B81900"/>
    <w:rsid w:val="00B81A64"/>
    <w:rsid w:val="00B8227A"/>
    <w:rsid w:val="00B825EA"/>
    <w:rsid w:val="00B82684"/>
    <w:rsid w:val="00B8291D"/>
    <w:rsid w:val="00B82B73"/>
    <w:rsid w:val="00B82DE3"/>
    <w:rsid w:val="00B82E05"/>
    <w:rsid w:val="00B82FA6"/>
    <w:rsid w:val="00B834BB"/>
    <w:rsid w:val="00B83947"/>
    <w:rsid w:val="00B83F8F"/>
    <w:rsid w:val="00B841A6"/>
    <w:rsid w:val="00B846FA"/>
    <w:rsid w:val="00B84948"/>
    <w:rsid w:val="00B84961"/>
    <w:rsid w:val="00B84C97"/>
    <w:rsid w:val="00B84CB9"/>
    <w:rsid w:val="00B84E99"/>
    <w:rsid w:val="00B85054"/>
    <w:rsid w:val="00B8520E"/>
    <w:rsid w:val="00B85236"/>
    <w:rsid w:val="00B855B5"/>
    <w:rsid w:val="00B856B1"/>
    <w:rsid w:val="00B85C52"/>
    <w:rsid w:val="00B861F0"/>
    <w:rsid w:val="00B86E4D"/>
    <w:rsid w:val="00B8728F"/>
    <w:rsid w:val="00B874FA"/>
    <w:rsid w:val="00B877B7"/>
    <w:rsid w:val="00B879CB"/>
    <w:rsid w:val="00B87AB6"/>
    <w:rsid w:val="00B87B4D"/>
    <w:rsid w:val="00B87F91"/>
    <w:rsid w:val="00B904F4"/>
    <w:rsid w:val="00B905D1"/>
    <w:rsid w:val="00B909E6"/>
    <w:rsid w:val="00B91011"/>
    <w:rsid w:val="00B91343"/>
    <w:rsid w:val="00B91B48"/>
    <w:rsid w:val="00B91D75"/>
    <w:rsid w:val="00B91F0C"/>
    <w:rsid w:val="00B920DD"/>
    <w:rsid w:val="00B920E8"/>
    <w:rsid w:val="00B92468"/>
    <w:rsid w:val="00B925B0"/>
    <w:rsid w:val="00B92754"/>
    <w:rsid w:val="00B92812"/>
    <w:rsid w:val="00B9352F"/>
    <w:rsid w:val="00B93579"/>
    <w:rsid w:val="00B939D7"/>
    <w:rsid w:val="00B93BA2"/>
    <w:rsid w:val="00B93DA0"/>
    <w:rsid w:val="00B94066"/>
    <w:rsid w:val="00B9458D"/>
    <w:rsid w:val="00B946C9"/>
    <w:rsid w:val="00B9497D"/>
    <w:rsid w:val="00B95350"/>
    <w:rsid w:val="00B9542C"/>
    <w:rsid w:val="00B95ED9"/>
    <w:rsid w:val="00B96321"/>
    <w:rsid w:val="00B965F6"/>
    <w:rsid w:val="00B96702"/>
    <w:rsid w:val="00B96D01"/>
    <w:rsid w:val="00B9722B"/>
    <w:rsid w:val="00B97733"/>
    <w:rsid w:val="00B97A16"/>
    <w:rsid w:val="00BA091E"/>
    <w:rsid w:val="00BA1178"/>
    <w:rsid w:val="00BA14BB"/>
    <w:rsid w:val="00BA1DE1"/>
    <w:rsid w:val="00BA1F55"/>
    <w:rsid w:val="00BA2191"/>
    <w:rsid w:val="00BA21AB"/>
    <w:rsid w:val="00BA2777"/>
    <w:rsid w:val="00BA2A64"/>
    <w:rsid w:val="00BA34C6"/>
    <w:rsid w:val="00BA3509"/>
    <w:rsid w:val="00BA35CB"/>
    <w:rsid w:val="00BA3AB5"/>
    <w:rsid w:val="00BA3C2B"/>
    <w:rsid w:val="00BA3DC8"/>
    <w:rsid w:val="00BA42C0"/>
    <w:rsid w:val="00BA4620"/>
    <w:rsid w:val="00BA62D7"/>
    <w:rsid w:val="00BA635B"/>
    <w:rsid w:val="00BA6466"/>
    <w:rsid w:val="00BA6565"/>
    <w:rsid w:val="00BA6A30"/>
    <w:rsid w:val="00BA737C"/>
    <w:rsid w:val="00BA77EC"/>
    <w:rsid w:val="00BA7BAA"/>
    <w:rsid w:val="00BA7C74"/>
    <w:rsid w:val="00BB0E62"/>
    <w:rsid w:val="00BB113A"/>
    <w:rsid w:val="00BB128B"/>
    <w:rsid w:val="00BB133E"/>
    <w:rsid w:val="00BB1A3E"/>
    <w:rsid w:val="00BB1A9A"/>
    <w:rsid w:val="00BB1BA6"/>
    <w:rsid w:val="00BB1CFC"/>
    <w:rsid w:val="00BB2636"/>
    <w:rsid w:val="00BB2693"/>
    <w:rsid w:val="00BB27FD"/>
    <w:rsid w:val="00BB2B83"/>
    <w:rsid w:val="00BB2E9A"/>
    <w:rsid w:val="00BB3621"/>
    <w:rsid w:val="00BB3F53"/>
    <w:rsid w:val="00BB4261"/>
    <w:rsid w:val="00BB4401"/>
    <w:rsid w:val="00BB46E3"/>
    <w:rsid w:val="00BB596A"/>
    <w:rsid w:val="00BB5E52"/>
    <w:rsid w:val="00BB5E64"/>
    <w:rsid w:val="00BB5F80"/>
    <w:rsid w:val="00BB63FF"/>
    <w:rsid w:val="00BB64B9"/>
    <w:rsid w:val="00BB6690"/>
    <w:rsid w:val="00BB6E73"/>
    <w:rsid w:val="00BB7815"/>
    <w:rsid w:val="00BB7BB4"/>
    <w:rsid w:val="00BB7DEA"/>
    <w:rsid w:val="00BB7E66"/>
    <w:rsid w:val="00BB7F84"/>
    <w:rsid w:val="00BC016A"/>
    <w:rsid w:val="00BC06F3"/>
    <w:rsid w:val="00BC07EE"/>
    <w:rsid w:val="00BC0A91"/>
    <w:rsid w:val="00BC1219"/>
    <w:rsid w:val="00BC15ED"/>
    <w:rsid w:val="00BC1844"/>
    <w:rsid w:val="00BC18E8"/>
    <w:rsid w:val="00BC1B11"/>
    <w:rsid w:val="00BC1CD0"/>
    <w:rsid w:val="00BC2403"/>
    <w:rsid w:val="00BC25DF"/>
    <w:rsid w:val="00BC26AD"/>
    <w:rsid w:val="00BC27CC"/>
    <w:rsid w:val="00BC2940"/>
    <w:rsid w:val="00BC2BA5"/>
    <w:rsid w:val="00BC2F91"/>
    <w:rsid w:val="00BC3765"/>
    <w:rsid w:val="00BC3DB9"/>
    <w:rsid w:val="00BC4445"/>
    <w:rsid w:val="00BC4F11"/>
    <w:rsid w:val="00BC52E8"/>
    <w:rsid w:val="00BC5452"/>
    <w:rsid w:val="00BC5728"/>
    <w:rsid w:val="00BC588D"/>
    <w:rsid w:val="00BC58E0"/>
    <w:rsid w:val="00BC5AC7"/>
    <w:rsid w:val="00BC6316"/>
    <w:rsid w:val="00BC647D"/>
    <w:rsid w:val="00BC70E8"/>
    <w:rsid w:val="00BC7247"/>
    <w:rsid w:val="00BC72F7"/>
    <w:rsid w:val="00BC7652"/>
    <w:rsid w:val="00BC7E8A"/>
    <w:rsid w:val="00BD03C8"/>
    <w:rsid w:val="00BD0D2E"/>
    <w:rsid w:val="00BD16A9"/>
    <w:rsid w:val="00BD1783"/>
    <w:rsid w:val="00BD1F5D"/>
    <w:rsid w:val="00BD282A"/>
    <w:rsid w:val="00BD2B8D"/>
    <w:rsid w:val="00BD2E21"/>
    <w:rsid w:val="00BD2E25"/>
    <w:rsid w:val="00BD331B"/>
    <w:rsid w:val="00BD34C5"/>
    <w:rsid w:val="00BD3889"/>
    <w:rsid w:val="00BD3901"/>
    <w:rsid w:val="00BD3A29"/>
    <w:rsid w:val="00BD3AA6"/>
    <w:rsid w:val="00BD3BD5"/>
    <w:rsid w:val="00BD3C43"/>
    <w:rsid w:val="00BD438A"/>
    <w:rsid w:val="00BD48F5"/>
    <w:rsid w:val="00BD506C"/>
    <w:rsid w:val="00BD5906"/>
    <w:rsid w:val="00BD5CF1"/>
    <w:rsid w:val="00BD5ECB"/>
    <w:rsid w:val="00BD66C7"/>
    <w:rsid w:val="00BD6713"/>
    <w:rsid w:val="00BD67D8"/>
    <w:rsid w:val="00BD68B6"/>
    <w:rsid w:val="00BD68D9"/>
    <w:rsid w:val="00BD6915"/>
    <w:rsid w:val="00BD6CA7"/>
    <w:rsid w:val="00BD6D3E"/>
    <w:rsid w:val="00BD6E5B"/>
    <w:rsid w:val="00BD7005"/>
    <w:rsid w:val="00BD72E9"/>
    <w:rsid w:val="00BD7665"/>
    <w:rsid w:val="00BD7BA7"/>
    <w:rsid w:val="00BD7F07"/>
    <w:rsid w:val="00BE0105"/>
    <w:rsid w:val="00BE0171"/>
    <w:rsid w:val="00BE04BC"/>
    <w:rsid w:val="00BE0703"/>
    <w:rsid w:val="00BE0913"/>
    <w:rsid w:val="00BE09CB"/>
    <w:rsid w:val="00BE10F1"/>
    <w:rsid w:val="00BE1152"/>
    <w:rsid w:val="00BE14A1"/>
    <w:rsid w:val="00BE17FB"/>
    <w:rsid w:val="00BE1818"/>
    <w:rsid w:val="00BE1B10"/>
    <w:rsid w:val="00BE1CB9"/>
    <w:rsid w:val="00BE2749"/>
    <w:rsid w:val="00BE2B27"/>
    <w:rsid w:val="00BE2FC6"/>
    <w:rsid w:val="00BE3286"/>
    <w:rsid w:val="00BE3336"/>
    <w:rsid w:val="00BE38ED"/>
    <w:rsid w:val="00BE3975"/>
    <w:rsid w:val="00BE3A60"/>
    <w:rsid w:val="00BE3E14"/>
    <w:rsid w:val="00BE4181"/>
    <w:rsid w:val="00BE4232"/>
    <w:rsid w:val="00BE4301"/>
    <w:rsid w:val="00BE4EF8"/>
    <w:rsid w:val="00BE54D5"/>
    <w:rsid w:val="00BE5559"/>
    <w:rsid w:val="00BE560F"/>
    <w:rsid w:val="00BE6212"/>
    <w:rsid w:val="00BE6273"/>
    <w:rsid w:val="00BE692E"/>
    <w:rsid w:val="00BE7832"/>
    <w:rsid w:val="00BE7D4C"/>
    <w:rsid w:val="00BF02C8"/>
    <w:rsid w:val="00BF0350"/>
    <w:rsid w:val="00BF04BD"/>
    <w:rsid w:val="00BF0A9B"/>
    <w:rsid w:val="00BF0B32"/>
    <w:rsid w:val="00BF0B83"/>
    <w:rsid w:val="00BF14E8"/>
    <w:rsid w:val="00BF153A"/>
    <w:rsid w:val="00BF1576"/>
    <w:rsid w:val="00BF1A6D"/>
    <w:rsid w:val="00BF1CB0"/>
    <w:rsid w:val="00BF2114"/>
    <w:rsid w:val="00BF28B3"/>
    <w:rsid w:val="00BF2D12"/>
    <w:rsid w:val="00BF3500"/>
    <w:rsid w:val="00BF373C"/>
    <w:rsid w:val="00BF4293"/>
    <w:rsid w:val="00BF46A9"/>
    <w:rsid w:val="00BF4A82"/>
    <w:rsid w:val="00BF4F03"/>
    <w:rsid w:val="00BF54F4"/>
    <w:rsid w:val="00BF552B"/>
    <w:rsid w:val="00BF565A"/>
    <w:rsid w:val="00BF5B2B"/>
    <w:rsid w:val="00BF5B93"/>
    <w:rsid w:val="00BF5CAC"/>
    <w:rsid w:val="00BF5FE3"/>
    <w:rsid w:val="00BF6421"/>
    <w:rsid w:val="00BF6465"/>
    <w:rsid w:val="00BF66A0"/>
    <w:rsid w:val="00BF692C"/>
    <w:rsid w:val="00BF6AFF"/>
    <w:rsid w:val="00BF6BCC"/>
    <w:rsid w:val="00BF7160"/>
    <w:rsid w:val="00BF74C3"/>
    <w:rsid w:val="00BF75B6"/>
    <w:rsid w:val="00BF75CC"/>
    <w:rsid w:val="00BF75D5"/>
    <w:rsid w:val="00BF7AC6"/>
    <w:rsid w:val="00BF7AF2"/>
    <w:rsid w:val="00BF7FCF"/>
    <w:rsid w:val="00C0058D"/>
    <w:rsid w:val="00C00A79"/>
    <w:rsid w:val="00C00E0F"/>
    <w:rsid w:val="00C0105F"/>
    <w:rsid w:val="00C010E7"/>
    <w:rsid w:val="00C01231"/>
    <w:rsid w:val="00C01C02"/>
    <w:rsid w:val="00C01E83"/>
    <w:rsid w:val="00C02344"/>
    <w:rsid w:val="00C02350"/>
    <w:rsid w:val="00C02640"/>
    <w:rsid w:val="00C026A2"/>
    <w:rsid w:val="00C026BB"/>
    <w:rsid w:val="00C02A2C"/>
    <w:rsid w:val="00C034CF"/>
    <w:rsid w:val="00C0371B"/>
    <w:rsid w:val="00C03A76"/>
    <w:rsid w:val="00C03E7F"/>
    <w:rsid w:val="00C040AF"/>
    <w:rsid w:val="00C042C7"/>
    <w:rsid w:val="00C04613"/>
    <w:rsid w:val="00C0479B"/>
    <w:rsid w:val="00C04DB5"/>
    <w:rsid w:val="00C05661"/>
    <w:rsid w:val="00C063CD"/>
    <w:rsid w:val="00C066ED"/>
    <w:rsid w:val="00C06AF4"/>
    <w:rsid w:val="00C06EA4"/>
    <w:rsid w:val="00C0707A"/>
    <w:rsid w:val="00C07710"/>
    <w:rsid w:val="00C102BA"/>
    <w:rsid w:val="00C10577"/>
    <w:rsid w:val="00C106DC"/>
    <w:rsid w:val="00C108E8"/>
    <w:rsid w:val="00C10919"/>
    <w:rsid w:val="00C10938"/>
    <w:rsid w:val="00C10F49"/>
    <w:rsid w:val="00C11A61"/>
    <w:rsid w:val="00C11A7E"/>
    <w:rsid w:val="00C11AA9"/>
    <w:rsid w:val="00C11AFB"/>
    <w:rsid w:val="00C11F67"/>
    <w:rsid w:val="00C129BB"/>
    <w:rsid w:val="00C12BD4"/>
    <w:rsid w:val="00C12C6A"/>
    <w:rsid w:val="00C12E4D"/>
    <w:rsid w:val="00C1324D"/>
    <w:rsid w:val="00C13756"/>
    <w:rsid w:val="00C13BF0"/>
    <w:rsid w:val="00C13FFA"/>
    <w:rsid w:val="00C140AA"/>
    <w:rsid w:val="00C1462F"/>
    <w:rsid w:val="00C146A9"/>
    <w:rsid w:val="00C146D6"/>
    <w:rsid w:val="00C14A9E"/>
    <w:rsid w:val="00C14B96"/>
    <w:rsid w:val="00C15666"/>
    <w:rsid w:val="00C15D7C"/>
    <w:rsid w:val="00C16277"/>
    <w:rsid w:val="00C16400"/>
    <w:rsid w:val="00C16C8A"/>
    <w:rsid w:val="00C16CA9"/>
    <w:rsid w:val="00C16E29"/>
    <w:rsid w:val="00C1725F"/>
    <w:rsid w:val="00C172C4"/>
    <w:rsid w:val="00C17626"/>
    <w:rsid w:val="00C17E9C"/>
    <w:rsid w:val="00C208C2"/>
    <w:rsid w:val="00C20FD0"/>
    <w:rsid w:val="00C215EA"/>
    <w:rsid w:val="00C22042"/>
    <w:rsid w:val="00C22045"/>
    <w:rsid w:val="00C2209E"/>
    <w:rsid w:val="00C221F7"/>
    <w:rsid w:val="00C22809"/>
    <w:rsid w:val="00C22992"/>
    <w:rsid w:val="00C2338B"/>
    <w:rsid w:val="00C233C7"/>
    <w:rsid w:val="00C23659"/>
    <w:rsid w:val="00C23DF6"/>
    <w:rsid w:val="00C242DA"/>
    <w:rsid w:val="00C24820"/>
    <w:rsid w:val="00C24A59"/>
    <w:rsid w:val="00C24B79"/>
    <w:rsid w:val="00C24C43"/>
    <w:rsid w:val="00C24F4D"/>
    <w:rsid w:val="00C24F6D"/>
    <w:rsid w:val="00C2503C"/>
    <w:rsid w:val="00C250C5"/>
    <w:rsid w:val="00C252EF"/>
    <w:rsid w:val="00C258FB"/>
    <w:rsid w:val="00C25B7F"/>
    <w:rsid w:val="00C25D75"/>
    <w:rsid w:val="00C25F68"/>
    <w:rsid w:val="00C25F6C"/>
    <w:rsid w:val="00C26254"/>
    <w:rsid w:val="00C2643C"/>
    <w:rsid w:val="00C267E5"/>
    <w:rsid w:val="00C26B16"/>
    <w:rsid w:val="00C26B59"/>
    <w:rsid w:val="00C27B9C"/>
    <w:rsid w:val="00C303A6"/>
    <w:rsid w:val="00C3044B"/>
    <w:rsid w:val="00C3074B"/>
    <w:rsid w:val="00C3098D"/>
    <w:rsid w:val="00C30C21"/>
    <w:rsid w:val="00C311EE"/>
    <w:rsid w:val="00C314AA"/>
    <w:rsid w:val="00C31CEF"/>
    <w:rsid w:val="00C31EDB"/>
    <w:rsid w:val="00C31EFF"/>
    <w:rsid w:val="00C32B84"/>
    <w:rsid w:val="00C32BEA"/>
    <w:rsid w:val="00C33214"/>
    <w:rsid w:val="00C33BDD"/>
    <w:rsid w:val="00C340D2"/>
    <w:rsid w:val="00C34170"/>
    <w:rsid w:val="00C34272"/>
    <w:rsid w:val="00C343FD"/>
    <w:rsid w:val="00C345FD"/>
    <w:rsid w:val="00C3498F"/>
    <w:rsid w:val="00C35388"/>
    <w:rsid w:val="00C35851"/>
    <w:rsid w:val="00C35A34"/>
    <w:rsid w:val="00C35EB0"/>
    <w:rsid w:val="00C36386"/>
    <w:rsid w:val="00C363C5"/>
    <w:rsid w:val="00C3659F"/>
    <w:rsid w:val="00C36891"/>
    <w:rsid w:val="00C37D4B"/>
    <w:rsid w:val="00C37E07"/>
    <w:rsid w:val="00C37E38"/>
    <w:rsid w:val="00C401AD"/>
    <w:rsid w:val="00C4078C"/>
    <w:rsid w:val="00C4086B"/>
    <w:rsid w:val="00C40A09"/>
    <w:rsid w:val="00C40CAC"/>
    <w:rsid w:val="00C414AA"/>
    <w:rsid w:val="00C41817"/>
    <w:rsid w:val="00C42006"/>
    <w:rsid w:val="00C422BA"/>
    <w:rsid w:val="00C42601"/>
    <w:rsid w:val="00C428E1"/>
    <w:rsid w:val="00C429DD"/>
    <w:rsid w:val="00C42A22"/>
    <w:rsid w:val="00C42AA4"/>
    <w:rsid w:val="00C42B32"/>
    <w:rsid w:val="00C42F1F"/>
    <w:rsid w:val="00C431B0"/>
    <w:rsid w:val="00C43D75"/>
    <w:rsid w:val="00C440BF"/>
    <w:rsid w:val="00C446A5"/>
    <w:rsid w:val="00C447AF"/>
    <w:rsid w:val="00C4480B"/>
    <w:rsid w:val="00C44847"/>
    <w:rsid w:val="00C44DB5"/>
    <w:rsid w:val="00C4540F"/>
    <w:rsid w:val="00C45434"/>
    <w:rsid w:val="00C45636"/>
    <w:rsid w:val="00C45743"/>
    <w:rsid w:val="00C4610A"/>
    <w:rsid w:val="00C4626C"/>
    <w:rsid w:val="00C46E1B"/>
    <w:rsid w:val="00C47212"/>
    <w:rsid w:val="00C47289"/>
    <w:rsid w:val="00C4743F"/>
    <w:rsid w:val="00C4747F"/>
    <w:rsid w:val="00C47D1A"/>
    <w:rsid w:val="00C506C0"/>
    <w:rsid w:val="00C50CD5"/>
    <w:rsid w:val="00C50E30"/>
    <w:rsid w:val="00C510CC"/>
    <w:rsid w:val="00C51675"/>
    <w:rsid w:val="00C51C3B"/>
    <w:rsid w:val="00C5219A"/>
    <w:rsid w:val="00C52316"/>
    <w:rsid w:val="00C523C3"/>
    <w:rsid w:val="00C524AD"/>
    <w:rsid w:val="00C525D4"/>
    <w:rsid w:val="00C52D45"/>
    <w:rsid w:val="00C53AD6"/>
    <w:rsid w:val="00C53E31"/>
    <w:rsid w:val="00C54297"/>
    <w:rsid w:val="00C544D1"/>
    <w:rsid w:val="00C5480A"/>
    <w:rsid w:val="00C549AA"/>
    <w:rsid w:val="00C54B16"/>
    <w:rsid w:val="00C54B7B"/>
    <w:rsid w:val="00C54D62"/>
    <w:rsid w:val="00C558A4"/>
    <w:rsid w:val="00C5593D"/>
    <w:rsid w:val="00C55BAF"/>
    <w:rsid w:val="00C55CEE"/>
    <w:rsid w:val="00C55FA8"/>
    <w:rsid w:val="00C564E9"/>
    <w:rsid w:val="00C56569"/>
    <w:rsid w:val="00C56969"/>
    <w:rsid w:val="00C56D4F"/>
    <w:rsid w:val="00C56E01"/>
    <w:rsid w:val="00C5703F"/>
    <w:rsid w:val="00C57072"/>
    <w:rsid w:val="00C573D5"/>
    <w:rsid w:val="00C574D2"/>
    <w:rsid w:val="00C5781B"/>
    <w:rsid w:val="00C5799B"/>
    <w:rsid w:val="00C57A27"/>
    <w:rsid w:val="00C57B38"/>
    <w:rsid w:val="00C57C0A"/>
    <w:rsid w:val="00C601A9"/>
    <w:rsid w:val="00C605F6"/>
    <w:rsid w:val="00C60A17"/>
    <w:rsid w:val="00C60AEB"/>
    <w:rsid w:val="00C60B59"/>
    <w:rsid w:val="00C60CE1"/>
    <w:rsid w:val="00C60D84"/>
    <w:rsid w:val="00C6181D"/>
    <w:rsid w:val="00C61921"/>
    <w:rsid w:val="00C62160"/>
    <w:rsid w:val="00C621A4"/>
    <w:rsid w:val="00C626D6"/>
    <w:rsid w:val="00C6276D"/>
    <w:rsid w:val="00C62DAD"/>
    <w:rsid w:val="00C62F1F"/>
    <w:rsid w:val="00C63012"/>
    <w:rsid w:val="00C63288"/>
    <w:rsid w:val="00C6380B"/>
    <w:rsid w:val="00C63A12"/>
    <w:rsid w:val="00C63A41"/>
    <w:rsid w:val="00C63C92"/>
    <w:rsid w:val="00C64398"/>
    <w:rsid w:val="00C6464B"/>
    <w:rsid w:val="00C648B3"/>
    <w:rsid w:val="00C64A5E"/>
    <w:rsid w:val="00C64D01"/>
    <w:rsid w:val="00C64E3A"/>
    <w:rsid w:val="00C65669"/>
    <w:rsid w:val="00C660BF"/>
    <w:rsid w:val="00C66150"/>
    <w:rsid w:val="00C66236"/>
    <w:rsid w:val="00C66320"/>
    <w:rsid w:val="00C66B00"/>
    <w:rsid w:val="00C66F34"/>
    <w:rsid w:val="00C66FF0"/>
    <w:rsid w:val="00C67206"/>
    <w:rsid w:val="00C67216"/>
    <w:rsid w:val="00C674D8"/>
    <w:rsid w:val="00C67720"/>
    <w:rsid w:val="00C6781C"/>
    <w:rsid w:val="00C67A77"/>
    <w:rsid w:val="00C67AA7"/>
    <w:rsid w:val="00C700D9"/>
    <w:rsid w:val="00C70469"/>
    <w:rsid w:val="00C70A5D"/>
    <w:rsid w:val="00C70CBA"/>
    <w:rsid w:val="00C71191"/>
    <w:rsid w:val="00C7137A"/>
    <w:rsid w:val="00C7158E"/>
    <w:rsid w:val="00C717EE"/>
    <w:rsid w:val="00C71C61"/>
    <w:rsid w:val="00C71EEA"/>
    <w:rsid w:val="00C72A94"/>
    <w:rsid w:val="00C72BFC"/>
    <w:rsid w:val="00C72C89"/>
    <w:rsid w:val="00C7318A"/>
    <w:rsid w:val="00C731A7"/>
    <w:rsid w:val="00C731D2"/>
    <w:rsid w:val="00C73379"/>
    <w:rsid w:val="00C7353B"/>
    <w:rsid w:val="00C7419B"/>
    <w:rsid w:val="00C748A7"/>
    <w:rsid w:val="00C749AB"/>
    <w:rsid w:val="00C74C91"/>
    <w:rsid w:val="00C74D66"/>
    <w:rsid w:val="00C7523C"/>
    <w:rsid w:val="00C75498"/>
    <w:rsid w:val="00C754D5"/>
    <w:rsid w:val="00C757DB"/>
    <w:rsid w:val="00C75B73"/>
    <w:rsid w:val="00C75E78"/>
    <w:rsid w:val="00C76232"/>
    <w:rsid w:val="00C7627A"/>
    <w:rsid w:val="00C7632A"/>
    <w:rsid w:val="00C76644"/>
    <w:rsid w:val="00C7688A"/>
    <w:rsid w:val="00C76985"/>
    <w:rsid w:val="00C76F6E"/>
    <w:rsid w:val="00C775A1"/>
    <w:rsid w:val="00C77790"/>
    <w:rsid w:val="00C77AA8"/>
    <w:rsid w:val="00C77D33"/>
    <w:rsid w:val="00C77F98"/>
    <w:rsid w:val="00C80093"/>
    <w:rsid w:val="00C80673"/>
    <w:rsid w:val="00C808B3"/>
    <w:rsid w:val="00C80B47"/>
    <w:rsid w:val="00C80CFF"/>
    <w:rsid w:val="00C80E67"/>
    <w:rsid w:val="00C80FD1"/>
    <w:rsid w:val="00C8166B"/>
    <w:rsid w:val="00C81A7D"/>
    <w:rsid w:val="00C81C7E"/>
    <w:rsid w:val="00C820AB"/>
    <w:rsid w:val="00C824B1"/>
    <w:rsid w:val="00C82754"/>
    <w:rsid w:val="00C8279F"/>
    <w:rsid w:val="00C82C97"/>
    <w:rsid w:val="00C83172"/>
    <w:rsid w:val="00C832CC"/>
    <w:rsid w:val="00C83441"/>
    <w:rsid w:val="00C83517"/>
    <w:rsid w:val="00C83549"/>
    <w:rsid w:val="00C83767"/>
    <w:rsid w:val="00C83B83"/>
    <w:rsid w:val="00C84011"/>
    <w:rsid w:val="00C8427F"/>
    <w:rsid w:val="00C8429C"/>
    <w:rsid w:val="00C84689"/>
    <w:rsid w:val="00C84B90"/>
    <w:rsid w:val="00C85626"/>
    <w:rsid w:val="00C85660"/>
    <w:rsid w:val="00C86301"/>
    <w:rsid w:val="00C863AE"/>
    <w:rsid w:val="00C868C7"/>
    <w:rsid w:val="00C86CE0"/>
    <w:rsid w:val="00C87539"/>
    <w:rsid w:val="00C87A00"/>
    <w:rsid w:val="00C9072A"/>
    <w:rsid w:val="00C913CC"/>
    <w:rsid w:val="00C9149D"/>
    <w:rsid w:val="00C915AC"/>
    <w:rsid w:val="00C9167C"/>
    <w:rsid w:val="00C91852"/>
    <w:rsid w:val="00C91905"/>
    <w:rsid w:val="00C91AB4"/>
    <w:rsid w:val="00C91E77"/>
    <w:rsid w:val="00C91ED3"/>
    <w:rsid w:val="00C92C1D"/>
    <w:rsid w:val="00C9303B"/>
    <w:rsid w:val="00C931BC"/>
    <w:rsid w:val="00C93520"/>
    <w:rsid w:val="00C93645"/>
    <w:rsid w:val="00C93973"/>
    <w:rsid w:val="00C93C58"/>
    <w:rsid w:val="00C94675"/>
    <w:rsid w:val="00C948C1"/>
    <w:rsid w:val="00C94FAF"/>
    <w:rsid w:val="00C951F3"/>
    <w:rsid w:val="00C951F7"/>
    <w:rsid w:val="00C95220"/>
    <w:rsid w:val="00C956DD"/>
    <w:rsid w:val="00C95880"/>
    <w:rsid w:val="00C9627A"/>
    <w:rsid w:val="00C967B5"/>
    <w:rsid w:val="00C96F77"/>
    <w:rsid w:val="00C97144"/>
    <w:rsid w:val="00C97567"/>
    <w:rsid w:val="00C976B6"/>
    <w:rsid w:val="00C9787F"/>
    <w:rsid w:val="00C97B35"/>
    <w:rsid w:val="00C97DAC"/>
    <w:rsid w:val="00C97E02"/>
    <w:rsid w:val="00CA01BA"/>
    <w:rsid w:val="00CA0209"/>
    <w:rsid w:val="00CA0532"/>
    <w:rsid w:val="00CA0554"/>
    <w:rsid w:val="00CA0777"/>
    <w:rsid w:val="00CA1119"/>
    <w:rsid w:val="00CA1544"/>
    <w:rsid w:val="00CA15B7"/>
    <w:rsid w:val="00CA1626"/>
    <w:rsid w:val="00CA1DBF"/>
    <w:rsid w:val="00CA1FF6"/>
    <w:rsid w:val="00CA2C4F"/>
    <w:rsid w:val="00CA2F17"/>
    <w:rsid w:val="00CA398A"/>
    <w:rsid w:val="00CA3C96"/>
    <w:rsid w:val="00CA3DDE"/>
    <w:rsid w:val="00CA41CE"/>
    <w:rsid w:val="00CA45DC"/>
    <w:rsid w:val="00CA4C4C"/>
    <w:rsid w:val="00CA4EDD"/>
    <w:rsid w:val="00CA526E"/>
    <w:rsid w:val="00CA55AF"/>
    <w:rsid w:val="00CA5A46"/>
    <w:rsid w:val="00CA5AF8"/>
    <w:rsid w:val="00CA5BFC"/>
    <w:rsid w:val="00CA5C07"/>
    <w:rsid w:val="00CA61DE"/>
    <w:rsid w:val="00CA6406"/>
    <w:rsid w:val="00CA65E1"/>
    <w:rsid w:val="00CA6947"/>
    <w:rsid w:val="00CA6A58"/>
    <w:rsid w:val="00CA6B71"/>
    <w:rsid w:val="00CA7215"/>
    <w:rsid w:val="00CA7DF0"/>
    <w:rsid w:val="00CA7E04"/>
    <w:rsid w:val="00CB1003"/>
    <w:rsid w:val="00CB1058"/>
    <w:rsid w:val="00CB119F"/>
    <w:rsid w:val="00CB12B5"/>
    <w:rsid w:val="00CB165B"/>
    <w:rsid w:val="00CB1BA6"/>
    <w:rsid w:val="00CB1E05"/>
    <w:rsid w:val="00CB2559"/>
    <w:rsid w:val="00CB2888"/>
    <w:rsid w:val="00CB293E"/>
    <w:rsid w:val="00CB2AE5"/>
    <w:rsid w:val="00CB2B94"/>
    <w:rsid w:val="00CB2F26"/>
    <w:rsid w:val="00CB2FA0"/>
    <w:rsid w:val="00CB3070"/>
    <w:rsid w:val="00CB3DF4"/>
    <w:rsid w:val="00CB432D"/>
    <w:rsid w:val="00CB4B62"/>
    <w:rsid w:val="00CB4F80"/>
    <w:rsid w:val="00CB5238"/>
    <w:rsid w:val="00CB5532"/>
    <w:rsid w:val="00CB628B"/>
    <w:rsid w:val="00CB66AB"/>
    <w:rsid w:val="00CB6B46"/>
    <w:rsid w:val="00CB6D82"/>
    <w:rsid w:val="00CB6F2E"/>
    <w:rsid w:val="00CB7BDC"/>
    <w:rsid w:val="00CB7DEA"/>
    <w:rsid w:val="00CB7F3A"/>
    <w:rsid w:val="00CC0290"/>
    <w:rsid w:val="00CC06A6"/>
    <w:rsid w:val="00CC0765"/>
    <w:rsid w:val="00CC0808"/>
    <w:rsid w:val="00CC0940"/>
    <w:rsid w:val="00CC0F62"/>
    <w:rsid w:val="00CC1006"/>
    <w:rsid w:val="00CC1144"/>
    <w:rsid w:val="00CC118F"/>
    <w:rsid w:val="00CC11F1"/>
    <w:rsid w:val="00CC12B7"/>
    <w:rsid w:val="00CC1875"/>
    <w:rsid w:val="00CC1B5B"/>
    <w:rsid w:val="00CC1D16"/>
    <w:rsid w:val="00CC3479"/>
    <w:rsid w:val="00CC35EE"/>
    <w:rsid w:val="00CC3CA0"/>
    <w:rsid w:val="00CC42DE"/>
    <w:rsid w:val="00CC462C"/>
    <w:rsid w:val="00CC4831"/>
    <w:rsid w:val="00CC4A2E"/>
    <w:rsid w:val="00CC4A5F"/>
    <w:rsid w:val="00CC4E0F"/>
    <w:rsid w:val="00CC4E50"/>
    <w:rsid w:val="00CC5040"/>
    <w:rsid w:val="00CC5113"/>
    <w:rsid w:val="00CC511C"/>
    <w:rsid w:val="00CC5688"/>
    <w:rsid w:val="00CC5AC9"/>
    <w:rsid w:val="00CC5B3A"/>
    <w:rsid w:val="00CC5C6E"/>
    <w:rsid w:val="00CC5DA0"/>
    <w:rsid w:val="00CC5DFB"/>
    <w:rsid w:val="00CC6665"/>
    <w:rsid w:val="00CC668C"/>
    <w:rsid w:val="00CC66E7"/>
    <w:rsid w:val="00CC676E"/>
    <w:rsid w:val="00CC68E0"/>
    <w:rsid w:val="00CC699F"/>
    <w:rsid w:val="00CC69EC"/>
    <w:rsid w:val="00CC6A9F"/>
    <w:rsid w:val="00CC6F53"/>
    <w:rsid w:val="00CC707D"/>
    <w:rsid w:val="00CC71E8"/>
    <w:rsid w:val="00CC75D2"/>
    <w:rsid w:val="00CC7B5B"/>
    <w:rsid w:val="00CC7DE8"/>
    <w:rsid w:val="00CC7E41"/>
    <w:rsid w:val="00CD1135"/>
    <w:rsid w:val="00CD1159"/>
    <w:rsid w:val="00CD1367"/>
    <w:rsid w:val="00CD140A"/>
    <w:rsid w:val="00CD158A"/>
    <w:rsid w:val="00CD1799"/>
    <w:rsid w:val="00CD1871"/>
    <w:rsid w:val="00CD1882"/>
    <w:rsid w:val="00CD1CF2"/>
    <w:rsid w:val="00CD2211"/>
    <w:rsid w:val="00CD2402"/>
    <w:rsid w:val="00CD2791"/>
    <w:rsid w:val="00CD2BDA"/>
    <w:rsid w:val="00CD3179"/>
    <w:rsid w:val="00CD32FE"/>
    <w:rsid w:val="00CD369B"/>
    <w:rsid w:val="00CD3904"/>
    <w:rsid w:val="00CD3A20"/>
    <w:rsid w:val="00CD3A6A"/>
    <w:rsid w:val="00CD3CEB"/>
    <w:rsid w:val="00CD3D53"/>
    <w:rsid w:val="00CD4163"/>
    <w:rsid w:val="00CD440B"/>
    <w:rsid w:val="00CD4661"/>
    <w:rsid w:val="00CD4899"/>
    <w:rsid w:val="00CD4B6E"/>
    <w:rsid w:val="00CD4FB0"/>
    <w:rsid w:val="00CD5090"/>
    <w:rsid w:val="00CD539D"/>
    <w:rsid w:val="00CD598D"/>
    <w:rsid w:val="00CD5CCC"/>
    <w:rsid w:val="00CD5E2C"/>
    <w:rsid w:val="00CD6D13"/>
    <w:rsid w:val="00CD7159"/>
    <w:rsid w:val="00CD73F6"/>
    <w:rsid w:val="00CD77B3"/>
    <w:rsid w:val="00CD7C69"/>
    <w:rsid w:val="00CD7D40"/>
    <w:rsid w:val="00CE017B"/>
    <w:rsid w:val="00CE04A3"/>
    <w:rsid w:val="00CE0521"/>
    <w:rsid w:val="00CE0B4E"/>
    <w:rsid w:val="00CE0CD8"/>
    <w:rsid w:val="00CE1093"/>
    <w:rsid w:val="00CE1325"/>
    <w:rsid w:val="00CE15D4"/>
    <w:rsid w:val="00CE1E7F"/>
    <w:rsid w:val="00CE1F6F"/>
    <w:rsid w:val="00CE1FA0"/>
    <w:rsid w:val="00CE2994"/>
    <w:rsid w:val="00CE2DEF"/>
    <w:rsid w:val="00CE30FC"/>
    <w:rsid w:val="00CE3112"/>
    <w:rsid w:val="00CE4423"/>
    <w:rsid w:val="00CE4D83"/>
    <w:rsid w:val="00CE4F4D"/>
    <w:rsid w:val="00CE5DC4"/>
    <w:rsid w:val="00CE5DCC"/>
    <w:rsid w:val="00CE6DE0"/>
    <w:rsid w:val="00CE75AB"/>
    <w:rsid w:val="00CE7667"/>
    <w:rsid w:val="00CE7939"/>
    <w:rsid w:val="00CE7AF0"/>
    <w:rsid w:val="00CF0057"/>
    <w:rsid w:val="00CF015E"/>
    <w:rsid w:val="00CF0160"/>
    <w:rsid w:val="00CF100D"/>
    <w:rsid w:val="00CF10B9"/>
    <w:rsid w:val="00CF13DF"/>
    <w:rsid w:val="00CF1D3D"/>
    <w:rsid w:val="00CF212E"/>
    <w:rsid w:val="00CF2966"/>
    <w:rsid w:val="00CF2971"/>
    <w:rsid w:val="00CF29E7"/>
    <w:rsid w:val="00CF2B18"/>
    <w:rsid w:val="00CF2D09"/>
    <w:rsid w:val="00CF3136"/>
    <w:rsid w:val="00CF3838"/>
    <w:rsid w:val="00CF397A"/>
    <w:rsid w:val="00CF3BAC"/>
    <w:rsid w:val="00CF57BC"/>
    <w:rsid w:val="00CF5F66"/>
    <w:rsid w:val="00CF61C8"/>
    <w:rsid w:val="00CF6331"/>
    <w:rsid w:val="00CF66EE"/>
    <w:rsid w:val="00CF6A9D"/>
    <w:rsid w:val="00CF6C65"/>
    <w:rsid w:val="00CF6F9B"/>
    <w:rsid w:val="00CF71F3"/>
    <w:rsid w:val="00CF74AD"/>
    <w:rsid w:val="00CF7647"/>
    <w:rsid w:val="00CF7791"/>
    <w:rsid w:val="00CF7E8D"/>
    <w:rsid w:val="00D00245"/>
    <w:rsid w:val="00D00851"/>
    <w:rsid w:val="00D00855"/>
    <w:rsid w:val="00D00FAF"/>
    <w:rsid w:val="00D01B5A"/>
    <w:rsid w:val="00D029E0"/>
    <w:rsid w:val="00D02A19"/>
    <w:rsid w:val="00D02E61"/>
    <w:rsid w:val="00D03C73"/>
    <w:rsid w:val="00D04137"/>
    <w:rsid w:val="00D043E5"/>
    <w:rsid w:val="00D0496D"/>
    <w:rsid w:val="00D04D6A"/>
    <w:rsid w:val="00D04DF4"/>
    <w:rsid w:val="00D051D9"/>
    <w:rsid w:val="00D051FF"/>
    <w:rsid w:val="00D05213"/>
    <w:rsid w:val="00D05816"/>
    <w:rsid w:val="00D05822"/>
    <w:rsid w:val="00D05B1A"/>
    <w:rsid w:val="00D05F11"/>
    <w:rsid w:val="00D05F47"/>
    <w:rsid w:val="00D062EA"/>
    <w:rsid w:val="00D06464"/>
    <w:rsid w:val="00D06539"/>
    <w:rsid w:val="00D06562"/>
    <w:rsid w:val="00D066B0"/>
    <w:rsid w:val="00D066BD"/>
    <w:rsid w:val="00D067C1"/>
    <w:rsid w:val="00D06A08"/>
    <w:rsid w:val="00D06BC4"/>
    <w:rsid w:val="00D06DD6"/>
    <w:rsid w:val="00D06F61"/>
    <w:rsid w:val="00D0730D"/>
    <w:rsid w:val="00D07777"/>
    <w:rsid w:val="00D07791"/>
    <w:rsid w:val="00D0798A"/>
    <w:rsid w:val="00D07A27"/>
    <w:rsid w:val="00D07D29"/>
    <w:rsid w:val="00D07D83"/>
    <w:rsid w:val="00D100ED"/>
    <w:rsid w:val="00D102AA"/>
    <w:rsid w:val="00D10317"/>
    <w:rsid w:val="00D10761"/>
    <w:rsid w:val="00D107B5"/>
    <w:rsid w:val="00D10868"/>
    <w:rsid w:val="00D10974"/>
    <w:rsid w:val="00D10ADC"/>
    <w:rsid w:val="00D10FBD"/>
    <w:rsid w:val="00D1137F"/>
    <w:rsid w:val="00D1196D"/>
    <w:rsid w:val="00D11C8B"/>
    <w:rsid w:val="00D1203D"/>
    <w:rsid w:val="00D120EF"/>
    <w:rsid w:val="00D12249"/>
    <w:rsid w:val="00D122C5"/>
    <w:rsid w:val="00D12735"/>
    <w:rsid w:val="00D12BA7"/>
    <w:rsid w:val="00D12E1A"/>
    <w:rsid w:val="00D12E77"/>
    <w:rsid w:val="00D132D4"/>
    <w:rsid w:val="00D13C2F"/>
    <w:rsid w:val="00D13D99"/>
    <w:rsid w:val="00D141A1"/>
    <w:rsid w:val="00D1438D"/>
    <w:rsid w:val="00D14616"/>
    <w:rsid w:val="00D147D8"/>
    <w:rsid w:val="00D14F27"/>
    <w:rsid w:val="00D1550A"/>
    <w:rsid w:val="00D15AEC"/>
    <w:rsid w:val="00D15FFD"/>
    <w:rsid w:val="00D162D2"/>
    <w:rsid w:val="00D16346"/>
    <w:rsid w:val="00D169F6"/>
    <w:rsid w:val="00D16CA1"/>
    <w:rsid w:val="00D170A9"/>
    <w:rsid w:val="00D17302"/>
    <w:rsid w:val="00D17582"/>
    <w:rsid w:val="00D1763A"/>
    <w:rsid w:val="00D178A3"/>
    <w:rsid w:val="00D1799C"/>
    <w:rsid w:val="00D17A06"/>
    <w:rsid w:val="00D17F80"/>
    <w:rsid w:val="00D20391"/>
    <w:rsid w:val="00D2066B"/>
    <w:rsid w:val="00D2092A"/>
    <w:rsid w:val="00D20A72"/>
    <w:rsid w:val="00D20D4E"/>
    <w:rsid w:val="00D20EB7"/>
    <w:rsid w:val="00D20FB4"/>
    <w:rsid w:val="00D212E3"/>
    <w:rsid w:val="00D21740"/>
    <w:rsid w:val="00D21906"/>
    <w:rsid w:val="00D21955"/>
    <w:rsid w:val="00D219A2"/>
    <w:rsid w:val="00D21F07"/>
    <w:rsid w:val="00D21F40"/>
    <w:rsid w:val="00D22039"/>
    <w:rsid w:val="00D221E7"/>
    <w:rsid w:val="00D2233C"/>
    <w:rsid w:val="00D22561"/>
    <w:rsid w:val="00D2266A"/>
    <w:rsid w:val="00D226FD"/>
    <w:rsid w:val="00D22ABF"/>
    <w:rsid w:val="00D22AD0"/>
    <w:rsid w:val="00D22CFC"/>
    <w:rsid w:val="00D22EAE"/>
    <w:rsid w:val="00D23128"/>
    <w:rsid w:val="00D2338A"/>
    <w:rsid w:val="00D23F1E"/>
    <w:rsid w:val="00D2418F"/>
    <w:rsid w:val="00D2425D"/>
    <w:rsid w:val="00D24755"/>
    <w:rsid w:val="00D247F4"/>
    <w:rsid w:val="00D2488D"/>
    <w:rsid w:val="00D24C73"/>
    <w:rsid w:val="00D24C9E"/>
    <w:rsid w:val="00D25626"/>
    <w:rsid w:val="00D2597D"/>
    <w:rsid w:val="00D25CFD"/>
    <w:rsid w:val="00D2650D"/>
    <w:rsid w:val="00D269B2"/>
    <w:rsid w:val="00D273E4"/>
    <w:rsid w:val="00D27ECC"/>
    <w:rsid w:val="00D300C0"/>
    <w:rsid w:val="00D30531"/>
    <w:rsid w:val="00D308AA"/>
    <w:rsid w:val="00D309EF"/>
    <w:rsid w:val="00D30AC9"/>
    <w:rsid w:val="00D30F82"/>
    <w:rsid w:val="00D310C3"/>
    <w:rsid w:val="00D31D6B"/>
    <w:rsid w:val="00D328E0"/>
    <w:rsid w:val="00D32B00"/>
    <w:rsid w:val="00D32E9C"/>
    <w:rsid w:val="00D33A2B"/>
    <w:rsid w:val="00D33D23"/>
    <w:rsid w:val="00D342DE"/>
    <w:rsid w:val="00D3449C"/>
    <w:rsid w:val="00D34615"/>
    <w:rsid w:val="00D34A5A"/>
    <w:rsid w:val="00D34E3B"/>
    <w:rsid w:val="00D3519C"/>
    <w:rsid w:val="00D35599"/>
    <w:rsid w:val="00D356F3"/>
    <w:rsid w:val="00D35902"/>
    <w:rsid w:val="00D35D80"/>
    <w:rsid w:val="00D35F55"/>
    <w:rsid w:val="00D365DF"/>
    <w:rsid w:val="00D36AE3"/>
    <w:rsid w:val="00D36BBC"/>
    <w:rsid w:val="00D36DFC"/>
    <w:rsid w:val="00D3730B"/>
    <w:rsid w:val="00D374F4"/>
    <w:rsid w:val="00D3788B"/>
    <w:rsid w:val="00D37A10"/>
    <w:rsid w:val="00D400E0"/>
    <w:rsid w:val="00D40D80"/>
    <w:rsid w:val="00D40FD8"/>
    <w:rsid w:val="00D41129"/>
    <w:rsid w:val="00D4122A"/>
    <w:rsid w:val="00D41360"/>
    <w:rsid w:val="00D416AD"/>
    <w:rsid w:val="00D416E3"/>
    <w:rsid w:val="00D41BAA"/>
    <w:rsid w:val="00D421DB"/>
    <w:rsid w:val="00D42746"/>
    <w:rsid w:val="00D4283D"/>
    <w:rsid w:val="00D42E06"/>
    <w:rsid w:val="00D42E87"/>
    <w:rsid w:val="00D42EAC"/>
    <w:rsid w:val="00D42ECA"/>
    <w:rsid w:val="00D43272"/>
    <w:rsid w:val="00D436A9"/>
    <w:rsid w:val="00D43792"/>
    <w:rsid w:val="00D438BA"/>
    <w:rsid w:val="00D43C2B"/>
    <w:rsid w:val="00D440A7"/>
    <w:rsid w:val="00D442F6"/>
    <w:rsid w:val="00D44405"/>
    <w:rsid w:val="00D447D8"/>
    <w:rsid w:val="00D44B0A"/>
    <w:rsid w:val="00D44B30"/>
    <w:rsid w:val="00D44C15"/>
    <w:rsid w:val="00D44D25"/>
    <w:rsid w:val="00D44D4A"/>
    <w:rsid w:val="00D45222"/>
    <w:rsid w:val="00D45525"/>
    <w:rsid w:val="00D45628"/>
    <w:rsid w:val="00D45728"/>
    <w:rsid w:val="00D45899"/>
    <w:rsid w:val="00D45ED9"/>
    <w:rsid w:val="00D460FE"/>
    <w:rsid w:val="00D4620F"/>
    <w:rsid w:val="00D464E6"/>
    <w:rsid w:val="00D46C1D"/>
    <w:rsid w:val="00D46DFC"/>
    <w:rsid w:val="00D46FA5"/>
    <w:rsid w:val="00D46FBA"/>
    <w:rsid w:val="00D47087"/>
    <w:rsid w:val="00D470C0"/>
    <w:rsid w:val="00D470DF"/>
    <w:rsid w:val="00D47133"/>
    <w:rsid w:val="00D471B1"/>
    <w:rsid w:val="00D47428"/>
    <w:rsid w:val="00D47CF6"/>
    <w:rsid w:val="00D501B4"/>
    <w:rsid w:val="00D50321"/>
    <w:rsid w:val="00D5050A"/>
    <w:rsid w:val="00D50841"/>
    <w:rsid w:val="00D50D8F"/>
    <w:rsid w:val="00D50EC4"/>
    <w:rsid w:val="00D50F79"/>
    <w:rsid w:val="00D51058"/>
    <w:rsid w:val="00D51330"/>
    <w:rsid w:val="00D51C8E"/>
    <w:rsid w:val="00D5245F"/>
    <w:rsid w:val="00D524A3"/>
    <w:rsid w:val="00D52549"/>
    <w:rsid w:val="00D527D6"/>
    <w:rsid w:val="00D52E45"/>
    <w:rsid w:val="00D5349B"/>
    <w:rsid w:val="00D535A2"/>
    <w:rsid w:val="00D53694"/>
    <w:rsid w:val="00D53D07"/>
    <w:rsid w:val="00D53D7B"/>
    <w:rsid w:val="00D54198"/>
    <w:rsid w:val="00D54DCE"/>
    <w:rsid w:val="00D54F43"/>
    <w:rsid w:val="00D5502E"/>
    <w:rsid w:val="00D551DF"/>
    <w:rsid w:val="00D552C6"/>
    <w:rsid w:val="00D553C1"/>
    <w:rsid w:val="00D557A6"/>
    <w:rsid w:val="00D55937"/>
    <w:rsid w:val="00D562F5"/>
    <w:rsid w:val="00D562FF"/>
    <w:rsid w:val="00D56C8E"/>
    <w:rsid w:val="00D5700C"/>
    <w:rsid w:val="00D571A0"/>
    <w:rsid w:val="00D57366"/>
    <w:rsid w:val="00D5749E"/>
    <w:rsid w:val="00D57799"/>
    <w:rsid w:val="00D57B5F"/>
    <w:rsid w:val="00D57D45"/>
    <w:rsid w:val="00D6020D"/>
    <w:rsid w:val="00D602AF"/>
    <w:rsid w:val="00D60461"/>
    <w:rsid w:val="00D60582"/>
    <w:rsid w:val="00D6065C"/>
    <w:rsid w:val="00D61121"/>
    <w:rsid w:val="00D612B3"/>
    <w:rsid w:val="00D61D24"/>
    <w:rsid w:val="00D61F50"/>
    <w:rsid w:val="00D621FF"/>
    <w:rsid w:val="00D625DD"/>
    <w:rsid w:val="00D62BC8"/>
    <w:rsid w:val="00D62D9B"/>
    <w:rsid w:val="00D634BB"/>
    <w:rsid w:val="00D63668"/>
    <w:rsid w:val="00D63A16"/>
    <w:rsid w:val="00D63D78"/>
    <w:rsid w:val="00D63F14"/>
    <w:rsid w:val="00D640FD"/>
    <w:rsid w:val="00D64425"/>
    <w:rsid w:val="00D64476"/>
    <w:rsid w:val="00D647FC"/>
    <w:rsid w:val="00D64D9B"/>
    <w:rsid w:val="00D650B2"/>
    <w:rsid w:val="00D6563A"/>
    <w:rsid w:val="00D6567B"/>
    <w:rsid w:val="00D6572F"/>
    <w:rsid w:val="00D65A6C"/>
    <w:rsid w:val="00D65B38"/>
    <w:rsid w:val="00D65B8C"/>
    <w:rsid w:val="00D65F36"/>
    <w:rsid w:val="00D66455"/>
    <w:rsid w:val="00D668AF"/>
    <w:rsid w:val="00D6690B"/>
    <w:rsid w:val="00D66D8C"/>
    <w:rsid w:val="00D675B6"/>
    <w:rsid w:val="00D67780"/>
    <w:rsid w:val="00D67A1C"/>
    <w:rsid w:val="00D67AE9"/>
    <w:rsid w:val="00D67F5F"/>
    <w:rsid w:val="00D70012"/>
    <w:rsid w:val="00D70225"/>
    <w:rsid w:val="00D704DE"/>
    <w:rsid w:val="00D70578"/>
    <w:rsid w:val="00D705DA"/>
    <w:rsid w:val="00D70CC0"/>
    <w:rsid w:val="00D71264"/>
    <w:rsid w:val="00D71489"/>
    <w:rsid w:val="00D7166F"/>
    <w:rsid w:val="00D719E9"/>
    <w:rsid w:val="00D71AAF"/>
    <w:rsid w:val="00D71B15"/>
    <w:rsid w:val="00D71C4B"/>
    <w:rsid w:val="00D71D04"/>
    <w:rsid w:val="00D723CB"/>
    <w:rsid w:val="00D72701"/>
    <w:rsid w:val="00D72721"/>
    <w:rsid w:val="00D72776"/>
    <w:rsid w:val="00D72B35"/>
    <w:rsid w:val="00D72B7E"/>
    <w:rsid w:val="00D72BE7"/>
    <w:rsid w:val="00D72FA7"/>
    <w:rsid w:val="00D7300D"/>
    <w:rsid w:val="00D7311F"/>
    <w:rsid w:val="00D73B55"/>
    <w:rsid w:val="00D73BD0"/>
    <w:rsid w:val="00D74374"/>
    <w:rsid w:val="00D74688"/>
    <w:rsid w:val="00D74892"/>
    <w:rsid w:val="00D749D9"/>
    <w:rsid w:val="00D74BD1"/>
    <w:rsid w:val="00D75330"/>
    <w:rsid w:val="00D7537E"/>
    <w:rsid w:val="00D757EE"/>
    <w:rsid w:val="00D75D15"/>
    <w:rsid w:val="00D7630A"/>
    <w:rsid w:val="00D7671D"/>
    <w:rsid w:val="00D76A04"/>
    <w:rsid w:val="00D76E08"/>
    <w:rsid w:val="00D77174"/>
    <w:rsid w:val="00D77495"/>
    <w:rsid w:val="00D774B9"/>
    <w:rsid w:val="00D774C1"/>
    <w:rsid w:val="00D80611"/>
    <w:rsid w:val="00D80BB2"/>
    <w:rsid w:val="00D810A2"/>
    <w:rsid w:val="00D81260"/>
    <w:rsid w:val="00D817E4"/>
    <w:rsid w:val="00D81D37"/>
    <w:rsid w:val="00D81F89"/>
    <w:rsid w:val="00D823A0"/>
    <w:rsid w:val="00D824DF"/>
    <w:rsid w:val="00D8251E"/>
    <w:rsid w:val="00D82A15"/>
    <w:rsid w:val="00D82C20"/>
    <w:rsid w:val="00D82CE1"/>
    <w:rsid w:val="00D82E0D"/>
    <w:rsid w:val="00D83177"/>
    <w:rsid w:val="00D8329D"/>
    <w:rsid w:val="00D83513"/>
    <w:rsid w:val="00D8360B"/>
    <w:rsid w:val="00D836DF"/>
    <w:rsid w:val="00D83DAE"/>
    <w:rsid w:val="00D84143"/>
    <w:rsid w:val="00D845D4"/>
    <w:rsid w:val="00D84D56"/>
    <w:rsid w:val="00D84EBE"/>
    <w:rsid w:val="00D85315"/>
    <w:rsid w:val="00D856F5"/>
    <w:rsid w:val="00D85888"/>
    <w:rsid w:val="00D85897"/>
    <w:rsid w:val="00D859EB"/>
    <w:rsid w:val="00D85B33"/>
    <w:rsid w:val="00D86082"/>
    <w:rsid w:val="00D867A5"/>
    <w:rsid w:val="00D86995"/>
    <w:rsid w:val="00D86A7B"/>
    <w:rsid w:val="00D86D58"/>
    <w:rsid w:val="00D86EED"/>
    <w:rsid w:val="00D87363"/>
    <w:rsid w:val="00D87384"/>
    <w:rsid w:val="00D87440"/>
    <w:rsid w:val="00D87948"/>
    <w:rsid w:val="00D879C6"/>
    <w:rsid w:val="00D879E7"/>
    <w:rsid w:val="00D87BA5"/>
    <w:rsid w:val="00D87FE0"/>
    <w:rsid w:val="00D9016F"/>
    <w:rsid w:val="00D904AE"/>
    <w:rsid w:val="00D9052B"/>
    <w:rsid w:val="00D9068E"/>
    <w:rsid w:val="00D90DAD"/>
    <w:rsid w:val="00D90F84"/>
    <w:rsid w:val="00D9184B"/>
    <w:rsid w:val="00D91A30"/>
    <w:rsid w:val="00D91A97"/>
    <w:rsid w:val="00D91AE7"/>
    <w:rsid w:val="00D92281"/>
    <w:rsid w:val="00D92C9D"/>
    <w:rsid w:val="00D93044"/>
    <w:rsid w:val="00D930F6"/>
    <w:rsid w:val="00D93581"/>
    <w:rsid w:val="00D935EE"/>
    <w:rsid w:val="00D93BA6"/>
    <w:rsid w:val="00D93BC7"/>
    <w:rsid w:val="00D93E6F"/>
    <w:rsid w:val="00D93FE4"/>
    <w:rsid w:val="00D946C1"/>
    <w:rsid w:val="00D947BF"/>
    <w:rsid w:val="00D94895"/>
    <w:rsid w:val="00D94C5F"/>
    <w:rsid w:val="00D94F0F"/>
    <w:rsid w:val="00D951C1"/>
    <w:rsid w:val="00D95552"/>
    <w:rsid w:val="00D95A57"/>
    <w:rsid w:val="00D95A8A"/>
    <w:rsid w:val="00D95BB6"/>
    <w:rsid w:val="00D9669D"/>
    <w:rsid w:val="00D96ACE"/>
    <w:rsid w:val="00D96ACF"/>
    <w:rsid w:val="00D96D3E"/>
    <w:rsid w:val="00DA0241"/>
    <w:rsid w:val="00DA0447"/>
    <w:rsid w:val="00DA07E0"/>
    <w:rsid w:val="00DA0CB9"/>
    <w:rsid w:val="00DA0E1B"/>
    <w:rsid w:val="00DA0E9E"/>
    <w:rsid w:val="00DA0EBB"/>
    <w:rsid w:val="00DA0ECD"/>
    <w:rsid w:val="00DA0FE0"/>
    <w:rsid w:val="00DA1304"/>
    <w:rsid w:val="00DA166E"/>
    <w:rsid w:val="00DA1B38"/>
    <w:rsid w:val="00DA1EB1"/>
    <w:rsid w:val="00DA1F60"/>
    <w:rsid w:val="00DA1FFD"/>
    <w:rsid w:val="00DA207B"/>
    <w:rsid w:val="00DA23D0"/>
    <w:rsid w:val="00DA2993"/>
    <w:rsid w:val="00DA2CF3"/>
    <w:rsid w:val="00DA30BE"/>
    <w:rsid w:val="00DA321E"/>
    <w:rsid w:val="00DA347B"/>
    <w:rsid w:val="00DA3596"/>
    <w:rsid w:val="00DA35A6"/>
    <w:rsid w:val="00DA3D84"/>
    <w:rsid w:val="00DA3EE6"/>
    <w:rsid w:val="00DA3F55"/>
    <w:rsid w:val="00DA4117"/>
    <w:rsid w:val="00DA42FA"/>
    <w:rsid w:val="00DA4A54"/>
    <w:rsid w:val="00DA4D90"/>
    <w:rsid w:val="00DA4E0F"/>
    <w:rsid w:val="00DA4F9E"/>
    <w:rsid w:val="00DA51EC"/>
    <w:rsid w:val="00DA52D8"/>
    <w:rsid w:val="00DA53C6"/>
    <w:rsid w:val="00DA53FF"/>
    <w:rsid w:val="00DA54AA"/>
    <w:rsid w:val="00DA5594"/>
    <w:rsid w:val="00DA5A19"/>
    <w:rsid w:val="00DA5B92"/>
    <w:rsid w:val="00DA5F54"/>
    <w:rsid w:val="00DA60D0"/>
    <w:rsid w:val="00DA64C9"/>
    <w:rsid w:val="00DA6897"/>
    <w:rsid w:val="00DA76D4"/>
    <w:rsid w:val="00DA7E12"/>
    <w:rsid w:val="00DB02F6"/>
    <w:rsid w:val="00DB05DE"/>
    <w:rsid w:val="00DB07A5"/>
    <w:rsid w:val="00DB0A40"/>
    <w:rsid w:val="00DB127A"/>
    <w:rsid w:val="00DB129C"/>
    <w:rsid w:val="00DB1440"/>
    <w:rsid w:val="00DB172B"/>
    <w:rsid w:val="00DB179C"/>
    <w:rsid w:val="00DB1A6E"/>
    <w:rsid w:val="00DB1B05"/>
    <w:rsid w:val="00DB1B9D"/>
    <w:rsid w:val="00DB21B1"/>
    <w:rsid w:val="00DB221C"/>
    <w:rsid w:val="00DB257C"/>
    <w:rsid w:val="00DB2596"/>
    <w:rsid w:val="00DB29A2"/>
    <w:rsid w:val="00DB2AA3"/>
    <w:rsid w:val="00DB2C4E"/>
    <w:rsid w:val="00DB2D38"/>
    <w:rsid w:val="00DB2F6C"/>
    <w:rsid w:val="00DB3083"/>
    <w:rsid w:val="00DB37D9"/>
    <w:rsid w:val="00DB3E3D"/>
    <w:rsid w:val="00DB4AEE"/>
    <w:rsid w:val="00DB4DC1"/>
    <w:rsid w:val="00DB4DEA"/>
    <w:rsid w:val="00DB5122"/>
    <w:rsid w:val="00DB589E"/>
    <w:rsid w:val="00DB5F26"/>
    <w:rsid w:val="00DB630A"/>
    <w:rsid w:val="00DB64D2"/>
    <w:rsid w:val="00DB6761"/>
    <w:rsid w:val="00DB6FBE"/>
    <w:rsid w:val="00DB75EC"/>
    <w:rsid w:val="00DB762F"/>
    <w:rsid w:val="00DB7C1E"/>
    <w:rsid w:val="00DB7FB5"/>
    <w:rsid w:val="00DC02D1"/>
    <w:rsid w:val="00DC0F56"/>
    <w:rsid w:val="00DC11C4"/>
    <w:rsid w:val="00DC1467"/>
    <w:rsid w:val="00DC1907"/>
    <w:rsid w:val="00DC1E5D"/>
    <w:rsid w:val="00DC1FE7"/>
    <w:rsid w:val="00DC2055"/>
    <w:rsid w:val="00DC227A"/>
    <w:rsid w:val="00DC2C1D"/>
    <w:rsid w:val="00DC2CE9"/>
    <w:rsid w:val="00DC2D48"/>
    <w:rsid w:val="00DC2DF6"/>
    <w:rsid w:val="00DC304C"/>
    <w:rsid w:val="00DC38A7"/>
    <w:rsid w:val="00DC3C74"/>
    <w:rsid w:val="00DC3D53"/>
    <w:rsid w:val="00DC4181"/>
    <w:rsid w:val="00DC4195"/>
    <w:rsid w:val="00DC430B"/>
    <w:rsid w:val="00DC4592"/>
    <w:rsid w:val="00DC4A0B"/>
    <w:rsid w:val="00DC4BA5"/>
    <w:rsid w:val="00DC548E"/>
    <w:rsid w:val="00DC578B"/>
    <w:rsid w:val="00DC5D86"/>
    <w:rsid w:val="00DC6560"/>
    <w:rsid w:val="00DC68AE"/>
    <w:rsid w:val="00DC6BE6"/>
    <w:rsid w:val="00DC6C81"/>
    <w:rsid w:val="00DC6D2A"/>
    <w:rsid w:val="00DC6E0A"/>
    <w:rsid w:val="00DC7287"/>
    <w:rsid w:val="00DC728A"/>
    <w:rsid w:val="00DC739E"/>
    <w:rsid w:val="00DC753B"/>
    <w:rsid w:val="00DC75C3"/>
    <w:rsid w:val="00DC772B"/>
    <w:rsid w:val="00DC7A08"/>
    <w:rsid w:val="00DD00B3"/>
    <w:rsid w:val="00DD0101"/>
    <w:rsid w:val="00DD0174"/>
    <w:rsid w:val="00DD017D"/>
    <w:rsid w:val="00DD0780"/>
    <w:rsid w:val="00DD07AB"/>
    <w:rsid w:val="00DD0896"/>
    <w:rsid w:val="00DD09B8"/>
    <w:rsid w:val="00DD0EF4"/>
    <w:rsid w:val="00DD1941"/>
    <w:rsid w:val="00DD1C8A"/>
    <w:rsid w:val="00DD1E34"/>
    <w:rsid w:val="00DD21AA"/>
    <w:rsid w:val="00DD2456"/>
    <w:rsid w:val="00DD29AC"/>
    <w:rsid w:val="00DD29E1"/>
    <w:rsid w:val="00DD2AF9"/>
    <w:rsid w:val="00DD3795"/>
    <w:rsid w:val="00DD3A79"/>
    <w:rsid w:val="00DD3DBF"/>
    <w:rsid w:val="00DD4072"/>
    <w:rsid w:val="00DD4987"/>
    <w:rsid w:val="00DD49FE"/>
    <w:rsid w:val="00DD4AD6"/>
    <w:rsid w:val="00DD4C9E"/>
    <w:rsid w:val="00DD4D4A"/>
    <w:rsid w:val="00DD51A6"/>
    <w:rsid w:val="00DD5556"/>
    <w:rsid w:val="00DD5B16"/>
    <w:rsid w:val="00DD5EEC"/>
    <w:rsid w:val="00DD6848"/>
    <w:rsid w:val="00DD6932"/>
    <w:rsid w:val="00DD6A66"/>
    <w:rsid w:val="00DD6BD8"/>
    <w:rsid w:val="00DD6D13"/>
    <w:rsid w:val="00DD6DE1"/>
    <w:rsid w:val="00DD711E"/>
    <w:rsid w:val="00DD7120"/>
    <w:rsid w:val="00DD7515"/>
    <w:rsid w:val="00DD7698"/>
    <w:rsid w:val="00DD7778"/>
    <w:rsid w:val="00DD7E52"/>
    <w:rsid w:val="00DE027B"/>
    <w:rsid w:val="00DE05FA"/>
    <w:rsid w:val="00DE0832"/>
    <w:rsid w:val="00DE0C42"/>
    <w:rsid w:val="00DE0E62"/>
    <w:rsid w:val="00DE10F9"/>
    <w:rsid w:val="00DE1272"/>
    <w:rsid w:val="00DE12FE"/>
    <w:rsid w:val="00DE138D"/>
    <w:rsid w:val="00DE13AE"/>
    <w:rsid w:val="00DE13CF"/>
    <w:rsid w:val="00DE1426"/>
    <w:rsid w:val="00DE150D"/>
    <w:rsid w:val="00DE1BDB"/>
    <w:rsid w:val="00DE1DEB"/>
    <w:rsid w:val="00DE21F5"/>
    <w:rsid w:val="00DE22C9"/>
    <w:rsid w:val="00DE22CE"/>
    <w:rsid w:val="00DE2483"/>
    <w:rsid w:val="00DE26D0"/>
    <w:rsid w:val="00DE2DCF"/>
    <w:rsid w:val="00DE2E51"/>
    <w:rsid w:val="00DE3432"/>
    <w:rsid w:val="00DE3780"/>
    <w:rsid w:val="00DE3D71"/>
    <w:rsid w:val="00DE3E51"/>
    <w:rsid w:val="00DE3E9A"/>
    <w:rsid w:val="00DE3FF5"/>
    <w:rsid w:val="00DE4231"/>
    <w:rsid w:val="00DE45A6"/>
    <w:rsid w:val="00DE4795"/>
    <w:rsid w:val="00DE4905"/>
    <w:rsid w:val="00DE546C"/>
    <w:rsid w:val="00DE5499"/>
    <w:rsid w:val="00DE55C4"/>
    <w:rsid w:val="00DE58DE"/>
    <w:rsid w:val="00DE59C1"/>
    <w:rsid w:val="00DE5C67"/>
    <w:rsid w:val="00DE64A2"/>
    <w:rsid w:val="00DE6CDD"/>
    <w:rsid w:val="00DE713A"/>
    <w:rsid w:val="00DE73F5"/>
    <w:rsid w:val="00DE7606"/>
    <w:rsid w:val="00DE7791"/>
    <w:rsid w:val="00DE78B5"/>
    <w:rsid w:val="00DE7D4F"/>
    <w:rsid w:val="00DF0073"/>
    <w:rsid w:val="00DF0262"/>
    <w:rsid w:val="00DF02DB"/>
    <w:rsid w:val="00DF09D7"/>
    <w:rsid w:val="00DF0D39"/>
    <w:rsid w:val="00DF0EEE"/>
    <w:rsid w:val="00DF117E"/>
    <w:rsid w:val="00DF1521"/>
    <w:rsid w:val="00DF15D9"/>
    <w:rsid w:val="00DF19B7"/>
    <w:rsid w:val="00DF1BF8"/>
    <w:rsid w:val="00DF21AB"/>
    <w:rsid w:val="00DF22EE"/>
    <w:rsid w:val="00DF2421"/>
    <w:rsid w:val="00DF3278"/>
    <w:rsid w:val="00DF417A"/>
    <w:rsid w:val="00DF4240"/>
    <w:rsid w:val="00DF50D2"/>
    <w:rsid w:val="00DF5246"/>
    <w:rsid w:val="00DF532B"/>
    <w:rsid w:val="00DF5348"/>
    <w:rsid w:val="00DF53D8"/>
    <w:rsid w:val="00DF56C5"/>
    <w:rsid w:val="00DF59CB"/>
    <w:rsid w:val="00DF5C03"/>
    <w:rsid w:val="00DF5CAD"/>
    <w:rsid w:val="00DF5EE5"/>
    <w:rsid w:val="00DF66E9"/>
    <w:rsid w:val="00DF6AF9"/>
    <w:rsid w:val="00DF7001"/>
    <w:rsid w:val="00DF77A0"/>
    <w:rsid w:val="00DF77FE"/>
    <w:rsid w:val="00DF7DCD"/>
    <w:rsid w:val="00DF7FB4"/>
    <w:rsid w:val="00E000C3"/>
    <w:rsid w:val="00E0016A"/>
    <w:rsid w:val="00E00259"/>
    <w:rsid w:val="00E00624"/>
    <w:rsid w:val="00E00B7C"/>
    <w:rsid w:val="00E01466"/>
    <w:rsid w:val="00E015B0"/>
    <w:rsid w:val="00E0178A"/>
    <w:rsid w:val="00E01986"/>
    <w:rsid w:val="00E01ADD"/>
    <w:rsid w:val="00E01B42"/>
    <w:rsid w:val="00E02E6A"/>
    <w:rsid w:val="00E034CB"/>
    <w:rsid w:val="00E035B2"/>
    <w:rsid w:val="00E03666"/>
    <w:rsid w:val="00E036B4"/>
    <w:rsid w:val="00E036ED"/>
    <w:rsid w:val="00E03DEC"/>
    <w:rsid w:val="00E03F0A"/>
    <w:rsid w:val="00E03F9C"/>
    <w:rsid w:val="00E04172"/>
    <w:rsid w:val="00E043EF"/>
    <w:rsid w:val="00E04559"/>
    <w:rsid w:val="00E0564B"/>
    <w:rsid w:val="00E0568B"/>
    <w:rsid w:val="00E059FD"/>
    <w:rsid w:val="00E05BE5"/>
    <w:rsid w:val="00E05C48"/>
    <w:rsid w:val="00E063D4"/>
    <w:rsid w:val="00E0691F"/>
    <w:rsid w:val="00E069C9"/>
    <w:rsid w:val="00E06C98"/>
    <w:rsid w:val="00E06D53"/>
    <w:rsid w:val="00E06D98"/>
    <w:rsid w:val="00E071AE"/>
    <w:rsid w:val="00E0779F"/>
    <w:rsid w:val="00E07957"/>
    <w:rsid w:val="00E07AC5"/>
    <w:rsid w:val="00E100FF"/>
    <w:rsid w:val="00E102AF"/>
    <w:rsid w:val="00E102C3"/>
    <w:rsid w:val="00E103F4"/>
    <w:rsid w:val="00E10BD2"/>
    <w:rsid w:val="00E10F81"/>
    <w:rsid w:val="00E117D4"/>
    <w:rsid w:val="00E1225B"/>
    <w:rsid w:val="00E12A51"/>
    <w:rsid w:val="00E12BE8"/>
    <w:rsid w:val="00E12C24"/>
    <w:rsid w:val="00E13462"/>
    <w:rsid w:val="00E13A35"/>
    <w:rsid w:val="00E13BB7"/>
    <w:rsid w:val="00E143F8"/>
    <w:rsid w:val="00E14424"/>
    <w:rsid w:val="00E15796"/>
    <w:rsid w:val="00E1587E"/>
    <w:rsid w:val="00E15BEC"/>
    <w:rsid w:val="00E164DA"/>
    <w:rsid w:val="00E1668D"/>
    <w:rsid w:val="00E16BC4"/>
    <w:rsid w:val="00E1712D"/>
    <w:rsid w:val="00E17591"/>
    <w:rsid w:val="00E17AD7"/>
    <w:rsid w:val="00E17D92"/>
    <w:rsid w:val="00E17DEB"/>
    <w:rsid w:val="00E208A2"/>
    <w:rsid w:val="00E20910"/>
    <w:rsid w:val="00E21938"/>
    <w:rsid w:val="00E21AEF"/>
    <w:rsid w:val="00E21C60"/>
    <w:rsid w:val="00E22E7C"/>
    <w:rsid w:val="00E22F67"/>
    <w:rsid w:val="00E22FF3"/>
    <w:rsid w:val="00E2333F"/>
    <w:rsid w:val="00E234A7"/>
    <w:rsid w:val="00E235FB"/>
    <w:rsid w:val="00E236E8"/>
    <w:rsid w:val="00E2383A"/>
    <w:rsid w:val="00E23B3A"/>
    <w:rsid w:val="00E245A9"/>
    <w:rsid w:val="00E248ED"/>
    <w:rsid w:val="00E24B69"/>
    <w:rsid w:val="00E25038"/>
    <w:rsid w:val="00E251CD"/>
    <w:rsid w:val="00E25C99"/>
    <w:rsid w:val="00E25CC5"/>
    <w:rsid w:val="00E25EAE"/>
    <w:rsid w:val="00E261D2"/>
    <w:rsid w:val="00E262E3"/>
    <w:rsid w:val="00E263E8"/>
    <w:rsid w:val="00E26C18"/>
    <w:rsid w:val="00E26C64"/>
    <w:rsid w:val="00E26D37"/>
    <w:rsid w:val="00E2722F"/>
    <w:rsid w:val="00E2723C"/>
    <w:rsid w:val="00E27551"/>
    <w:rsid w:val="00E27815"/>
    <w:rsid w:val="00E27B5D"/>
    <w:rsid w:val="00E27DCC"/>
    <w:rsid w:val="00E305FB"/>
    <w:rsid w:val="00E307A0"/>
    <w:rsid w:val="00E307FC"/>
    <w:rsid w:val="00E30C62"/>
    <w:rsid w:val="00E313C3"/>
    <w:rsid w:val="00E3158D"/>
    <w:rsid w:val="00E32CAB"/>
    <w:rsid w:val="00E33112"/>
    <w:rsid w:val="00E3351B"/>
    <w:rsid w:val="00E34248"/>
    <w:rsid w:val="00E3439D"/>
    <w:rsid w:val="00E34499"/>
    <w:rsid w:val="00E34833"/>
    <w:rsid w:val="00E34E13"/>
    <w:rsid w:val="00E34F23"/>
    <w:rsid w:val="00E351A1"/>
    <w:rsid w:val="00E351B0"/>
    <w:rsid w:val="00E3526C"/>
    <w:rsid w:val="00E357F1"/>
    <w:rsid w:val="00E35807"/>
    <w:rsid w:val="00E358D6"/>
    <w:rsid w:val="00E359E9"/>
    <w:rsid w:val="00E36194"/>
    <w:rsid w:val="00E3621D"/>
    <w:rsid w:val="00E36348"/>
    <w:rsid w:val="00E3662C"/>
    <w:rsid w:val="00E36648"/>
    <w:rsid w:val="00E367F3"/>
    <w:rsid w:val="00E36815"/>
    <w:rsid w:val="00E37099"/>
    <w:rsid w:val="00E374CC"/>
    <w:rsid w:val="00E40013"/>
    <w:rsid w:val="00E40122"/>
    <w:rsid w:val="00E402BB"/>
    <w:rsid w:val="00E40A96"/>
    <w:rsid w:val="00E4132E"/>
    <w:rsid w:val="00E413A9"/>
    <w:rsid w:val="00E413F1"/>
    <w:rsid w:val="00E4188A"/>
    <w:rsid w:val="00E41F0B"/>
    <w:rsid w:val="00E42502"/>
    <w:rsid w:val="00E427F4"/>
    <w:rsid w:val="00E42A45"/>
    <w:rsid w:val="00E43823"/>
    <w:rsid w:val="00E44581"/>
    <w:rsid w:val="00E45418"/>
    <w:rsid w:val="00E45695"/>
    <w:rsid w:val="00E45F13"/>
    <w:rsid w:val="00E45F18"/>
    <w:rsid w:val="00E45F9F"/>
    <w:rsid w:val="00E462D3"/>
    <w:rsid w:val="00E466B9"/>
    <w:rsid w:val="00E4677F"/>
    <w:rsid w:val="00E46AB7"/>
    <w:rsid w:val="00E46D9B"/>
    <w:rsid w:val="00E47047"/>
    <w:rsid w:val="00E47209"/>
    <w:rsid w:val="00E47260"/>
    <w:rsid w:val="00E47394"/>
    <w:rsid w:val="00E47428"/>
    <w:rsid w:val="00E4752B"/>
    <w:rsid w:val="00E478A2"/>
    <w:rsid w:val="00E47959"/>
    <w:rsid w:val="00E50A7E"/>
    <w:rsid w:val="00E50ACB"/>
    <w:rsid w:val="00E50BFC"/>
    <w:rsid w:val="00E51881"/>
    <w:rsid w:val="00E51A6A"/>
    <w:rsid w:val="00E51D92"/>
    <w:rsid w:val="00E51F86"/>
    <w:rsid w:val="00E52132"/>
    <w:rsid w:val="00E52A96"/>
    <w:rsid w:val="00E5321D"/>
    <w:rsid w:val="00E5336F"/>
    <w:rsid w:val="00E5380F"/>
    <w:rsid w:val="00E53955"/>
    <w:rsid w:val="00E53A0E"/>
    <w:rsid w:val="00E53A26"/>
    <w:rsid w:val="00E53B21"/>
    <w:rsid w:val="00E53BAD"/>
    <w:rsid w:val="00E53D4A"/>
    <w:rsid w:val="00E54075"/>
    <w:rsid w:val="00E5445C"/>
    <w:rsid w:val="00E54AE7"/>
    <w:rsid w:val="00E54D39"/>
    <w:rsid w:val="00E55169"/>
    <w:rsid w:val="00E55189"/>
    <w:rsid w:val="00E55D2C"/>
    <w:rsid w:val="00E55E70"/>
    <w:rsid w:val="00E55E9D"/>
    <w:rsid w:val="00E56000"/>
    <w:rsid w:val="00E56292"/>
    <w:rsid w:val="00E56826"/>
    <w:rsid w:val="00E56A0B"/>
    <w:rsid w:val="00E56D82"/>
    <w:rsid w:val="00E571C9"/>
    <w:rsid w:val="00E5743D"/>
    <w:rsid w:val="00E5785A"/>
    <w:rsid w:val="00E57C27"/>
    <w:rsid w:val="00E57DA0"/>
    <w:rsid w:val="00E57E83"/>
    <w:rsid w:val="00E602E0"/>
    <w:rsid w:val="00E603FB"/>
    <w:rsid w:val="00E60890"/>
    <w:rsid w:val="00E60CB9"/>
    <w:rsid w:val="00E613C9"/>
    <w:rsid w:val="00E61825"/>
    <w:rsid w:val="00E6193F"/>
    <w:rsid w:val="00E61D87"/>
    <w:rsid w:val="00E6243C"/>
    <w:rsid w:val="00E628F6"/>
    <w:rsid w:val="00E62C83"/>
    <w:rsid w:val="00E63138"/>
    <w:rsid w:val="00E632A0"/>
    <w:rsid w:val="00E63C93"/>
    <w:rsid w:val="00E63ED3"/>
    <w:rsid w:val="00E64931"/>
    <w:rsid w:val="00E64A27"/>
    <w:rsid w:val="00E64C65"/>
    <w:rsid w:val="00E64D05"/>
    <w:rsid w:val="00E64F57"/>
    <w:rsid w:val="00E65018"/>
    <w:rsid w:val="00E6548B"/>
    <w:rsid w:val="00E659FD"/>
    <w:rsid w:val="00E65D97"/>
    <w:rsid w:val="00E65EE6"/>
    <w:rsid w:val="00E65FFF"/>
    <w:rsid w:val="00E664F1"/>
    <w:rsid w:val="00E6651B"/>
    <w:rsid w:val="00E66B99"/>
    <w:rsid w:val="00E66F1A"/>
    <w:rsid w:val="00E67805"/>
    <w:rsid w:val="00E7015A"/>
    <w:rsid w:val="00E70329"/>
    <w:rsid w:val="00E70737"/>
    <w:rsid w:val="00E7073C"/>
    <w:rsid w:val="00E710C6"/>
    <w:rsid w:val="00E712C9"/>
    <w:rsid w:val="00E71877"/>
    <w:rsid w:val="00E71890"/>
    <w:rsid w:val="00E718F9"/>
    <w:rsid w:val="00E71DE5"/>
    <w:rsid w:val="00E71FF5"/>
    <w:rsid w:val="00E72578"/>
    <w:rsid w:val="00E7260D"/>
    <w:rsid w:val="00E72B84"/>
    <w:rsid w:val="00E72E83"/>
    <w:rsid w:val="00E73251"/>
    <w:rsid w:val="00E73834"/>
    <w:rsid w:val="00E748BE"/>
    <w:rsid w:val="00E74981"/>
    <w:rsid w:val="00E7498F"/>
    <w:rsid w:val="00E74A88"/>
    <w:rsid w:val="00E74E9B"/>
    <w:rsid w:val="00E75337"/>
    <w:rsid w:val="00E754BD"/>
    <w:rsid w:val="00E75501"/>
    <w:rsid w:val="00E7583B"/>
    <w:rsid w:val="00E75B47"/>
    <w:rsid w:val="00E75C7A"/>
    <w:rsid w:val="00E75D7B"/>
    <w:rsid w:val="00E75F45"/>
    <w:rsid w:val="00E762EA"/>
    <w:rsid w:val="00E76C95"/>
    <w:rsid w:val="00E770DF"/>
    <w:rsid w:val="00E77403"/>
    <w:rsid w:val="00E7743D"/>
    <w:rsid w:val="00E7796E"/>
    <w:rsid w:val="00E7797A"/>
    <w:rsid w:val="00E77C6F"/>
    <w:rsid w:val="00E77FE1"/>
    <w:rsid w:val="00E800D5"/>
    <w:rsid w:val="00E80288"/>
    <w:rsid w:val="00E80834"/>
    <w:rsid w:val="00E808CE"/>
    <w:rsid w:val="00E80C2E"/>
    <w:rsid w:val="00E81138"/>
    <w:rsid w:val="00E817E2"/>
    <w:rsid w:val="00E8182F"/>
    <w:rsid w:val="00E81A6D"/>
    <w:rsid w:val="00E81B01"/>
    <w:rsid w:val="00E81EFB"/>
    <w:rsid w:val="00E81FC8"/>
    <w:rsid w:val="00E820FE"/>
    <w:rsid w:val="00E82705"/>
    <w:rsid w:val="00E82B64"/>
    <w:rsid w:val="00E83074"/>
    <w:rsid w:val="00E83182"/>
    <w:rsid w:val="00E83617"/>
    <w:rsid w:val="00E836CE"/>
    <w:rsid w:val="00E8375D"/>
    <w:rsid w:val="00E8386E"/>
    <w:rsid w:val="00E84871"/>
    <w:rsid w:val="00E848F6"/>
    <w:rsid w:val="00E849AC"/>
    <w:rsid w:val="00E84C32"/>
    <w:rsid w:val="00E85086"/>
    <w:rsid w:val="00E85283"/>
    <w:rsid w:val="00E852ED"/>
    <w:rsid w:val="00E85E5C"/>
    <w:rsid w:val="00E86019"/>
    <w:rsid w:val="00E86089"/>
    <w:rsid w:val="00E8644E"/>
    <w:rsid w:val="00E86715"/>
    <w:rsid w:val="00E86736"/>
    <w:rsid w:val="00E86EDD"/>
    <w:rsid w:val="00E86F5A"/>
    <w:rsid w:val="00E87080"/>
    <w:rsid w:val="00E87686"/>
    <w:rsid w:val="00E87A0F"/>
    <w:rsid w:val="00E87B0C"/>
    <w:rsid w:val="00E87CB7"/>
    <w:rsid w:val="00E90023"/>
    <w:rsid w:val="00E90265"/>
    <w:rsid w:val="00E908A7"/>
    <w:rsid w:val="00E908BF"/>
    <w:rsid w:val="00E90E27"/>
    <w:rsid w:val="00E91DA9"/>
    <w:rsid w:val="00E91E0E"/>
    <w:rsid w:val="00E92306"/>
    <w:rsid w:val="00E926D9"/>
    <w:rsid w:val="00E92998"/>
    <w:rsid w:val="00E929C9"/>
    <w:rsid w:val="00E92E8B"/>
    <w:rsid w:val="00E92F73"/>
    <w:rsid w:val="00E92F88"/>
    <w:rsid w:val="00E932A5"/>
    <w:rsid w:val="00E93B36"/>
    <w:rsid w:val="00E94BD0"/>
    <w:rsid w:val="00E94DDF"/>
    <w:rsid w:val="00E95016"/>
    <w:rsid w:val="00E95374"/>
    <w:rsid w:val="00E95497"/>
    <w:rsid w:val="00E955AA"/>
    <w:rsid w:val="00E961FD"/>
    <w:rsid w:val="00E96606"/>
    <w:rsid w:val="00E96611"/>
    <w:rsid w:val="00E9664E"/>
    <w:rsid w:val="00E96669"/>
    <w:rsid w:val="00E966C9"/>
    <w:rsid w:val="00E96DF3"/>
    <w:rsid w:val="00E96F49"/>
    <w:rsid w:val="00E97524"/>
    <w:rsid w:val="00E975C1"/>
    <w:rsid w:val="00E97F47"/>
    <w:rsid w:val="00EA0117"/>
    <w:rsid w:val="00EA019E"/>
    <w:rsid w:val="00EA0263"/>
    <w:rsid w:val="00EA043B"/>
    <w:rsid w:val="00EA1145"/>
    <w:rsid w:val="00EA11F1"/>
    <w:rsid w:val="00EA14A2"/>
    <w:rsid w:val="00EA1AD2"/>
    <w:rsid w:val="00EA22E1"/>
    <w:rsid w:val="00EA2443"/>
    <w:rsid w:val="00EA2646"/>
    <w:rsid w:val="00EA2957"/>
    <w:rsid w:val="00EA3431"/>
    <w:rsid w:val="00EA36BA"/>
    <w:rsid w:val="00EA3888"/>
    <w:rsid w:val="00EA3BB8"/>
    <w:rsid w:val="00EA3E4A"/>
    <w:rsid w:val="00EA40DD"/>
    <w:rsid w:val="00EA4216"/>
    <w:rsid w:val="00EA4350"/>
    <w:rsid w:val="00EA4476"/>
    <w:rsid w:val="00EA458B"/>
    <w:rsid w:val="00EA4672"/>
    <w:rsid w:val="00EA46C9"/>
    <w:rsid w:val="00EA4B4B"/>
    <w:rsid w:val="00EA4B64"/>
    <w:rsid w:val="00EA4BA1"/>
    <w:rsid w:val="00EA4C38"/>
    <w:rsid w:val="00EA4C61"/>
    <w:rsid w:val="00EA51D0"/>
    <w:rsid w:val="00EA5301"/>
    <w:rsid w:val="00EA5490"/>
    <w:rsid w:val="00EA5891"/>
    <w:rsid w:val="00EA592D"/>
    <w:rsid w:val="00EA59FC"/>
    <w:rsid w:val="00EA5C98"/>
    <w:rsid w:val="00EA5F39"/>
    <w:rsid w:val="00EA60F4"/>
    <w:rsid w:val="00EA6917"/>
    <w:rsid w:val="00EA6950"/>
    <w:rsid w:val="00EA6D83"/>
    <w:rsid w:val="00EA70D9"/>
    <w:rsid w:val="00EA7316"/>
    <w:rsid w:val="00EA7A3B"/>
    <w:rsid w:val="00EA7D9A"/>
    <w:rsid w:val="00EB0038"/>
    <w:rsid w:val="00EB0646"/>
    <w:rsid w:val="00EB0792"/>
    <w:rsid w:val="00EB08A9"/>
    <w:rsid w:val="00EB0A65"/>
    <w:rsid w:val="00EB0C4B"/>
    <w:rsid w:val="00EB0F7C"/>
    <w:rsid w:val="00EB0FD0"/>
    <w:rsid w:val="00EB1482"/>
    <w:rsid w:val="00EB1653"/>
    <w:rsid w:val="00EB18A1"/>
    <w:rsid w:val="00EB18DB"/>
    <w:rsid w:val="00EB1A2E"/>
    <w:rsid w:val="00EB1FBC"/>
    <w:rsid w:val="00EB2074"/>
    <w:rsid w:val="00EB207C"/>
    <w:rsid w:val="00EB21EE"/>
    <w:rsid w:val="00EB240E"/>
    <w:rsid w:val="00EB27C9"/>
    <w:rsid w:val="00EB2B8A"/>
    <w:rsid w:val="00EB31E0"/>
    <w:rsid w:val="00EB35B6"/>
    <w:rsid w:val="00EB3621"/>
    <w:rsid w:val="00EB3748"/>
    <w:rsid w:val="00EB3F10"/>
    <w:rsid w:val="00EB3F4A"/>
    <w:rsid w:val="00EB3FD8"/>
    <w:rsid w:val="00EB40E4"/>
    <w:rsid w:val="00EB4730"/>
    <w:rsid w:val="00EB4BB9"/>
    <w:rsid w:val="00EB521A"/>
    <w:rsid w:val="00EB5409"/>
    <w:rsid w:val="00EB5558"/>
    <w:rsid w:val="00EB55A6"/>
    <w:rsid w:val="00EB58F2"/>
    <w:rsid w:val="00EB6AD9"/>
    <w:rsid w:val="00EB6CCC"/>
    <w:rsid w:val="00EB6EBC"/>
    <w:rsid w:val="00EB6FFC"/>
    <w:rsid w:val="00EB7119"/>
    <w:rsid w:val="00EB7424"/>
    <w:rsid w:val="00EB7426"/>
    <w:rsid w:val="00EB75DE"/>
    <w:rsid w:val="00EB7646"/>
    <w:rsid w:val="00EB773B"/>
    <w:rsid w:val="00EB7800"/>
    <w:rsid w:val="00EC02D2"/>
    <w:rsid w:val="00EC031E"/>
    <w:rsid w:val="00EC03EC"/>
    <w:rsid w:val="00EC0D9F"/>
    <w:rsid w:val="00EC0F23"/>
    <w:rsid w:val="00EC1300"/>
    <w:rsid w:val="00EC14B4"/>
    <w:rsid w:val="00EC18CA"/>
    <w:rsid w:val="00EC1B8D"/>
    <w:rsid w:val="00EC1E60"/>
    <w:rsid w:val="00EC1EDD"/>
    <w:rsid w:val="00EC1FCA"/>
    <w:rsid w:val="00EC201C"/>
    <w:rsid w:val="00EC21B4"/>
    <w:rsid w:val="00EC252A"/>
    <w:rsid w:val="00EC2577"/>
    <w:rsid w:val="00EC2784"/>
    <w:rsid w:val="00EC2A34"/>
    <w:rsid w:val="00EC2A6D"/>
    <w:rsid w:val="00EC2AC9"/>
    <w:rsid w:val="00EC2C67"/>
    <w:rsid w:val="00EC340E"/>
    <w:rsid w:val="00EC35B2"/>
    <w:rsid w:val="00EC3931"/>
    <w:rsid w:val="00EC3BAB"/>
    <w:rsid w:val="00EC3BC7"/>
    <w:rsid w:val="00EC3CBD"/>
    <w:rsid w:val="00EC3F11"/>
    <w:rsid w:val="00EC524E"/>
    <w:rsid w:val="00EC5E51"/>
    <w:rsid w:val="00EC6171"/>
    <w:rsid w:val="00EC63EA"/>
    <w:rsid w:val="00EC65B6"/>
    <w:rsid w:val="00EC6E50"/>
    <w:rsid w:val="00EC70DB"/>
    <w:rsid w:val="00EC7269"/>
    <w:rsid w:val="00EC72FE"/>
    <w:rsid w:val="00EC7937"/>
    <w:rsid w:val="00EC7994"/>
    <w:rsid w:val="00EC7A4B"/>
    <w:rsid w:val="00EC7A51"/>
    <w:rsid w:val="00EC7B05"/>
    <w:rsid w:val="00ED0658"/>
    <w:rsid w:val="00ED1319"/>
    <w:rsid w:val="00ED18B4"/>
    <w:rsid w:val="00ED1AC9"/>
    <w:rsid w:val="00ED22AC"/>
    <w:rsid w:val="00ED25DC"/>
    <w:rsid w:val="00ED28A7"/>
    <w:rsid w:val="00ED2FF0"/>
    <w:rsid w:val="00ED3649"/>
    <w:rsid w:val="00ED3915"/>
    <w:rsid w:val="00ED39DD"/>
    <w:rsid w:val="00ED3C5B"/>
    <w:rsid w:val="00ED4556"/>
    <w:rsid w:val="00ED4570"/>
    <w:rsid w:val="00ED4713"/>
    <w:rsid w:val="00ED48C4"/>
    <w:rsid w:val="00ED4F5D"/>
    <w:rsid w:val="00ED4F9F"/>
    <w:rsid w:val="00ED55F3"/>
    <w:rsid w:val="00ED59BB"/>
    <w:rsid w:val="00ED6701"/>
    <w:rsid w:val="00ED6B61"/>
    <w:rsid w:val="00ED72B7"/>
    <w:rsid w:val="00ED7571"/>
    <w:rsid w:val="00ED7846"/>
    <w:rsid w:val="00ED79B3"/>
    <w:rsid w:val="00ED7F27"/>
    <w:rsid w:val="00EE0284"/>
    <w:rsid w:val="00EE0A17"/>
    <w:rsid w:val="00EE0D6C"/>
    <w:rsid w:val="00EE0ECF"/>
    <w:rsid w:val="00EE12F0"/>
    <w:rsid w:val="00EE1305"/>
    <w:rsid w:val="00EE153E"/>
    <w:rsid w:val="00EE1879"/>
    <w:rsid w:val="00EE18BE"/>
    <w:rsid w:val="00EE211F"/>
    <w:rsid w:val="00EE2640"/>
    <w:rsid w:val="00EE2C62"/>
    <w:rsid w:val="00EE2D3B"/>
    <w:rsid w:val="00EE30B8"/>
    <w:rsid w:val="00EE324F"/>
    <w:rsid w:val="00EE36AC"/>
    <w:rsid w:val="00EE3793"/>
    <w:rsid w:val="00EE3D2F"/>
    <w:rsid w:val="00EE3D6C"/>
    <w:rsid w:val="00EE417A"/>
    <w:rsid w:val="00EE45CE"/>
    <w:rsid w:val="00EE47E5"/>
    <w:rsid w:val="00EE4847"/>
    <w:rsid w:val="00EE495C"/>
    <w:rsid w:val="00EE4BB4"/>
    <w:rsid w:val="00EE4C00"/>
    <w:rsid w:val="00EE4E34"/>
    <w:rsid w:val="00EE4E66"/>
    <w:rsid w:val="00EE52D7"/>
    <w:rsid w:val="00EE5794"/>
    <w:rsid w:val="00EE59BB"/>
    <w:rsid w:val="00EE5C5B"/>
    <w:rsid w:val="00EE60B5"/>
    <w:rsid w:val="00EE6369"/>
    <w:rsid w:val="00EE700E"/>
    <w:rsid w:val="00EE706A"/>
    <w:rsid w:val="00EE7835"/>
    <w:rsid w:val="00EE7C36"/>
    <w:rsid w:val="00EE7F64"/>
    <w:rsid w:val="00EF04BC"/>
    <w:rsid w:val="00EF04E3"/>
    <w:rsid w:val="00EF0870"/>
    <w:rsid w:val="00EF0C6C"/>
    <w:rsid w:val="00EF18FA"/>
    <w:rsid w:val="00EF1B59"/>
    <w:rsid w:val="00EF1F8E"/>
    <w:rsid w:val="00EF1FE6"/>
    <w:rsid w:val="00EF2173"/>
    <w:rsid w:val="00EF22A9"/>
    <w:rsid w:val="00EF246E"/>
    <w:rsid w:val="00EF24AE"/>
    <w:rsid w:val="00EF2690"/>
    <w:rsid w:val="00EF2A37"/>
    <w:rsid w:val="00EF2FCB"/>
    <w:rsid w:val="00EF3104"/>
    <w:rsid w:val="00EF333A"/>
    <w:rsid w:val="00EF394E"/>
    <w:rsid w:val="00EF3CB7"/>
    <w:rsid w:val="00EF3EB8"/>
    <w:rsid w:val="00EF4955"/>
    <w:rsid w:val="00EF4DF0"/>
    <w:rsid w:val="00EF50A5"/>
    <w:rsid w:val="00EF5E7A"/>
    <w:rsid w:val="00EF5EC0"/>
    <w:rsid w:val="00EF5F78"/>
    <w:rsid w:val="00EF613E"/>
    <w:rsid w:val="00EF653D"/>
    <w:rsid w:val="00EF66BD"/>
    <w:rsid w:val="00EF7115"/>
    <w:rsid w:val="00EF762C"/>
    <w:rsid w:val="00EF7642"/>
    <w:rsid w:val="00EF7686"/>
    <w:rsid w:val="00EF7814"/>
    <w:rsid w:val="00EF7C46"/>
    <w:rsid w:val="00EF7DCD"/>
    <w:rsid w:val="00F0091A"/>
    <w:rsid w:val="00F01642"/>
    <w:rsid w:val="00F01C5E"/>
    <w:rsid w:val="00F01F89"/>
    <w:rsid w:val="00F0219F"/>
    <w:rsid w:val="00F023C2"/>
    <w:rsid w:val="00F02683"/>
    <w:rsid w:val="00F02839"/>
    <w:rsid w:val="00F02E54"/>
    <w:rsid w:val="00F03893"/>
    <w:rsid w:val="00F040E9"/>
    <w:rsid w:val="00F04254"/>
    <w:rsid w:val="00F0471D"/>
    <w:rsid w:val="00F04D78"/>
    <w:rsid w:val="00F04DC0"/>
    <w:rsid w:val="00F05515"/>
    <w:rsid w:val="00F05667"/>
    <w:rsid w:val="00F05D50"/>
    <w:rsid w:val="00F05F52"/>
    <w:rsid w:val="00F06261"/>
    <w:rsid w:val="00F063C5"/>
    <w:rsid w:val="00F064FC"/>
    <w:rsid w:val="00F06514"/>
    <w:rsid w:val="00F06F9B"/>
    <w:rsid w:val="00F074CA"/>
    <w:rsid w:val="00F102AD"/>
    <w:rsid w:val="00F10531"/>
    <w:rsid w:val="00F10CF7"/>
    <w:rsid w:val="00F11738"/>
    <w:rsid w:val="00F1187D"/>
    <w:rsid w:val="00F11AFD"/>
    <w:rsid w:val="00F11C7A"/>
    <w:rsid w:val="00F11DBC"/>
    <w:rsid w:val="00F12F77"/>
    <w:rsid w:val="00F12FD7"/>
    <w:rsid w:val="00F12FF9"/>
    <w:rsid w:val="00F13032"/>
    <w:rsid w:val="00F13415"/>
    <w:rsid w:val="00F135F6"/>
    <w:rsid w:val="00F13773"/>
    <w:rsid w:val="00F13BD0"/>
    <w:rsid w:val="00F14151"/>
    <w:rsid w:val="00F14B0C"/>
    <w:rsid w:val="00F14D2D"/>
    <w:rsid w:val="00F14E9A"/>
    <w:rsid w:val="00F15711"/>
    <w:rsid w:val="00F15D96"/>
    <w:rsid w:val="00F1600E"/>
    <w:rsid w:val="00F161E7"/>
    <w:rsid w:val="00F1681E"/>
    <w:rsid w:val="00F1683C"/>
    <w:rsid w:val="00F16F3C"/>
    <w:rsid w:val="00F170A4"/>
    <w:rsid w:val="00F1791B"/>
    <w:rsid w:val="00F17C1D"/>
    <w:rsid w:val="00F205C2"/>
    <w:rsid w:val="00F20722"/>
    <w:rsid w:val="00F20D37"/>
    <w:rsid w:val="00F214FD"/>
    <w:rsid w:val="00F21534"/>
    <w:rsid w:val="00F21941"/>
    <w:rsid w:val="00F226A5"/>
    <w:rsid w:val="00F228F0"/>
    <w:rsid w:val="00F228F5"/>
    <w:rsid w:val="00F22D9C"/>
    <w:rsid w:val="00F2308E"/>
    <w:rsid w:val="00F237EA"/>
    <w:rsid w:val="00F238B2"/>
    <w:rsid w:val="00F23E82"/>
    <w:rsid w:val="00F23E9F"/>
    <w:rsid w:val="00F23ED5"/>
    <w:rsid w:val="00F241E2"/>
    <w:rsid w:val="00F24428"/>
    <w:rsid w:val="00F24D0E"/>
    <w:rsid w:val="00F25244"/>
    <w:rsid w:val="00F2574E"/>
    <w:rsid w:val="00F25988"/>
    <w:rsid w:val="00F25B76"/>
    <w:rsid w:val="00F25FFD"/>
    <w:rsid w:val="00F261EC"/>
    <w:rsid w:val="00F262EB"/>
    <w:rsid w:val="00F26357"/>
    <w:rsid w:val="00F26463"/>
    <w:rsid w:val="00F2659F"/>
    <w:rsid w:val="00F2665A"/>
    <w:rsid w:val="00F26769"/>
    <w:rsid w:val="00F26A81"/>
    <w:rsid w:val="00F2704A"/>
    <w:rsid w:val="00F2736A"/>
    <w:rsid w:val="00F276AD"/>
    <w:rsid w:val="00F27F91"/>
    <w:rsid w:val="00F30054"/>
    <w:rsid w:val="00F302DD"/>
    <w:rsid w:val="00F30A1A"/>
    <w:rsid w:val="00F31FE9"/>
    <w:rsid w:val="00F33231"/>
    <w:rsid w:val="00F332D1"/>
    <w:rsid w:val="00F33E7E"/>
    <w:rsid w:val="00F345C1"/>
    <w:rsid w:val="00F3473E"/>
    <w:rsid w:val="00F347F6"/>
    <w:rsid w:val="00F34F29"/>
    <w:rsid w:val="00F35332"/>
    <w:rsid w:val="00F3597F"/>
    <w:rsid w:val="00F35C19"/>
    <w:rsid w:val="00F35EF1"/>
    <w:rsid w:val="00F36530"/>
    <w:rsid w:val="00F365CD"/>
    <w:rsid w:val="00F36828"/>
    <w:rsid w:val="00F36B13"/>
    <w:rsid w:val="00F36FBB"/>
    <w:rsid w:val="00F371D7"/>
    <w:rsid w:val="00F376D6"/>
    <w:rsid w:val="00F40363"/>
    <w:rsid w:val="00F40821"/>
    <w:rsid w:val="00F410B0"/>
    <w:rsid w:val="00F41392"/>
    <w:rsid w:val="00F41C5F"/>
    <w:rsid w:val="00F41CA8"/>
    <w:rsid w:val="00F42071"/>
    <w:rsid w:val="00F4220A"/>
    <w:rsid w:val="00F422D3"/>
    <w:rsid w:val="00F423EB"/>
    <w:rsid w:val="00F425B3"/>
    <w:rsid w:val="00F42612"/>
    <w:rsid w:val="00F42CC8"/>
    <w:rsid w:val="00F441D0"/>
    <w:rsid w:val="00F44C58"/>
    <w:rsid w:val="00F45083"/>
    <w:rsid w:val="00F45135"/>
    <w:rsid w:val="00F456B6"/>
    <w:rsid w:val="00F45D0E"/>
    <w:rsid w:val="00F45DDC"/>
    <w:rsid w:val="00F45FD2"/>
    <w:rsid w:val="00F46201"/>
    <w:rsid w:val="00F464EE"/>
    <w:rsid w:val="00F475B0"/>
    <w:rsid w:val="00F47611"/>
    <w:rsid w:val="00F476BE"/>
    <w:rsid w:val="00F47E68"/>
    <w:rsid w:val="00F47ECF"/>
    <w:rsid w:val="00F47FCB"/>
    <w:rsid w:val="00F5058A"/>
    <w:rsid w:val="00F507B6"/>
    <w:rsid w:val="00F50C56"/>
    <w:rsid w:val="00F50C6D"/>
    <w:rsid w:val="00F50FE6"/>
    <w:rsid w:val="00F51D69"/>
    <w:rsid w:val="00F5213C"/>
    <w:rsid w:val="00F52448"/>
    <w:rsid w:val="00F52AF3"/>
    <w:rsid w:val="00F52D0F"/>
    <w:rsid w:val="00F5312E"/>
    <w:rsid w:val="00F534E1"/>
    <w:rsid w:val="00F53596"/>
    <w:rsid w:val="00F5391D"/>
    <w:rsid w:val="00F53ABC"/>
    <w:rsid w:val="00F541A1"/>
    <w:rsid w:val="00F54855"/>
    <w:rsid w:val="00F54D40"/>
    <w:rsid w:val="00F54EDD"/>
    <w:rsid w:val="00F54F21"/>
    <w:rsid w:val="00F550DC"/>
    <w:rsid w:val="00F5566F"/>
    <w:rsid w:val="00F5587A"/>
    <w:rsid w:val="00F563A8"/>
    <w:rsid w:val="00F56470"/>
    <w:rsid w:val="00F5651E"/>
    <w:rsid w:val="00F56605"/>
    <w:rsid w:val="00F569C9"/>
    <w:rsid w:val="00F569FA"/>
    <w:rsid w:val="00F56C91"/>
    <w:rsid w:val="00F56CA5"/>
    <w:rsid w:val="00F56EC1"/>
    <w:rsid w:val="00F56F4B"/>
    <w:rsid w:val="00F57040"/>
    <w:rsid w:val="00F570D4"/>
    <w:rsid w:val="00F57D30"/>
    <w:rsid w:val="00F60206"/>
    <w:rsid w:val="00F606D5"/>
    <w:rsid w:val="00F6103A"/>
    <w:rsid w:val="00F6105C"/>
    <w:rsid w:val="00F6135B"/>
    <w:rsid w:val="00F627EC"/>
    <w:rsid w:val="00F634E5"/>
    <w:rsid w:val="00F63C22"/>
    <w:rsid w:val="00F63C63"/>
    <w:rsid w:val="00F63D77"/>
    <w:rsid w:val="00F64276"/>
    <w:rsid w:val="00F645CB"/>
    <w:rsid w:val="00F64AEB"/>
    <w:rsid w:val="00F651D2"/>
    <w:rsid w:val="00F652B3"/>
    <w:rsid w:val="00F65675"/>
    <w:rsid w:val="00F659EB"/>
    <w:rsid w:val="00F65B30"/>
    <w:rsid w:val="00F65B72"/>
    <w:rsid w:val="00F65BBC"/>
    <w:rsid w:val="00F66480"/>
    <w:rsid w:val="00F66BC8"/>
    <w:rsid w:val="00F66D1E"/>
    <w:rsid w:val="00F66E31"/>
    <w:rsid w:val="00F66E3C"/>
    <w:rsid w:val="00F66FE7"/>
    <w:rsid w:val="00F67365"/>
    <w:rsid w:val="00F67396"/>
    <w:rsid w:val="00F6761A"/>
    <w:rsid w:val="00F678C9"/>
    <w:rsid w:val="00F67BFE"/>
    <w:rsid w:val="00F67C53"/>
    <w:rsid w:val="00F67C67"/>
    <w:rsid w:val="00F67E64"/>
    <w:rsid w:val="00F67F4B"/>
    <w:rsid w:val="00F7007B"/>
    <w:rsid w:val="00F703AC"/>
    <w:rsid w:val="00F7048A"/>
    <w:rsid w:val="00F7067A"/>
    <w:rsid w:val="00F707A0"/>
    <w:rsid w:val="00F70909"/>
    <w:rsid w:val="00F70B46"/>
    <w:rsid w:val="00F70BAC"/>
    <w:rsid w:val="00F70FCC"/>
    <w:rsid w:val="00F71093"/>
    <w:rsid w:val="00F71AFB"/>
    <w:rsid w:val="00F7237C"/>
    <w:rsid w:val="00F723A5"/>
    <w:rsid w:val="00F72518"/>
    <w:rsid w:val="00F72BA7"/>
    <w:rsid w:val="00F72DFB"/>
    <w:rsid w:val="00F74598"/>
    <w:rsid w:val="00F754EE"/>
    <w:rsid w:val="00F757EF"/>
    <w:rsid w:val="00F757FD"/>
    <w:rsid w:val="00F759C7"/>
    <w:rsid w:val="00F75FA3"/>
    <w:rsid w:val="00F75FBF"/>
    <w:rsid w:val="00F769D1"/>
    <w:rsid w:val="00F76BAD"/>
    <w:rsid w:val="00F76F40"/>
    <w:rsid w:val="00F770AD"/>
    <w:rsid w:val="00F77264"/>
    <w:rsid w:val="00F77364"/>
    <w:rsid w:val="00F77622"/>
    <w:rsid w:val="00F8014B"/>
    <w:rsid w:val="00F80216"/>
    <w:rsid w:val="00F8061A"/>
    <w:rsid w:val="00F808E6"/>
    <w:rsid w:val="00F80CA6"/>
    <w:rsid w:val="00F80D54"/>
    <w:rsid w:val="00F80E25"/>
    <w:rsid w:val="00F81492"/>
    <w:rsid w:val="00F8161D"/>
    <w:rsid w:val="00F817AC"/>
    <w:rsid w:val="00F8186E"/>
    <w:rsid w:val="00F82533"/>
    <w:rsid w:val="00F82679"/>
    <w:rsid w:val="00F82933"/>
    <w:rsid w:val="00F82939"/>
    <w:rsid w:val="00F82C67"/>
    <w:rsid w:val="00F82F2A"/>
    <w:rsid w:val="00F8316D"/>
    <w:rsid w:val="00F83967"/>
    <w:rsid w:val="00F839A7"/>
    <w:rsid w:val="00F839BE"/>
    <w:rsid w:val="00F83BB8"/>
    <w:rsid w:val="00F8433A"/>
    <w:rsid w:val="00F84341"/>
    <w:rsid w:val="00F846DC"/>
    <w:rsid w:val="00F847C5"/>
    <w:rsid w:val="00F84F10"/>
    <w:rsid w:val="00F85220"/>
    <w:rsid w:val="00F855F3"/>
    <w:rsid w:val="00F85856"/>
    <w:rsid w:val="00F85DDF"/>
    <w:rsid w:val="00F86078"/>
    <w:rsid w:val="00F8615C"/>
    <w:rsid w:val="00F863AB"/>
    <w:rsid w:val="00F8711C"/>
    <w:rsid w:val="00F875C0"/>
    <w:rsid w:val="00F876C7"/>
    <w:rsid w:val="00F87750"/>
    <w:rsid w:val="00F87B0F"/>
    <w:rsid w:val="00F87BCC"/>
    <w:rsid w:val="00F87C02"/>
    <w:rsid w:val="00F87FE1"/>
    <w:rsid w:val="00F902B2"/>
    <w:rsid w:val="00F905A2"/>
    <w:rsid w:val="00F90745"/>
    <w:rsid w:val="00F90CCE"/>
    <w:rsid w:val="00F91017"/>
    <w:rsid w:val="00F91363"/>
    <w:rsid w:val="00F914B8"/>
    <w:rsid w:val="00F91642"/>
    <w:rsid w:val="00F91686"/>
    <w:rsid w:val="00F91B71"/>
    <w:rsid w:val="00F91EAC"/>
    <w:rsid w:val="00F92143"/>
    <w:rsid w:val="00F92A3C"/>
    <w:rsid w:val="00F93058"/>
    <w:rsid w:val="00F93232"/>
    <w:rsid w:val="00F93410"/>
    <w:rsid w:val="00F93665"/>
    <w:rsid w:val="00F93A1A"/>
    <w:rsid w:val="00F93A88"/>
    <w:rsid w:val="00F940B1"/>
    <w:rsid w:val="00F941DE"/>
    <w:rsid w:val="00F94439"/>
    <w:rsid w:val="00F94A39"/>
    <w:rsid w:val="00F94AFE"/>
    <w:rsid w:val="00F94EAB"/>
    <w:rsid w:val="00F95869"/>
    <w:rsid w:val="00F9641A"/>
    <w:rsid w:val="00F96771"/>
    <w:rsid w:val="00F96DE9"/>
    <w:rsid w:val="00F974C3"/>
    <w:rsid w:val="00F974D3"/>
    <w:rsid w:val="00F9794E"/>
    <w:rsid w:val="00F97C86"/>
    <w:rsid w:val="00F97DB3"/>
    <w:rsid w:val="00F97E2C"/>
    <w:rsid w:val="00F97E4E"/>
    <w:rsid w:val="00F97F25"/>
    <w:rsid w:val="00FA029C"/>
    <w:rsid w:val="00FA09D2"/>
    <w:rsid w:val="00FA0C47"/>
    <w:rsid w:val="00FA128B"/>
    <w:rsid w:val="00FA129F"/>
    <w:rsid w:val="00FA1518"/>
    <w:rsid w:val="00FA1617"/>
    <w:rsid w:val="00FA1AB0"/>
    <w:rsid w:val="00FA1B3C"/>
    <w:rsid w:val="00FA2536"/>
    <w:rsid w:val="00FA2A66"/>
    <w:rsid w:val="00FA34E7"/>
    <w:rsid w:val="00FA37D1"/>
    <w:rsid w:val="00FA38A4"/>
    <w:rsid w:val="00FA39F6"/>
    <w:rsid w:val="00FA3F4A"/>
    <w:rsid w:val="00FA3F7F"/>
    <w:rsid w:val="00FA47EB"/>
    <w:rsid w:val="00FA4FB9"/>
    <w:rsid w:val="00FA59A2"/>
    <w:rsid w:val="00FA5FAB"/>
    <w:rsid w:val="00FA6D2E"/>
    <w:rsid w:val="00FA6D54"/>
    <w:rsid w:val="00FA6F60"/>
    <w:rsid w:val="00FA7151"/>
    <w:rsid w:val="00FA759D"/>
    <w:rsid w:val="00FA762D"/>
    <w:rsid w:val="00FA7E10"/>
    <w:rsid w:val="00FA7E46"/>
    <w:rsid w:val="00FB0352"/>
    <w:rsid w:val="00FB03A3"/>
    <w:rsid w:val="00FB07D6"/>
    <w:rsid w:val="00FB0E8D"/>
    <w:rsid w:val="00FB1207"/>
    <w:rsid w:val="00FB1253"/>
    <w:rsid w:val="00FB1620"/>
    <w:rsid w:val="00FB163E"/>
    <w:rsid w:val="00FB1819"/>
    <w:rsid w:val="00FB1820"/>
    <w:rsid w:val="00FB2230"/>
    <w:rsid w:val="00FB22D6"/>
    <w:rsid w:val="00FB2419"/>
    <w:rsid w:val="00FB2F2E"/>
    <w:rsid w:val="00FB31F3"/>
    <w:rsid w:val="00FB3308"/>
    <w:rsid w:val="00FB3315"/>
    <w:rsid w:val="00FB443A"/>
    <w:rsid w:val="00FB4974"/>
    <w:rsid w:val="00FB4A1E"/>
    <w:rsid w:val="00FB4E6F"/>
    <w:rsid w:val="00FB4F4F"/>
    <w:rsid w:val="00FB6313"/>
    <w:rsid w:val="00FB6631"/>
    <w:rsid w:val="00FB6933"/>
    <w:rsid w:val="00FB6D0C"/>
    <w:rsid w:val="00FB6ED0"/>
    <w:rsid w:val="00FB73FB"/>
    <w:rsid w:val="00FB761B"/>
    <w:rsid w:val="00FB7B77"/>
    <w:rsid w:val="00FB7BB6"/>
    <w:rsid w:val="00FC0020"/>
    <w:rsid w:val="00FC0061"/>
    <w:rsid w:val="00FC11F3"/>
    <w:rsid w:val="00FC16A7"/>
    <w:rsid w:val="00FC1ED0"/>
    <w:rsid w:val="00FC1FD1"/>
    <w:rsid w:val="00FC2020"/>
    <w:rsid w:val="00FC2332"/>
    <w:rsid w:val="00FC27A3"/>
    <w:rsid w:val="00FC37B4"/>
    <w:rsid w:val="00FC386F"/>
    <w:rsid w:val="00FC3FCD"/>
    <w:rsid w:val="00FC40BD"/>
    <w:rsid w:val="00FC462F"/>
    <w:rsid w:val="00FC4810"/>
    <w:rsid w:val="00FC483F"/>
    <w:rsid w:val="00FC486B"/>
    <w:rsid w:val="00FC4A1E"/>
    <w:rsid w:val="00FC4B5D"/>
    <w:rsid w:val="00FC4F6B"/>
    <w:rsid w:val="00FC571C"/>
    <w:rsid w:val="00FC5988"/>
    <w:rsid w:val="00FC5CF0"/>
    <w:rsid w:val="00FC5F15"/>
    <w:rsid w:val="00FC62C7"/>
    <w:rsid w:val="00FC640A"/>
    <w:rsid w:val="00FC656D"/>
    <w:rsid w:val="00FC670C"/>
    <w:rsid w:val="00FC6C31"/>
    <w:rsid w:val="00FC6F19"/>
    <w:rsid w:val="00FC7376"/>
    <w:rsid w:val="00FC788F"/>
    <w:rsid w:val="00FC7970"/>
    <w:rsid w:val="00FC7B77"/>
    <w:rsid w:val="00FC7E6E"/>
    <w:rsid w:val="00FD01F8"/>
    <w:rsid w:val="00FD04DF"/>
    <w:rsid w:val="00FD0F50"/>
    <w:rsid w:val="00FD1023"/>
    <w:rsid w:val="00FD1C09"/>
    <w:rsid w:val="00FD1E20"/>
    <w:rsid w:val="00FD2585"/>
    <w:rsid w:val="00FD2772"/>
    <w:rsid w:val="00FD2B15"/>
    <w:rsid w:val="00FD2BAE"/>
    <w:rsid w:val="00FD3047"/>
    <w:rsid w:val="00FD3054"/>
    <w:rsid w:val="00FD3BCD"/>
    <w:rsid w:val="00FD3EED"/>
    <w:rsid w:val="00FD42E5"/>
    <w:rsid w:val="00FD4A44"/>
    <w:rsid w:val="00FD4D32"/>
    <w:rsid w:val="00FD4D9E"/>
    <w:rsid w:val="00FD4DE9"/>
    <w:rsid w:val="00FD5189"/>
    <w:rsid w:val="00FD53FC"/>
    <w:rsid w:val="00FD55FC"/>
    <w:rsid w:val="00FD59AA"/>
    <w:rsid w:val="00FD61F1"/>
    <w:rsid w:val="00FD6793"/>
    <w:rsid w:val="00FD790A"/>
    <w:rsid w:val="00FD7D41"/>
    <w:rsid w:val="00FD7DA1"/>
    <w:rsid w:val="00FE0076"/>
    <w:rsid w:val="00FE02CE"/>
    <w:rsid w:val="00FE04AC"/>
    <w:rsid w:val="00FE0B3F"/>
    <w:rsid w:val="00FE0CB8"/>
    <w:rsid w:val="00FE0CD8"/>
    <w:rsid w:val="00FE0D59"/>
    <w:rsid w:val="00FE0F63"/>
    <w:rsid w:val="00FE0FD1"/>
    <w:rsid w:val="00FE10A7"/>
    <w:rsid w:val="00FE1413"/>
    <w:rsid w:val="00FE1475"/>
    <w:rsid w:val="00FE14B0"/>
    <w:rsid w:val="00FE181B"/>
    <w:rsid w:val="00FE18D1"/>
    <w:rsid w:val="00FE19FB"/>
    <w:rsid w:val="00FE1D9C"/>
    <w:rsid w:val="00FE22AA"/>
    <w:rsid w:val="00FE2566"/>
    <w:rsid w:val="00FE281A"/>
    <w:rsid w:val="00FE2A81"/>
    <w:rsid w:val="00FE2EA6"/>
    <w:rsid w:val="00FE3403"/>
    <w:rsid w:val="00FE35CE"/>
    <w:rsid w:val="00FE3B77"/>
    <w:rsid w:val="00FE474F"/>
    <w:rsid w:val="00FE5182"/>
    <w:rsid w:val="00FE51DE"/>
    <w:rsid w:val="00FE558C"/>
    <w:rsid w:val="00FE58B1"/>
    <w:rsid w:val="00FE5ADA"/>
    <w:rsid w:val="00FE5C5D"/>
    <w:rsid w:val="00FE5D61"/>
    <w:rsid w:val="00FE6498"/>
    <w:rsid w:val="00FE663E"/>
    <w:rsid w:val="00FE6706"/>
    <w:rsid w:val="00FE69E6"/>
    <w:rsid w:val="00FE7056"/>
    <w:rsid w:val="00FE7223"/>
    <w:rsid w:val="00FE730A"/>
    <w:rsid w:val="00FE792A"/>
    <w:rsid w:val="00FE7F0E"/>
    <w:rsid w:val="00FE7F91"/>
    <w:rsid w:val="00FF0773"/>
    <w:rsid w:val="00FF08D4"/>
    <w:rsid w:val="00FF0DB9"/>
    <w:rsid w:val="00FF104F"/>
    <w:rsid w:val="00FF25AB"/>
    <w:rsid w:val="00FF2669"/>
    <w:rsid w:val="00FF2A38"/>
    <w:rsid w:val="00FF2B17"/>
    <w:rsid w:val="00FF2B9E"/>
    <w:rsid w:val="00FF2C4E"/>
    <w:rsid w:val="00FF3137"/>
    <w:rsid w:val="00FF31F5"/>
    <w:rsid w:val="00FF3583"/>
    <w:rsid w:val="00FF3824"/>
    <w:rsid w:val="00FF3A45"/>
    <w:rsid w:val="00FF42BA"/>
    <w:rsid w:val="00FF45F2"/>
    <w:rsid w:val="00FF4D62"/>
    <w:rsid w:val="00FF4E6D"/>
    <w:rsid w:val="00FF4F18"/>
    <w:rsid w:val="00FF4F69"/>
    <w:rsid w:val="00FF5361"/>
    <w:rsid w:val="00FF5973"/>
    <w:rsid w:val="00FF5C6D"/>
    <w:rsid w:val="00FF6032"/>
    <w:rsid w:val="00FF63C4"/>
    <w:rsid w:val="00FF7135"/>
    <w:rsid w:val="00FF7560"/>
    <w:rsid w:val="00FF7681"/>
    <w:rsid w:val="00FF7F13"/>
    <w:rsid w:val="00FF7F38"/>
    <w:rsid w:val="04057016"/>
    <w:rsid w:val="090949C8"/>
    <w:rsid w:val="0C1CBD22"/>
    <w:rsid w:val="0CFE8097"/>
    <w:rsid w:val="0CFF4DE3"/>
    <w:rsid w:val="0F91FBAF"/>
    <w:rsid w:val="1041C144"/>
    <w:rsid w:val="150D6F4E"/>
    <w:rsid w:val="189B2D09"/>
    <w:rsid w:val="1AE99EB5"/>
    <w:rsid w:val="1B4ED7B7"/>
    <w:rsid w:val="1B81AC63"/>
    <w:rsid w:val="1CD5494D"/>
    <w:rsid w:val="25F68FF9"/>
    <w:rsid w:val="27D27985"/>
    <w:rsid w:val="2D864D9D"/>
    <w:rsid w:val="2E766F02"/>
    <w:rsid w:val="2F54029D"/>
    <w:rsid w:val="338D07BF"/>
    <w:rsid w:val="33EA30FB"/>
    <w:rsid w:val="34AAC301"/>
    <w:rsid w:val="39B39A1F"/>
    <w:rsid w:val="3CDE08AD"/>
    <w:rsid w:val="3D9F4892"/>
    <w:rsid w:val="3F050C5A"/>
    <w:rsid w:val="3FB2AA0D"/>
    <w:rsid w:val="4202553E"/>
    <w:rsid w:val="42C65E70"/>
    <w:rsid w:val="492469AA"/>
    <w:rsid w:val="50271DBF"/>
    <w:rsid w:val="5455503A"/>
    <w:rsid w:val="549C7DF7"/>
    <w:rsid w:val="5692DBC5"/>
    <w:rsid w:val="56DFDFFE"/>
    <w:rsid w:val="573B6D3E"/>
    <w:rsid w:val="58AFF119"/>
    <w:rsid w:val="5C79FD6B"/>
    <w:rsid w:val="6159099C"/>
    <w:rsid w:val="62123F2F"/>
    <w:rsid w:val="6241CF5B"/>
    <w:rsid w:val="625C4CC6"/>
    <w:rsid w:val="654AE9F8"/>
    <w:rsid w:val="65A43497"/>
    <w:rsid w:val="67805951"/>
    <w:rsid w:val="6A1F3B76"/>
    <w:rsid w:val="71140ED1"/>
    <w:rsid w:val="7253D86B"/>
    <w:rsid w:val="72C30FDE"/>
    <w:rsid w:val="72FA04A6"/>
    <w:rsid w:val="73EE9299"/>
    <w:rsid w:val="78B7556F"/>
    <w:rsid w:val="79340D7B"/>
    <w:rsid w:val="7A469778"/>
    <w:rsid w:val="7A6DA328"/>
    <w:rsid w:val="7B83D5BF"/>
    <w:rsid w:val="7F5090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style="mso-position-horizontal:center;mso-position-horizontal-relative:page;mso-position-vertical-relative:page" fillcolor="none [671]" stroke="f">
      <v:fill color="none [671]" opacity=".75"/>
      <v:stroke on="f"/>
    </o:shapedefaults>
    <o:shapelayout v:ext="edit">
      <o:idmap v:ext="edit" data="1"/>
    </o:shapelayout>
  </w:shapeDefaults>
  <w:decimalSymbol w:val="."/>
  <w:listSeparator w:val=","/>
  <w14:docId w14:val="4E713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heading 1" w:locked="1" w:uiPriority="1" w:qFormat="1"/>
    <w:lsdException w:name="heading 2" w:locked="1" w:semiHidden="1" w:uiPriority="1" w:unhideWhenUsed="1" w:qFormat="1"/>
    <w:lsdException w:name="heading 3" w:locked="1" w:semiHidden="1" w:uiPriority="1" w:unhideWhenUsed="1" w:qFormat="1"/>
    <w:lsdException w:name="heading 4" w:semiHidden="1" w:uiPriority="1" w:unhideWhenUsed="1"/>
    <w:lsdException w:name="heading 5" w:semiHidden="1" w:uiPriority="1" w:unhideWhenUsed="1"/>
    <w:lsdException w:name="heading 6" w:semiHidden="1" w:uiPriority="1" w:unhideWhenUsed="1"/>
    <w:lsdException w:name="heading 7" w:semiHidden="1" w:uiPriority="3"/>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locked="1"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0" w:qFormat="1"/>
    <w:lsdException w:name="Intense Quote" w:semiHidden="1" w:uiPriority="3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1" w:unhideWhenUsed="1" w:qFormat="1"/>
    <w:lsdException w:name="Intense Emphasis" w:semiHidden="1" w:uiPriority="23" w:unhideWhenUsed="1" w:qFormat="1"/>
    <w:lsdException w:name="Subtle Reference" w:semiHidden="1" w:uiPriority="32" w:unhideWhenUsed="1" w:qFormat="1"/>
    <w:lsdException w:name="Intense Reference" w:semiHidden="1" w:uiPriority="33"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7D5F3E"/>
    <w:pPr>
      <w:spacing w:after="160" w:line="259" w:lineRule="auto"/>
    </w:pPr>
    <w:rPr>
      <w:sz w:val="22"/>
      <w:szCs w:val="22"/>
      <w:lang w:val="en-NZ" w:eastAsia="en-US"/>
    </w:rPr>
  </w:style>
  <w:style w:type="paragraph" w:styleId="Heading1">
    <w:name w:val="heading 1"/>
    <w:basedOn w:val="BodyText"/>
    <w:next w:val="BodyText"/>
    <w:link w:val="Heading1Char"/>
    <w:uiPriority w:val="1"/>
    <w:qFormat/>
    <w:locked/>
    <w:rsid w:val="00B174E5"/>
    <w:pPr>
      <w:keepNext/>
      <w:spacing w:before="360" w:after="240"/>
      <w:outlineLvl w:val="0"/>
    </w:pPr>
    <w:rPr>
      <w:rFonts w:ascii="Calibri" w:hAnsi="Calibri"/>
      <w:b/>
      <w:caps/>
      <w:color w:val="36424A"/>
      <w:sz w:val="28"/>
    </w:rPr>
  </w:style>
  <w:style w:type="paragraph" w:styleId="Heading2">
    <w:name w:val="heading 2"/>
    <w:basedOn w:val="Normal"/>
    <w:next w:val="BodyText"/>
    <w:link w:val="Heading2Char"/>
    <w:uiPriority w:val="1"/>
    <w:qFormat/>
    <w:locked/>
    <w:rsid w:val="00B174E5"/>
    <w:pPr>
      <w:keepNext/>
      <w:spacing w:before="360" w:after="120"/>
      <w:outlineLvl w:val="1"/>
    </w:pPr>
    <w:rPr>
      <w:rFonts w:ascii="Calibri" w:hAnsi="Calibri"/>
      <w:b/>
      <w:color w:val="36424A"/>
      <w:sz w:val="28"/>
    </w:rPr>
  </w:style>
  <w:style w:type="paragraph" w:styleId="Heading3">
    <w:name w:val="heading 3"/>
    <w:basedOn w:val="BodyText"/>
    <w:next w:val="BodyText"/>
    <w:link w:val="Heading3Char"/>
    <w:uiPriority w:val="1"/>
    <w:qFormat/>
    <w:locked/>
    <w:rsid w:val="00B174E5"/>
    <w:pPr>
      <w:keepNext/>
      <w:spacing w:before="240"/>
      <w:outlineLvl w:val="2"/>
    </w:pPr>
    <w:rPr>
      <w:rFonts w:ascii="Calibri" w:hAnsi="Calibri"/>
      <w:b/>
      <w:color w:val="36424A"/>
      <w:sz w:val="24"/>
    </w:rPr>
  </w:style>
  <w:style w:type="paragraph" w:styleId="Heading4">
    <w:name w:val="heading 4"/>
    <w:basedOn w:val="BodyText"/>
    <w:next w:val="BodyText"/>
    <w:link w:val="Heading4Char"/>
    <w:uiPriority w:val="1"/>
    <w:unhideWhenUsed/>
    <w:rsid w:val="001C3B9F"/>
    <w:pPr>
      <w:keepNext/>
      <w:outlineLvl w:val="3"/>
    </w:pPr>
    <w:rPr>
      <w:rFonts w:ascii="Calibri" w:hAnsi="Calibri"/>
      <w:b/>
      <w:i/>
      <w:color w:val="36424A"/>
      <w:sz w:val="24"/>
    </w:rPr>
  </w:style>
  <w:style w:type="paragraph" w:styleId="Heading5">
    <w:name w:val="heading 5"/>
    <w:basedOn w:val="BodyText"/>
    <w:next w:val="BodyText"/>
    <w:link w:val="Heading5Char"/>
    <w:uiPriority w:val="1"/>
    <w:unhideWhenUsed/>
    <w:rsid w:val="00946114"/>
    <w:pPr>
      <w:keepNext/>
      <w:outlineLvl w:val="4"/>
    </w:pPr>
    <w:rPr>
      <w:rFonts w:ascii="Calibri" w:hAnsi="Calibri"/>
      <w:i/>
      <w:color w:val="36424A"/>
    </w:rPr>
  </w:style>
  <w:style w:type="paragraph" w:styleId="Heading6">
    <w:name w:val="heading 6"/>
    <w:basedOn w:val="Normal"/>
    <w:next w:val="Normal"/>
    <w:link w:val="Heading6Char"/>
    <w:uiPriority w:val="1"/>
    <w:semiHidden/>
    <w:rsid w:val="004B2442"/>
    <w:pPr>
      <w:keepNext/>
      <w:keepLines/>
      <w:spacing w:before="200"/>
      <w:outlineLvl w:val="5"/>
    </w:pPr>
    <w:rPr>
      <w:rFonts w:ascii="Calibri" w:eastAsia="MS Gothic" w:hAnsi="Calibri"/>
      <w:i/>
      <w:iCs/>
      <w:color w:val="1B2024"/>
    </w:rPr>
  </w:style>
  <w:style w:type="paragraph" w:styleId="Heading7">
    <w:name w:val="heading 7"/>
    <w:basedOn w:val="Normal"/>
    <w:next w:val="Normal"/>
    <w:link w:val="Heading7Char"/>
    <w:uiPriority w:val="3"/>
    <w:semiHidden/>
    <w:rsid w:val="002C0BCA"/>
    <w:pPr>
      <w:keepNext/>
      <w:keepLines/>
      <w:spacing w:before="40" w:after="0"/>
      <w:outlineLvl w:val="6"/>
    </w:pPr>
    <w:rPr>
      <w:rFonts w:ascii="Calibri" w:eastAsia="MS Gothic" w:hAnsi="Calibri"/>
      <w:i/>
      <w:iCs/>
      <w:color w:val="1B2024"/>
    </w:rPr>
  </w:style>
  <w:style w:type="paragraph" w:styleId="Heading8">
    <w:name w:val="heading 8"/>
    <w:basedOn w:val="Normal"/>
    <w:next w:val="Normal"/>
    <w:link w:val="Heading8Char"/>
    <w:uiPriority w:val="3"/>
    <w:semiHidden/>
    <w:unhideWhenUsed/>
    <w:qFormat/>
    <w:rsid w:val="002C0BCA"/>
    <w:pPr>
      <w:keepNext/>
      <w:keepLines/>
      <w:spacing w:before="40" w:after="0"/>
      <w:outlineLvl w:val="7"/>
    </w:pPr>
    <w:rPr>
      <w:rFonts w:ascii="Calibri" w:eastAsia="MS Gothic" w:hAnsi="Calibri"/>
      <w:color w:val="272727"/>
      <w:sz w:val="21"/>
      <w:szCs w:val="21"/>
    </w:rPr>
  </w:style>
  <w:style w:type="paragraph" w:styleId="Heading9">
    <w:name w:val="heading 9"/>
    <w:basedOn w:val="Normal"/>
    <w:next w:val="Normal"/>
    <w:link w:val="Heading9Char"/>
    <w:uiPriority w:val="3"/>
    <w:semiHidden/>
    <w:unhideWhenUsed/>
    <w:qFormat/>
    <w:rsid w:val="002C0BCA"/>
    <w:pPr>
      <w:keepNext/>
      <w:keepLines/>
      <w:spacing w:before="40" w:after="0"/>
      <w:outlineLvl w:val="8"/>
    </w:pPr>
    <w:rPr>
      <w:rFonts w:ascii="Calibri" w:eastAsia="MS Gothic" w:hAnsi="Calibr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1C3B9F"/>
    <w:rPr>
      <w:rFonts w:ascii="Calibri" w:hAnsi="Calibri"/>
      <w:b/>
      <w:caps/>
      <w:color w:val="36424A"/>
      <w:sz w:val="28"/>
    </w:rPr>
  </w:style>
  <w:style w:type="character" w:customStyle="1" w:styleId="Heading2Char">
    <w:name w:val="Heading 2 Char"/>
    <w:link w:val="Heading2"/>
    <w:uiPriority w:val="1"/>
    <w:rsid w:val="00DF3278"/>
    <w:rPr>
      <w:rFonts w:ascii="Calibri" w:hAnsi="Calibri"/>
      <w:b/>
      <w:color w:val="36424A"/>
      <w:sz w:val="28"/>
    </w:rPr>
  </w:style>
  <w:style w:type="character" w:customStyle="1" w:styleId="Heading3Char">
    <w:name w:val="Heading 3 Char"/>
    <w:link w:val="Heading3"/>
    <w:uiPriority w:val="1"/>
    <w:rsid w:val="001C3B9F"/>
    <w:rPr>
      <w:rFonts w:ascii="Calibri" w:hAnsi="Calibri"/>
      <w:b/>
      <w:color w:val="36424A"/>
      <w:sz w:val="24"/>
    </w:rPr>
  </w:style>
  <w:style w:type="character" w:customStyle="1" w:styleId="Heading4Char">
    <w:name w:val="Heading 4 Char"/>
    <w:link w:val="Heading4"/>
    <w:uiPriority w:val="1"/>
    <w:rsid w:val="001C3B9F"/>
    <w:rPr>
      <w:rFonts w:ascii="Calibri" w:hAnsi="Calibri"/>
      <w:b/>
      <w:i/>
      <w:color w:val="36424A"/>
      <w:sz w:val="24"/>
      <w:lang w:val="en-NZ"/>
    </w:rPr>
  </w:style>
  <w:style w:type="character" w:customStyle="1" w:styleId="Heading5Char">
    <w:name w:val="Heading 5 Char"/>
    <w:link w:val="Heading5"/>
    <w:uiPriority w:val="1"/>
    <w:rsid w:val="001C3B9F"/>
    <w:rPr>
      <w:rFonts w:ascii="Calibri" w:hAnsi="Calibri"/>
      <w:i/>
      <w:color w:val="36424A"/>
    </w:rPr>
  </w:style>
  <w:style w:type="paragraph" w:customStyle="1" w:styleId="MainTitleHeading">
    <w:name w:val="Main Title Heading"/>
    <w:basedOn w:val="Normal"/>
    <w:link w:val="MainTitleHeadingChar"/>
    <w:uiPriority w:val="14"/>
    <w:unhideWhenUsed/>
    <w:qFormat/>
    <w:rsid w:val="00A60C1C"/>
    <w:pPr>
      <w:jc w:val="center"/>
    </w:pPr>
    <w:rPr>
      <w:rFonts w:ascii="Calibri" w:hAnsi="Calibri"/>
      <w:b/>
      <w:caps/>
      <w:color w:val="36424A"/>
      <w:sz w:val="48"/>
    </w:rPr>
  </w:style>
  <w:style w:type="paragraph" w:customStyle="1" w:styleId="SubTitleHeading">
    <w:name w:val="Sub Title Heading"/>
    <w:basedOn w:val="Normal"/>
    <w:link w:val="SubTitleHeadingChar"/>
    <w:uiPriority w:val="15"/>
    <w:unhideWhenUsed/>
    <w:qFormat/>
    <w:rsid w:val="00A60C1C"/>
    <w:pPr>
      <w:jc w:val="center"/>
    </w:pPr>
    <w:rPr>
      <w:rFonts w:ascii="Calibri" w:hAnsi="Calibri"/>
      <w:b/>
      <w:color w:val="36424A"/>
      <w:sz w:val="28"/>
    </w:rPr>
  </w:style>
  <w:style w:type="character" w:customStyle="1" w:styleId="MainTitleHeadingChar">
    <w:name w:val="Main Title Heading Char"/>
    <w:link w:val="MainTitleHeading"/>
    <w:uiPriority w:val="14"/>
    <w:rsid w:val="00A60C1C"/>
    <w:rPr>
      <w:rFonts w:ascii="Calibri" w:hAnsi="Calibri"/>
      <w:b/>
      <w:caps/>
      <w:color w:val="36424A"/>
      <w:sz w:val="48"/>
    </w:rPr>
  </w:style>
  <w:style w:type="paragraph" w:styleId="Header">
    <w:name w:val="header"/>
    <w:basedOn w:val="Normal"/>
    <w:link w:val="HeaderChar"/>
    <w:uiPriority w:val="99"/>
    <w:unhideWhenUsed/>
    <w:rsid w:val="00084F67"/>
    <w:rPr>
      <w:rFonts w:ascii="Calibri" w:hAnsi="Calibri"/>
      <w:sz w:val="18"/>
    </w:rPr>
  </w:style>
  <w:style w:type="character" w:customStyle="1" w:styleId="SubTitleHeadingChar">
    <w:name w:val="Sub Title Heading Char"/>
    <w:link w:val="SubTitleHeading"/>
    <w:uiPriority w:val="15"/>
    <w:rsid w:val="00A60C1C"/>
    <w:rPr>
      <w:rFonts w:ascii="Calibri" w:hAnsi="Calibri"/>
      <w:b/>
      <w:color w:val="36424A"/>
      <w:sz w:val="28"/>
    </w:rPr>
  </w:style>
  <w:style w:type="character" w:customStyle="1" w:styleId="HeaderChar">
    <w:name w:val="Header Char"/>
    <w:link w:val="Header"/>
    <w:uiPriority w:val="99"/>
    <w:rsid w:val="00084F67"/>
    <w:rPr>
      <w:rFonts w:ascii="Calibri" w:hAnsi="Calibri"/>
      <w:sz w:val="18"/>
    </w:rPr>
  </w:style>
  <w:style w:type="paragraph" w:styleId="Footer">
    <w:name w:val="footer"/>
    <w:basedOn w:val="Normal"/>
    <w:link w:val="FooterChar"/>
    <w:uiPriority w:val="99"/>
    <w:rsid w:val="00084F67"/>
    <w:rPr>
      <w:rFonts w:ascii="Calibri" w:hAnsi="Calibri"/>
      <w:sz w:val="18"/>
    </w:rPr>
  </w:style>
  <w:style w:type="character" w:customStyle="1" w:styleId="FooterChar">
    <w:name w:val="Footer Char"/>
    <w:link w:val="Footer"/>
    <w:uiPriority w:val="99"/>
    <w:rsid w:val="005966E4"/>
    <w:rPr>
      <w:rFonts w:ascii="Calibri" w:hAnsi="Calibri"/>
      <w:sz w:val="18"/>
    </w:rPr>
  </w:style>
  <w:style w:type="paragraph" w:styleId="BalloonText">
    <w:name w:val="Balloon Text"/>
    <w:basedOn w:val="Normal"/>
    <w:link w:val="BalloonTextChar"/>
    <w:uiPriority w:val="99"/>
    <w:semiHidden/>
    <w:unhideWhenUsed/>
    <w:rsid w:val="0024555D"/>
    <w:rPr>
      <w:rFonts w:cs="Tahoma"/>
      <w:sz w:val="16"/>
      <w:szCs w:val="16"/>
    </w:rPr>
  </w:style>
  <w:style w:type="character" w:customStyle="1" w:styleId="BalloonTextChar">
    <w:name w:val="Balloon Text Char"/>
    <w:link w:val="BalloonText"/>
    <w:uiPriority w:val="99"/>
    <w:semiHidden/>
    <w:rsid w:val="0024555D"/>
    <w:rPr>
      <w:rFonts w:ascii="Tahoma" w:hAnsi="Tahoma" w:cs="Tahoma"/>
      <w:sz w:val="16"/>
      <w:szCs w:val="16"/>
    </w:rPr>
  </w:style>
  <w:style w:type="paragraph" w:styleId="ListParagraph">
    <w:name w:val="List Paragraph"/>
    <w:aliases w:val="TMS Bullets,TMS Bullet,Bullets Level 1,Bullet point,Bullets,CV text,Dot pt,F5 List Paragraph,FooterText,L,List Paragraph1,List Paragraph11,List Paragraph111,List Paragraph2,Medium Grid 1 - Accent 21,NAST Quote,NFP GP Bulleted List,列"/>
    <w:basedOn w:val="Normal"/>
    <w:link w:val="ListParagraphChar"/>
    <w:uiPriority w:val="34"/>
    <w:qFormat/>
    <w:rsid w:val="0047667C"/>
    <w:pPr>
      <w:spacing w:before="120" w:after="120"/>
      <w:ind w:left="851" w:hanging="567"/>
    </w:pPr>
  </w:style>
  <w:style w:type="paragraph" w:customStyle="1" w:styleId="List-BulletLvl1">
    <w:name w:val="List - Bullet Lvl 1"/>
    <w:basedOn w:val="BodyText"/>
    <w:link w:val="List-BulletLvl1Char"/>
    <w:uiPriority w:val="4"/>
    <w:qFormat/>
    <w:rsid w:val="002A78C5"/>
    <w:pPr>
      <w:numPr>
        <w:numId w:val="6"/>
      </w:numPr>
      <w:spacing w:before="0"/>
    </w:pPr>
  </w:style>
  <w:style w:type="paragraph" w:customStyle="1" w:styleId="List-AlphanumericLvl1">
    <w:name w:val="List - Alphanumeric Lvl 1"/>
    <w:basedOn w:val="ListParagraph"/>
    <w:link w:val="List-AlphanumericLvl1Char"/>
    <w:uiPriority w:val="7"/>
    <w:qFormat/>
    <w:rsid w:val="00F974C3"/>
    <w:pPr>
      <w:numPr>
        <w:numId w:val="5"/>
      </w:numPr>
      <w:ind w:left="851"/>
    </w:pPr>
  </w:style>
  <w:style w:type="character" w:customStyle="1" w:styleId="ListParagraphChar">
    <w:name w:val="List Paragraph Char"/>
    <w:aliases w:val="TMS Bullets Char,TMS Bullet Char,Bullets Level 1 Char,Bullet point Char,Bullets Char,CV text Char,Dot pt Char,F5 List Paragraph Char,FooterText Char,L Char,List Paragraph1 Char,List Paragraph11 Char,List Paragraph111 Char,列 Char"/>
    <w:basedOn w:val="DefaultParagraphFont"/>
    <w:link w:val="ListParagraph"/>
    <w:uiPriority w:val="34"/>
    <w:rsid w:val="005966E4"/>
  </w:style>
  <w:style w:type="character" w:customStyle="1" w:styleId="List-BulletLvl1Char">
    <w:name w:val="List - Bullet Lvl 1 Char"/>
    <w:link w:val="List-BulletLvl1"/>
    <w:uiPriority w:val="4"/>
    <w:rsid w:val="002A78C5"/>
    <w:rPr>
      <w:lang w:val="en-NZ"/>
    </w:rPr>
  </w:style>
  <w:style w:type="character" w:customStyle="1" w:styleId="List-AlphanumericLvl1Char">
    <w:name w:val="List - Alphanumeric Lvl 1 Char"/>
    <w:link w:val="List-AlphanumericLvl1"/>
    <w:uiPriority w:val="7"/>
    <w:rsid w:val="00F974C3"/>
    <w:rPr>
      <w:lang w:val="en-NZ"/>
    </w:rPr>
  </w:style>
  <w:style w:type="paragraph" w:customStyle="1" w:styleId="List-BulletLvl2">
    <w:name w:val="List - Bullet Lvl 2"/>
    <w:basedOn w:val="BodyText"/>
    <w:link w:val="List-BulletLvl2Char"/>
    <w:uiPriority w:val="4"/>
    <w:qFormat/>
    <w:rsid w:val="002A78C5"/>
    <w:pPr>
      <w:numPr>
        <w:ilvl w:val="1"/>
        <w:numId w:val="6"/>
      </w:numPr>
    </w:pPr>
  </w:style>
  <w:style w:type="paragraph" w:customStyle="1" w:styleId="List-AlphanumericLvl2">
    <w:name w:val="List - Alphanumeric Lvl 2"/>
    <w:basedOn w:val="List-AlphanumericLvl1"/>
    <w:link w:val="List-AlphanumericLvl2Char"/>
    <w:uiPriority w:val="7"/>
    <w:rsid w:val="00F974C3"/>
    <w:pPr>
      <w:numPr>
        <w:ilvl w:val="1"/>
      </w:numPr>
      <w:ind w:left="1418"/>
    </w:pPr>
  </w:style>
  <w:style w:type="character" w:customStyle="1" w:styleId="List-BulletLvl2Char">
    <w:name w:val="List - Bullet Lvl 2 Char"/>
    <w:link w:val="List-BulletLvl2"/>
    <w:uiPriority w:val="4"/>
    <w:rsid w:val="00106F45"/>
    <w:rPr>
      <w:lang w:val="en-NZ"/>
    </w:rPr>
  </w:style>
  <w:style w:type="paragraph" w:customStyle="1" w:styleId="List-AlphanumericLvl3">
    <w:name w:val="List - Alphanumeric Lvl 3"/>
    <w:basedOn w:val="List-AlphanumericLvl2"/>
    <w:link w:val="List-AlphanumericLvl3Char"/>
    <w:uiPriority w:val="7"/>
    <w:rsid w:val="00F974C3"/>
    <w:pPr>
      <w:numPr>
        <w:ilvl w:val="2"/>
      </w:numPr>
      <w:tabs>
        <w:tab w:val="left" w:pos="1985"/>
      </w:tabs>
      <w:ind w:left="1985"/>
    </w:pPr>
  </w:style>
  <w:style w:type="character" w:customStyle="1" w:styleId="List-AlphanumericLvl2Char">
    <w:name w:val="List - Alphanumeric Lvl 2 Char"/>
    <w:link w:val="List-AlphanumericLvl2"/>
    <w:uiPriority w:val="7"/>
    <w:rsid w:val="00F974C3"/>
    <w:rPr>
      <w:lang w:val="en-NZ"/>
    </w:rPr>
  </w:style>
  <w:style w:type="character" w:customStyle="1" w:styleId="List-AlphanumericLvl3Char">
    <w:name w:val="List - Alphanumeric Lvl 3 Char"/>
    <w:link w:val="List-AlphanumericLvl3"/>
    <w:uiPriority w:val="7"/>
    <w:rsid w:val="00F974C3"/>
    <w:rPr>
      <w:lang w:val="en-NZ"/>
    </w:rPr>
  </w:style>
  <w:style w:type="paragraph" w:customStyle="1" w:styleId="CV-Name">
    <w:name w:val="CV - Name"/>
    <w:basedOn w:val="BodyText"/>
    <w:next w:val="CV-Quals"/>
    <w:link w:val="CV-NameChar"/>
    <w:uiPriority w:val="10"/>
    <w:qFormat/>
    <w:rsid w:val="00A60C1C"/>
    <w:rPr>
      <w:b/>
      <w:color w:val="77B800"/>
      <w:sz w:val="32"/>
    </w:rPr>
  </w:style>
  <w:style w:type="paragraph" w:customStyle="1" w:styleId="CV-Quals">
    <w:name w:val="CV - Quals"/>
    <w:basedOn w:val="BodyText"/>
    <w:next w:val="BodyText"/>
    <w:link w:val="CV-QualsChar"/>
    <w:uiPriority w:val="10"/>
    <w:qFormat/>
    <w:rsid w:val="008D0558"/>
    <w:pPr>
      <w:spacing w:after="360"/>
    </w:pPr>
    <w:rPr>
      <w:b/>
      <w:i/>
      <w:color w:val="36424A"/>
    </w:rPr>
  </w:style>
  <w:style w:type="character" w:customStyle="1" w:styleId="CV-NameChar">
    <w:name w:val="CV - Name Char"/>
    <w:link w:val="CV-Name"/>
    <w:uiPriority w:val="10"/>
    <w:rsid w:val="00D00851"/>
    <w:rPr>
      <w:b/>
      <w:color w:val="77B800"/>
      <w:sz w:val="32"/>
      <w:lang w:val="en-NZ"/>
    </w:rPr>
  </w:style>
  <w:style w:type="paragraph" w:customStyle="1" w:styleId="CV-Heading">
    <w:name w:val="CV - Heading"/>
    <w:basedOn w:val="BodyText"/>
    <w:next w:val="BodyText"/>
    <w:link w:val="CV-HeadingChar"/>
    <w:uiPriority w:val="11"/>
    <w:qFormat/>
    <w:rsid w:val="00A60C1C"/>
    <w:pPr>
      <w:keepNext/>
      <w:spacing w:before="360"/>
    </w:pPr>
    <w:rPr>
      <w:b/>
      <w:color w:val="77B800"/>
      <w:sz w:val="24"/>
    </w:rPr>
  </w:style>
  <w:style w:type="character" w:customStyle="1" w:styleId="CV-QualsChar">
    <w:name w:val="CV - Quals Char"/>
    <w:link w:val="CV-Quals"/>
    <w:uiPriority w:val="10"/>
    <w:rsid w:val="008D0558"/>
    <w:rPr>
      <w:b/>
      <w:i/>
      <w:color w:val="36424A"/>
      <w:lang w:val="en-NZ"/>
    </w:rPr>
  </w:style>
  <w:style w:type="paragraph" w:styleId="Title">
    <w:name w:val="Title"/>
    <w:basedOn w:val="MainTitleHeading"/>
    <w:next w:val="Normal"/>
    <w:link w:val="TitleChar"/>
    <w:uiPriority w:val="99"/>
    <w:semiHidden/>
    <w:qFormat/>
    <w:rsid w:val="007F2820"/>
    <w:pPr>
      <w:spacing w:before="3000"/>
    </w:pPr>
  </w:style>
  <w:style w:type="character" w:customStyle="1" w:styleId="CV-HeadingChar">
    <w:name w:val="CV - Heading Char"/>
    <w:link w:val="CV-Heading"/>
    <w:uiPriority w:val="11"/>
    <w:rsid w:val="00E367F3"/>
    <w:rPr>
      <w:b/>
      <w:color w:val="77B800"/>
      <w:sz w:val="24"/>
      <w:lang w:val="en-NZ"/>
    </w:rPr>
  </w:style>
  <w:style w:type="character" w:customStyle="1" w:styleId="TitleChar">
    <w:name w:val="Title Char"/>
    <w:link w:val="Title"/>
    <w:uiPriority w:val="99"/>
    <w:semiHidden/>
    <w:rsid w:val="002306E8"/>
    <w:rPr>
      <w:rFonts w:ascii="Calibri" w:hAnsi="Calibri"/>
      <w:b/>
      <w:caps/>
      <w:sz w:val="48"/>
    </w:rPr>
  </w:style>
  <w:style w:type="paragraph" w:styleId="Subtitle">
    <w:name w:val="Subtitle"/>
    <w:basedOn w:val="SubTitleHeading"/>
    <w:next w:val="Normal"/>
    <w:link w:val="SubtitleChar"/>
    <w:uiPriority w:val="99"/>
    <w:semiHidden/>
    <w:qFormat/>
    <w:rsid w:val="007F2820"/>
  </w:style>
  <w:style w:type="character" w:customStyle="1" w:styleId="SubtitleChar">
    <w:name w:val="Subtitle Char"/>
    <w:link w:val="Subtitle"/>
    <w:uiPriority w:val="99"/>
    <w:semiHidden/>
    <w:rsid w:val="002306E8"/>
    <w:rPr>
      <w:rFonts w:ascii="Calibri" w:hAnsi="Calibri"/>
      <w:b/>
      <w:sz w:val="28"/>
    </w:rPr>
  </w:style>
  <w:style w:type="character" w:customStyle="1" w:styleId="Heading6Char">
    <w:name w:val="Heading 6 Char"/>
    <w:link w:val="Heading6"/>
    <w:uiPriority w:val="1"/>
    <w:semiHidden/>
    <w:rsid w:val="0023471F"/>
    <w:rPr>
      <w:rFonts w:ascii="Calibri" w:eastAsia="MS Gothic" w:hAnsi="Calibri" w:cs="Times New Roman"/>
      <w:i/>
      <w:iCs/>
      <w:color w:val="1B2024"/>
    </w:rPr>
  </w:style>
  <w:style w:type="paragraph" w:styleId="TOC1">
    <w:name w:val="toc 1"/>
    <w:basedOn w:val="Normal"/>
    <w:next w:val="Normal"/>
    <w:uiPriority w:val="39"/>
    <w:unhideWhenUsed/>
    <w:rsid w:val="00580A2B"/>
    <w:pPr>
      <w:tabs>
        <w:tab w:val="left" w:pos="567"/>
        <w:tab w:val="right" w:pos="9072"/>
      </w:tabs>
      <w:spacing w:before="120" w:after="0"/>
    </w:pPr>
    <w:rPr>
      <w:rFonts w:ascii="Calibri" w:hAnsi="Calibri"/>
      <w:b/>
      <w:caps/>
      <w:noProof/>
    </w:rPr>
  </w:style>
  <w:style w:type="paragraph" w:styleId="TOC2">
    <w:name w:val="toc 2"/>
    <w:basedOn w:val="Normal"/>
    <w:next w:val="Normal"/>
    <w:uiPriority w:val="39"/>
    <w:unhideWhenUsed/>
    <w:rsid w:val="00580A2B"/>
    <w:pPr>
      <w:tabs>
        <w:tab w:val="left" w:pos="1418"/>
        <w:tab w:val="right" w:pos="9072"/>
      </w:tabs>
      <w:spacing w:after="0" w:line="240" w:lineRule="auto"/>
      <w:ind w:left="1418" w:hanging="851"/>
    </w:pPr>
    <w:rPr>
      <w:rFonts w:ascii="Calibri" w:hAnsi="Calibri"/>
      <w:noProof/>
    </w:rPr>
  </w:style>
  <w:style w:type="paragraph" w:styleId="TOC3">
    <w:name w:val="toc 3"/>
    <w:basedOn w:val="Normal"/>
    <w:next w:val="Normal"/>
    <w:uiPriority w:val="39"/>
    <w:unhideWhenUsed/>
    <w:rsid w:val="00CB6F2E"/>
    <w:pPr>
      <w:tabs>
        <w:tab w:val="right" w:pos="9072"/>
      </w:tabs>
      <w:spacing w:after="0" w:line="240" w:lineRule="auto"/>
      <w:ind w:left="2268" w:hanging="851"/>
    </w:pPr>
    <w:rPr>
      <w:rFonts w:ascii="Calibri" w:hAnsi="Calibri"/>
      <w:noProof/>
      <w:sz w:val="20"/>
    </w:rPr>
  </w:style>
  <w:style w:type="character" w:styleId="Hyperlink">
    <w:name w:val="Hyperlink"/>
    <w:uiPriority w:val="99"/>
    <w:unhideWhenUsed/>
    <w:rsid w:val="00EC7994"/>
    <w:rPr>
      <w:color w:val="0000FF"/>
      <w:u w:val="single"/>
    </w:rPr>
  </w:style>
  <w:style w:type="paragraph" w:customStyle="1" w:styleId="NumberedHeading1">
    <w:name w:val="Numbered Heading 1"/>
    <w:basedOn w:val="ListParagraph"/>
    <w:next w:val="BodyText"/>
    <w:link w:val="NumberedHeading1Char"/>
    <w:uiPriority w:val="2"/>
    <w:qFormat/>
    <w:rsid w:val="00F707A0"/>
    <w:pPr>
      <w:keepNext/>
      <w:numPr>
        <w:numId w:val="2"/>
      </w:numPr>
      <w:spacing w:before="360" w:after="240"/>
      <w:ind w:left="567" w:hanging="567"/>
      <w:outlineLvl w:val="0"/>
    </w:pPr>
    <w:rPr>
      <w:rFonts w:ascii="Calibri" w:hAnsi="Calibri"/>
      <w:b/>
      <w:caps/>
      <w:color w:val="36424A"/>
      <w:sz w:val="28"/>
    </w:rPr>
  </w:style>
  <w:style w:type="paragraph" w:customStyle="1" w:styleId="NumberedHeading2">
    <w:name w:val="Numbered Heading 2"/>
    <w:basedOn w:val="ListParagraph"/>
    <w:next w:val="BodyText"/>
    <w:link w:val="NumberedHeading2Char"/>
    <w:uiPriority w:val="2"/>
    <w:qFormat/>
    <w:rsid w:val="0077052C"/>
    <w:pPr>
      <w:keepNext/>
      <w:numPr>
        <w:ilvl w:val="1"/>
        <w:numId w:val="2"/>
      </w:numPr>
      <w:spacing w:before="360"/>
      <w:ind w:left="851" w:hanging="851"/>
      <w:outlineLvl w:val="1"/>
    </w:pPr>
    <w:rPr>
      <w:rFonts w:ascii="Calibri" w:hAnsi="Calibri"/>
      <w:b/>
      <w:color w:val="36424A"/>
      <w:sz w:val="28"/>
    </w:rPr>
  </w:style>
  <w:style w:type="character" w:customStyle="1" w:styleId="NumberedHeading1Char">
    <w:name w:val="Numbered Heading 1 Char"/>
    <w:link w:val="NumberedHeading1"/>
    <w:uiPriority w:val="2"/>
    <w:rsid w:val="00F707A0"/>
    <w:rPr>
      <w:rFonts w:ascii="Calibri" w:hAnsi="Calibri"/>
      <w:b/>
      <w:caps/>
      <w:color w:val="36424A"/>
      <w:sz w:val="28"/>
      <w:lang w:val="en-NZ"/>
    </w:rPr>
  </w:style>
  <w:style w:type="paragraph" w:customStyle="1" w:styleId="NumberedHeading3">
    <w:name w:val="Numbered Heading 3"/>
    <w:basedOn w:val="ListParagraph"/>
    <w:link w:val="NumberedHeading3Char"/>
    <w:uiPriority w:val="2"/>
    <w:qFormat/>
    <w:rsid w:val="0077052C"/>
    <w:pPr>
      <w:keepNext/>
      <w:numPr>
        <w:ilvl w:val="2"/>
        <w:numId w:val="2"/>
      </w:numPr>
      <w:spacing w:before="240"/>
      <w:ind w:left="851"/>
      <w:outlineLvl w:val="2"/>
    </w:pPr>
    <w:rPr>
      <w:rFonts w:ascii="Calibri" w:hAnsi="Calibri"/>
      <w:b/>
      <w:color w:val="36424A"/>
      <w:sz w:val="24"/>
    </w:rPr>
  </w:style>
  <w:style w:type="character" w:customStyle="1" w:styleId="NumberedHeading2Char">
    <w:name w:val="Numbered Heading 2 Char"/>
    <w:link w:val="NumberedHeading2"/>
    <w:uiPriority w:val="2"/>
    <w:rsid w:val="0077052C"/>
    <w:rPr>
      <w:rFonts w:ascii="Calibri" w:hAnsi="Calibri"/>
      <w:b/>
      <w:color w:val="36424A"/>
      <w:sz w:val="28"/>
      <w:lang w:val="en-NZ"/>
    </w:rPr>
  </w:style>
  <w:style w:type="paragraph" w:customStyle="1" w:styleId="NumberedHeading4">
    <w:name w:val="Numbered Heading 4"/>
    <w:basedOn w:val="ListParagraph"/>
    <w:next w:val="BodyText"/>
    <w:link w:val="NumberedHeading4Char"/>
    <w:uiPriority w:val="2"/>
    <w:unhideWhenUsed/>
    <w:rsid w:val="0077052C"/>
    <w:pPr>
      <w:keepNext/>
      <w:numPr>
        <w:ilvl w:val="3"/>
        <w:numId w:val="2"/>
      </w:numPr>
      <w:ind w:left="1134" w:hanging="1134"/>
      <w:outlineLvl w:val="3"/>
    </w:pPr>
    <w:rPr>
      <w:rFonts w:ascii="Calibri" w:hAnsi="Calibri"/>
      <w:b/>
      <w:i/>
      <w:color w:val="36424A"/>
      <w:sz w:val="24"/>
    </w:rPr>
  </w:style>
  <w:style w:type="character" w:customStyle="1" w:styleId="NumberedHeading3Char">
    <w:name w:val="Numbered Heading 3 Char"/>
    <w:link w:val="NumberedHeading3"/>
    <w:uiPriority w:val="2"/>
    <w:rsid w:val="0077052C"/>
    <w:rPr>
      <w:rFonts w:ascii="Calibri" w:hAnsi="Calibri"/>
      <w:b/>
      <w:color w:val="36424A"/>
      <w:sz w:val="24"/>
      <w:lang w:val="en-NZ"/>
    </w:rPr>
  </w:style>
  <w:style w:type="paragraph" w:customStyle="1" w:styleId="NumberedHeading5">
    <w:name w:val="Numbered Heading 5"/>
    <w:basedOn w:val="ListParagraph"/>
    <w:next w:val="BodyText"/>
    <w:link w:val="NumberedHeading5Char"/>
    <w:uiPriority w:val="2"/>
    <w:unhideWhenUsed/>
    <w:rsid w:val="0077052C"/>
    <w:pPr>
      <w:keepNext/>
      <w:numPr>
        <w:ilvl w:val="4"/>
        <w:numId w:val="3"/>
      </w:numPr>
      <w:outlineLvl w:val="4"/>
    </w:pPr>
    <w:rPr>
      <w:rFonts w:ascii="Calibri" w:hAnsi="Calibri"/>
      <w:i/>
      <w:color w:val="36424A"/>
    </w:rPr>
  </w:style>
  <w:style w:type="character" w:customStyle="1" w:styleId="NumberedHeading4Char">
    <w:name w:val="Numbered Heading 4 Char"/>
    <w:link w:val="NumberedHeading4"/>
    <w:uiPriority w:val="2"/>
    <w:rsid w:val="0077052C"/>
    <w:rPr>
      <w:rFonts w:ascii="Calibri" w:hAnsi="Calibri"/>
      <w:b/>
      <w:i/>
      <w:color w:val="36424A"/>
      <w:sz w:val="24"/>
      <w:lang w:val="en-NZ"/>
    </w:rPr>
  </w:style>
  <w:style w:type="character" w:customStyle="1" w:styleId="NumberedHeading5Char">
    <w:name w:val="Numbered Heading 5 Char"/>
    <w:link w:val="NumberedHeading5"/>
    <w:uiPriority w:val="2"/>
    <w:rsid w:val="0077052C"/>
    <w:rPr>
      <w:rFonts w:ascii="Calibri" w:hAnsi="Calibri"/>
      <w:i/>
      <w:color w:val="36424A"/>
      <w:lang w:val="en-NZ"/>
    </w:rPr>
  </w:style>
  <w:style w:type="paragraph" w:customStyle="1" w:styleId="Footer-EvenPg">
    <w:name w:val="Footer - Even Pg"/>
    <w:basedOn w:val="Footer"/>
    <w:link w:val="Footer-EvenPgChar"/>
    <w:uiPriority w:val="96"/>
    <w:rsid w:val="00B22EE9"/>
    <w:pPr>
      <w:pBdr>
        <w:top w:val="single" w:sz="4" w:space="6" w:color="77B800"/>
      </w:pBdr>
      <w:spacing w:before="240"/>
    </w:pPr>
  </w:style>
  <w:style w:type="paragraph" w:customStyle="1" w:styleId="Footer-OddPage">
    <w:name w:val="Footer - Odd Page"/>
    <w:basedOn w:val="Footer"/>
    <w:link w:val="Footer-OddPageChar"/>
    <w:uiPriority w:val="96"/>
    <w:rsid w:val="00B22EE9"/>
    <w:pPr>
      <w:pBdr>
        <w:top w:val="single" w:sz="4" w:space="6" w:color="77B800"/>
      </w:pBdr>
      <w:tabs>
        <w:tab w:val="center" w:pos="4253"/>
        <w:tab w:val="right" w:pos="9071"/>
      </w:tabs>
      <w:spacing w:before="240"/>
    </w:pPr>
  </w:style>
  <w:style w:type="character" w:customStyle="1" w:styleId="Footer-EvenPgChar">
    <w:name w:val="Footer - Even Pg Char"/>
    <w:link w:val="Footer-EvenPg"/>
    <w:uiPriority w:val="96"/>
    <w:rsid w:val="00E367F3"/>
    <w:rPr>
      <w:rFonts w:ascii="Calibri" w:hAnsi="Calibri"/>
      <w:sz w:val="18"/>
      <w:lang w:val="en-NZ"/>
    </w:rPr>
  </w:style>
  <w:style w:type="table" w:customStyle="1" w:styleId="ACGreen-BandedTable">
    <w:name w:val="A+C Green - Banded Table"/>
    <w:basedOn w:val="TableNormal"/>
    <w:uiPriority w:val="99"/>
    <w:rsid w:val="00FE5182"/>
    <w:rPr>
      <w:rFonts w:ascii="Calibri" w:hAnsi="Calibri"/>
      <w:sz w:val="21"/>
    </w:rPr>
    <w:tblPr>
      <w:tblStyleRowBandSize w:val="1"/>
      <w:tblBorders>
        <w:top w:val="single" w:sz="4" w:space="0" w:color="77B800"/>
        <w:left w:val="single" w:sz="4" w:space="0" w:color="77B800"/>
        <w:bottom w:val="single" w:sz="4" w:space="0" w:color="77B800"/>
        <w:right w:val="single" w:sz="4" w:space="0" w:color="77B800"/>
        <w:insideH w:val="single" w:sz="4" w:space="0" w:color="77B800"/>
        <w:insideV w:val="single" w:sz="4" w:space="0" w:color="77B800"/>
      </w:tblBorders>
      <w:tblCellMar>
        <w:top w:w="57" w:type="dxa"/>
        <w:left w:w="28" w:type="dxa"/>
        <w:bottom w:w="57" w:type="dxa"/>
        <w:right w:w="28" w:type="dxa"/>
      </w:tblCellMar>
    </w:tblPr>
    <w:tblStylePr w:type="firstRow">
      <w:rPr>
        <w:rFonts w:ascii="Calibri" w:hAnsi="Calibri"/>
        <w:color w:val="FFFFFF"/>
      </w:rPr>
      <w:tblPr>
        <w:tblCellMar>
          <w:top w:w="57" w:type="dxa"/>
          <w:left w:w="28" w:type="dxa"/>
          <w:bottom w:w="57" w:type="dxa"/>
          <w:right w:w="28" w:type="dxa"/>
        </w:tblCellMar>
      </w:tblPr>
      <w:trPr>
        <w:tblHeader/>
      </w:trPr>
      <w:tcPr>
        <w:shd w:val="clear" w:color="auto" w:fill="77B800"/>
      </w:tcPr>
    </w:tblStylePr>
    <w:tblStylePr w:type="band2Horz">
      <w:tblPr/>
      <w:tcPr>
        <w:shd w:val="clear" w:color="auto" w:fill="E7FFBD"/>
      </w:tcPr>
    </w:tblStylePr>
  </w:style>
  <w:style w:type="character" w:customStyle="1" w:styleId="Footer-OddPageChar">
    <w:name w:val="Footer - Odd Page Char"/>
    <w:link w:val="Footer-OddPage"/>
    <w:uiPriority w:val="96"/>
    <w:rsid w:val="00654C3D"/>
    <w:rPr>
      <w:rFonts w:ascii="Calibri" w:hAnsi="Calibri"/>
      <w:sz w:val="18"/>
      <w:lang w:val="en-NZ"/>
    </w:rPr>
  </w:style>
  <w:style w:type="table" w:styleId="TableGrid">
    <w:name w:val="Table Grid"/>
    <w:basedOn w:val="TableNormal"/>
    <w:uiPriority w:val="59"/>
    <w:rsid w:val="00F353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CGreen-BasicTable">
    <w:name w:val="A+C Green - Basic Table"/>
    <w:basedOn w:val="TableNormal"/>
    <w:uiPriority w:val="99"/>
    <w:rsid w:val="00FE5182"/>
    <w:rPr>
      <w:rFonts w:ascii="Calibri" w:hAnsi="Calibri"/>
      <w:sz w:val="21"/>
    </w:rPr>
    <w:tblPr>
      <w:tblStyleRowBandSize w:val="1"/>
      <w:tblStyleColBandSize w:val="1"/>
      <w:tblBorders>
        <w:top w:val="single" w:sz="4" w:space="0" w:color="77B800"/>
        <w:left w:val="single" w:sz="4" w:space="0" w:color="77B800"/>
        <w:bottom w:val="single" w:sz="4" w:space="0" w:color="77B800"/>
        <w:right w:val="single" w:sz="4" w:space="0" w:color="77B800"/>
        <w:insideH w:val="single" w:sz="4" w:space="0" w:color="77B800"/>
        <w:insideV w:val="single" w:sz="4" w:space="0" w:color="77B800"/>
      </w:tblBorders>
      <w:tblCellMar>
        <w:top w:w="57" w:type="dxa"/>
        <w:left w:w="28" w:type="dxa"/>
        <w:bottom w:w="57" w:type="dxa"/>
        <w:right w:w="28" w:type="dxa"/>
      </w:tblCellMar>
    </w:tblPr>
    <w:tblStylePr w:type="firstRow">
      <w:rPr>
        <w:rFonts w:ascii="Calibri" w:hAnsi="Calibri"/>
        <w:b/>
        <w:color w:val="FFFFFF"/>
        <w:sz w:val="22"/>
      </w:rPr>
      <w:tblPr/>
      <w:trPr>
        <w:tblHeader/>
      </w:trPr>
      <w:tcPr>
        <w:shd w:val="clear" w:color="auto" w:fill="77B800"/>
      </w:tcPr>
    </w:tblStylePr>
  </w:style>
  <w:style w:type="paragraph" w:customStyle="1" w:styleId="Table-bullet">
    <w:name w:val="Table - bullet"/>
    <w:basedOn w:val="Normal"/>
    <w:link w:val="Table-bulletChar"/>
    <w:uiPriority w:val="12"/>
    <w:rsid w:val="0096074E"/>
    <w:pPr>
      <w:numPr>
        <w:numId w:val="1"/>
      </w:numPr>
      <w:tabs>
        <w:tab w:val="left" w:pos="426"/>
      </w:tabs>
      <w:spacing w:after="40"/>
      <w:ind w:left="426"/>
    </w:pPr>
    <w:rPr>
      <w:rFonts w:ascii="Calibri" w:hAnsi="Calibri"/>
      <w:sz w:val="21"/>
      <w:szCs w:val="21"/>
    </w:rPr>
  </w:style>
  <w:style w:type="paragraph" w:customStyle="1" w:styleId="Table-Heading">
    <w:name w:val="Table - Heading"/>
    <w:basedOn w:val="Normal"/>
    <w:next w:val="Table-para"/>
    <w:link w:val="Table-HeadingChar"/>
    <w:uiPriority w:val="11"/>
    <w:rsid w:val="00D87440"/>
    <w:pPr>
      <w:spacing w:before="40" w:after="40"/>
    </w:pPr>
    <w:rPr>
      <w:rFonts w:ascii="Calibri" w:hAnsi="Calibri"/>
      <w:b/>
      <w:sz w:val="21"/>
      <w:szCs w:val="21"/>
    </w:rPr>
  </w:style>
  <w:style w:type="character" w:customStyle="1" w:styleId="Table-bulletChar">
    <w:name w:val="Table - bullet Char"/>
    <w:link w:val="Table-bullet"/>
    <w:uiPriority w:val="12"/>
    <w:rsid w:val="0096074E"/>
    <w:rPr>
      <w:rFonts w:ascii="Calibri" w:hAnsi="Calibri"/>
      <w:sz w:val="21"/>
      <w:szCs w:val="21"/>
      <w:lang w:val="en-NZ"/>
    </w:rPr>
  </w:style>
  <w:style w:type="paragraph" w:customStyle="1" w:styleId="Table-para">
    <w:name w:val="Table - para"/>
    <w:basedOn w:val="Normal"/>
    <w:link w:val="Table-paraChar"/>
    <w:uiPriority w:val="11"/>
    <w:rsid w:val="00D87440"/>
    <w:pPr>
      <w:spacing w:after="40"/>
    </w:pPr>
    <w:rPr>
      <w:rFonts w:ascii="Calibri" w:hAnsi="Calibri"/>
      <w:sz w:val="21"/>
      <w:szCs w:val="21"/>
    </w:rPr>
  </w:style>
  <w:style w:type="character" w:customStyle="1" w:styleId="Table-HeadingChar">
    <w:name w:val="Table - Heading Char"/>
    <w:link w:val="Table-Heading"/>
    <w:uiPriority w:val="11"/>
    <w:rsid w:val="00137E84"/>
    <w:rPr>
      <w:rFonts w:ascii="Calibri" w:hAnsi="Calibri"/>
      <w:b/>
      <w:sz w:val="21"/>
      <w:szCs w:val="21"/>
      <w:lang w:val="en-NZ"/>
    </w:rPr>
  </w:style>
  <w:style w:type="character" w:customStyle="1" w:styleId="Table-paraChar">
    <w:name w:val="Table - para Char"/>
    <w:link w:val="Table-para"/>
    <w:uiPriority w:val="11"/>
    <w:rsid w:val="00D51C8E"/>
    <w:rPr>
      <w:rFonts w:ascii="Calibri" w:hAnsi="Calibri"/>
      <w:sz w:val="21"/>
      <w:szCs w:val="21"/>
      <w:lang w:val="en-NZ"/>
    </w:rPr>
  </w:style>
  <w:style w:type="paragraph" w:styleId="Quote">
    <w:name w:val="Quote"/>
    <w:basedOn w:val="BodyText"/>
    <w:next w:val="BodyText"/>
    <w:link w:val="QuoteChar"/>
    <w:uiPriority w:val="20"/>
    <w:qFormat/>
    <w:rsid w:val="00F02E54"/>
    <w:pPr>
      <w:ind w:left="1134" w:right="1089"/>
    </w:pPr>
    <w:rPr>
      <w:i/>
      <w:iCs/>
      <w:color w:val="000000"/>
    </w:rPr>
  </w:style>
  <w:style w:type="character" w:customStyle="1" w:styleId="QuoteChar">
    <w:name w:val="Quote Char"/>
    <w:link w:val="Quote"/>
    <w:uiPriority w:val="20"/>
    <w:rsid w:val="00E367F3"/>
    <w:rPr>
      <w:i/>
      <w:iCs/>
      <w:color w:val="000000"/>
      <w:lang w:val="en-NZ"/>
    </w:rPr>
  </w:style>
  <w:style w:type="paragraph" w:styleId="BodyText">
    <w:name w:val="Body Text"/>
    <w:aliases w:val="Body Text MFAT"/>
    <w:link w:val="BodyTextChar"/>
    <w:qFormat/>
    <w:locked/>
    <w:rsid w:val="00E14424"/>
    <w:pPr>
      <w:spacing w:before="120" w:after="120" w:line="280" w:lineRule="exact"/>
      <w:jc w:val="both"/>
    </w:pPr>
    <w:rPr>
      <w:sz w:val="22"/>
      <w:szCs w:val="22"/>
      <w:lang w:val="en-NZ" w:eastAsia="en-US"/>
    </w:rPr>
  </w:style>
  <w:style w:type="character" w:customStyle="1" w:styleId="BodyTextChar">
    <w:name w:val="Body Text Char"/>
    <w:aliases w:val="Body Text MFAT Char"/>
    <w:link w:val="BodyText"/>
    <w:rsid w:val="00E14424"/>
    <w:rPr>
      <w:lang w:val="en-NZ"/>
    </w:rPr>
  </w:style>
  <w:style w:type="paragraph" w:styleId="Caption">
    <w:name w:val="caption"/>
    <w:basedOn w:val="Normal"/>
    <w:next w:val="Normal"/>
    <w:uiPriority w:val="99"/>
    <w:qFormat/>
    <w:rsid w:val="00B9352F"/>
    <w:pPr>
      <w:spacing w:after="120"/>
    </w:pPr>
    <w:rPr>
      <w:b/>
      <w:bCs/>
      <w:color w:val="36424A"/>
      <w:sz w:val="18"/>
      <w:szCs w:val="18"/>
    </w:rPr>
  </w:style>
  <w:style w:type="paragraph" w:customStyle="1" w:styleId="Footer-OddpageLANDSCAPE">
    <w:name w:val="Footer - Odd page LANDSCAPE"/>
    <w:basedOn w:val="Footer-OddPage"/>
    <w:link w:val="Footer-OddpageLANDSCAPEChar"/>
    <w:uiPriority w:val="97"/>
    <w:qFormat/>
    <w:rsid w:val="00B22EE9"/>
    <w:pPr>
      <w:tabs>
        <w:tab w:val="clear" w:pos="9071"/>
        <w:tab w:val="center" w:pos="7088"/>
        <w:tab w:val="right" w:pos="14003"/>
      </w:tabs>
    </w:pPr>
  </w:style>
  <w:style w:type="character" w:customStyle="1" w:styleId="Footer-OddpageLANDSCAPEChar">
    <w:name w:val="Footer - Odd page LANDSCAPE Char"/>
    <w:link w:val="Footer-OddpageLANDSCAPE"/>
    <w:uiPriority w:val="97"/>
    <w:rsid w:val="0084747E"/>
    <w:rPr>
      <w:rFonts w:ascii="Calibri" w:hAnsi="Calibri"/>
      <w:sz w:val="18"/>
      <w:lang w:val="en-NZ"/>
    </w:rPr>
  </w:style>
  <w:style w:type="character" w:customStyle="1" w:styleId="Subheader">
    <w:name w:val="Sub header"/>
    <w:uiPriority w:val="99"/>
    <w:semiHidden/>
    <w:rsid w:val="00731BFE"/>
    <w:rPr>
      <w:rFonts w:ascii="NexusMixPro-Bold" w:hAnsi="NexusMixPro-Bold" w:cs="NexusMixPro-Bold"/>
      <w:b/>
      <w:bCs/>
      <w:color w:val="4B565E"/>
      <w:sz w:val="28"/>
      <w:szCs w:val="28"/>
    </w:rPr>
  </w:style>
  <w:style w:type="character" w:customStyle="1" w:styleId="Subsub">
    <w:name w:val="Sub sub"/>
    <w:uiPriority w:val="99"/>
    <w:semiHidden/>
    <w:rsid w:val="00731BFE"/>
    <w:rPr>
      <w:rFonts w:ascii="AvenirLTStd-Book" w:hAnsi="AvenirLTStd-Book" w:cs="AvenirLTStd-Book"/>
      <w:color w:val="373F45"/>
      <w:sz w:val="26"/>
      <w:szCs w:val="26"/>
    </w:rPr>
  </w:style>
  <w:style w:type="paragraph" w:styleId="NormalWeb">
    <w:name w:val="Normal (Web)"/>
    <w:basedOn w:val="Normal"/>
    <w:uiPriority w:val="99"/>
    <w:unhideWhenUsed/>
    <w:rsid w:val="00451CA4"/>
    <w:pPr>
      <w:spacing w:before="100" w:beforeAutospacing="1" w:after="100" w:afterAutospacing="1"/>
    </w:pPr>
    <w:rPr>
      <w:rFonts w:ascii="Times New Roman" w:eastAsia="MS Mincho" w:hAnsi="Times New Roman"/>
      <w:sz w:val="24"/>
      <w:szCs w:val="24"/>
      <w:lang w:eastAsia="en-NZ"/>
    </w:rPr>
  </w:style>
  <w:style w:type="table" w:styleId="LightList-Accent2">
    <w:name w:val="Light List Accent 2"/>
    <w:basedOn w:val="TableNormal"/>
    <w:uiPriority w:val="61"/>
    <w:rsid w:val="00B63343"/>
    <w:tblPr>
      <w:tblStyleRowBandSize w:val="1"/>
      <w:tblStyleColBandSize w:val="1"/>
      <w:tblBorders>
        <w:top w:val="single" w:sz="8" w:space="0" w:color="77B800"/>
        <w:left w:val="single" w:sz="8" w:space="0" w:color="77B800"/>
        <w:bottom w:val="single" w:sz="8" w:space="0" w:color="77B800"/>
        <w:right w:val="single" w:sz="8" w:space="0" w:color="77B800"/>
      </w:tblBorders>
    </w:tblPr>
    <w:tblStylePr w:type="firstRow">
      <w:pPr>
        <w:spacing w:before="0" w:after="0" w:line="240" w:lineRule="auto"/>
      </w:pPr>
      <w:rPr>
        <w:b/>
        <w:bCs/>
        <w:color w:val="FFFFFF"/>
      </w:rPr>
      <w:tblPr/>
      <w:tcPr>
        <w:shd w:val="clear" w:color="auto" w:fill="77B800"/>
      </w:tcPr>
    </w:tblStylePr>
    <w:tblStylePr w:type="lastRow">
      <w:pPr>
        <w:spacing w:before="0" w:after="0" w:line="240" w:lineRule="auto"/>
      </w:pPr>
      <w:rPr>
        <w:b/>
        <w:bCs/>
      </w:rPr>
      <w:tblPr/>
      <w:tcPr>
        <w:tcBorders>
          <w:top w:val="double" w:sz="6" w:space="0" w:color="77B800"/>
          <w:left w:val="single" w:sz="8" w:space="0" w:color="77B800"/>
          <w:bottom w:val="single" w:sz="8" w:space="0" w:color="77B800"/>
          <w:right w:val="single" w:sz="8" w:space="0" w:color="77B800"/>
        </w:tcBorders>
      </w:tcPr>
    </w:tblStylePr>
    <w:tblStylePr w:type="firstCol">
      <w:rPr>
        <w:b/>
        <w:bCs/>
      </w:rPr>
    </w:tblStylePr>
    <w:tblStylePr w:type="lastCol">
      <w:rPr>
        <w:b/>
        <w:bCs/>
      </w:rPr>
    </w:tblStylePr>
    <w:tblStylePr w:type="band1Vert">
      <w:tblPr/>
      <w:tcPr>
        <w:tcBorders>
          <w:top w:val="single" w:sz="8" w:space="0" w:color="77B800"/>
          <w:left w:val="single" w:sz="8" w:space="0" w:color="77B800"/>
          <w:bottom w:val="single" w:sz="8" w:space="0" w:color="77B800"/>
          <w:right w:val="single" w:sz="8" w:space="0" w:color="77B800"/>
        </w:tcBorders>
      </w:tcPr>
    </w:tblStylePr>
    <w:tblStylePr w:type="band1Horz">
      <w:tblPr/>
      <w:tcPr>
        <w:tcBorders>
          <w:top w:val="single" w:sz="8" w:space="0" w:color="77B800"/>
          <w:left w:val="single" w:sz="8" w:space="0" w:color="77B800"/>
          <w:bottom w:val="single" w:sz="8" w:space="0" w:color="77B800"/>
          <w:right w:val="single" w:sz="8" w:space="0" w:color="77B800"/>
        </w:tcBorders>
      </w:tcPr>
    </w:tblStylePr>
  </w:style>
  <w:style w:type="character" w:styleId="PlaceholderText">
    <w:name w:val="Placeholder Text"/>
    <w:uiPriority w:val="99"/>
    <w:semiHidden/>
    <w:rsid w:val="00A81AD0"/>
    <w:rPr>
      <w:color w:val="808080"/>
    </w:rPr>
  </w:style>
  <w:style w:type="paragraph" w:styleId="ListBullet">
    <w:name w:val="List Bullet"/>
    <w:basedOn w:val="List-BulletLvl1"/>
    <w:uiPriority w:val="99"/>
    <w:semiHidden/>
    <w:rsid w:val="00515F93"/>
  </w:style>
  <w:style w:type="paragraph" w:styleId="ListBullet2">
    <w:name w:val="List Bullet 2"/>
    <w:basedOn w:val="List-BulletLvl2"/>
    <w:uiPriority w:val="99"/>
    <w:semiHidden/>
    <w:rsid w:val="001D206F"/>
  </w:style>
  <w:style w:type="paragraph" w:styleId="ListNumber">
    <w:name w:val="List Number"/>
    <w:basedOn w:val="List-AlphanumericLvl1"/>
    <w:next w:val="ListNumber2"/>
    <w:link w:val="ListNumberChar"/>
    <w:uiPriority w:val="99"/>
    <w:semiHidden/>
    <w:rsid w:val="00C41817"/>
  </w:style>
  <w:style w:type="paragraph" w:styleId="ListNumber2">
    <w:name w:val="List Number 2"/>
    <w:basedOn w:val="List-AlphanumericLvl2"/>
    <w:next w:val="ListNumber3"/>
    <w:uiPriority w:val="99"/>
    <w:semiHidden/>
    <w:rsid w:val="00C41817"/>
  </w:style>
  <w:style w:type="paragraph" w:styleId="ListNumber3">
    <w:name w:val="List Number 3"/>
    <w:basedOn w:val="List-AlphanumericLvl3"/>
    <w:uiPriority w:val="99"/>
    <w:semiHidden/>
    <w:rsid w:val="00C41817"/>
  </w:style>
  <w:style w:type="paragraph" w:styleId="ListBullet3">
    <w:name w:val="List Bullet 3"/>
    <w:basedOn w:val="Normal"/>
    <w:link w:val="ListBullet3Char"/>
    <w:uiPriority w:val="99"/>
    <w:semiHidden/>
    <w:rsid w:val="00946114"/>
    <w:pPr>
      <w:numPr>
        <w:numId w:val="4"/>
      </w:numPr>
      <w:spacing w:before="120" w:after="120"/>
      <w:ind w:left="1985" w:hanging="567"/>
    </w:pPr>
  </w:style>
  <w:style w:type="paragraph" w:customStyle="1" w:styleId="List-BulletLvl3">
    <w:name w:val="List - Bullet Lvl 3"/>
    <w:basedOn w:val="BodyText"/>
    <w:link w:val="List-BulletLvl3Char"/>
    <w:uiPriority w:val="4"/>
    <w:rsid w:val="002A78C5"/>
    <w:pPr>
      <w:numPr>
        <w:ilvl w:val="2"/>
        <w:numId w:val="6"/>
      </w:numPr>
    </w:pPr>
  </w:style>
  <w:style w:type="paragraph" w:customStyle="1" w:styleId="CV-Heading2">
    <w:name w:val="CV - Heading 2"/>
    <w:basedOn w:val="Heading5"/>
    <w:next w:val="BodyText"/>
    <w:link w:val="CV-Heading2Char"/>
    <w:uiPriority w:val="11"/>
    <w:qFormat/>
    <w:rsid w:val="00A60C1C"/>
    <w:pPr>
      <w:spacing w:before="360"/>
      <w:outlineLvl w:val="9"/>
    </w:pPr>
    <w:rPr>
      <w:rFonts w:ascii="Cambria" w:hAnsi="Cambria"/>
      <w:b/>
      <w:i w:val="0"/>
    </w:rPr>
  </w:style>
  <w:style w:type="character" w:customStyle="1" w:styleId="ListBullet3Char">
    <w:name w:val="List Bullet 3 Char"/>
    <w:link w:val="ListBullet3"/>
    <w:uiPriority w:val="99"/>
    <w:semiHidden/>
    <w:rsid w:val="005966E4"/>
    <w:rPr>
      <w:lang w:val="en-NZ"/>
    </w:rPr>
  </w:style>
  <w:style w:type="character" w:customStyle="1" w:styleId="List-BulletLvl3Char">
    <w:name w:val="List - Bullet Lvl 3 Char"/>
    <w:link w:val="List-BulletLvl3"/>
    <w:uiPriority w:val="4"/>
    <w:rsid w:val="00106F45"/>
    <w:rPr>
      <w:lang w:val="en-NZ"/>
    </w:rPr>
  </w:style>
  <w:style w:type="character" w:customStyle="1" w:styleId="CV-Heading2Char">
    <w:name w:val="CV - Heading 2 Char"/>
    <w:link w:val="CV-Heading2"/>
    <w:uiPriority w:val="11"/>
    <w:rsid w:val="00E367F3"/>
    <w:rPr>
      <w:rFonts w:ascii="Calibri" w:hAnsi="Calibri"/>
      <w:b/>
      <w:i w:val="0"/>
      <w:color w:val="36424A"/>
      <w:lang w:val="en-NZ"/>
    </w:rPr>
  </w:style>
  <w:style w:type="table" w:customStyle="1" w:styleId="ACGrey-BasicTable">
    <w:name w:val="A+C Grey - Basic Table"/>
    <w:basedOn w:val="TableNormal"/>
    <w:uiPriority w:val="99"/>
    <w:rsid w:val="00FE5182"/>
    <w:rPr>
      <w:rFonts w:ascii="Calibri" w:hAnsi="Calibri"/>
      <w:sz w:val="21"/>
    </w:rPr>
    <w:tblPr>
      <w:tblBorders>
        <w:top w:val="single" w:sz="4" w:space="0" w:color="36424A"/>
        <w:left w:val="single" w:sz="4" w:space="0" w:color="36424A"/>
        <w:bottom w:val="single" w:sz="4" w:space="0" w:color="36424A"/>
        <w:right w:val="single" w:sz="4" w:space="0" w:color="36424A"/>
        <w:insideH w:val="single" w:sz="4" w:space="0" w:color="36424A"/>
        <w:insideV w:val="single" w:sz="4" w:space="0" w:color="36424A"/>
      </w:tblBorders>
      <w:tblCellMar>
        <w:top w:w="57" w:type="dxa"/>
        <w:left w:w="28" w:type="dxa"/>
        <w:bottom w:w="57" w:type="dxa"/>
        <w:right w:w="28" w:type="dxa"/>
      </w:tblCellMar>
    </w:tblPr>
    <w:tblStylePr w:type="firstRow">
      <w:rPr>
        <w:rFonts w:ascii="Calibri" w:hAnsi="Calibri"/>
        <w:b/>
        <w:color w:val="FFFFFF"/>
        <w:sz w:val="20"/>
      </w:rPr>
      <w:tblPr/>
      <w:trPr>
        <w:cantSplit/>
        <w:tblHeader/>
      </w:trPr>
      <w:tcPr>
        <w:shd w:val="clear" w:color="auto" w:fill="36424A"/>
      </w:tcPr>
    </w:tblStylePr>
  </w:style>
  <w:style w:type="table" w:customStyle="1" w:styleId="ACGrey-BandedTable">
    <w:name w:val="A+C Grey - Banded Table"/>
    <w:basedOn w:val="TableNormal"/>
    <w:uiPriority w:val="99"/>
    <w:rsid w:val="00FE5182"/>
    <w:rPr>
      <w:rFonts w:ascii="Calibri" w:hAnsi="Calibri"/>
      <w:sz w:val="21"/>
    </w:rPr>
    <w:tblPr>
      <w:tblStyleRowBandSize w:val="1"/>
      <w:tblBorders>
        <w:top w:val="single" w:sz="4" w:space="0" w:color="36424A"/>
        <w:left w:val="single" w:sz="4" w:space="0" w:color="36424A"/>
        <w:bottom w:val="single" w:sz="4" w:space="0" w:color="36424A"/>
        <w:right w:val="single" w:sz="4" w:space="0" w:color="36424A"/>
        <w:insideH w:val="single" w:sz="4" w:space="0" w:color="36424A"/>
        <w:insideV w:val="single" w:sz="4" w:space="0" w:color="36424A"/>
      </w:tblBorders>
      <w:tblCellMar>
        <w:top w:w="57" w:type="dxa"/>
        <w:left w:w="28" w:type="dxa"/>
        <w:bottom w:w="57" w:type="dxa"/>
        <w:right w:w="28" w:type="dxa"/>
      </w:tblCellMar>
    </w:tblPr>
    <w:tcPr>
      <w:shd w:val="clear" w:color="auto" w:fill="auto"/>
    </w:tcPr>
    <w:tblStylePr w:type="firstRow">
      <w:rPr>
        <w:rFonts w:ascii="Calibri" w:hAnsi="Calibri"/>
        <w:color w:val="FFFFFF"/>
      </w:rPr>
      <w:tblPr/>
      <w:tcPr>
        <w:shd w:val="clear" w:color="auto" w:fill="36424A"/>
      </w:tcPr>
    </w:tblStylePr>
    <w:tblStylePr w:type="band2Horz">
      <w:rPr>
        <w:color w:val="auto"/>
      </w:rPr>
      <w:tblPr/>
      <w:tcPr>
        <w:shd w:val="clear" w:color="auto" w:fill="D2D9DE"/>
      </w:tcPr>
    </w:tblStylePr>
  </w:style>
  <w:style w:type="character" w:customStyle="1" w:styleId="ListNumberChar">
    <w:name w:val="List Number Char"/>
    <w:link w:val="ListNumber"/>
    <w:uiPriority w:val="99"/>
    <w:semiHidden/>
    <w:rsid w:val="005966E4"/>
    <w:rPr>
      <w:lang w:val="en-NZ"/>
    </w:rPr>
  </w:style>
  <w:style w:type="paragraph" w:styleId="NoSpacing">
    <w:name w:val="No Spacing"/>
    <w:rsid w:val="0005451D"/>
    <w:rPr>
      <w:sz w:val="22"/>
      <w:szCs w:val="22"/>
      <w:lang w:val="en-NZ" w:eastAsia="en-US"/>
    </w:rPr>
  </w:style>
  <w:style w:type="paragraph" w:customStyle="1" w:styleId="ACReport-MainTitle">
    <w:name w:val="A+C Report - Main Title"/>
    <w:basedOn w:val="MainTitleHeading"/>
    <w:link w:val="ACReport-MainTitleChar"/>
    <w:rsid w:val="00EE4E34"/>
    <w:pPr>
      <w:spacing w:before="240" w:after="0" w:line="216" w:lineRule="auto"/>
      <w:ind w:left="567"/>
      <w:jc w:val="left"/>
    </w:pPr>
    <w:rPr>
      <w:b w:val="0"/>
      <w:caps w:val="0"/>
      <w:color w:val="FFFFFF"/>
      <w:sz w:val="96"/>
    </w:rPr>
  </w:style>
  <w:style w:type="character" w:styleId="Emphasis">
    <w:name w:val="Emphasis"/>
    <w:uiPriority w:val="20"/>
    <w:qFormat/>
    <w:rsid w:val="00492E74"/>
    <w:rPr>
      <w:i/>
      <w:iCs/>
    </w:rPr>
  </w:style>
  <w:style w:type="character" w:styleId="Strong">
    <w:name w:val="Strong"/>
    <w:uiPriority w:val="22"/>
    <w:qFormat/>
    <w:rsid w:val="00492E74"/>
    <w:rPr>
      <w:b/>
      <w:bCs/>
    </w:rPr>
  </w:style>
  <w:style w:type="paragraph" w:styleId="TableofFigures">
    <w:name w:val="table of figures"/>
    <w:basedOn w:val="BodyText"/>
    <w:next w:val="Normal"/>
    <w:uiPriority w:val="99"/>
    <w:unhideWhenUsed/>
    <w:rsid w:val="00D17582"/>
    <w:pPr>
      <w:tabs>
        <w:tab w:val="right" w:pos="9072"/>
      </w:tabs>
    </w:pPr>
    <w:rPr>
      <w:rFonts w:ascii="Calibri" w:hAnsi="Calibri"/>
    </w:rPr>
  </w:style>
  <w:style w:type="paragraph" w:styleId="FootnoteText">
    <w:name w:val="footnote text"/>
    <w:basedOn w:val="Normal"/>
    <w:link w:val="FootnoteTextChar"/>
    <w:uiPriority w:val="99"/>
    <w:rsid w:val="00E56D82"/>
    <w:pPr>
      <w:spacing w:after="0" w:line="240" w:lineRule="auto"/>
    </w:pPr>
    <w:rPr>
      <w:sz w:val="20"/>
      <w:szCs w:val="20"/>
    </w:rPr>
  </w:style>
  <w:style w:type="character" w:customStyle="1" w:styleId="FootnoteTextChar">
    <w:name w:val="Footnote Text Char"/>
    <w:link w:val="FootnoteText"/>
    <w:uiPriority w:val="99"/>
    <w:rsid w:val="005966E4"/>
    <w:rPr>
      <w:sz w:val="20"/>
      <w:szCs w:val="20"/>
    </w:rPr>
  </w:style>
  <w:style w:type="character" w:styleId="FootnoteReference">
    <w:name w:val="footnote reference"/>
    <w:uiPriority w:val="99"/>
    <w:semiHidden/>
    <w:unhideWhenUsed/>
    <w:rsid w:val="00E56D82"/>
    <w:rPr>
      <w:vertAlign w:val="superscript"/>
    </w:rPr>
  </w:style>
  <w:style w:type="paragraph" w:customStyle="1" w:styleId="Footer-OddPg-RomanNumerals">
    <w:name w:val="Footer - Odd Pg - Roman Numerals"/>
    <w:basedOn w:val="Footer-OddPage"/>
    <w:link w:val="Footer-OddPg-RomanNumeralsChar"/>
    <w:uiPriority w:val="98"/>
    <w:qFormat/>
    <w:rsid w:val="005B2E0E"/>
    <w:pPr>
      <w:pBdr>
        <w:top w:val="single" w:sz="4" w:space="1" w:color="77B800"/>
      </w:pBdr>
    </w:pPr>
  </w:style>
  <w:style w:type="paragraph" w:customStyle="1" w:styleId="Footer-EvenPg-RomanNumeral">
    <w:name w:val="Footer - Even Pg - Roman Numeral"/>
    <w:basedOn w:val="Footer-EvenPg"/>
    <w:link w:val="Footer-EvenPg-RomanNumeralChar"/>
    <w:uiPriority w:val="98"/>
    <w:qFormat/>
    <w:rsid w:val="005B2E0E"/>
    <w:pPr>
      <w:pBdr>
        <w:top w:val="single" w:sz="4" w:space="1" w:color="77B800"/>
      </w:pBdr>
    </w:pPr>
  </w:style>
  <w:style w:type="character" w:customStyle="1" w:styleId="Footer-OddPg-RomanNumeralsChar">
    <w:name w:val="Footer - Odd Pg - Roman Numerals Char"/>
    <w:link w:val="Footer-OddPg-RomanNumerals"/>
    <w:uiPriority w:val="98"/>
    <w:rsid w:val="00654C3D"/>
    <w:rPr>
      <w:rFonts w:ascii="Calibri" w:hAnsi="Calibri"/>
      <w:sz w:val="18"/>
      <w:lang w:val="en-NZ"/>
    </w:rPr>
  </w:style>
  <w:style w:type="paragraph" w:customStyle="1" w:styleId="Footer-EvenPg-LANDSCAPE">
    <w:name w:val="Footer - Even Pg - LANDSCAPE"/>
    <w:basedOn w:val="Footer-EvenPg"/>
    <w:link w:val="Footer-EvenPg-LANDSCAPEChar"/>
    <w:uiPriority w:val="97"/>
    <w:qFormat/>
    <w:rsid w:val="00DA53FF"/>
    <w:pPr>
      <w:pBdr>
        <w:top w:val="single" w:sz="4" w:space="0" w:color="77B800"/>
      </w:pBdr>
    </w:pPr>
  </w:style>
  <w:style w:type="character" w:customStyle="1" w:styleId="Footer-EvenPg-RomanNumeralChar">
    <w:name w:val="Footer - Even Pg - Roman Numeral Char"/>
    <w:link w:val="Footer-EvenPg-RomanNumeral"/>
    <w:uiPriority w:val="98"/>
    <w:rsid w:val="00654C3D"/>
    <w:rPr>
      <w:rFonts w:ascii="Calibri" w:hAnsi="Calibri"/>
      <w:sz w:val="18"/>
      <w:lang w:val="en-NZ"/>
    </w:rPr>
  </w:style>
  <w:style w:type="character" w:customStyle="1" w:styleId="Footer-EvenPg-LANDSCAPEChar">
    <w:name w:val="Footer - Even Pg - LANDSCAPE Char"/>
    <w:link w:val="Footer-EvenPg-LANDSCAPE"/>
    <w:uiPriority w:val="97"/>
    <w:rsid w:val="00DA53FF"/>
    <w:rPr>
      <w:rFonts w:ascii="Calibri" w:hAnsi="Calibri"/>
      <w:sz w:val="18"/>
      <w:lang w:val="en-NZ"/>
    </w:rPr>
  </w:style>
  <w:style w:type="paragraph" w:customStyle="1" w:styleId="GreenTextBox">
    <w:name w:val="Green Text Box"/>
    <w:basedOn w:val="BodyText"/>
    <w:next w:val="BodyText"/>
    <w:link w:val="GreenTextBoxChar"/>
    <w:uiPriority w:val="1"/>
    <w:qFormat/>
    <w:rsid w:val="00F914B8"/>
    <w:pPr>
      <w:pBdr>
        <w:top w:val="single" w:sz="4" w:space="3" w:color="77B800"/>
        <w:left w:val="single" w:sz="4" w:space="6" w:color="77B800"/>
        <w:bottom w:val="single" w:sz="4" w:space="3" w:color="77B800"/>
        <w:right w:val="single" w:sz="4" w:space="6" w:color="77B800"/>
      </w:pBdr>
      <w:shd w:val="clear" w:color="auto" w:fill="77B800"/>
      <w:ind w:left="142" w:right="140"/>
    </w:pPr>
    <w:rPr>
      <w:i/>
      <w:color w:val="FFFFFF"/>
    </w:rPr>
  </w:style>
  <w:style w:type="paragraph" w:customStyle="1" w:styleId="Heading1-NOTinTOC">
    <w:name w:val="Heading 1 - NOT in TOC"/>
    <w:basedOn w:val="Heading1"/>
    <w:next w:val="BodyText"/>
    <w:link w:val="Heading1-NOTinTOCChar"/>
    <w:uiPriority w:val="13"/>
    <w:qFormat/>
    <w:rsid w:val="00C1462F"/>
    <w:pPr>
      <w:outlineLvl w:val="9"/>
    </w:pPr>
  </w:style>
  <w:style w:type="character" w:customStyle="1" w:styleId="GreenTextBoxChar">
    <w:name w:val="Green Text Box Char"/>
    <w:link w:val="GreenTextBox"/>
    <w:uiPriority w:val="1"/>
    <w:rsid w:val="00E367F3"/>
    <w:rPr>
      <w:i/>
      <w:color w:val="FFFFFF"/>
      <w:shd w:val="clear" w:color="auto" w:fill="77B800"/>
      <w:lang w:val="en-NZ"/>
    </w:rPr>
  </w:style>
  <w:style w:type="paragraph" w:customStyle="1" w:styleId="Heading2-NOTinTOC">
    <w:name w:val="Heading 2 - NOT in TOC"/>
    <w:basedOn w:val="Heading2"/>
    <w:next w:val="BodyText"/>
    <w:link w:val="Heading2-NOTinTOCChar"/>
    <w:uiPriority w:val="13"/>
    <w:qFormat/>
    <w:rsid w:val="000968A5"/>
    <w:pPr>
      <w:outlineLvl w:val="9"/>
    </w:pPr>
  </w:style>
  <w:style w:type="character" w:customStyle="1" w:styleId="Heading1-NOTinTOCChar">
    <w:name w:val="Heading 1 - NOT in TOC Char"/>
    <w:link w:val="Heading1-NOTinTOC"/>
    <w:uiPriority w:val="13"/>
    <w:rsid w:val="000968A5"/>
    <w:rPr>
      <w:rFonts w:ascii="Calibri" w:hAnsi="Calibri"/>
      <w:b/>
      <w:caps/>
      <w:color w:val="36424A"/>
      <w:sz w:val="28"/>
      <w:lang w:val="en-NZ"/>
    </w:rPr>
  </w:style>
  <w:style w:type="paragraph" w:customStyle="1" w:styleId="Heading3-NOTinTOC">
    <w:name w:val="Heading 3 - NOT in TOC"/>
    <w:basedOn w:val="Heading3"/>
    <w:next w:val="BodyText"/>
    <w:link w:val="Heading3-NOTinTOCChar"/>
    <w:uiPriority w:val="13"/>
    <w:qFormat/>
    <w:rsid w:val="000968A5"/>
    <w:pPr>
      <w:outlineLvl w:val="9"/>
    </w:pPr>
  </w:style>
  <w:style w:type="character" w:customStyle="1" w:styleId="Heading2-NOTinTOCChar">
    <w:name w:val="Heading 2 - NOT in TOC Char"/>
    <w:link w:val="Heading2-NOTinTOC"/>
    <w:uiPriority w:val="13"/>
    <w:rsid w:val="000968A5"/>
    <w:rPr>
      <w:rFonts w:ascii="Calibri" w:hAnsi="Calibri"/>
      <w:b/>
      <w:color w:val="36424A"/>
      <w:sz w:val="28"/>
      <w:lang w:val="en-NZ"/>
    </w:rPr>
  </w:style>
  <w:style w:type="character" w:customStyle="1" w:styleId="Heading3-NOTinTOCChar">
    <w:name w:val="Heading 3 - NOT in TOC Char"/>
    <w:link w:val="Heading3-NOTinTOC"/>
    <w:uiPriority w:val="13"/>
    <w:rsid w:val="000968A5"/>
    <w:rPr>
      <w:rFonts w:ascii="Calibri" w:hAnsi="Calibri"/>
      <w:b/>
      <w:color w:val="36424A"/>
      <w:sz w:val="24"/>
      <w:lang w:val="en-NZ"/>
    </w:rPr>
  </w:style>
  <w:style w:type="paragraph" w:customStyle="1" w:styleId="BodyText-GREEN">
    <w:name w:val="Body Text - GREEN"/>
    <w:basedOn w:val="BodyText"/>
    <w:link w:val="BodyText-GREENChar"/>
    <w:qFormat/>
    <w:rsid w:val="00654C3D"/>
    <w:rPr>
      <w:color w:val="77B800"/>
    </w:rPr>
  </w:style>
  <w:style w:type="paragraph" w:customStyle="1" w:styleId="ACReport-Subtitle">
    <w:name w:val="A+C Report - Subtitle"/>
    <w:basedOn w:val="SubTitleHeading"/>
    <w:link w:val="ACReport-SubtitleChar"/>
    <w:rsid w:val="00EE4E34"/>
    <w:pPr>
      <w:spacing w:before="240"/>
      <w:ind w:left="567"/>
      <w:jc w:val="left"/>
    </w:pPr>
    <w:rPr>
      <w:color w:val="FFFFFF"/>
      <w:sz w:val="32"/>
    </w:rPr>
  </w:style>
  <w:style w:type="character" w:customStyle="1" w:styleId="BodyText-GREENChar">
    <w:name w:val="Body Text - GREEN Char"/>
    <w:link w:val="BodyText-GREEN"/>
    <w:rsid w:val="00654C3D"/>
    <w:rPr>
      <w:color w:val="77B800"/>
      <w:lang w:val="en-NZ"/>
    </w:rPr>
  </w:style>
  <w:style w:type="character" w:customStyle="1" w:styleId="ACReport-MainTitleChar">
    <w:name w:val="A+C Report - Main Title Char"/>
    <w:link w:val="ACReport-MainTitle"/>
    <w:rsid w:val="00EE4E34"/>
    <w:rPr>
      <w:rFonts w:ascii="Calibri" w:hAnsi="Calibri"/>
      <w:b w:val="0"/>
      <w:caps w:val="0"/>
      <w:color w:val="FFFFFF"/>
      <w:sz w:val="96"/>
      <w:lang w:val="en-NZ"/>
    </w:rPr>
  </w:style>
  <w:style w:type="character" w:customStyle="1" w:styleId="ACReport-SubtitleChar">
    <w:name w:val="A+C Report - Subtitle Char"/>
    <w:link w:val="ACReport-Subtitle"/>
    <w:rsid w:val="00EE4E34"/>
    <w:rPr>
      <w:rFonts w:ascii="Calibri" w:hAnsi="Calibri"/>
      <w:b/>
      <w:color w:val="FFFFFF"/>
      <w:sz w:val="32"/>
      <w:lang w:val="en-NZ"/>
    </w:rPr>
  </w:style>
  <w:style w:type="paragraph" w:customStyle="1" w:styleId="ACReportDate">
    <w:name w:val="A+C Report Date"/>
    <w:basedOn w:val="ACReport-Subtitle"/>
    <w:link w:val="ACReportDateChar"/>
    <w:rsid w:val="00EE4E34"/>
    <w:rPr>
      <w:sz w:val="24"/>
    </w:rPr>
  </w:style>
  <w:style w:type="character" w:customStyle="1" w:styleId="ACReportDateChar">
    <w:name w:val="A+C Report Date Char"/>
    <w:link w:val="ACReportDate"/>
    <w:rsid w:val="00EE4E34"/>
    <w:rPr>
      <w:rFonts w:ascii="Calibri" w:hAnsi="Calibri"/>
      <w:b/>
      <w:color w:val="FFFFFF"/>
      <w:sz w:val="24"/>
      <w:lang w:val="en-NZ"/>
    </w:rPr>
  </w:style>
  <w:style w:type="character" w:customStyle="1" w:styleId="UnresolvedMention1">
    <w:name w:val="Unresolved Mention1"/>
    <w:uiPriority w:val="99"/>
    <w:semiHidden/>
    <w:unhideWhenUsed/>
    <w:rsid w:val="007472F8"/>
    <w:rPr>
      <w:color w:val="605E5C"/>
      <w:shd w:val="clear" w:color="auto" w:fill="E1DFDD"/>
    </w:rPr>
  </w:style>
  <w:style w:type="character" w:customStyle="1" w:styleId="apple-converted-space">
    <w:name w:val="apple-converted-space"/>
    <w:basedOn w:val="DefaultParagraphFont"/>
    <w:rsid w:val="00892DDE"/>
  </w:style>
  <w:style w:type="character" w:customStyle="1" w:styleId="element-citation">
    <w:name w:val="element-citation"/>
    <w:basedOn w:val="DefaultParagraphFont"/>
    <w:rsid w:val="00892DDE"/>
  </w:style>
  <w:style w:type="character" w:customStyle="1" w:styleId="ref-journal">
    <w:name w:val="ref-journal"/>
    <w:basedOn w:val="DefaultParagraphFont"/>
    <w:rsid w:val="00892DDE"/>
  </w:style>
  <w:style w:type="character" w:customStyle="1" w:styleId="ref-vol">
    <w:name w:val="ref-vol"/>
    <w:basedOn w:val="DefaultParagraphFont"/>
    <w:rsid w:val="00892DDE"/>
  </w:style>
  <w:style w:type="paragraph" w:styleId="TOCHeading">
    <w:name w:val="TOC Heading"/>
    <w:basedOn w:val="Heading1"/>
    <w:next w:val="Normal"/>
    <w:uiPriority w:val="39"/>
    <w:unhideWhenUsed/>
    <w:qFormat/>
    <w:rsid w:val="00A039A7"/>
    <w:pPr>
      <w:keepLines/>
      <w:spacing w:before="240" w:after="0" w:line="259" w:lineRule="auto"/>
      <w:jc w:val="left"/>
      <w:outlineLvl w:val="9"/>
    </w:pPr>
    <w:rPr>
      <w:rFonts w:eastAsia="MS Gothic"/>
      <w:b w:val="0"/>
      <w:caps w:val="0"/>
      <w:color w:val="283137"/>
      <w:sz w:val="32"/>
      <w:szCs w:val="32"/>
      <w:lang w:val="en-US"/>
    </w:rPr>
  </w:style>
  <w:style w:type="character" w:styleId="CommentReference">
    <w:name w:val="annotation reference"/>
    <w:uiPriority w:val="99"/>
    <w:semiHidden/>
    <w:unhideWhenUsed/>
    <w:rsid w:val="00484118"/>
    <w:rPr>
      <w:sz w:val="16"/>
      <w:szCs w:val="16"/>
    </w:rPr>
  </w:style>
  <w:style w:type="paragraph" w:styleId="CommentText">
    <w:name w:val="annotation text"/>
    <w:basedOn w:val="Normal"/>
    <w:link w:val="CommentTextChar"/>
    <w:uiPriority w:val="99"/>
    <w:semiHidden/>
    <w:unhideWhenUsed/>
    <w:rsid w:val="00484118"/>
    <w:pPr>
      <w:spacing w:line="240" w:lineRule="auto"/>
    </w:pPr>
    <w:rPr>
      <w:sz w:val="20"/>
      <w:szCs w:val="20"/>
    </w:rPr>
  </w:style>
  <w:style w:type="character" w:customStyle="1" w:styleId="CommentTextChar">
    <w:name w:val="Comment Text Char"/>
    <w:link w:val="CommentText"/>
    <w:uiPriority w:val="99"/>
    <w:semiHidden/>
    <w:rsid w:val="00484118"/>
    <w:rPr>
      <w:sz w:val="20"/>
      <w:szCs w:val="20"/>
      <w:lang w:val="en-NZ"/>
    </w:rPr>
  </w:style>
  <w:style w:type="paragraph" w:styleId="CommentSubject">
    <w:name w:val="annotation subject"/>
    <w:basedOn w:val="CommentText"/>
    <w:next w:val="CommentText"/>
    <w:link w:val="CommentSubjectChar"/>
    <w:uiPriority w:val="99"/>
    <w:semiHidden/>
    <w:unhideWhenUsed/>
    <w:rsid w:val="00484118"/>
    <w:rPr>
      <w:b/>
      <w:bCs/>
    </w:rPr>
  </w:style>
  <w:style w:type="character" w:customStyle="1" w:styleId="CommentSubjectChar">
    <w:name w:val="Comment Subject Char"/>
    <w:link w:val="CommentSubject"/>
    <w:uiPriority w:val="99"/>
    <w:semiHidden/>
    <w:rsid w:val="00484118"/>
    <w:rPr>
      <w:b/>
      <w:bCs/>
      <w:sz w:val="20"/>
      <w:szCs w:val="20"/>
      <w:lang w:val="en-NZ"/>
    </w:rPr>
  </w:style>
  <w:style w:type="character" w:styleId="FollowedHyperlink">
    <w:name w:val="FollowedHyperlink"/>
    <w:uiPriority w:val="99"/>
    <w:semiHidden/>
    <w:unhideWhenUsed/>
    <w:rsid w:val="00BD6D3E"/>
    <w:rPr>
      <w:color w:val="800080"/>
      <w:u w:val="single"/>
    </w:rPr>
  </w:style>
  <w:style w:type="paragraph" w:styleId="Revision">
    <w:name w:val="Revision"/>
    <w:hidden/>
    <w:uiPriority w:val="99"/>
    <w:semiHidden/>
    <w:rsid w:val="00635B0F"/>
    <w:rPr>
      <w:sz w:val="22"/>
      <w:szCs w:val="22"/>
      <w:lang w:val="en-NZ" w:eastAsia="en-US"/>
    </w:rPr>
  </w:style>
  <w:style w:type="paragraph" w:customStyle="1" w:styleId="Body">
    <w:name w:val="Body"/>
    <w:basedOn w:val="Normal"/>
    <w:link w:val="BodyChar"/>
    <w:qFormat/>
    <w:rsid w:val="003E5382"/>
    <w:pPr>
      <w:spacing w:before="120" w:after="120" w:line="240" w:lineRule="auto"/>
      <w:jc w:val="both"/>
    </w:pPr>
    <w:rPr>
      <w:rFonts w:cs="Cambria"/>
      <w:lang w:eastAsia="en-NZ"/>
    </w:rPr>
  </w:style>
  <w:style w:type="character" w:customStyle="1" w:styleId="BodyChar">
    <w:name w:val="Body Char"/>
    <w:link w:val="Body"/>
    <w:rsid w:val="003E5382"/>
    <w:rPr>
      <w:rFonts w:ascii="Cambria" w:hAnsi="Cambria" w:cs="Cambria"/>
      <w:lang w:val="en-NZ" w:eastAsia="en-NZ"/>
    </w:rPr>
  </w:style>
  <w:style w:type="character" w:customStyle="1" w:styleId="UnresolvedMention2">
    <w:name w:val="Unresolved Mention2"/>
    <w:uiPriority w:val="99"/>
    <w:semiHidden/>
    <w:unhideWhenUsed/>
    <w:rsid w:val="000507A9"/>
    <w:rPr>
      <w:color w:val="605E5C"/>
      <w:shd w:val="clear" w:color="auto" w:fill="E1DFDD"/>
    </w:rPr>
  </w:style>
  <w:style w:type="character" w:customStyle="1" w:styleId="UnresolvedMention3">
    <w:name w:val="Unresolved Mention3"/>
    <w:uiPriority w:val="99"/>
    <w:unhideWhenUsed/>
    <w:rsid w:val="00654CF2"/>
    <w:rPr>
      <w:color w:val="605E5C"/>
      <w:shd w:val="clear" w:color="auto" w:fill="E1DFDD"/>
    </w:rPr>
  </w:style>
  <w:style w:type="character" w:customStyle="1" w:styleId="Mention1">
    <w:name w:val="Mention1"/>
    <w:uiPriority w:val="99"/>
    <w:unhideWhenUsed/>
    <w:rsid w:val="00C66320"/>
    <w:rPr>
      <w:color w:val="2B579A"/>
      <w:shd w:val="clear" w:color="auto" w:fill="E1DFDD"/>
    </w:rPr>
  </w:style>
  <w:style w:type="character" w:customStyle="1" w:styleId="UnresolvedMention4">
    <w:name w:val="Unresolved Mention4"/>
    <w:uiPriority w:val="99"/>
    <w:unhideWhenUsed/>
    <w:rsid w:val="00477475"/>
    <w:rPr>
      <w:color w:val="605E5C"/>
      <w:shd w:val="clear" w:color="auto" w:fill="E1DFDD"/>
    </w:rPr>
  </w:style>
  <w:style w:type="character" w:customStyle="1" w:styleId="Heading7Char">
    <w:name w:val="Heading 7 Char"/>
    <w:link w:val="Heading7"/>
    <w:uiPriority w:val="3"/>
    <w:semiHidden/>
    <w:rsid w:val="002C0BCA"/>
    <w:rPr>
      <w:rFonts w:ascii="Calibri" w:eastAsia="MS Gothic" w:hAnsi="Calibri" w:cs="Times New Roman"/>
      <w:i/>
      <w:iCs/>
      <w:color w:val="1B2024"/>
      <w:lang w:val="en-NZ"/>
    </w:rPr>
  </w:style>
  <w:style w:type="character" w:customStyle="1" w:styleId="Heading8Char">
    <w:name w:val="Heading 8 Char"/>
    <w:link w:val="Heading8"/>
    <w:uiPriority w:val="3"/>
    <w:semiHidden/>
    <w:rsid w:val="002C0BCA"/>
    <w:rPr>
      <w:rFonts w:ascii="Calibri" w:eastAsia="MS Gothic" w:hAnsi="Calibri" w:cs="Times New Roman"/>
      <w:color w:val="272727"/>
      <w:sz w:val="21"/>
      <w:szCs w:val="21"/>
      <w:lang w:val="en-NZ"/>
    </w:rPr>
  </w:style>
  <w:style w:type="character" w:customStyle="1" w:styleId="Heading9Char">
    <w:name w:val="Heading 9 Char"/>
    <w:link w:val="Heading9"/>
    <w:uiPriority w:val="3"/>
    <w:semiHidden/>
    <w:rsid w:val="002C0BCA"/>
    <w:rPr>
      <w:rFonts w:ascii="Calibri" w:eastAsia="MS Gothic" w:hAnsi="Calibri" w:cs="Times New Roman"/>
      <w:i/>
      <w:iCs/>
      <w:color w:val="272727"/>
      <w:sz w:val="21"/>
      <w:szCs w:val="21"/>
      <w:lang w:val="en-NZ"/>
    </w:rPr>
  </w:style>
  <w:style w:type="paragraph" w:styleId="Bibliography">
    <w:name w:val="Bibliography"/>
    <w:basedOn w:val="Normal"/>
    <w:next w:val="Normal"/>
    <w:uiPriority w:val="37"/>
    <w:semiHidden/>
    <w:unhideWhenUsed/>
    <w:rsid w:val="002C0BCA"/>
  </w:style>
  <w:style w:type="paragraph" w:styleId="BlockText">
    <w:name w:val="Block Text"/>
    <w:basedOn w:val="Normal"/>
    <w:uiPriority w:val="99"/>
    <w:semiHidden/>
    <w:unhideWhenUsed/>
    <w:rsid w:val="002C0BCA"/>
    <w:pPr>
      <w:pBdr>
        <w:top w:val="single" w:sz="2" w:space="10" w:color="36424A"/>
        <w:left w:val="single" w:sz="2" w:space="10" w:color="36424A"/>
        <w:bottom w:val="single" w:sz="2" w:space="10" w:color="36424A"/>
        <w:right w:val="single" w:sz="2" w:space="10" w:color="36424A"/>
      </w:pBdr>
      <w:ind w:left="1152" w:right="1152"/>
    </w:pPr>
    <w:rPr>
      <w:rFonts w:eastAsia="MS Mincho"/>
      <w:i/>
      <w:iCs/>
      <w:color w:val="36424A"/>
    </w:rPr>
  </w:style>
  <w:style w:type="paragraph" w:styleId="BodyText2">
    <w:name w:val="Body Text 2"/>
    <w:basedOn w:val="Normal"/>
    <w:link w:val="BodyText2Char"/>
    <w:uiPriority w:val="99"/>
    <w:semiHidden/>
    <w:unhideWhenUsed/>
    <w:rsid w:val="002C0BCA"/>
    <w:pPr>
      <w:spacing w:after="120" w:line="480" w:lineRule="auto"/>
    </w:pPr>
  </w:style>
  <w:style w:type="character" w:customStyle="1" w:styleId="BodyText2Char">
    <w:name w:val="Body Text 2 Char"/>
    <w:link w:val="BodyText2"/>
    <w:uiPriority w:val="99"/>
    <w:semiHidden/>
    <w:rsid w:val="002C0BCA"/>
    <w:rPr>
      <w:lang w:val="en-NZ"/>
    </w:rPr>
  </w:style>
  <w:style w:type="paragraph" w:styleId="BodyText3">
    <w:name w:val="Body Text 3"/>
    <w:basedOn w:val="Normal"/>
    <w:link w:val="BodyText3Char"/>
    <w:uiPriority w:val="99"/>
    <w:semiHidden/>
    <w:unhideWhenUsed/>
    <w:rsid w:val="002C0BCA"/>
    <w:pPr>
      <w:spacing w:after="120"/>
    </w:pPr>
    <w:rPr>
      <w:sz w:val="16"/>
      <w:szCs w:val="16"/>
    </w:rPr>
  </w:style>
  <w:style w:type="character" w:customStyle="1" w:styleId="BodyText3Char">
    <w:name w:val="Body Text 3 Char"/>
    <w:link w:val="BodyText3"/>
    <w:uiPriority w:val="99"/>
    <w:semiHidden/>
    <w:rsid w:val="002C0BCA"/>
    <w:rPr>
      <w:sz w:val="16"/>
      <w:szCs w:val="16"/>
      <w:lang w:val="en-NZ"/>
    </w:rPr>
  </w:style>
  <w:style w:type="paragraph" w:styleId="BodyTextFirstIndent">
    <w:name w:val="Body Text First Indent"/>
    <w:basedOn w:val="BodyText"/>
    <w:link w:val="BodyTextFirstIndentChar"/>
    <w:uiPriority w:val="99"/>
    <w:semiHidden/>
    <w:unhideWhenUsed/>
    <w:rsid w:val="002C0BCA"/>
    <w:pPr>
      <w:spacing w:before="0" w:after="160" w:line="259" w:lineRule="auto"/>
      <w:ind w:firstLine="360"/>
      <w:jc w:val="left"/>
    </w:pPr>
  </w:style>
  <w:style w:type="character" w:customStyle="1" w:styleId="BodyTextFirstIndentChar">
    <w:name w:val="Body Text First Indent Char"/>
    <w:link w:val="BodyTextFirstIndent"/>
    <w:uiPriority w:val="99"/>
    <w:semiHidden/>
    <w:rsid w:val="002C0BCA"/>
    <w:rPr>
      <w:lang w:val="en-NZ"/>
    </w:rPr>
  </w:style>
  <w:style w:type="paragraph" w:styleId="BodyTextIndent">
    <w:name w:val="Body Text Indent"/>
    <w:basedOn w:val="Normal"/>
    <w:link w:val="BodyTextIndentChar"/>
    <w:uiPriority w:val="99"/>
    <w:semiHidden/>
    <w:unhideWhenUsed/>
    <w:rsid w:val="002C0BCA"/>
    <w:pPr>
      <w:spacing w:after="120"/>
      <w:ind w:left="283"/>
    </w:pPr>
  </w:style>
  <w:style w:type="character" w:customStyle="1" w:styleId="BodyTextIndentChar">
    <w:name w:val="Body Text Indent Char"/>
    <w:link w:val="BodyTextIndent"/>
    <w:uiPriority w:val="99"/>
    <w:semiHidden/>
    <w:rsid w:val="002C0BCA"/>
    <w:rPr>
      <w:lang w:val="en-NZ"/>
    </w:rPr>
  </w:style>
  <w:style w:type="paragraph" w:styleId="BodyTextFirstIndent2">
    <w:name w:val="Body Text First Indent 2"/>
    <w:basedOn w:val="BodyTextIndent"/>
    <w:link w:val="BodyTextFirstIndent2Char"/>
    <w:uiPriority w:val="99"/>
    <w:semiHidden/>
    <w:unhideWhenUsed/>
    <w:rsid w:val="002C0BCA"/>
    <w:pPr>
      <w:spacing w:after="160"/>
      <w:ind w:left="360" w:firstLine="360"/>
    </w:pPr>
  </w:style>
  <w:style w:type="character" w:customStyle="1" w:styleId="BodyTextFirstIndent2Char">
    <w:name w:val="Body Text First Indent 2 Char"/>
    <w:link w:val="BodyTextFirstIndent2"/>
    <w:uiPriority w:val="99"/>
    <w:semiHidden/>
    <w:rsid w:val="002C0BCA"/>
    <w:rPr>
      <w:lang w:val="en-NZ"/>
    </w:rPr>
  </w:style>
  <w:style w:type="paragraph" w:styleId="BodyTextIndent2">
    <w:name w:val="Body Text Indent 2"/>
    <w:basedOn w:val="Normal"/>
    <w:link w:val="BodyTextIndent2Char"/>
    <w:uiPriority w:val="99"/>
    <w:semiHidden/>
    <w:unhideWhenUsed/>
    <w:rsid w:val="002C0BCA"/>
    <w:pPr>
      <w:spacing w:after="120" w:line="480" w:lineRule="auto"/>
      <w:ind w:left="283"/>
    </w:pPr>
  </w:style>
  <w:style w:type="character" w:customStyle="1" w:styleId="BodyTextIndent2Char">
    <w:name w:val="Body Text Indent 2 Char"/>
    <w:link w:val="BodyTextIndent2"/>
    <w:uiPriority w:val="99"/>
    <w:semiHidden/>
    <w:rsid w:val="002C0BCA"/>
    <w:rPr>
      <w:lang w:val="en-NZ"/>
    </w:rPr>
  </w:style>
  <w:style w:type="paragraph" w:styleId="BodyTextIndent3">
    <w:name w:val="Body Text Indent 3"/>
    <w:basedOn w:val="Normal"/>
    <w:link w:val="BodyTextIndent3Char"/>
    <w:uiPriority w:val="99"/>
    <w:semiHidden/>
    <w:unhideWhenUsed/>
    <w:rsid w:val="002C0BCA"/>
    <w:pPr>
      <w:spacing w:after="120"/>
      <w:ind w:left="283"/>
    </w:pPr>
    <w:rPr>
      <w:sz w:val="16"/>
      <w:szCs w:val="16"/>
    </w:rPr>
  </w:style>
  <w:style w:type="character" w:customStyle="1" w:styleId="BodyTextIndent3Char">
    <w:name w:val="Body Text Indent 3 Char"/>
    <w:link w:val="BodyTextIndent3"/>
    <w:uiPriority w:val="99"/>
    <w:semiHidden/>
    <w:rsid w:val="002C0BCA"/>
    <w:rPr>
      <w:sz w:val="16"/>
      <w:szCs w:val="16"/>
      <w:lang w:val="en-NZ"/>
    </w:rPr>
  </w:style>
  <w:style w:type="paragraph" w:styleId="Closing">
    <w:name w:val="Closing"/>
    <w:basedOn w:val="Normal"/>
    <w:link w:val="ClosingChar"/>
    <w:uiPriority w:val="99"/>
    <w:semiHidden/>
    <w:unhideWhenUsed/>
    <w:rsid w:val="002C0BCA"/>
    <w:pPr>
      <w:spacing w:after="0" w:line="240" w:lineRule="auto"/>
      <w:ind w:left="4252"/>
    </w:pPr>
  </w:style>
  <w:style w:type="character" w:customStyle="1" w:styleId="ClosingChar">
    <w:name w:val="Closing Char"/>
    <w:link w:val="Closing"/>
    <w:uiPriority w:val="99"/>
    <w:semiHidden/>
    <w:rsid w:val="002C0BCA"/>
    <w:rPr>
      <w:lang w:val="en-NZ"/>
    </w:rPr>
  </w:style>
  <w:style w:type="paragraph" w:styleId="Date">
    <w:name w:val="Date"/>
    <w:basedOn w:val="Normal"/>
    <w:next w:val="Normal"/>
    <w:link w:val="DateChar"/>
    <w:uiPriority w:val="99"/>
    <w:semiHidden/>
    <w:unhideWhenUsed/>
    <w:rsid w:val="002C0BCA"/>
  </w:style>
  <w:style w:type="character" w:customStyle="1" w:styleId="DateChar">
    <w:name w:val="Date Char"/>
    <w:link w:val="Date"/>
    <w:uiPriority w:val="99"/>
    <w:semiHidden/>
    <w:rsid w:val="002C0BCA"/>
    <w:rPr>
      <w:lang w:val="en-NZ"/>
    </w:rPr>
  </w:style>
  <w:style w:type="paragraph" w:styleId="DocumentMap">
    <w:name w:val="Document Map"/>
    <w:basedOn w:val="Normal"/>
    <w:link w:val="DocumentMapChar"/>
    <w:uiPriority w:val="99"/>
    <w:semiHidden/>
    <w:unhideWhenUsed/>
    <w:rsid w:val="002C0BCA"/>
    <w:pPr>
      <w:spacing w:after="0" w:line="240" w:lineRule="auto"/>
    </w:pPr>
    <w:rPr>
      <w:rFonts w:ascii="Segoe UI" w:hAnsi="Segoe UI" w:cs="Segoe UI"/>
      <w:sz w:val="16"/>
      <w:szCs w:val="16"/>
    </w:rPr>
  </w:style>
  <w:style w:type="character" w:customStyle="1" w:styleId="DocumentMapChar">
    <w:name w:val="Document Map Char"/>
    <w:link w:val="DocumentMap"/>
    <w:uiPriority w:val="99"/>
    <w:semiHidden/>
    <w:rsid w:val="002C0BCA"/>
    <w:rPr>
      <w:rFonts w:ascii="Segoe UI" w:hAnsi="Segoe UI" w:cs="Segoe UI"/>
      <w:sz w:val="16"/>
      <w:szCs w:val="16"/>
      <w:lang w:val="en-NZ"/>
    </w:rPr>
  </w:style>
  <w:style w:type="paragraph" w:styleId="E-mailSignature">
    <w:name w:val="E-mail Signature"/>
    <w:basedOn w:val="Normal"/>
    <w:link w:val="E-mailSignatureChar"/>
    <w:uiPriority w:val="99"/>
    <w:semiHidden/>
    <w:unhideWhenUsed/>
    <w:rsid w:val="002C0BCA"/>
    <w:pPr>
      <w:spacing w:after="0" w:line="240" w:lineRule="auto"/>
    </w:pPr>
  </w:style>
  <w:style w:type="character" w:customStyle="1" w:styleId="E-mailSignatureChar">
    <w:name w:val="E-mail Signature Char"/>
    <w:link w:val="E-mailSignature"/>
    <w:uiPriority w:val="99"/>
    <w:semiHidden/>
    <w:rsid w:val="002C0BCA"/>
    <w:rPr>
      <w:lang w:val="en-NZ"/>
    </w:rPr>
  </w:style>
  <w:style w:type="paragraph" w:styleId="EndnoteText">
    <w:name w:val="endnote text"/>
    <w:basedOn w:val="Normal"/>
    <w:link w:val="EndnoteTextChar"/>
    <w:uiPriority w:val="99"/>
    <w:semiHidden/>
    <w:unhideWhenUsed/>
    <w:rsid w:val="002C0BCA"/>
    <w:pPr>
      <w:spacing w:after="0" w:line="240" w:lineRule="auto"/>
    </w:pPr>
    <w:rPr>
      <w:sz w:val="20"/>
      <w:szCs w:val="20"/>
    </w:rPr>
  </w:style>
  <w:style w:type="character" w:customStyle="1" w:styleId="EndnoteTextChar">
    <w:name w:val="Endnote Text Char"/>
    <w:link w:val="EndnoteText"/>
    <w:uiPriority w:val="99"/>
    <w:semiHidden/>
    <w:rsid w:val="002C0BCA"/>
    <w:rPr>
      <w:sz w:val="20"/>
      <w:szCs w:val="20"/>
      <w:lang w:val="en-NZ"/>
    </w:rPr>
  </w:style>
  <w:style w:type="paragraph" w:styleId="EnvelopeAddress">
    <w:name w:val="envelope address"/>
    <w:basedOn w:val="Normal"/>
    <w:uiPriority w:val="99"/>
    <w:semiHidden/>
    <w:unhideWhenUsed/>
    <w:rsid w:val="002C0BCA"/>
    <w:pPr>
      <w:framePr w:w="7920" w:h="1980" w:hRule="exact" w:hSpace="180" w:wrap="auto" w:hAnchor="page" w:xAlign="center" w:yAlign="bottom"/>
      <w:spacing w:after="0" w:line="240" w:lineRule="auto"/>
      <w:ind w:left="2880"/>
    </w:pPr>
    <w:rPr>
      <w:rFonts w:ascii="Calibri" w:eastAsia="MS Gothic" w:hAnsi="Calibri"/>
      <w:sz w:val="24"/>
      <w:szCs w:val="24"/>
    </w:rPr>
  </w:style>
  <w:style w:type="paragraph" w:styleId="EnvelopeReturn">
    <w:name w:val="envelope return"/>
    <w:basedOn w:val="Normal"/>
    <w:uiPriority w:val="99"/>
    <w:semiHidden/>
    <w:unhideWhenUsed/>
    <w:rsid w:val="002C0BCA"/>
    <w:pPr>
      <w:spacing w:after="0" w:line="240" w:lineRule="auto"/>
    </w:pPr>
    <w:rPr>
      <w:rFonts w:ascii="Calibri" w:eastAsia="MS Gothic" w:hAnsi="Calibri"/>
      <w:sz w:val="20"/>
      <w:szCs w:val="20"/>
    </w:rPr>
  </w:style>
  <w:style w:type="paragraph" w:styleId="HTMLAddress">
    <w:name w:val="HTML Address"/>
    <w:basedOn w:val="Normal"/>
    <w:link w:val="HTMLAddressChar"/>
    <w:uiPriority w:val="99"/>
    <w:semiHidden/>
    <w:unhideWhenUsed/>
    <w:rsid w:val="002C0BCA"/>
    <w:pPr>
      <w:spacing w:after="0" w:line="240" w:lineRule="auto"/>
    </w:pPr>
    <w:rPr>
      <w:i/>
      <w:iCs/>
    </w:rPr>
  </w:style>
  <w:style w:type="character" w:customStyle="1" w:styleId="HTMLAddressChar">
    <w:name w:val="HTML Address Char"/>
    <w:link w:val="HTMLAddress"/>
    <w:uiPriority w:val="99"/>
    <w:semiHidden/>
    <w:rsid w:val="002C0BCA"/>
    <w:rPr>
      <w:i/>
      <w:iCs/>
      <w:lang w:val="en-NZ"/>
    </w:rPr>
  </w:style>
  <w:style w:type="paragraph" w:styleId="HTMLPreformatted">
    <w:name w:val="HTML Preformatted"/>
    <w:basedOn w:val="Normal"/>
    <w:link w:val="HTMLPreformattedChar"/>
    <w:uiPriority w:val="99"/>
    <w:semiHidden/>
    <w:unhideWhenUsed/>
    <w:rsid w:val="002C0BCA"/>
    <w:pPr>
      <w:spacing w:after="0" w:line="240" w:lineRule="auto"/>
    </w:pPr>
    <w:rPr>
      <w:rFonts w:ascii="Consolas" w:hAnsi="Consolas"/>
      <w:sz w:val="20"/>
      <w:szCs w:val="20"/>
    </w:rPr>
  </w:style>
  <w:style w:type="character" w:customStyle="1" w:styleId="HTMLPreformattedChar">
    <w:name w:val="HTML Preformatted Char"/>
    <w:link w:val="HTMLPreformatted"/>
    <w:uiPriority w:val="99"/>
    <w:semiHidden/>
    <w:rsid w:val="002C0BCA"/>
    <w:rPr>
      <w:rFonts w:ascii="Consolas" w:hAnsi="Consolas"/>
      <w:sz w:val="20"/>
      <w:szCs w:val="20"/>
      <w:lang w:val="en-NZ"/>
    </w:rPr>
  </w:style>
  <w:style w:type="paragraph" w:styleId="Index1">
    <w:name w:val="index 1"/>
    <w:basedOn w:val="Normal"/>
    <w:next w:val="Normal"/>
    <w:autoRedefine/>
    <w:uiPriority w:val="99"/>
    <w:semiHidden/>
    <w:unhideWhenUsed/>
    <w:rsid w:val="002C0BCA"/>
    <w:pPr>
      <w:spacing w:after="0" w:line="240" w:lineRule="auto"/>
      <w:ind w:left="220" w:hanging="220"/>
    </w:pPr>
  </w:style>
  <w:style w:type="paragraph" w:styleId="Index2">
    <w:name w:val="index 2"/>
    <w:basedOn w:val="Normal"/>
    <w:next w:val="Normal"/>
    <w:autoRedefine/>
    <w:uiPriority w:val="99"/>
    <w:semiHidden/>
    <w:unhideWhenUsed/>
    <w:rsid w:val="002C0BCA"/>
    <w:pPr>
      <w:spacing w:after="0" w:line="240" w:lineRule="auto"/>
      <w:ind w:left="440" w:hanging="220"/>
    </w:pPr>
  </w:style>
  <w:style w:type="paragraph" w:styleId="Index3">
    <w:name w:val="index 3"/>
    <w:basedOn w:val="Normal"/>
    <w:next w:val="Normal"/>
    <w:autoRedefine/>
    <w:uiPriority w:val="99"/>
    <w:semiHidden/>
    <w:unhideWhenUsed/>
    <w:rsid w:val="002C0BCA"/>
    <w:pPr>
      <w:spacing w:after="0" w:line="240" w:lineRule="auto"/>
      <w:ind w:left="660" w:hanging="220"/>
    </w:pPr>
  </w:style>
  <w:style w:type="paragraph" w:styleId="Index4">
    <w:name w:val="index 4"/>
    <w:basedOn w:val="Normal"/>
    <w:next w:val="Normal"/>
    <w:autoRedefine/>
    <w:uiPriority w:val="99"/>
    <w:semiHidden/>
    <w:unhideWhenUsed/>
    <w:rsid w:val="002C0BCA"/>
    <w:pPr>
      <w:spacing w:after="0" w:line="240" w:lineRule="auto"/>
      <w:ind w:left="880" w:hanging="220"/>
    </w:pPr>
  </w:style>
  <w:style w:type="paragraph" w:styleId="Index5">
    <w:name w:val="index 5"/>
    <w:basedOn w:val="Normal"/>
    <w:next w:val="Normal"/>
    <w:autoRedefine/>
    <w:uiPriority w:val="99"/>
    <w:semiHidden/>
    <w:unhideWhenUsed/>
    <w:rsid w:val="002C0BCA"/>
    <w:pPr>
      <w:spacing w:after="0" w:line="240" w:lineRule="auto"/>
      <w:ind w:left="1100" w:hanging="220"/>
    </w:pPr>
  </w:style>
  <w:style w:type="paragraph" w:styleId="Index6">
    <w:name w:val="index 6"/>
    <w:basedOn w:val="Normal"/>
    <w:next w:val="Normal"/>
    <w:autoRedefine/>
    <w:uiPriority w:val="99"/>
    <w:semiHidden/>
    <w:unhideWhenUsed/>
    <w:rsid w:val="002C0BCA"/>
    <w:pPr>
      <w:spacing w:after="0" w:line="240" w:lineRule="auto"/>
      <w:ind w:left="1320" w:hanging="220"/>
    </w:pPr>
  </w:style>
  <w:style w:type="paragraph" w:styleId="Index7">
    <w:name w:val="index 7"/>
    <w:basedOn w:val="Normal"/>
    <w:next w:val="Normal"/>
    <w:autoRedefine/>
    <w:uiPriority w:val="99"/>
    <w:semiHidden/>
    <w:unhideWhenUsed/>
    <w:rsid w:val="002C0BCA"/>
    <w:pPr>
      <w:spacing w:after="0" w:line="240" w:lineRule="auto"/>
      <w:ind w:left="1540" w:hanging="220"/>
    </w:pPr>
  </w:style>
  <w:style w:type="paragraph" w:styleId="Index8">
    <w:name w:val="index 8"/>
    <w:basedOn w:val="Normal"/>
    <w:next w:val="Normal"/>
    <w:autoRedefine/>
    <w:uiPriority w:val="99"/>
    <w:semiHidden/>
    <w:unhideWhenUsed/>
    <w:rsid w:val="002C0BCA"/>
    <w:pPr>
      <w:spacing w:after="0" w:line="240" w:lineRule="auto"/>
      <w:ind w:left="1760" w:hanging="220"/>
    </w:pPr>
  </w:style>
  <w:style w:type="paragraph" w:styleId="Index9">
    <w:name w:val="index 9"/>
    <w:basedOn w:val="Normal"/>
    <w:next w:val="Normal"/>
    <w:autoRedefine/>
    <w:uiPriority w:val="99"/>
    <w:semiHidden/>
    <w:unhideWhenUsed/>
    <w:rsid w:val="002C0BCA"/>
    <w:pPr>
      <w:spacing w:after="0" w:line="240" w:lineRule="auto"/>
      <w:ind w:left="1980" w:hanging="220"/>
    </w:pPr>
  </w:style>
  <w:style w:type="paragraph" w:styleId="IndexHeading">
    <w:name w:val="index heading"/>
    <w:basedOn w:val="Normal"/>
    <w:next w:val="Index1"/>
    <w:uiPriority w:val="99"/>
    <w:semiHidden/>
    <w:unhideWhenUsed/>
    <w:rsid w:val="002C0BCA"/>
    <w:rPr>
      <w:rFonts w:ascii="Calibri" w:eastAsia="MS Gothic" w:hAnsi="Calibri"/>
      <w:b/>
      <w:bCs/>
    </w:rPr>
  </w:style>
  <w:style w:type="paragraph" w:styleId="IntenseQuote">
    <w:name w:val="Intense Quote"/>
    <w:basedOn w:val="Normal"/>
    <w:next w:val="Normal"/>
    <w:link w:val="IntenseQuoteChar"/>
    <w:uiPriority w:val="31"/>
    <w:semiHidden/>
    <w:unhideWhenUsed/>
    <w:qFormat/>
    <w:rsid w:val="002C0BCA"/>
    <w:pPr>
      <w:pBdr>
        <w:top w:val="single" w:sz="4" w:space="10" w:color="36424A"/>
        <w:bottom w:val="single" w:sz="4" w:space="10" w:color="36424A"/>
      </w:pBdr>
      <w:spacing w:before="360" w:after="360"/>
      <w:ind w:left="864" w:right="864"/>
      <w:jc w:val="center"/>
    </w:pPr>
    <w:rPr>
      <w:i/>
      <w:iCs/>
      <w:color w:val="36424A"/>
    </w:rPr>
  </w:style>
  <w:style w:type="character" w:customStyle="1" w:styleId="IntenseQuoteChar">
    <w:name w:val="Intense Quote Char"/>
    <w:link w:val="IntenseQuote"/>
    <w:uiPriority w:val="31"/>
    <w:semiHidden/>
    <w:rsid w:val="002C0BCA"/>
    <w:rPr>
      <w:i/>
      <w:iCs/>
      <w:color w:val="36424A"/>
      <w:lang w:val="en-NZ"/>
    </w:rPr>
  </w:style>
  <w:style w:type="paragraph" w:styleId="List">
    <w:name w:val="List"/>
    <w:basedOn w:val="Normal"/>
    <w:uiPriority w:val="99"/>
    <w:semiHidden/>
    <w:unhideWhenUsed/>
    <w:rsid w:val="002C0BCA"/>
    <w:pPr>
      <w:ind w:left="283" w:hanging="283"/>
      <w:contextualSpacing/>
    </w:pPr>
  </w:style>
  <w:style w:type="paragraph" w:styleId="List2">
    <w:name w:val="List 2"/>
    <w:basedOn w:val="Normal"/>
    <w:uiPriority w:val="99"/>
    <w:semiHidden/>
    <w:unhideWhenUsed/>
    <w:rsid w:val="002C0BCA"/>
    <w:pPr>
      <w:ind w:left="566" w:hanging="283"/>
      <w:contextualSpacing/>
    </w:pPr>
  </w:style>
  <w:style w:type="paragraph" w:styleId="List3">
    <w:name w:val="List 3"/>
    <w:basedOn w:val="Normal"/>
    <w:uiPriority w:val="99"/>
    <w:semiHidden/>
    <w:unhideWhenUsed/>
    <w:rsid w:val="002C0BCA"/>
    <w:pPr>
      <w:ind w:left="849" w:hanging="283"/>
      <w:contextualSpacing/>
    </w:pPr>
  </w:style>
  <w:style w:type="paragraph" w:styleId="List4">
    <w:name w:val="List 4"/>
    <w:basedOn w:val="Normal"/>
    <w:uiPriority w:val="99"/>
    <w:semiHidden/>
    <w:unhideWhenUsed/>
    <w:rsid w:val="002C0BCA"/>
    <w:pPr>
      <w:ind w:left="1132" w:hanging="283"/>
      <w:contextualSpacing/>
    </w:pPr>
  </w:style>
  <w:style w:type="paragraph" w:styleId="List5">
    <w:name w:val="List 5"/>
    <w:basedOn w:val="Normal"/>
    <w:uiPriority w:val="99"/>
    <w:semiHidden/>
    <w:unhideWhenUsed/>
    <w:rsid w:val="002C0BCA"/>
    <w:pPr>
      <w:ind w:left="1415" w:hanging="283"/>
      <w:contextualSpacing/>
    </w:pPr>
  </w:style>
  <w:style w:type="paragraph" w:styleId="ListBullet4">
    <w:name w:val="List Bullet 4"/>
    <w:basedOn w:val="Normal"/>
    <w:uiPriority w:val="99"/>
    <w:semiHidden/>
    <w:unhideWhenUsed/>
    <w:rsid w:val="002C0BCA"/>
    <w:pPr>
      <w:numPr>
        <w:numId w:val="53"/>
      </w:numPr>
      <w:contextualSpacing/>
    </w:pPr>
  </w:style>
  <w:style w:type="paragraph" w:styleId="ListBullet5">
    <w:name w:val="List Bullet 5"/>
    <w:basedOn w:val="Normal"/>
    <w:uiPriority w:val="99"/>
    <w:semiHidden/>
    <w:unhideWhenUsed/>
    <w:rsid w:val="002C0BCA"/>
    <w:pPr>
      <w:numPr>
        <w:numId w:val="54"/>
      </w:numPr>
      <w:contextualSpacing/>
    </w:pPr>
  </w:style>
  <w:style w:type="paragraph" w:styleId="ListContinue">
    <w:name w:val="List Continue"/>
    <w:basedOn w:val="Normal"/>
    <w:uiPriority w:val="99"/>
    <w:semiHidden/>
    <w:unhideWhenUsed/>
    <w:rsid w:val="002C0BCA"/>
    <w:pPr>
      <w:spacing w:after="120"/>
      <w:ind w:left="283"/>
      <w:contextualSpacing/>
    </w:pPr>
  </w:style>
  <w:style w:type="paragraph" w:styleId="ListContinue2">
    <w:name w:val="List Continue 2"/>
    <w:basedOn w:val="Normal"/>
    <w:uiPriority w:val="99"/>
    <w:semiHidden/>
    <w:unhideWhenUsed/>
    <w:rsid w:val="002C0BCA"/>
    <w:pPr>
      <w:spacing w:after="120"/>
      <w:ind w:left="566"/>
      <w:contextualSpacing/>
    </w:pPr>
  </w:style>
  <w:style w:type="paragraph" w:styleId="ListContinue3">
    <w:name w:val="List Continue 3"/>
    <w:basedOn w:val="Normal"/>
    <w:uiPriority w:val="99"/>
    <w:semiHidden/>
    <w:unhideWhenUsed/>
    <w:rsid w:val="002C0BCA"/>
    <w:pPr>
      <w:spacing w:after="120"/>
      <w:ind w:left="849"/>
      <w:contextualSpacing/>
    </w:pPr>
  </w:style>
  <w:style w:type="paragraph" w:styleId="ListContinue4">
    <w:name w:val="List Continue 4"/>
    <w:basedOn w:val="Normal"/>
    <w:uiPriority w:val="99"/>
    <w:semiHidden/>
    <w:unhideWhenUsed/>
    <w:rsid w:val="002C0BCA"/>
    <w:pPr>
      <w:spacing w:after="120"/>
      <w:ind w:left="1132"/>
      <w:contextualSpacing/>
    </w:pPr>
  </w:style>
  <w:style w:type="paragraph" w:styleId="ListContinue5">
    <w:name w:val="List Continue 5"/>
    <w:basedOn w:val="Normal"/>
    <w:uiPriority w:val="99"/>
    <w:semiHidden/>
    <w:unhideWhenUsed/>
    <w:rsid w:val="002C0BCA"/>
    <w:pPr>
      <w:spacing w:after="120"/>
      <w:ind w:left="1415"/>
      <w:contextualSpacing/>
    </w:pPr>
  </w:style>
  <w:style w:type="paragraph" w:styleId="ListNumber4">
    <w:name w:val="List Number 4"/>
    <w:basedOn w:val="Normal"/>
    <w:uiPriority w:val="99"/>
    <w:semiHidden/>
    <w:unhideWhenUsed/>
    <w:rsid w:val="002C0BCA"/>
    <w:pPr>
      <w:numPr>
        <w:numId w:val="55"/>
      </w:numPr>
      <w:contextualSpacing/>
    </w:pPr>
  </w:style>
  <w:style w:type="paragraph" w:styleId="ListNumber5">
    <w:name w:val="List Number 5"/>
    <w:basedOn w:val="Normal"/>
    <w:uiPriority w:val="99"/>
    <w:semiHidden/>
    <w:unhideWhenUsed/>
    <w:rsid w:val="002C0BCA"/>
    <w:pPr>
      <w:numPr>
        <w:numId w:val="56"/>
      </w:numPr>
      <w:contextualSpacing/>
    </w:pPr>
  </w:style>
  <w:style w:type="paragraph" w:styleId="MacroText">
    <w:name w:val="macro"/>
    <w:link w:val="MacroTextChar"/>
    <w:uiPriority w:val="99"/>
    <w:semiHidden/>
    <w:unhideWhenUsed/>
    <w:rsid w:val="002C0BCA"/>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hAnsi="Consolas"/>
      <w:lang w:val="en-NZ" w:eastAsia="en-US"/>
    </w:rPr>
  </w:style>
  <w:style w:type="character" w:customStyle="1" w:styleId="MacroTextChar">
    <w:name w:val="Macro Text Char"/>
    <w:link w:val="MacroText"/>
    <w:uiPriority w:val="99"/>
    <w:semiHidden/>
    <w:rsid w:val="002C0BCA"/>
    <w:rPr>
      <w:rFonts w:ascii="Consolas" w:hAnsi="Consolas"/>
      <w:sz w:val="20"/>
      <w:szCs w:val="20"/>
      <w:lang w:val="en-NZ"/>
    </w:rPr>
  </w:style>
  <w:style w:type="paragraph" w:styleId="MessageHeader">
    <w:name w:val="Message Header"/>
    <w:basedOn w:val="Normal"/>
    <w:link w:val="MessageHeaderChar"/>
    <w:uiPriority w:val="99"/>
    <w:semiHidden/>
    <w:unhideWhenUsed/>
    <w:rsid w:val="002C0BC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w:eastAsia="MS Gothic" w:hAnsi="Calibri"/>
      <w:sz w:val="24"/>
      <w:szCs w:val="24"/>
    </w:rPr>
  </w:style>
  <w:style w:type="character" w:customStyle="1" w:styleId="MessageHeaderChar">
    <w:name w:val="Message Header Char"/>
    <w:link w:val="MessageHeader"/>
    <w:uiPriority w:val="99"/>
    <w:semiHidden/>
    <w:rsid w:val="002C0BCA"/>
    <w:rPr>
      <w:rFonts w:ascii="Calibri" w:eastAsia="MS Gothic" w:hAnsi="Calibri" w:cs="Times New Roman"/>
      <w:sz w:val="24"/>
      <w:szCs w:val="24"/>
      <w:shd w:val="pct20" w:color="auto" w:fill="auto"/>
      <w:lang w:val="en-NZ"/>
    </w:rPr>
  </w:style>
  <w:style w:type="paragraph" w:styleId="NormalIndent">
    <w:name w:val="Normal Indent"/>
    <w:basedOn w:val="Normal"/>
    <w:uiPriority w:val="99"/>
    <w:semiHidden/>
    <w:unhideWhenUsed/>
    <w:rsid w:val="002C0BCA"/>
    <w:pPr>
      <w:ind w:left="720"/>
    </w:pPr>
  </w:style>
  <w:style w:type="paragraph" w:styleId="NoteHeading">
    <w:name w:val="Note Heading"/>
    <w:basedOn w:val="Normal"/>
    <w:next w:val="Normal"/>
    <w:link w:val="NoteHeadingChar"/>
    <w:uiPriority w:val="99"/>
    <w:semiHidden/>
    <w:unhideWhenUsed/>
    <w:rsid w:val="002C0BCA"/>
    <w:pPr>
      <w:spacing w:after="0" w:line="240" w:lineRule="auto"/>
    </w:pPr>
  </w:style>
  <w:style w:type="character" w:customStyle="1" w:styleId="NoteHeadingChar">
    <w:name w:val="Note Heading Char"/>
    <w:link w:val="NoteHeading"/>
    <w:uiPriority w:val="99"/>
    <w:semiHidden/>
    <w:rsid w:val="002C0BCA"/>
    <w:rPr>
      <w:lang w:val="en-NZ"/>
    </w:rPr>
  </w:style>
  <w:style w:type="paragraph" w:styleId="PlainText">
    <w:name w:val="Plain Text"/>
    <w:basedOn w:val="Normal"/>
    <w:link w:val="PlainTextChar"/>
    <w:uiPriority w:val="99"/>
    <w:semiHidden/>
    <w:unhideWhenUsed/>
    <w:rsid w:val="002C0BCA"/>
    <w:pPr>
      <w:spacing w:after="0" w:line="240" w:lineRule="auto"/>
    </w:pPr>
    <w:rPr>
      <w:rFonts w:ascii="Consolas" w:hAnsi="Consolas"/>
      <w:sz w:val="21"/>
      <w:szCs w:val="21"/>
    </w:rPr>
  </w:style>
  <w:style w:type="character" w:customStyle="1" w:styleId="PlainTextChar">
    <w:name w:val="Plain Text Char"/>
    <w:link w:val="PlainText"/>
    <w:uiPriority w:val="99"/>
    <w:semiHidden/>
    <w:rsid w:val="002C0BCA"/>
    <w:rPr>
      <w:rFonts w:ascii="Consolas" w:hAnsi="Consolas"/>
      <w:sz w:val="21"/>
      <w:szCs w:val="21"/>
      <w:lang w:val="en-NZ"/>
    </w:rPr>
  </w:style>
  <w:style w:type="paragraph" w:styleId="Salutation">
    <w:name w:val="Salutation"/>
    <w:basedOn w:val="Normal"/>
    <w:next w:val="Normal"/>
    <w:link w:val="SalutationChar"/>
    <w:uiPriority w:val="99"/>
    <w:semiHidden/>
    <w:unhideWhenUsed/>
    <w:rsid w:val="002C0BCA"/>
  </w:style>
  <w:style w:type="character" w:customStyle="1" w:styleId="SalutationChar">
    <w:name w:val="Salutation Char"/>
    <w:link w:val="Salutation"/>
    <w:uiPriority w:val="99"/>
    <w:semiHidden/>
    <w:rsid w:val="002C0BCA"/>
    <w:rPr>
      <w:lang w:val="en-NZ"/>
    </w:rPr>
  </w:style>
  <w:style w:type="paragraph" w:styleId="Signature">
    <w:name w:val="Signature"/>
    <w:basedOn w:val="Normal"/>
    <w:link w:val="SignatureChar"/>
    <w:uiPriority w:val="99"/>
    <w:semiHidden/>
    <w:unhideWhenUsed/>
    <w:rsid w:val="002C0BCA"/>
    <w:pPr>
      <w:spacing w:after="0" w:line="240" w:lineRule="auto"/>
      <w:ind w:left="4252"/>
    </w:pPr>
  </w:style>
  <w:style w:type="character" w:customStyle="1" w:styleId="SignatureChar">
    <w:name w:val="Signature Char"/>
    <w:link w:val="Signature"/>
    <w:uiPriority w:val="99"/>
    <w:semiHidden/>
    <w:rsid w:val="002C0BCA"/>
    <w:rPr>
      <w:lang w:val="en-NZ"/>
    </w:rPr>
  </w:style>
  <w:style w:type="paragraph" w:styleId="TableofAuthorities">
    <w:name w:val="table of authorities"/>
    <w:basedOn w:val="Normal"/>
    <w:next w:val="Normal"/>
    <w:uiPriority w:val="99"/>
    <w:semiHidden/>
    <w:unhideWhenUsed/>
    <w:rsid w:val="002C0BCA"/>
    <w:pPr>
      <w:spacing w:after="0"/>
      <w:ind w:left="220" w:hanging="220"/>
    </w:pPr>
  </w:style>
  <w:style w:type="paragraph" w:styleId="TOAHeading">
    <w:name w:val="toa heading"/>
    <w:basedOn w:val="Normal"/>
    <w:next w:val="Normal"/>
    <w:uiPriority w:val="99"/>
    <w:semiHidden/>
    <w:unhideWhenUsed/>
    <w:rsid w:val="002C0BCA"/>
    <w:pPr>
      <w:spacing w:before="120"/>
    </w:pPr>
    <w:rPr>
      <w:rFonts w:ascii="Calibri" w:eastAsia="MS Gothic" w:hAnsi="Calibri"/>
      <w:b/>
      <w:bCs/>
      <w:sz w:val="24"/>
      <w:szCs w:val="24"/>
    </w:rPr>
  </w:style>
  <w:style w:type="paragraph" w:styleId="TOC4">
    <w:name w:val="toc 4"/>
    <w:basedOn w:val="Normal"/>
    <w:next w:val="Normal"/>
    <w:autoRedefine/>
    <w:uiPriority w:val="39"/>
    <w:semiHidden/>
    <w:unhideWhenUsed/>
    <w:rsid w:val="002C0BCA"/>
    <w:pPr>
      <w:spacing w:after="100"/>
      <w:ind w:left="660"/>
    </w:pPr>
  </w:style>
  <w:style w:type="paragraph" w:styleId="TOC5">
    <w:name w:val="toc 5"/>
    <w:basedOn w:val="Normal"/>
    <w:next w:val="Normal"/>
    <w:autoRedefine/>
    <w:uiPriority w:val="39"/>
    <w:semiHidden/>
    <w:unhideWhenUsed/>
    <w:rsid w:val="002C0BCA"/>
    <w:pPr>
      <w:spacing w:after="100"/>
      <w:ind w:left="880"/>
    </w:pPr>
  </w:style>
  <w:style w:type="paragraph" w:styleId="TOC6">
    <w:name w:val="toc 6"/>
    <w:basedOn w:val="Normal"/>
    <w:next w:val="Normal"/>
    <w:autoRedefine/>
    <w:uiPriority w:val="39"/>
    <w:semiHidden/>
    <w:unhideWhenUsed/>
    <w:rsid w:val="002C0BCA"/>
    <w:pPr>
      <w:spacing w:after="100"/>
      <w:ind w:left="1100"/>
    </w:pPr>
  </w:style>
  <w:style w:type="paragraph" w:styleId="TOC7">
    <w:name w:val="toc 7"/>
    <w:basedOn w:val="Normal"/>
    <w:next w:val="Normal"/>
    <w:autoRedefine/>
    <w:uiPriority w:val="39"/>
    <w:semiHidden/>
    <w:unhideWhenUsed/>
    <w:rsid w:val="002C0BCA"/>
    <w:pPr>
      <w:spacing w:after="100"/>
      <w:ind w:left="1320"/>
    </w:pPr>
  </w:style>
  <w:style w:type="paragraph" w:styleId="TOC8">
    <w:name w:val="toc 8"/>
    <w:basedOn w:val="Normal"/>
    <w:next w:val="Normal"/>
    <w:autoRedefine/>
    <w:uiPriority w:val="39"/>
    <w:semiHidden/>
    <w:unhideWhenUsed/>
    <w:rsid w:val="002C0BCA"/>
    <w:pPr>
      <w:spacing w:after="100"/>
      <w:ind w:left="1540"/>
    </w:pPr>
  </w:style>
  <w:style w:type="paragraph" w:styleId="TOC9">
    <w:name w:val="toc 9"/>
    <w:basedOn w:val="Normal"/>
    <w:next w:val="Normal"/>
    <w:autoRedefine/>
    <w:uiPriority w:val="39"/>
    <w:semiHidden/>
    <w:unhideWhenUsed/>
    <w:rsid w:val="002C0BCA"/>
    <w:pPr>
      <w:spacing w:after="100"/>
      <w:ind w:left="1760"/>
    </w:pPr>
  </w:style>
  <w:style w:type="character" w:customStyle="1" w:styleId="Mention2">
    <w:name w:val="Mention2"/>
    <w:uiPriority w:val="99"/>
    <w:unhideWhenUsed/>
    <w:rsid w:val="002A5697"/>
    <w:rPr>
      <w:color w:val="2B579A"/>
      <w:shd w:val="clear" w:color="auto" w:fill="E1DFDD"/>
    </w:rPr>
  </w:style>
  <w:style w:type="character" w:styleId="EndnoteReference">
    <w:name w:val="endnote reference"/>
    <w:uiPriority w:val="99"/>
    <w:semiHidden/>
    <w:unhideWhenUsed/>
    <w:rsid w:val="00E7015A"/>
    <w:rPr>
      <w:vertAlign w:val="superscript"/>
    </w:rPr>
  </w:style>
  <w:style w:type="table" w:customStyle="1" w:styleId="TableGrid1">
    <w:name w:val="Table Grid1"/>
    <w:basedOn w:val="TableNormal"/>
    <w:next w:val="TableGrid"/>
    <w:uiPriority w:val="59"/>
    <w:rsid w:val="008A63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A63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A63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A63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A63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A63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uiPriority w:val="99"/>
    <w:semiHidden/>
    <w:unhideWhenUsed/>
    <w:rsid w:val="00E400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393669">
      <w:bodyDiv w:val="1"/>
      <w:marLeft w:val="0"/>
      <w:marRight w:val="0"/>
      <w:marTop w:val="0"/>
      <w:marBottom w:val="0"/>
      <w:divBdr>
        <w:top w:val="none" w:sz="0" w:space="0" w:color="auto"/>
        <w:left w:val="none" w:sz="0" w:space="0" w:color="auto"/>
        <w:bottom w:val="none" w:sz="0" w:space="0" w:color="auto"/>
        <w:right w:val="none" w:sz="0" w:space="0" w:color="auto"/>
      </w:divBdr>
    </w:div>
    <w:div w:id="125323457">
      <w:bodyDiv w:val="1"/>
      <w:marLeft w:val="0"/>
      <w:marRight w:val="0"/>
      <w:marTop w:val="0"/>
      <w:marBottom w:val="0"/>
      <w:divBdr>
        <w:top w:val="none" w:sz="0" w:space="0" w:color="auto"/>
        <w:left w:val="none" w:sz="0" w:space="0" w:color="auto"/>
        <w:bottom w:val="none" w:sz="0" w:space="0" w:color="auto"/>
        <w:right w:val="none" w:sz="0" w:space="0" w:color="auto"/>
      </w:divBdr>
    </w:div>
    <w:div w:id="158694823">
      <w:bodyDiv w:val="1"/>
      <w:marLeft w:val="0"/>
      <w:marRight w:val="0"/>
      <w:marTop w:val="0"/>
      <w:marBottom w:val="0"/>
      <w:divBdr>
        <w:top w:val="none" w:sz="0" w:space="0" w:color="auto"/>
        <w:left w:val="none" w:sz="0" w:space="0" w:color="auto"/>
        <w:bottom w:val="none" w:sz="0" w:space="0" w:color="auto"/>
        <w:right w:val="none" w:sz="0" w:space="0" w:color="auto"/>
      </w:divBdr>
    </w:div>
    <w:div w:id="173082631">
      <w:bodyDiv w:val="1"/>
      <w:marLeft w:val="0"/>
      <w:marRight w:val="0"/>
      <w:marTop w:val="0"/>
      <w:marBottom w:val="0"/>
      <w:divBdr>
        <w:top w:val="none" w:sz="0" w:space="0" w:color="auto"/>
        <w:left w:val="none" w:sz="0" w:space="0" w:color="auto"/>
        <w:bottom w:val="none" w:sz="0" w:space="0" w:color="auto"/>
        <w:right w:val="none" w:sz="0" w:space="0" w:color="auto"/>
      </w:divBdr>
    </w:div>
    <w:div w:id="283081216">
      <w:bodyDiv w:val="1"/>
      <w:marLeft w:val="0"/>
      <w:marRight w:val="0"/>
      <w:marTop w:val="0"/>
      <w:marBottom w:val="0"/>
      <w:divBdr>
        <w:top w:val="none" w:sz="0" w:space="0" w:color="auto"/>
        <w:left w:val="none" w:sz="0" w:space="0" w:color="auto"/>
        <w:bottom w:val="none" w:sz="0" w:space="0" w:color="auto"/>
        <w:right w:val="none" w:sz="0" w:space="0" w:color="auto"/>
      </w:divBdr>
    </w:div>
    <w:div w:id="301890849">
      <w:bodyDiv w:val="1"/>
      <w:marLeft w:val="0"/>
      <w:marRight w:val="0"/>
      <w:marTop w:val="0"/>
      <w:marBottom w:val="0"/>
      <w:divBdr>
        <w:top w:val="none" w:sz="0" w:space="0" w:color="auto"/>
        <w:left w:val="none" w:sz="0" w:space="0" w:color="auto"/>
        <w:bottom w:val="none" w:sz="0" w:space="0" w:color="auto"/>
        <w:right w:val="none" w:sz="0" w:space="0" w:color="auto"/>
      </w:divBdr>
    </w:div>
    <w:div w:id="380327680">
      <w:bodyDiv w:val="1"/>
      <w:marLeft w:val="0"/>
      <w:marRight w:val="0"/>
      <w:marTop w:val="0"/>
      <w:marBottom w:val="0"/>
      <w:divBdr>
        <w:top w:val="none" w:sz="0" w:space="0" w:color="auto"/>
        <w:left w:val="none" w:sz="0" w:space="0" w:color="auto"/>
        <w:bottom w:val="none" w:sz="0" w:space="0" w:color="auto"/>
        <w:right w:val="none" w:sz="0" w:space="0" w:color="auto"/>
      </w:divBdr>
    </w:div>
    <w:div w:id="552891742">
      <w:bodyDiv w:val="1"/>
      <w:marLeft w:val="0"/>
      <w:marRight w:val="0"/>
      <w:marTop w:val="0"/>
      <w:marBottom w:val="0"/>
      <w:divBdr>
        <w:top w:val="none" w:sz="0" w:space="0" w:color="auto"/>
        <w:left w:val="none" w:sz="0" w:space="0" w:color="auto"/>
        <w:bottom w:val="none" w:sz="0" w:space="0" w:color="auto"/>
        <w:right w:val="none" w:sz="0" w:space="0" w:color="auto"/>
      </w:divBdr>
    </w:div>
    <w:div w:id="1057821877">
      <w:bodyDiv w:val="1"/>
      <w:marLeft w:val="0"/>
      <w:marRight w:val="0"/>
      <w:marTop w:val="0"/>
      <w:marBottom w:val="0"/>
      <w:divBdr>
        <w:top w:val="none" w:sz="0" w:space="0" w:color="auto"/>
        <w:left w:val="none" w:sz="0" w:space="0" w:color="auto"/>
        <w:bottom w:val="none" w:sz="0" w:space="0" w:color="auto"/>
        <w:right w:val="none" w:sz="0" w:space="0" w:color="auto"/>
      </w:divBdr>
    </w:div>
    <w:div w:id="1267738598">
      <w:bodyDiv w:val="1"/>
      <w:marLeft w:val="0"/>
      <w:marRight w:val="0"/>
      <w:marTop w:val="0"/>
      <w:marBottom w:val="0"/>
      <w:divBdr>
        <w:top w:val="none" w:sz="0" w:space="0" w:color="auto"/>
        <w:left w:val="none" w:sz="0" w:space="0" w:color="auto"/>
        <w:bottom w:val="none" w:sz="0" w:space="0" w:color="auto"/>
        <w:right w:val="none" w:sz="0" w:space="0" w:color="auto"/>
      </w:divBdr>
    </w:div>
    <w:div w:id="1312371622">
      <w:bodyDiv w:val="1"/>
      <w:marLeft w:val="0"/>
      <w:marRight w:val="0"/>
      <w:marTop w:val="0"/>
      <w:marBottom w:val="0"/>
      <w:divBdr>
        <w:top w:val="none" w:sz="0" w:space="0" w:color="auto"/>
        <w:left w:val="none" w:sz="0" w:space="0" w:color="auto"/>
        <w:bottom w:val="none" w:sz="0" w:space="0" w:color="auto"/>
        <w:right w:val="none" w:sz="0" w:space="0" w:color="auto"/>
      </w:divBdr>
    </w:div>
    <w:div w:id="1380402397">
      <w:bodyDiv w:val="1"/>
      <w:marLeft w:val="0"/>
      <w:marRight w:val="0"/>
      <w:marTop w:val="0"/>
      <w:marBottom w:val="0"/>
      <w:divBdr>
        <w:top w:val="none" w:sz="0" w:space="0" w:color="auto"/>
        <w:left w:val="none" w:sz="0" w:space="0" w:color="auto"/>
        <w:bottom w:val="none" w:sz="0" w:space="0" w:color="auto"/>
        <w:right w:val="none" w:sz="0" w:space="0" w:color="auto"/>
      </w:divBdr>
    </w:div>
    <w:div w:id="1533960285">
      <w:bodyDiv w:val="1"/>
      <w:marLeft w:val="0"/>
      <w:marRight w:val="0"/>
      <w:marTop w:val="0"/>
      <w:marBottom w:val="0"/>
      <w:divBdr>
        <w:top w:val="none" w:sz="0" w:space="0" w:color="auto"/>
        <w:left w:val="none" w:sz="0" w:space="0" w:color="auto"/>
        <w:bottom w:val="none" w:sz="0" w:space="0" w:color="auto"/>
        <w:right w:val="none" w:sz="0" w:space="0" w:color="auto"/>
      </w:divBdr>
    </w:div>
    <w:div w:id="1696074752">
      <w:bodyDiv w:val="1"/>
      <w:marLeft w:val="0"/>
      <w:marRight w:val="0"/>
      <w:marTop w:val="0"/>
      <w:marBottom w:val="0"/>
      <w:divBdr>
        <w:top w:val="none" w:sz="0" w:space="0" w:color="auto"/>
        <w:left w:val="none" w:sz="0" w:space="0" w:color="auto"/>
        <w:bottom w:val="none" w:sz="0" w:space="0" w:color="auto"/>
        <w:right w:val="none" w:sz="0" w:space="0" w:color="auto"/>
      </w:divBdr>
    </w:div>
    <w:div w:id="1701781762">
      <w:bodyDiv w:val="1"/>
      <w:marLeft w:val="0"/>
      <w:marRight w:val="0"/>
      <w:marTop w:val="0"/>
      <w:marBottom w:val="0"/>
      <w:divBdr>
        <w:top w:val="none" w:sz="0" w:space="0" w:color="auto"/>
        <w:left w:val="none" w:sz="0" w:space="0" w:color="auto"/>
        <w:bottom w:val="none" w:sz="0" w:space="0" w:color="auto"/>
        <w:right w:val="none" w:sz="0" w:space="0" w:color="auto"/>
      </w:divBdr>
    </w:div>
    <w:div w:id="2036693404">
      <w:bodyDiv w:val="1"/>
      <w:marLeft w:val="0"/>
      <w:marRight w:val="0"/>
      <w:marTop w:val="0"/>
      <w:marBottom w:val="0"/>
      <w:divBdr>
        <w:top w:val="none" w:sz="0" w:space="0" w:color="auto"/>
        <w:left w:val="none" w:sz="0" w:space="0" w:color="auto"/>
        <w:bottom w:val="none" w:sz="0" w:space="0" w:color="auto"/>
        <w:right w:val="none" w:sz="0" w:space="0" w:color="auto"/>
      </w:divBdr>
    </w:div>
    <w:div w:id="2141416194">
      <w:bodyDiv w:val="1"/>
      <w:marLeft w:val="0"/>
      <w:marRight w:val="0"/>
      <w:marTop w:val="0"/>
      <w:marBottom w:val="0"/>
      <w:divBdr>
        <w:top w:val="none" w:sz="0" w:space="0" w:color="auto"/>
        <w:left w:val="none" w:sz="0" w:space="0" w:color="auto"/>
        <w:bottom w:val="none" w:sz="0" w:space="0" w:color="auto"/>
        <w:right w:val="none" w:sz="0" w:space="0" w:color="auto"/>
      </w:divBdr>
      <w:divsChild>
        <w:div w:id="88963934">
          <w:marLeft w:val="0"/>
          <w:marRight w:val="0"/>
          <w:marTop w:val="0"/>
          <w:marBottom w:val="0"/>
          <w:divBdr>
            <w:top w:val="none" w:sz="0" w:space="0" w:color="auto"/>
            <w:left w:val="none" w:sz="0" w:space="0" w:color="auto"/>
            <w:bottom w:val="none" w:sz="0" w:space="0" w:color="auto"/>
            <w:right w:val="none" w:sz="0" w:space="0" w:color="auto"/>
          </w:divBdr>
          <w:divsChild>
            <w:div w:id="131215410">
              <w:marLeft w:val="0"/>
              <w:marRight w:val="0"/>
              <w:marTop w:val="0"/>
              <w:marBottom w:val="0"/>
              <w:divBdr>
                <w:top w:val="none" w:sz="0" w:space="0" w:color="auto"/>
                <w:left w:val="none" w:sz="0" w:space="0" w:color="auto"/>
                <w:bottom w:val="none" w:sz="0" w:space="0" w:color="auto"/>
                <w:right w:val="none" w:sz="0" w:space="0" w:color="auto"/>
              </w:divBdr>
              <w:divsChild>
                <w:div w:id="1753698697">
                  <w:marLeft w:val="0"/>
                  <w:marRight w:val="0"/>
                  <w:marTop w:val="0"/>
                  <w:marBottom w:val="0"/>
                  <w:divBdr>
                    <w:top w:val="none" w:sz="0" w:space="0" w:color="auto"/>
                    <w:left w:val="none" w:sz="0" w:space="0" w:color="auto"/>
                    <w:bottom w:val="none" w:sz="0" w:space="0" w:color="auto"/>
                    <w:right w:val="none" w:sz="0" w:space="0" w:color="auto"/>
                  </w:divBdr>
                  <w:divsChild>
                    <w:div w:id="1283149111">
                      <w:marLeft w:val="0"/>
                      <w:marRight w:val="0"/>
                      <w:marTop w:val="0"/>
                      <w:marBottom w:val="0"/>
                      <w:divBdr>
                        <w:top w:val="none" w:sz="0" w:space="0" w:color="auto"/>
                        <w:left w:val="none" w:sz="0" w:space="0" w:color="auto"/>
                        <w:bottom w:val="none" w:sz="0" w:space="0" w:color="auto"/>
                        <w:right w:val="none" w:sz="0" w:space="0" w:color="auto"/>
                      </w:divBdr>
                      <w:divsChild>
                        <w:div w:id="683019423">
                          <w:marLeft w:val="0"/>
                          <w:marRight w:val="0"/>
                          <w:marTop w:val="0"/>
                          <w:marBottom w:val="0"/>
                          <w:divBdr>
                            <w:top w:val="none" w:sz="0" w:space="0" w:color="auto"/>
                            <w:left w:val="none" w:sz="0" w:space="0" w:color="auto"/>
                            <w:bottom w:val="none" w:sz="0" w:space="0" w:color="auto"/>
                            <w:right w:val="none" w:sz="0" w:space="0" w:color="auto"/>
                          </w:divBdr>
                          <w:divsChild>
                            <w:div w:id="206066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eader" Target="header5.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4.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FBEA3-62D6-4E2B-BAAC-13483DEAC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20698</Words>
  <Characters>131532</Characters>
  <Application>Microsoft Office Word</Application>
  <DocSecurity>0</DocSecurity>
  <Lines>1096</Lines>
  <Paragraphs>303</Paragraphs>
  <ScaleCrop>false</ScaleCrop>
  <HeadingPairs>
    <vt:vector size="2" baseType="variant">
      <vt:variant>
        <vt:lpstr>Title</vt:lpstr>
      </vt:variant>
      <vt:variant>
        <vt:i4>1</vt:i4>
      </vt:variant>
    </vt:vector>
  </HeadingPairs>
  <TitlesOfParts>
    <vt:vector size="1" baseType="lpstr">
      <vt:lpstr>Debilitating Symptom Complexes Attributed to Ticks (DSCATT) Clinical Pathway</vt:lpstr>
    </vt:vector>
  </TitlesOfParts>
  <Company/>
  <LinksUpToDate>false</LinksUpToDate>
  <CharactersWithSpaces>151927</CharactersWithSpaces>
  <SharedDoc>false</SharedDoc>
  <HLinks>
    <vt:vector size="510" baseType="variant">
      <vt:variant>
        <vt:i4>1048612</vt:i4>
      </vt:variant>
      <vt:variant>
        <vt:i4>507</vt:i4>
      </vt:variant>
      <vt:variant>
        <vt:i4>0</vt:i4>
      </vt:variant>
      <vt:variant>
        <vt:i4>5</vt:i4>
      </vt:variant>
      <vt:variant>
        <vt:lpwstr/>
      </vt:variant>
      <vt:variant>
        <vt:lpwstr>Section_311</vt:lpwstr>
      </vt:variant>
      <vt:variant>
        <vt:i4>1048612</vt:i4>
      </vt:variant>
      <vt:variant>
        <vt:i4>504</vt:i4>
      </vt:variant>
      <vt:variant>
        <vt:i4>0</vt:i4>
      </vt:variant>
      <vt:variant>
        <vt:i4>5</vt:i4>
      </vt:variant>
      <vt:variant>
        <vt:lpwstr/>
      </vt:variant>
      <vt:variant>
        <vt:lpwstr>Section_311</vt:lpwstr>
      </vt:variant>
      <vt:variant>
        <vt:i4>1048612</vt:i4>
      </vt:variant>
      <vt:variant>
        <vt:i4>501</vt:i4>
      </vt:variant>
      <vt:variant>
        <vt:i4>0</vt:i4>
      </vt:variant>
      <vt:variant>
        <vt:i4>5</vt:i4>
      </vt:variant>
      <vt:variant>
        <vt:lpwstr/>
      </vt:variant>
      <vt:variant>
        <vt:lpwstr>Section_311</vt:lpwstr>
      </vt:variant>
      <vt:variant>
        <vt:i4>1048609</vt:i4>
      </vt:variant>
      <vt:variant>
        <vt:i4>495</vt:i4>
      </vt:variant>
      <vt:variant>
        <vt:i4>0</vt:i4>
      </vt:variant>
      <vt:variant>
        <vt:i4>5</vt:i4>
      </vt:variant>
      <vt:variant>
        <vt:lpwstr/>
      </vt:variant>
      <vt:variant>
        <vt:lpwstr>Section_613</vt:lpwstr>
      </vt:variant>
      <vt:variant>
        <vt:i4>1048611</vt:i4>
      </vt:variant>
      <vt:variant>
        <vt:i4>486</vt:i4>
      </vt:variant>
      <vt:variant>
        <vt:i4>0</vt:i4>
      </vt:variant>
      <vt:variant>
        <vt:i4>5</vt:i4>
      </vt:variant>
      <vt:variant>
        <vt:lpwstr/>
      </vt:variant>
      <vt:variant>
        <vt:lpwstr>Section_412</vt:lpwstr>
      </vt:variant>
      <vt:variant>
        <vt:i4>1245217</vt:i4>
      </vt:variant>
      <vt:variant>
        <vt:i4>483</vt:i4>
      </vt:variant>
      <vt:variant>
        <vt:i4>0</vt:i4>
      </vt:variant>
      <vt:variant>
        <vt:i4>5</vt:i4>
      </vt:variant>
      <vt:variant>
        <vt:lpwstr/>
      </vt:variant>
      <vt:variant>
        <vt:lpwstr>Section_62</vt:lpwstr>
      </vt:variant>
      <vt:variant>
        <vt:i4>1245217</vt:i4>
      </vt:variant>
      <vt:variant>
        <vt:i4>474</vt:i4>
      </vt:variant>
      <vt:variant>
        <vt:i4>0</vt:i4>
      </vt:variant>
      <vt:variant>
        <vt:i4>5</vt:i4>
      </vt:variant>
      <vt:variant>
        <vt:lpwstr/>
      </vt:variant>
      <vt:variant>
        <vt:lpwstr>Section_62</vt:lpwstr>
      </vt:variant>
      <vt:variant>
        <vt:i4>1048609</vt:i4>
      </vt:variant>
      <vt:variant>
        <vt:i4>468</vt:i4>
      </vt:variant>
      <vt:variant>
        <vt:i4>0</vt:i4>
      </vt:variant>
      <vt:variant>
        <vt:i4>5</vt:i4>
      </vt:variant>
      <vt:variant>
        <vt:lpwstr/>
      </vt:variant>
      <vt:variant>
        <vt:lpwstr>Section_61</vt:lpwstr>
      </vt:variant>
      <vt:variant>
        <vt:i4>1048612</vt:i4>
      </vt:variant>
      <vt:variant>
        <vt:i4>459</vt:i4>
      </vt:variant>
      <vt:variant>
        <vt:i4>0</vt:i4>
      </vt:variant>
      <vt:variant>
        <vt:i4>5</vt:i4>
      </vt:variant>
      <vt:variant>
        <vt:lpwstr/>
      </vt:variant>
      <vt:variant>
        <vt:lpwstr>Section_315</vt:lpwstr>
      </vt:variant>
      <vt:variant>
        <vt:i4>1048612</vt:i4>
      </vt:variant>
      <vt:variant>
        <vt:i4>456</vt:i4>
      </vt:variant>
      <vt:variant>
        <vt:i4>0</vt:i4>
      </vt:variant>
      <vt:variant>
        <vt:i4>5</vt:i4>
      </vt:variant>
      <vt:variant>
        <vt:lpwstr/>
      </vt:variant>
      <vt:variant>
        <vt:lpwstr>Section_311</vt:lpwstr>
      </vt:variant>
      <vt:variant>
        <vt:i4>2162711</vt:i4>
      </vt:variant>
      <vt:variant>
        <vt:i4>453</vt:i4>
      </vt:variant>
      <vt:variant>
        <vt:i4>0</vt:i4>
      </vt:variant>
      <vt:variant>
        <vt:i4>5</vt:i4>
      </vt:variant>
      <vt:variant>
        <vt:lpwstr/>
      </vt:variant>
      <vt:variant>
        <vt:lpwstr>Section_2</vt:lpwstr>
      </vt:variant>
      <vt:variant>
        <vt:i4>1245240</vt:i4>
      </vt:variant>
      <vt:variant>
        <vt:i4>446</vt:i4>
      </vt:variant>
      <vt:variant>
        <vt:i4>0</vt:i4>
      </vt:variant>
      <vt:variant>
        <vt:i4>5</vt:i4>
      </vt:variant>
      <vt:variant>
        <vt:lpwstr/>
      </vt:variant>
      <vt:variant>
        <vt:lpwstr>_Toc55460097</vt:lpwstr>
      </vt:variant>
      <vt:variant>
        <vt:i4>1179704</vt:i4>
      </vt:variant>
      <vt:variant>
        <vt:i4>440</vt:i4>
      </vt:variant>
      <vt:variant>
        <vt:i4>0</vt:i4>
      </vt:variant>
      <vt:variant>
        <vt:i4>5</vt:i4>
      </vt:variant>
      <vt:variant>
        <vt:lpwstr/>
      </vt:variant>
      <vt:variant>
        <vt:lpwstr>_Toc55460096</vt:lpwstr>
      </vt:variant>
      <vt:variant>
        <vt:i4>1114168</vt:i4>
      </vt:variant>
      <vt:variant>
        <vt:i4>434</vt:i4>
      </vt:variant>
      <vt:variant>
        <vt:i4>0</vt:i4>
      </vt:variant>
      <vt:variant>
        <vt:i4>5</vt:i4>
      </vt:variant>
      <vt:variant>
        <vt:lpwstr/>
      </vt:variant>
      <vt:variant>
        <vt:lpwstr>_Toc55460095</vt:lpwstr>
      </vt:variant>
      <vt:variant>
        <vt:i4>1048632</vt:i4>
      </vt:variant>
      <vt:variant>
        <vt:i4>425</vt:i4>
      </vt:variant>
      <vt:variant>
        <vt:i4>0</vt:i4>
      </vt:variant>
      <vt:variant>
        <vt:i4>5</vt:i4>
      </vt:variant>
      <vt:variant>
        <vt:lpwstr/>
      </vt:variant>
      <vt:variant>
        <vt:lpwstr>_Toc55460094</vt:lpwstr>
      </vt:variant>
      <vt:variant>
        <vt:i4>1507384</vt:i4>
      </vt:variant>
      <vt:variant>
        <vt:i4>419</vt:i4>
      </vt:variant>
      <vt:variant>
        <vt:i4>0</vt:i4>
      </vt:variant>
      <vt:variant>
        <vt:i4>5</vt:i4>
      </vt:variant>
      <vt:variant>
        <vt:lpwstr/>
      </vt:variant>
      <vt:variant>
        <vt:lpwstr>_Toc55460093</vt:lpwstr>
      </vt:variant>
      <vt:variant>
        <vt:i4>1441848</vt:i4>
      </vt:variant>
      <vt:variant>
        <vt:i4>413</vt:i4>
      </vt:variant>
      <vt:variant>
        <vt:i4>0</vt:i4>
      </vt:variant>
      <vt:variant>
        <vt:i4>5</vt:i4>
      </vt:variant>
      <vt:variant>
        <vt:lpwstr/>
      </vt:variant>
      <vt:variant>
        <vt:lpwstr>_Toc55460092</vt:lpwstr>
      </vt:variant>
      <vt:variant>
        <vt:i4>1376312</vt:i4>
      </vt:variant>
      <vt:variant>
        <vt:i4>407</vt:i4>
      </vt:variant>
      <vt:variant>
        <vt:i4>0</vt:i4>
      </vt:variant>
      <vt:variant>
        <vt:i4>5</vt:i4>
      </vt:variant>
      <vt:variant>
        <vt:lpwstr/>
      </vt:variant>
      <vt:variant>
        <vt:lpwstr>_Toc55460091</vt:lpwstr>
      </vt:variant>
      <vt:variant>
        <vt:i4>1310776</vt:i4>
      </vt:variant>
      <vt:variant>
        <vt:i4>401</vt:i4>
      </vt:variant>
      <vt:variant>
        <vt:i4>0</vt:i4>
      </vt:variant>
      <vt:variant>
        <vt:i4>5</vt:i4>
      </vt:variant>
      <vt:variant>
        <vt:lpwstr/>
      </vt:variant>
      <vt:variant>
        <vt:lpwstr>_Toc55460090</vt:lpwstr>
      </vt:variant>
      <vt:variant>
        <vt:i4>1966135</vt:i4>
      </vt:variant>
      <vt:variant>
        <vt:i4>392</vt:i4>
      </vt:variant>
      <vt:variant>
        <vt:i4>0</vt:i4>
      </vt:variant>
      <vt:variant>
        <vt:i4>5</vt:i4>
      </vt:variant>
      <vt:variant>
        <vt:lpwstr/>
      </vt:variant>
      <vt:variant>
        <vt:lpwstr>_Toc55464822</vt:lpwstr>
      </vt:variant>
      <vt:variant>
        <vt:i4>1900599</vt:i4>
      </vt:variant>
      <vt:variant>
        <vt:i4>386</vt:i4>
      </vt:variant>
      <vt:variant>
        <vt:i4>0</vt:i4>
      </vt:variant>
      <vt:variant>
        <vt:i4>5</vt:i4>
      </vt:variant>
      <vt:variant>
        <vt:lpwstr/>
      </vt:variant>
      <vt:variant>
        <vt:lpwstr>_Toc55464821</vt:lpwstr>
      </vt:variant>
      <vt:variant>
        <vt:i4>1835063</vt:i4>
      </vt:variant>
      <vt:variant>
        <vt:i4>380</vt:i4>
      </vt:variant>
      <vt:variant>
        <vt:i4>0</vt:i4>
      </vt:variant>
      <vt:variant>
        <vt:i4>5</vt:i4>
      </vt:variant>
      <vt:variant>
        <vt:lpwstr/>
      </vt:variant>
      <vt:variant>
        <vt:lpwstr>_Toc55464820</vt:lpwstr>
      </vt:variant>
      <vt:variant>
        <vt:i4>1376308</vt:i4>
      </vt:variant>
      <vt:variant>
        <vt:i4>374</vt:i4>
      </vt:variant>
      <vt:variant>
        <vt:i4>0</vt:i4>
      </vt:variant>
      <vt:variant>
        <vt:i4>5</vt:i4>
      </vt:variant>
      <vt:variant>
        <vt:lpwstr/>
      </vt:variant>
      <vt:variant>
        <vt:lpwstr>_Toc55464819</vt:lpwstr>
      </vt:variant>
      <vt:variant>
        <vt:i4>1310772</vt:i4>
      </vt:variant>
      <vt:variant>
        <vt:i4>368</vt:i4>
      </vt:variant>
      <vt:variant>
        <vt:i4>0</vt:i4>
      </vt:variant>
      <vt:variant>
        <vt:i4>5</vt:i4>
      </vt:variant>
      <vt:variant>
        <vt:lpwstr/>
      </vt:variant>
      <vt:variant>
        <vt:lpwstr>_Toc55464818</vt:lpwstr>
      </vt:variant>
      <vt:variant>
        <vt:i4>1769524</vt:i4>
      </vt:variant>
      <vt:variant>
        <vt:i4>362</vt:i4>
      </vt:variant>
      <vt:variant>
        <vt:i4>0</vt:i4>
      </vt:variant>
      <vt:variant>
        <vt:i4>5</vt:i4>
      </vt:variant>
      <vt:variant>
        <vt:lpwstr/>
      </vt:variant>
      <vt:variant>
        <vt:lpwstr>_Toc55464817</vt:lpwstr>
      </vt:variant>
      <vt:variant>
        <vt:i4>1703988</vt:i4>
      </vt:variant>
      <vt:variant>
        <vt:i4>356</vt:i4>
      </vt:variant>
      <vt:variant>
        <vt:i4>0</vt:i4>
      </vt:variant>
      <vt:variant>
        <vt:i4>5</vt:i4>
      </vt:variant>
      <vt:variant>
        <vt:lpwstr/>
      </vt:variant>
      <vt:variant>
        <vt:lpwstr>_Toc55464816</vt:lpwstr>
      </vt:variant>
      <vt:variant>
        <vt:i4>1638452</vt:i4>
      </vt:variant>
      <vt:variant>
        <vt:i4>350</vt:i4>
      </vt:variant>
      <vt:variant>
        <vt:i4>0</vt:i4>
      </vt:variant>
      <vt:variant>
        <vt:i4>5</vt:i4>
      </vt:variant>
      <vt:variant>
        <vt:lpwstr/>
      </vt:variant>
      <vt:variant>
        <vt:lpwstr>_Toc55464815</vt:lpwstr>
      </vt:variant>
      <vt:variant>
        <vt:i4>1572916</vt:i4>
      </vt:variant>
      <vt:variant>
        <vt:i4>344</vt:i4>
      </vt:variant>
      <vt:variant>
        <vt:i4>0</vt:i4>
      </vt:variant>
      <vt:variant>
        <vt:i4>5</vt:i4>
      </vt:variant>
      <vt:variant>
        <vt:lpwstr/>
      </vt:variant>
      <vt:variant>
        <vt:lpwstr>_Toc55464814</vt:lpwstr>
      </vt:variant>
      <vt:variant>
        <vt:i4>2031668</vt:i4>
      </vt:variant>
      <vt:variant>
        <vt:i4>338</vt:i4>
      </vt:variant>
      <vt:variant>
        <vt:i4>0</vt:i4>
      </vt:variant>
      <vt:variant>
        <vt:i4>5</vt:i4>
      </vt:variant>
      <vt:variant>
        <vt:lpwstr/>
      </vt:variant>
      <vt:variant>
        <vt:lpwstr>_Toc55464813</vt:lpwstr>
      </vt:variant>
      <vt:variant>
        <vt:i4>1966132</vt:i4>
      </vt:variant>
      <vt:variant>
        <vt:i4>332</vt:i4>
      </vt:variant>
      <vt:variant>
        <vt:i4>0</vt:i4>
      </vt:variant>
      <vt:variant>
        <vt:i4>5</vt:i4>
      </vt:variant>
      <vt:variant>
        <vt:lpwstr/>
      </vt:variant>
      <vt:variant>
        <vt:lpwstr>_Toc55464812</vt:lpwstr>
      </vt:variant>
      <vt:variant>
        <vt:i4>1900596</vt:i4>
      </vt:variant>
      <vt:variant>
        <vt:i4>326</vt:i4>
      </vt:variant>
      <vt:variant>
        <vt:i4>0</vt:i4>
      </vt:variant>
      <vt:variant>
        <vt:i4>5</vt:i4>
      </vt:variant>
      <vt:variant>
        <vt:lpwstr/>
      </vt:variant>
      <vt:variant>
        <vt:lpwstr>_Toc55464811</vt:lpwstr>
      </vt:variant>
      <vt:variant>
        <vt:i4>1835060</vt:i4>
      </vt:variant>
      <vt:variant>
        <vt:i4>320</vt:i4>
      </vt:variant>
      <vt:variant>
        <vt:i4>0</vt:i4>
      </vt:variant>
      <vt:variant>
        <vt:i4>5</vt:i4>
      </vt:variant>
      <vt:variant>
        <vt:lpwstr/>
      </vt:variant>
      <vt:variant>
        <vt:lpwstr>_Toc55464810</vt:lpwstr>
      </vt:variant>
      <vt:variant>
        <vt:i4>1376309</vt:i4>
      </vt:variant>
      <vt:variant>
        <vt:i4>314</vt:i4>
      </vt:variant>
      <vt:variant>
        <vt:i4>0</vt:i4>
      </vt:variant>
      <vt:variant>
        <vt:i4>5</vt:i4>
      </vt:variant>
      <vt:variant>
        <vt:lpwstr/>
      </vt:variant>
      <vt:variant>
        <vt:lpwstr>_Toc55464809</vt:lpwstr>
      </vt:variant>
      <vt:variant>
        <vt:i4>1310773</vt:i4>
      </vt:variant>
      <vt:variant>
        <vt:i4>308</vt:i4>
      </vt:variant>
      <vt:variant>
        <vt:i4>0</vt:i4>
      </vt:variant>
      <vt:variant>
        <vt:i4>5</vt:i4>
      </vt:variant>
      <vt:variant>
        <vt:lpwstr/>
      </vt:variant>
      <vt:variant>
        <vt:lpwstr>_Toc55464808</vt:lpwstr>
      </vt:variant>
      <vt:variant>
        <vt:i4>1769525</vt:i4>
      </vt:variant>
      <vt:variant>
        <vt:i4>302</vt:i4>
      </vt:variant>
      <vt:variant>
        <vt:i4>0</vt:i4>
      </vt:variant>
      <vt:variant>
        <vt:i4>5</vt:i4>
      </vt:variant>
      <vt:variant>
        <vt:lpwstr/>
      </vt:variant>
      <vt:variant>
        <vt:lpwstr>_Toc55464807</vt:lpwstr>
      </vt:variant>
      <vt:variant>
        <vt:i4>1703989</vt:i4>
      </vt:variant>
      <vt:variant>
        <vt:i4>296</vt:i4>
      </vt:variant>
      <vt:variant>
        <vt:i4>0</vt:i4>
      </vt:variant>
      <vt:variant>
        <vt:i4>5</vt:i4>
      </vt:variant>
      <vt:variant>
        <vt:lpwstr/>
      </vt:variant>
      <vt:variant>
        <vt:lpwstr>_Toc55464806</vt:lpwstr>
      </vt:variant>
      <vt:variant>
        <vt:i4>1638453</vt:i4>
      </vt:variant>
      <vt:variant>
        <vt:i4>290</vt:i4>
      </vt:variant>
      <vt:variant>
        <vt:i4>0</vt:i4>
      </vt:variant>
      <vt:variant>
        <vt:i4>5</vt:i4>
      </vt:variant>
      <vt:variant>
        <vt:lpwstr/>
      </vt:variant>
      <vt:variant>
        <vt:lpwstr>_Toc55464805</vt:lpwstr>
      </vt:variant>
      <vt:variant>
        <vt:i4>1572917</vt:i4>
      </vt:variant>
      <vt:variant>
        <vt:i4>284</vt:i4>
      </vt:variant>
      <vt:variant>
        <vt:i4>0</vt:i4>
      </vt:variant>
      <vt:variant>
        <vt:i4>5</vt:i4>
      </vt:variant>
      <vt:variant>
        <vt:lpwstr/>
      </vt:variant>
      <vt:variant>
        <vt:lpwstr>_Toc55464804</vt:lpwstr>
      </vt:variant>
      <vt:variant>
        <vt:i4>2031669</vt:i4>
      </vt:variant>
      <vt:variant>
        <vt:i4>278</vt:i4>
      </vt:variant>
      <vt:variant>
        <vt:i4>0</vt:i4>
      </vt:variant>
      <vt:variant>
        <vt:i4>5</vt:i4>
      </vt:variant>
      <vt:variant>
        <vt:lpwstr/>
      </vt:variant>
      <vt:variant>
        <vt:lpwstr>_Toc55464803</vt:lpwstr>
      </vt:variant>
      <vt:variant>
        <vt:i4>1966133</vt:i4>
      </vt:variant>
      <vt:variant>
        <vt:i4>272</vt:i4>
      </vt:variant>
      <vt:variant>
        <vt:i4>0</vt:i4>
      </vt:variant>
      <vt:variant>
        <vt:i4>5</vt:i4>
      </vt:variant>
      <vt:variant>
        <vt:lpwstr/>
      </vt:variant>
      <vt:variant>
        <vt:lpwstr>_Toc55464802</vt:lpwstr>
      </vt:variant>
      <vt:variant>
        <vt:i4>1900597</vt:i4>
      </vt:variant>
      <vt:variant>
        <vt:i4>266</vt:i4>
      </vt:variant>
      <vt:variant>
        <vt:i4>0</vt:i4>
      </vt:variant>
      <vt:variant>
        <vt:i4>5</vt:i4>
      </vt:variant>
      <vt:variant>
        <vt:lpwstr/>
      </vt:variant>
      <vt:variant>
        <vt:lpwstr>_Toc55464801</vt:lpwstr>
      </vt:variant>
      <vt:variant>
        <vt:i4>1835061</vt:i4>
      </vt:variant>
      <vt:variant>
        <vt:i4>260</vt:i4>
      </vt:variant>
      <vt:variant>
        <vt:i4>0</vt:i4>
      </vt:variant>
      <vt:variant>
        <vt:i4>5</vt:i4>
      </vt:variant>
      <vt:variant>
        <vt:lpwstr/>
      </vt:variant>
      <vt:variant>
        <vt:lpwstr>_Toc55464800</vt:lpwstr>
      </vt:variant>
      <vt:variant>
        <vt:i4>1703996</vt:i4>
      </vt:variant>
      <vt:variant>
        <vt:i4>254</vt:i4>
      </vt:variant>
      <vt:variant>
        <vt:i4>0</vt:i4>
      </vt:variant>
      <vt:variant>
        <vt:i4>5</vt:i4>
      </vt:variant>
      <vt:variant>
        <vt:lpwstr/>
      </vt:variant>
      <vt:variant>
        <vt:lpwstr>_Toc55464799</vt:lpwstr>
      </vt:variant>
      <vt:variant>
        <vt:i4>1769532</vt:i4>
      </vt:variant>
      <vt:variant>
        <vt:i4>248</vt:i4>
      </vt:variant>
      <vt:variant>
        <vt:i4>0</vt:i4>
      </vt:variant>
      <vt:variant>
        <vt:i4>5</vt:i4>
      </vt:variant>
      <vt:variant>
        <vt:lpwstr/>
      </vt:variant>
      <vt:variant>
        <vt:lpwstr>_Toc55464798</vt:lpwstr>
      </vt:variant>
      <vt:variant>
        <vt:i4>1310780</vt:i4>
      </vt:variant>
      <vt:variant>
        <vt:i4>242</vt:i4>
      </vt:variant>
      <vt:variant>
        <vt:i4>0</vt:i4>
      </vt:variant>
      <vt:variant>
        <vt:i4>5</vt:i4>
      </vt:variant>
      <vt:variant>
        <vt:lpwstr/>
      </vt:variant>
      <vt:variant>
        <vt:lpwstr>_Toc55464797</vt:lpwstr>
      </vt:variant>
      <vt:variant>
        <vt:i4>1376316</vt:i4>
      </vt:variant>
      <vt:variant>
        <vt:i4>236</vt:i4>
      </vt:variant>
      <vt:variant>
        <vt:i4>0</vt:i4>
      </vt:variant>
      <vt:variant>
        <vt:i4>5</vt:i4>
      </vt:variant>
      <vt:variant>
        <vt:lpwstr/>
      </vt:variant>
      <vt:variant>
        <vt:lpwstr>_Toc55464796</vt:lpwstr>
      </vt:variant>
      <vt:variant>
        <vt:i4>1441852</vt:i4>
      </vt:variant>
      <vt:variant>
        <vt:i4>230</vt:i4>
      </vt:variant>
      <vt:variant>
        <vt:i4>0</vt:i4>
      </vt:variant>
      <vt:variant>
        <vt:i4>5</vt:i4>
      </vt:variant>
      <vt:variant>
        <vt:lpwstr/>
      </vt:variant>
      <vt:variant>
        <vt:lpwstr>_Toc55464795</vt:lpwstr>
      </vt:variant>
      <vt:variant>
        <vt:i4>1507388</vt:i4>
      </vt:variant>
      <vt:variant>
        <vt:i4>224</vt:i4>
      </vt:variant>
      <vt:variant>
        <vt:i4>0</vt:i4>
      </vt:variant>
      <vt:variant>
        <vt:i4>5</vt:i4>
      </vt:variant>
      <vt:variant>
        <vt:lpwstr/>
      </vt:variant>
      <vt:variant>
        <vt:lpwstr>_Toc55464794</vt:lpwstr>
      </vt:variant>
      <vt:variant>
        <vt:i4>1048636</vt:i4>
      </vt:variant>
      <vt:variant>
        <vt:i4>218</vt:i4>
      </vt:variant>
      <vt:variant>
        <vt:i4>0</vt:i4>
      </vt:variant>
      <vt:variant>
        <vt:i4>5</vt:i4>
      </vt:variant>
      <vt:variant>
        <vt:lpwstr/>
      </vt:variant>
      <vt:variant>
        <vt:lpwstr>_Toc55464793</vt:lpwstr>
      </vt:variant>
      <vt:variant>
        <vt:i4>1114172</vt:i4>
      </vt:variant>
      <vt:variant>
        <vt:i4>212</vt:i4>
      </vt:variant>
      <vt:variant>
        <vt:i4>0</vt:i4>
      </vt:variant>
      <vt:variant>
        <vt:i4>5</vt:i4>
      </vt:variant>
      <vt:variant>
        <vt:lpwstr/>
      </vt:variant>
      <vt:variant>
        <vt:lpwstr>_Toc55464792</vt:lpwstr>
      </vt:variant>
      <vt:variant>
        <vt:i4>1179708</vt:i4>
      </vt:variant>
      <vt:variant>
        <vt:i4>206</vt:i4>
      </vt:variant>
      <vt:variant>
        <vt:i4>0</vt:i4>
      </vt:variant>
      <vt:variant>
        <vt:i4>5</vt:i4>
      </vt:variant>
      <vt:variant>
        <vt:lpwstr/>
      </vt:variant>
      <vt:variant>
        <vt:lpwstr>_Toc55464791</vt:lpwstr>
      </vt:variant>
      <vt:variant>
        <vt:i4>1245244</vt:i4>
      </vt:variant>
      <vt:variant>
        <vt:i4>200</vt:i4>
      </vt:variant>
      <vt:variant>
        <vt:i4>0</vt:i4>
      </vt:variant>
      <vt:variant>
        <vt:i4>5</vt:i4>
      </vt:variant>
      <vt:variant>
        <vt:lpwstr/>
      </vt:variant>
      <vt:variant>
        <vt:lpwstr>_Toc55464790</vt:lpwstr>
      </vt:variant>
      <vt:variant>
        <vt:i4>1703997</vt:i4>
      </vt:variant>
      <vt:variant>
        <vt:i4>194</vt:i4>
      </vt:variant>
      <vt:variant>
        <vt:i4>0</vt:i4>
      </vt:variant>
      <vt:variant>
        <vt:i4>5</vt:i4>
      </vt:variant>
      <vt:variant>
        <vt:lpwstr/>
      </vt:variant>
      <vt:variant>
        <vt:lpwstr>_Toc55464789</vt:lpwstr>
      </vt:variant>
      <vt:variant>
        <vt:i4>1769533</vt:i4>
      </vt:variant>
      <vt:variant>
        <vt:i4>188</vt:i4>
      </vt:variant>
      <vt:variant>
        <vt:i4>0</vt:i4>
      </vt:variant>
      <vt:variant>
        <vt:i4>5</vt:i4>
      </vt:variant>
      <vt:variant>
        <vt:lpwstr/>
      </vt:variant>
      <vt:variant>
        <vt:lpwstr>_Toc55464788</vt:lpwstr>
      </vt:variant>
      <vt:variant>
        <vt:i4>1310781</vt:i4>
      </vt:variant>
      <vt:variant>
        <vt:i4>182</vt:i4>
      </vt:variant>
      <vt:variant>
        <vt:i4>0</vt:i4>
      </vt:variant>
      <vt:variant>
        <vt:i4>5</vt:i4>
      </vt:variant>
      <vt:variant>
        <vt:lpwstr/>
      </vt:variant>
      <vt:variant>
        <vt:lpwstr>_Toc55464787</vt:lpwstr>
      </vt:variant>
      <vt:variant>
        <vt:i4>1376317</vt:i4>
      </vt:variant>
      <vt:variant>
        <vt:i4>176</vt:i4>
      </vt:variant>
      <vt:variant>
        <vt:i4>0</vt:i4>
      </vt:variant>
      <vt:variant>
        <vt:i4>5</vt:i4>
      </vt:variant>
      <vt:variant>
        <vt:lpwstr/>
      </vt:variant>
      <vt:variant>
        <vt:lpwstr>_Toc55464786</vt:lpwstr>
      </vt:variant>
      <vt:variant>
        <vt:i4>1441853</vt:i4>
      </vt:variant>
      <vt:variant>
        <vt:i4>170</vt:i4>
      </vt:variant>
      <vt:variant>
        <vt:i4>0</vt:i4>
      </vt:variant>
      <vt:variant>
        <vt:i4>5</vt:i4>
      </vt:variant>
      <vt:variant>
        <vt:lpwstr/>
      </vt:variant>
      <vt:variant>
        <vt:lpwstr>_Toc55464785</vt:lpwstr>
      </vt:variant>
      <vt:variant>
        <vt:i4>1507389</vt:i4>
      </vt:variant>
      <vt:variant>
        <vt:i4>164</vt:i4>
      </vt:variant>
      <vt:variant>
        <vt:i4>0</vt:i4>
      </vt:variant>
      <vt:variant>
        <vt:i4>5</vt:i4>
      </vt:variant>
      <vt:variant>
        <vt:lpwstr/>
      </vt:variant>
      <vt:variant>
        <vt:lpwstr>_Toc55464784</vt:lpwstr>
      </vt:variant>
      <vt:variant>
        <vt:i4>1048637</vt:i4>
      </vt:variant>
      <vt:variant>
        <vt:i4>158</vt:i4>
      </vt:variant>
      <vt:variant>
        <vt:i4>0</vt:i4>
      </vt:variant>
      <vt:variant>
        <vt:i4>5</vt:i4>
      </vt:variant>
      <vt:variant>
        <vt:lpwstr/>
      </vt:variant>
      <vt:variant>
        <vt:lpwstr>_Toc55464783</vt:lpwstr>
      </vt:variant>
      <vt:variant>
        <vt:i4>1114173</vt:i4>
      </vt:variant>
      <vt:variant>
        <vt:i4>152</vt:i4>
      </vt:variant>
      <vt:variant>
        <vt:i4>0</vt:i4>
      </vt:variant>
      <vt:variant>
        <vt:i4>5</vt:i4>
      </vt:variant>
      <vt:variant>
        <vt:lpwstr/>
      </vt:variant>
      <vt:variant>
        <vt:lpwstr>_Toc55464782</vt:lpwstr>
      </vt:variant>
      <vt:variant>
        <vt:i4>1179709</vt:i4>
      </vt:variant>
      <vt:variant>
        <vt:i4>146</vt:i4>
      </vt:variant>
      <vt:variant>
        <vt:i4>0</vt:i4>
      </vt:variant>
      <vt:variant>
        <vt:i4>5</vt:i4>
      </vt:variant>
      <vt:variant>
        <vt:lpwstr/>
      </vt:variant>
      <vt:variant>
        <vt:lpwstr>_Toc55464781</vt:lpwstr>
      </vt:variant>
      <vt:variant>
        <vt:i4>1245245</vt:i4>
      </vt:variant>
      <vt:variant>
        <vt:i4>140</vt:i4>
      </vt:variant>
      <vt:variant>
        <vt:i4>0</vt:i4>
      </vt:variant>
      <vt:variant>
        <vt:i4>5</vt:i4>
      </vt:variant>
      <vt:variant>
        <vt:lpwstr/>
      </vt:variant>
      <vt:variant>
        <vt:lpwstr>_Toc55464780</vt:lpwstr>
      </vt:variant>
      <vt:variant>
        <vt:i4>1703986</vt:i4>
      </vt:variant>
      <vt:variant>
        <vt:i4>134</vt:i4>
      </vt:variant>
      <vt:variant>
        <vt:i4>0</vt:i4>
      </vt:variant>
      <vt:variant>
        <vt:i4>5</vt:i4>
      </vt:variant>
      <vt:variant>
        <vt:lpwstr/>
      </vt:variant>
      <vt:variant>
        <vt:lpwstr>_Toc55464779</vt:lpwstr>
      </vt:variant>
      <vt:variant>
        <vt:i4>1769522</vt:i4>
      </vt:variant>
      <vt:variant>
        <vt:i4>128</vt:i4>
      </vt:variant>
      <vt:variant>
        <vt:i4>0</vt:i4>
      </vt:variant>
      <vt:variant>
        <vt:i4>5</vt:i4>
      </vt:variant>
      <vt:variant>
        <vt:lpwstr/>
      </vt:variant>
      <vt:variant>
        <vt:lpwstr>_Toc55464778</vt:lpwstr>
      </vt:variant>
      <vt:variant>
        <vt:i4>1310770</vt:i4>
      </vt:variant>
      <vt:variant>
        <vt:i4>122</vt:i4>
      </vt:variant>
      <vt:variant>
        <vt:i4>0</vt:i4>
      </vt:variant>
      <vt:variant>
        <vt:i4>5</vt:i4>
      </vt:variant>
      <vt:variant>
        <vt:lpwstr/>
      </vt:variant>
      <vt:variant>
        <vt:lpwstr>_Toc55464777</vt:lpwstr>
      </vt:variant>
      <vt:variant>
        <vt:i4>1376306</vt:i4>
      </vt:variant>
      <vt:variant>
        <vt:i4>116</vt:i4>
      </vt:variant>
      <vt:variant>
        <vt:i4>0</vt:i4>
      </vt:variant>
      <vt:variant>
        <vt:i4>5</vt:i4>
      </vt:variant>
      <vt:variant>
        <vt:lpwstr/>
      </vt:variant>
      <vt:variant>
        <vt:lpwstr>_Toc55464776</vt:lpwstr>
      </vt:variant>
      <vt:variant>
        <vt:i4>1441842</vt:i4>
      </vt:variant>
      <vt:variant>
        <vt:i4>110</vt:i4>
      </vt:variant>
      <vt:variant>
        <vt:i4>0</vt:i4>
      </vt:variant>
      <vt:variant>
        <vt:i4>5</vt:i4>
      </vt:variant>
      <vt:variant>
        <vt:lpwstr/>
      </vt:variant>
      <vt:variant>
        <vt:lpwstr>_Toc55464775</vt:lpwstr>
      </vt:variant>
      <vt:variant>
        <vt:i4>1507378</vt:i4>
      </vt:variant>
      <vt:variant>
        <vt:i4>104</vt:i4>
      </vt:variant>
      <vt:variant>
        <vt:i4>0</vt:i4>
      </vt:variant>
      <vt:variant>
        <vt:i4>5</vt:i4>
      </vt:variant>
      <vt:variant>
        <vt:lpwstr/>
      </vt:variant>
      <vt:variant>
        <vt:lpwstr>_Toc55464774</vt:lpwstr>
      </vt:variant>
      <vt:variant>
        <vt:i4>1048626</vt:i4>
      </vt:variant>
      <vt:variant>
        <vt:i4>98</vt:i4>
      </vt:variant>
      <vt:variant>
        <vt:i4>0</vt:i4>
      </vt:variant>
      <vt:variant>
        <vt:i4>5</vt:i4>
      </vt:variant>
      <vt:variant>
        <vt:lpwstr/>
      </vt:variant>
      <vt:variant>
        <vt:lpwstr>_Toc55464773</vt:lpwstr>
      </vt:variant>
      <vt:variant>
        <vt:i4>1114162</vt:i4>
      </vt:variant>
      <vt:variant>
        <vt:i4>92</vt:i4>
      </vt:variant>
      <vt:variant>
        <vt:i4>0</vt:i4>
      </vt:variant>
      <vt:variant>
        <vt:i4>5</vt:i4>
      </vt:variant>
      <vt:variant>
        <vt:lpwstr/>
      </vt:variant>
      <vt:variant>
        <vt:lpwstr>_Toc55464772</vt:lpwstr>
      </vt:variant>
      <vt:variant>
        <vt:i4>1179698</vt:i4>
      </vt:variant>
      <vt:variant>
        <vt:i4>86</vt:i4>
      </vt:variant>
      <vt:variant>
        <vt:i4>0</vt:i4>
      </vt:variant>
      <vt:variant>
        <vt:i4>5</vt:i4>
      </vt:variant>
      <vt:variant>
        <vt:lpwstr/>
      </vt:variant>
      <vt:variant>
        <vt:lpwstr>_Toc55464771</vt:lpwstr>
      </vt:variant>
      <vt:variant>
        <vt:i4>1245234</vt:i4>
      </vt:variant>
      <vt:variant>
        <vt:i4>80</vt:i4>
      </vt:variant>
      <vt:variant>
        <vt:i4>0</vt:i4>
      </vt:variant>
      <vt:variant>
        <vt:i4>5</vt:i4>
      </vt:variant>
      <vt:variant>
        <vt:lpwstr/>
      </vt:variant>
      <vt:variant>
        <vt:lpwstr>_Toc55464770</vt:lpwstr>
      </vt:variant>
      <vt:variant>
        <vt:i4>1703987</vt:i4>
      </vt:variant>
      <vt:variant>
        <vt:i4>74</vt:i4>
      </vt:variant>
      <vt:variant>
        <vt:i4>0</vt:i4>
      </vt:variant>
      <vt:variant>
        <vt:i4>5</vt:i4>
      </vt:variant>
      <vt:variant>
        <vt:lpwstr/>
      </vt:variant>
      <vt:variant>
        <vt:lpwstr>_Toc55464769</vt:lpwstr>
      </vt:variant>
      <vt:variant>
        <vt:i4>1769523</vt:i4>
      </vt:variant>
      <vt:variant>
        <vt:i4>68</vt:i4>
      </vt:variant>
      <vt:variant>
        <vt:i4>0</vt:i4>
      </vt:variant>
      <vt:variant>
        <vt:i4>5</vt:i4>
      </vt:variant>
      <vt:variant>
        <vt:lpwstr/>
      </vt:variant>
      <vt:variant>
        <vt:lpwstr>_Toc55464768</vt:lpwstr>
      </vt:variant>
      <vt:variant>
        <vt:i4>1310771</vt:i4>
      </vt:variant>
      <vt:variant>
        <vt:i4>62</vt:i4>
      </vt:variant>
      <vt:variant>
        <vt:i4>0</vt:i4>
      </vt:variant>
      <vt:variant>
        <vt:i4>5</vt:i4>
      </vt:variant>
      <vt:variant>
        <vt:lpwstr/>
      </vt:variant>
      <vt:variant>
        <vt:lpwstr>_Toc55464767</vt:lpwstr>
      </vt:variant>
      <vt:variant>
        <vt:i4>1376307</vt:i4>
      </vt:variant>
      <vt:variant>
        <vt:i4>56</vt:i4>
      </vt:variant>
      <vt:variant>
        <vt:i4>0</vt:i4>
      </vt:variant>
      <vt:variant>
        <vt:i4>5</vt:i4>
      </vt:variant>
      <vt:variant>
        <vt:lpwstr/>
      </vt:variant>
      <vt:variant>
        <vt:lpwstr>_Toc55464766</vt:lpwstr>
      </vt:variant>
      <vt:variant>
        <vt:i4>1441843</vt:i4>
      </vt:variant>
      <vt:variant>
        <vt:i4>50</vt:i4>
      </vt:variant>
      <vt:variant>
        <vt:i4>0</vt:i4>
      </vt:variant>
      <vt:variant>
        <vt:i4>5</vt:i4>
      </vt:variant>
      <vt:variant>
        <vt:lpwstr/>
      </vt:variant>
      <vt:variant>
        <vt:lpwstr>_Toc55464765</vt:lpwstr>
      </vt:variant>
      <vt:variant>
        <vt:i4>1507379</vt:i4>
      </vt:variant>
      <vt:variant>
        <vt:i4>44</vt:i4>
      </vt:variant>
      <vt:variant>
        <vt:i4>0</vt:i4>
      </vt:variant>
      <vt:variant>
        <vt:i4>5</vt:i4>
      </vt:variant>
      <vt:variant>
        <vt:lpwstr/>
      </vt:variant>
      <vt:variant>
        <vt:lpwstr>_Toc55464764</vt:lpwstr>
      </vt:variant>
      <vt:variant>
        <vt:i4>1048627</vt:i4>
      </vt:variant>
      <vt:variant>
        <vt:i4>38</vt:i4>
      </vt:variant>
      <vt:variant>
        <vt:i4>0</vt:i4>
      </vt:variant>
      <vt:variant>
        <vt:i4>5</vt:i4>
      </vt:variant>
      <vt:variant>
        <vt:lpwstr/>
      </vt:variant>
      <vt:variant>
        <vt:lpwstr>_Toc55464763</vt:lpwstr>
      </vt:variant>
      <vt:variant>
        <vt:i4>1114163</vt:i4>
      </vt:variant>
      <vt:variant>
        <vt:i4>32</vt:i4>
      </vt:variant>
      <vt:variant>
        <vt:i4>0</vt:i4>
      </vt:variant>
      <vt:variant>
        <vt:i4>5</vt:i4>
      </vt:variant>
      <vt:variant>
        <vt:lpwstr/>
      </vt:variant>
      <vt:variant>
        <vt:lpwstr>_Toc55464762</vt:lpwstr>
      </vt:variant>
      <vt:variant>
        <vt:i4>1179699</vt:i4>
      </vt:variant>
      <vt:variant>
        <vt:i4>26</vt:i4>
      </vt:variant>
      <vt:variant>
        <vt:i4>0</vt:i4>
      </vt:variant>
      <vt:variant>
        <vt:i4>5</vt:i4>
      </vt:variant>
      <vt:variant>
        <vt:lpwstr/>
      </vt:variant>
      <vt:variant>
        <vt:lpwstr>_Toc55464761</vt:lpwstr>
      </vt:variant>
      <vt:variant>
        <vt:i4>1245235</vt:i4>
      </vt:variant>
      <vt:variant>
        <vt:i4>20</vt:i4>
      </vt:variant>
      <vt:variant>
        <vt:i4>0</vt:i4>
      </vt:variant>
      <vt:variant>
        <vt:i4>5</vt:i4>
      </vt:variant>
      <vt:variant>
        <vt:lpwstr/>
      </vt:variant>
      <vt:variant>
        <vt:lpwstr>_Toc55464760</vt:lpwstr>
      </vt:variant>
      <vt:variant>
        <vt:i4>1703984</vt:i4>
      </vt:variant>
      <vt:variant>
        <vt:i4>14</vt:i4>
      </vt:variant>
      <vt:variant>
        <vt:i4>0</vt:i4>
      </vt:variant>
      <vt:variant>
        <vt:i4>5</vt:i4>
      </vt:variant>
      <vt:variant>
        <vt:lpwstr/>
      </vt:variant>
      <vt:variant>
        <vt:lpwstr>_Toc55464759</vt:lpwstr>
      </vt:variant>
      <vt:variant>
        <vt:i4>1769520</vt:i4>
      </vt:variant>
      <vt:variant>
        <vt:i4>8</vt:i4>
      </vt:variant>
      <vt:variant>
        <vt:i4>0</vt:i4>
      </vt:variant>
      <vt:variant>
        <vt:i4>5</vt:i4>
      </vt:variant>
      <vt:variant>
        <vt:lpwstr/>
      </vt:variant>
      <vt:variant>
        <vt:lpwstr>_Toc55464758</vt:lpwstr>
      </vt:variant>
      <vt:variant>
        <vt:i4>1310768</vt:i4>
      </vt:variant>
      <vt:variant>
        <vt:i4>2</vt:i4>
      </vt:variant>
      <vt:variant>
        <vt:i4>0</vt:i4>
      </vt:variant>
      <vt:variant>
        <vt:i4>5</vt:i4>
      </vt:variant>
      <vt:variant>
        <vt:lpwstr/>
      </vt:variant>
      <vt:variant>
        <vt:lpwstr>_Toc55464757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Debilitating symptom complexes attributed to ticks (DSCATT) clinical pathway</dc:title>
  <dc:creator/>
  <cp:keywords/>
  <dc:description/>
  <cp:lastModifiedBy/>
  <cp:revision>1</cp:revision>
  <dcterms:created xsi:type="dcterms:W3CDTF">2021-07-06T23:28:00Z</dcterms:created>
  <dcterms:modified xsi:type="dcterms:W3CDTF">2021-07-06T23:28:00Z</dcterms:modified>
  <cp:version/>
</cp:coreProperties>
</file>