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35D4900" w14:textId="77777777" w:rsidTr="00800DEB">
        <w:tc>
          <w:tcPr>
            <w:tcW w:w="2547" w:type="dxa"/>
          </w:tcPr>
          <w:p w14:paraId="7318D97E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58379C25" wp14:editId="686E2C8D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1B5C9A22" w14:textId="4C226909" w:rsidR="00800DEB" w:rsidRDefault="00F41DA3" w:rsidP="00800DEB">
            <w:pPr>
              <w:pStyle w:val="Title"/>
            </w:pPr>
            <w:r w:rsidRPr="00F41DA3">
              <w:t>Dengue virus infection</w:t>
            </w:r>
          </w:p>
          <w:p w14:paraId="4A91B86F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3CC65433" w14:textId="3DAFAD00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F41DA3">
        <w:t>d</w:t>
      </w:r>
      <w:r w:rsidR="00F41DA3" w:rsidRPr="00F41DA3">
        <w:t>engue virus infection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243E1B" w14:paraId="401E6B1D" w14:textId="77777777" w:rsidTr="00243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389C3" w14:textId="77777777" w:rsidR="00243E1B" w:rsidRDefault="00243E1B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8B4FE" w14:textId="77777777" w:rsidR="00243E1B" w:rsidRDefault="00243E1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41BC4" w14:textId="77777777" w:rsidR="00243E1B" w:rsidRDefault="00243E1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9D71F" w14:textId="77777777" w:rsidR="00243E1B" w:rsidRDefault="00243E1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243E1B" w14:paraId="580A896C" w14:textId="77777777" w:rsidTr="0024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FFE38" w14:textId="77777777" w:rsidR="00243E1B" w:rsidRDefault="00243E1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8A215" w14:textId="77777777" w:rsidR="00243E1B" w:rsidRDefault="00243E1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EBD25" w14:textId="77777777" w:rsidR="00243E1B" w:rsidRDefault="00243E1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B1326" w14:textId="77777777" w:rsidR="00243E1B" w:rsidRDefault="00243E1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1885947B" w14:textId="77777777" w:rsidR="00F41DA3" w:rsidRPr="00F41DA3" w:rsidRDefault="00F41DA3" w:rsidP="00F41DA3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F41DA3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579DF9DD" w14:textId="77777777" w:rsidR="00F41DA3" w:rsidRPr="00F41DA3" w:rsidRDefault="00F41DA3" w:rsidP="00F41DA3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F41DA3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 </w:t>
      </w: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cases and </w:t>
      </w:r>
      <w:r w:rsidRPr="00F41DA3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</w:t>
      </w: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 cases should be notified.</w:t>
      </w:r>
    </w:p>
    <w:p w14:paraId="6287828D" w14:textId="77777777" w:rsidR="00F41DA3" w:rsidRPr="00F41DA3" w:rsidRDefault="00F41DA3" w:rsidP="00F41DA3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F41DA3">
        <w:rPr>
          <w:rFonts w:ascii="Open Sans" w:hAnsi="Open Sans" w:cs="Open Sans"/>
          <w:color w:val="000000"/>
          <w:sz w:val="36"/>
          <w:szCs w:val="36"/>
          <w:lang w:eastAsia="en-AU"/>
        </w:rPr>
        <w:t>Confirmed case</w:t>
      </w:r>
    </w:p>
    <w:p w14:paraId="03A85150" w14:textId="77777777" w:rsidR="00F41DA3" w:rsidRPr="00F41DA3" w:rsidRDefault="00F41DA3" w:rsidP="00F41DA3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requires:</w:t>
      </w:r>
    </w:p>
    <w:p w14:paraId="6B4427BA" w14:textId="77777777" w:rsidR="00F41DA3" w:rsidRPr="00F41DA3" w:rsidRDefault="00F41DA3" w:rsidP="00F41DA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F41DA3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</w:p>
    <w:p w14:paraId="30B4F738" w14:textId="77777777" w:rsidR="00F41DA3" w:rsidRPr="00F41DA3" w:rsidRDefault="00F41DA3" w:rsidP="00F41DA3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41DA3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  <w:hyperlink r:id="rId12" w:anchor="ref01" w:history="1">
        <w:r w:rsidRPr="00F41DA3">
          <w:rPr>
            <w:rFonts w:ascii="Open Sans" w:hAnsi="Open Sans" w:cs="Open Sans"/>
            <w:color w:val="1157AD"/>
            <w:sz w:val="23"/>
            <w:szCs w:val="23"/>
            <w:u w:val="single"/>
            <w:vertAlign w:val="superscript"/>
            <w:lang w:eastAsia="en-AU"/>
          </w:rPr>
          <w:t>1</w:t>
        </w:r>
      </w:hyperlink>
    </w:p>
    <w:p w14:paraId="297CE182" w14:textId="77777777" w:rsidR="00F41DA3" w:rsidRPr="00F41DA3" w:rsidRDefault="00F41DA3" w:rsidP="00F41DA3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Isolation of dengue virus</w:t>
      </w:r>
    </w:p>
    <w:p w14:paraId="36E3FA9D" w14:textId="77777777" w:rsidR="00F41DA3" w:rsidRPr="00F41DA3" w:rsidRDefault="00F41DA3" w:rsidP="00F41DA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63123053" w14:textId="77777777" w:rsidR="00F41DA3" w:rsidRPr="00F41DA3" w:rsidRDefault="00F41DA3" w:rsidP="00F41DA3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Detection of dengue virus by nucleic acid testing</w:t>
      </w:r>
    </w:p>
    <w:p w14:paraId="4BD4D172" w14:textId="77777777" w:rsidR="00F41DA3" w:rsidRPr="00F41DA3" w:rsidRDefault="00F41DA3" w:rsidP="00F41DA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E73CE77" w14:textId="77777777" w:rsidR="00F41DA3" w:rsidRPr="00F41DA3" w:rsidRDefault="00F41DA3" w:rsidP="00F41DA3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Detection of non-structural protein 1 (NS1) antigen in blood by EIA</w:t>
      </w:r>
    </w:p>
    <w:p w14:paraId="7BC49314" w14:textId="77777777" w:rsidR="00F41DA3" w:rsidRPr="00F41DA3" w:rsidRDefault="00F41DA3" w:rsidP="00F41DA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F4B5D07" w14:textId="77777777" w:rsidR="00F41DA3" w:rsidRPr="00F41DA3" w:rsidRDefault="00F41DA3" w:rsidP="00F41DA3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IgG seroconversion or a significant increase in antibody level or a fourfold or greater rise in titre to dengue virus, proven by neutralisation or another specific test</w:t>
      </w:r>
    </w:p>
    <w:p w14:paraId="2652CCCB" w14:textId="77777777" w:rsidR="00F41DA3" w:rsidRDefault="00F41DA3" w:rsidP="00F41DA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</w:p>
    <w:p w14:paraId="493CABA3" w14:textId="10C66664" w:rsidR="00F41DA3" w:rsidRPr="00F41DA3" w:rsidRDefault="00F41DA3" w:rsidP="00F41DA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OR</w:t>
      </w:r>
    </w:p>
    <w:p w14:paraId="37915ABE" w14:textId="77777777" w:rsidR="00F41DA3" w:rsidRPr="00F41DA3" w:rsidRDefault="00F41DA3" w:rsidP="00F41DA3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Detection of dengue virus-specific IgM in cerebrospinal fluid, in the absence of IgM to Murray Valley encephalitis, West Nile virus /</w:t>
      </w:r>
      <w:proofErr w:type="spellStart"/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Kunjin</w:t>
      </w:r>
      <w:proofErr w:type="spellEnd"/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, or Japanese encephalitis viruses</w:t>
      </w:r>
    </w:p>
    <w:p w14:paraId="5E52EC49" w14:textId="77777777" w:rsidR="00F41DA3" w:rsidRPr="00F41DA3" w:rsidRDefault="00F41DA3" w:rsidP="00F41DA3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41DA3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2E3F8E61" w14:textId="77777777" w:rsidR="00F41DA3" w:rsidRPr="00F41DA3" w:rsidRDefault="00F41DA3" w:rsidP="00F41DA3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A clinically compatible illness (</w:t>
      </w:r>
      <w:proofErr w:type="gramStart"/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e.g.</w:t>
      </w:r>
      <w:proofErr w:type="gramEnd"/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fever, headache, arthralgia, myalgia, rash, nausea/vomiting)</w:t>
      </w:r>
    </w:p>
    <w:p w14:paraId="5745DB41" w14:textId="77777777" w:rsidR="00F41DA3" w:rsidRPr="00F41DA3" w:rsidRDefault="00F41DA3" w:rsidP="00F41DA3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F41DA3">
        <w:rPr>
          <w:rFonts w:ascii="Open Sans" w:hAnsi="Open Sans" w:cs="Open Sans"/>
          <w:color w:val="000000"/>
          <w:sz w:val="36"/>
          <w:szCs w:val="36"/>
          <w:lang w:eastAsia="en-AU"/>
        </w:rPr>
        <w:t>Probable case</w:t>
      </w:r>
    </w:p>
    <w:p w14:paraId="2DF93969" w14:textId="77777777" w:rsidR="00F41DA3" w:rsidRPr="00F41DA3" w:rsidRDefault="00F41DA3" w:rsidP="00F41DA3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requires:</w:t>
      </w:r>
    </w:p>
    <w:p w14:paraId="4D1C4118" w14:textId="77777777" w:rsidR="00F41DA3" w:rsidRPr="00F41DA3" w:rsidRDefault="00F41DA3" w:rsidP="00F41DA3">
      <w:pPr>
        <w:numPr>
          <w:ilvl w:val="0"/>
          <w:numId w:val="26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F41DA3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 and</w:t>
      </w:r>
      <w:r w:rsidRPr="00F41DA3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 epidemiological evidence</w:t>
      </w:r>
    </w:p>
    <w:p w14:paraId="4FFA084A" w14:textId="77777777" w:rsidR="00F41DA3" w:rsidRPr="00F41DA3" w:rsidRDefault="00F41DA3" w:rsidP="00F41DA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61CDF2A" w14:textId="77777777" w:rsidR="00F41DA3" w:rsidRPr="00F41DA3" w:rsidRDefault="00F41DA3" w:rsidP="00F41DA3">
      <w:pPr>
        <w:numPr>
          <w:ilvl w:val="0"/>
          <w:numId w:val="27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F41DA3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household epidemiological evidence</w:t>
      </w:r>
    </w:p>
    <w:p w14:paraId="5CAA37C1" w14:textId="77777777" w:rsidR="00F41DA3" w:rsidRPr="00F41DA3" w:rsidRDefault="00F41DA3" w:rsidP="00F41DA3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41DA3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0929DDBA" w14:textId="77777777" w:rsidR="00F41DA3" w:rsidRPr="00F41DA3" w:rsidRDefault="00F41DA3" w:rsidP="00F41DA3">
      <w:pPr>
        <w:numPr>
          <w:ilvl w:val="0"/>
          <w:numId w:val="28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Detection of NS1 antigen in blood by a rapid antigen test</w:t>
      </w:r>
      <w:hyperlink r:id="rId13" w:anchor="ref02" w:history="1">
        <w:r w:rsidRPr="00F41DA3">
          <w:rPr>
            <w:rFonts w:ascii="Helvetica" w:hAnsi="Helvetica" w:cs="Helvetica"/>
            <w:color w:val="1157AD"/>
            <w:sz w:val="15"/>
            <w:szCs w:val="15"/>
            <w:u w:val="single"/>
            <w:vertAlign w:val="superscript"/>
            <w:lang w:eastAsia="en-AU"/>
          </w:rPr>
          <w:t>2</w:t>
        </w:r>
      </w:hyperlink>
    </w:p>
    <w:p w14:paraId="262BF0A7" w14:textId="77777777" w:rsidR="00F41DA3" w:rsidRPr="00F41DA3" w:rsidRDefault="00F41DA3" w:rsidP="00F41DA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EBC0677" w14:textId="77777777" w:rsidR="00F41DA3" w:rsidRPr="00F41DA3" w:rsidRDefault="00F41DA3" w:rsidP="00F41DA3">
      <w:pPr>
        <w:numPr>
          <w:ilvl w:val="0"/>
          <w:numId w:val="29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Detection of dengue virus-specific IgM in blood</w:t>
      </w:r>
    </w:p>
    <w:p w14:paraId="0E50EE3B" w14:textId="77777777" w:rsidR="00F41DA3" w:rsidRPr="00F41DA3" w:rsidRDefault="00F41DA3" w:rsidP="00F41DA3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41DA3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51D00F98" w14:textId="77777777" w:rsidR="00F41DA3" w:rsidRPr="00F41DA3" w:rsidRDefault="00F41DA3" w:rsidP="00F41DA3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As for confirmed case</w:t>
      </w:r>
    </w:p>
    <w:p w14:paraId="35F322F8" w14:textId="77777777" w:rsidR="00F41DA3" w:rsidRPr="00F41DA3" w:rsidRDefault="00F41DA3" w:rsidP="00F41DA3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41DA3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4B915B63" w14:textId="77777777" w:rsidR="00F41DA3" w:rsidRPr="00F41DA3" w:rsidRDefault="00F41DA3" w:rsidP="00F41DA3">
      <w:pPr>
        <w:numPr>
          <w:ilvl w:val="0"/>
          <w:numId w:val="3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Exposure, between 3 and 14 days prior to onset, in</w:t>
      </w:r>
    </w:p>
    <w:p w14:paraId="226BAFE5" w14:textId="77777777" w:rsidR="00F41DA3" w:rsidRPr="00F41DA3" w:rsidRDefault="00F41DA3" w:rsidP="00F41DA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Either</w:t>
      </w:r>
    </w:p>
    <w:p w14:paraId="1847B03F" w14:textId="77777777" w:rsidR="00F41DA3" w:rsidRPr="00F41DA3" w:rsidRDefault="00F41DA3" w:rsidP="00F41DA3">
      <w:pPr>
        <w:numPr>
          <w:ilvl w:val="0"/>
          <w:numId w:val="3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a country with known dengue activity</w:t>
      </w:r>
    </w:p>
    <w:p w14:paraId="11412261" w14:textId="77777777" w:rsidR="00F41DA3" w:rsidRPr="00F41DA3" w:rsidRDefault="00F41DA3" w:rsidP="00F41DA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AD08D47" w14:textId="77777777" w:rsidR="00F41DA3" w:rsidRPr="00F41DA3" w:rsidRDefault="00F41DA3" w:rsidP="00F41DA3">
      <w:pPr>
        <w:numPr>
          <w:ilvl w:val="0"/>
          <w:numId w:val="3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a dengue-receptive area</w:t>
      </w:r>
      <w:hyperlink r:id="rId14" w:anchor="ref03" w:history="1">
        <w:r w:rsidRPr="00F41DA3">
          <w:rPr>
            <w:rFonts w:ascii="Helvetica" w:hAnsi="Helvetica" w:cs="Helvetica"/>
            <w:color w:val="1157AD"/>
            <w:sz w:val="15"/>
            <w:szCs w:val="15"/>
            <w:u w:val="single"/>
            <w:vertAlign w:val="superscript"/>
            <w:lang w:eastAsia="en-AU"/>
          </w:rPr>
          <w:t>3</w:t>
        </w:r>
      </w:hyperlink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 in Australia </w:t>
      </w:r>
      <w:r w:rsidRPr="00F41DA3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where</w:t>
      </w: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 a locally-acquired or imported case has been documented with onset within a month</w:t>
      </w:r>
    </w:p>
    <w:p w14:paraId="7DC88C72" w14:textId="77777777" w:rsidR="00F41DA3" w:rsidRPr="00F41DA3" w:rsidRDefault="00F41DA3" w:rsidP="00F41DA3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41DA3">
        <w:rPr>
          <w:rFonts w:ascii="Open Sans" w:hAnsi="Open Sans" w:cs="Open Sans"/>
          <w:color w:val="000000"/>
          <w:sz w:val="27"/>
          <w:szCs w:val="27"/>
          <w:lang w:eastAsia="en-AU"/>
        </w:rPr>
        <w:t>Household epidemiological evidence</w:t>
      </w:r>
    </w:p>
    <w:p w14:paraId="11C0DF56" w14:textId="77777777" w:rsidR="00F41DA3" w:rsidRPr="00F41DA3" w:rsidRDefault="00F41DA3" w:rsidP="00F41DA3">
      <w:pPr>
        <w:numPr>
          <w:ilvl w:val="0"/>
          <w:numId w:val="3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Living in the same house</w:t>
      </w:r>
      <w:hyperlink r:id="rId15" w:anchor="ref04" w:history="1">
        <w:r w:rsidRPr="00F41DA3">
          <w:rPr>
            <w:rFonts w:ascii="Helvetica" w:hAnsi="Helvetica" w:cs="Helvetica"/>
            <w:color w:val="1157AD"/>
            <w:sz w:val="15"/>
            <w:szCs w:val="15"/>
            <w:u w:val="single"/>
            <w:vertAlign w:val="superscript"/>
            <w:lang w:eastAsia="en-AU"/>
          </w:rPr>
          <w:t>4</w:t>
        </w:r>
      </w:hyperlink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 as a locally-acquired case in a dengue-receptive area3 of Australia within a month of the onset in the case.</w:t>
      </w:r>
    </w:p>
    <w:p w14:paraId="2F44ABB4" w14:textId="77777777" w:rsidR="00F41DA3" w:rsidRPr="00F41DA3" w:rsidRDefault="00F41DA3" w:rsidP="00F41DA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46BE9125" w14:textId="25609644" w:rsidR="00F41DA3" w:rsidRPr="00F41DA3" w:rsidRDefault="00F41DA3" w:rsidP="00F41DA3">
      <w:pPr>
        <w:numPr>
          <w:ilvl w:val="0"/>
          <w:numId w:val="3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At least one case in the chain of epidemiologically linked cases (which may involve many cases) is laboratory confirmed.</w:t>
      </w:r>
    </w:p>
    <w:p w14:paraId="36124308" w14:textId="77777777" w:rsidR="00F41DA3" w:rsidRDefault="00F41DA3">
      <w:pPr>
        <w:rPr>
          <w:rFonts w:ascii="Times New Roman" w:hAnsi="Times New Roman"/>
          <w:sz w:val="24"/>
          <w:lang w:eastAsia="en-AU"/>
        </w:rPr>
      </w:pPr>
      <w:r>
        <w:rPr>
          <w:rFonts w:ascii="Times New Roman" w:hAnsi="Times New Roman"/>
          <w:sz w:val="24"/>
          <w:lang w:eastAsia="en-AU"/>
        </w:rPr>
        <w:br w:type="page"/>
      </w:r>
    </w:p>
    <w:p w14:paraId="42795C1A" w14:textId="5F3CAEFF" w:rsidR="00F41DA3" w:rsidRPr="00F41DA3" w:rsidRDefault="00243E1B" w:rsidP="00F41DA3">
      <w:pPr>
        <w:spacing w:before="450" w:after="450"/>
        <w:rPr>
          <w:rFonts w:ascii="Times New Roman" w:hAnsi="Times New Roman"/>
          <w:sz w:val="24"/>
          <w:lang w:eastAsia="en-AU"/>
        </w:rPr>
      </w:pPr>
      <w:r>
        <w:rPr>
          <w:rFonts w:ascii="Times New Roman" w:hAnsi="Times New Roman"/>
          <w:sz w:val="24"/>
          <w:lang w:eastAsia="en-AU"/>
        </w:rPr>
        <w:lastRenderedPageBreak/>
        <w:pict w14:anchorId="48DE7043">
          <v:rect id="_x0000_i1025" style="width:0;height:1.5pt" o:hralign="center" o:hrstd="t" o:hrnoshade="t" o:hr="t" fillcolor="#222" stroked="f"/>
        </w:pict>
      </w:r>
    </w:p>
    <w:p w14:paraId="44CF2CEF" w14:textId="77777777" w:rsidR="00F41DA3" w:rsidRPr="00F41DA3" w:rsidRDefault="00F41DA3" w:rsidP="00F41DA3">
      <w:pPr>
        <w:numPr>
          <w:ilvl w:val="0"/>
          <w:numId w:val="3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bookmarkStart w:id="0" w:name="ref01"/>
      <w:bookmarkEnd w:id="0"/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Confirmation of the laboratory result by an arbovirus reference laboratory is required if the infection was acquired in Australia but outside a dengue-receptive area as defined in the Dengue National Guideline for Public Health Units.</w:t>
      </w:r>
    </w:p>
    <w:p w14:paraId="5AFB9E58" w14:textId="77777777" w:rsidR="00F41DA3" w:rsidRPr="00F41DA3" w:rsidRDefault="00F41DA3" w:rsidP="00F41DA3">
      <w:pPr>
        <w:numPr>
          <w:ilvl w:val="0"/>
          <w:numId w:val="3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bookmarkStart w:id="1" w:name="ref02"/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Unless dengue NS1 antigen by EIA is negative</w:t>
      </w:r>
    </w:p>
    <w:p w14:paraId="01F687CA" w14:textId="77777777" w:rsidR="00F41DA3" w:rsidRPr="00F41DA3" w:rsidRDefault="00F41DA3" w:rsidP="00F41DA3">
      <w:pPr>
        <w:numPr>
          <w:ilvl w:val="0"/>
          <w:numId w:val="3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As defined in the Dengue CDNA National Guideline for Public Health Units.</w:t>
      </w:r>
    </w:p>
    <w:bookmarkEnd w:id="1"/>
    <w:p w14:paraId="69C4007C" w14:textId="77777777" w:rsidR="00F41DA3" w:rsidRPr="00F41DA3" w:rsidRDefault="00F41DA3" w:rsidP="00F41DA3">
      <w:pPr>
        <w:numPr>
          <w:ilvl w:val="0"/>
          <w:numId w:val="3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41DA3">
        <w:rPr>
          <w:rFonts w:ascii="Helvetica" w:hAnsi="Helvetica" w:cs="Helvetica"/>
          <w:color w:val="222222"/>
          <w:sz w:val="20"/>
          <w:szCs w:val="20"/>
          <w:lang w:eastAsia="en-AU"/>
        </w:rPr>
        <w:t>The case must have spent all the exposure period (from 14 days prior to onset to 3 days prior to onset) living in the same house as the epi-linked confirmed case.</w:t>
      </w:r>
    </w:p>
    <w:p w14:paraId="7CB57432" w14:textId="06DF8ADA" w:rsidR="009E0B84" w:rsidRDefault="009E0B84" w:rsidP="00F41DA3">
      <w:pPr>
        <w:pStyle w:val="Paragraphtext"/>
      </w:pPr>
    </w:p>
    <w:sectPr w:rsidR="009E0B84" w:rsidSect="00022629">
      <w:footerReference w:type="default" r:id="rId16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E41E2" w14:textId="77777777" w:rsidR="00F41DA3" w:rsidRDefault="00F41DA3" w:rsidP="006B56BB">
      <w:r>
        <w:separator/>
      </w:r>
    </w:p>
    <w:p w14:paraId="23F2479B" w14:textId="77777777" w:rsidR="00F41DA3" w:rsidRDefault="00F41DA3"/>
  </w:endnote>
  <w:endnote w:type="continuationSeparator" w:id="0">
    <w:p w14:paraId="5FA88A8F" w14:textId="77777777" w:rsidR="00F41DA3" w:rsidRDefault="00F41DA3" w:rsidP="006B56BB">
      <w:r>
        <w:continuationSeparator/>
      </w:r>
    </w:p>
    <w:p w14:paraId="5FD86837" w14:textId="77777777" w:rsidR="00F41DA3" w:rsidRDefault="00F41DA3"/>
  </w:endnote>
  <w:endnote w:type="continuationNotice" w:id="1">
    <w:p w14:paraId="30C90EC6" w14:textId="77777777" w:rsidR="00F41DA3" w:rsidRDefault="00F41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4EBFFA" w14:textId="7D4BE8AC" w:rsidR="00CD407A" w:rsidRDefault="00F41DA3" w:rsidP="00F41DA3">
            <w:pPr>
              <w:pStyle w:val="Footer"/>
              <w:jc w:val="right"/>
            </w:pPr>
            <w:r w:rsidRPr="00F41DA3">
              <w:t>Dengue virus infection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019C0" w14:textId="77777777" w:rsidR="00F41DA3" w:rsidRDefault="00F41DA3" w:rsidP="006B56BB">
      <w:r>
        <w:separator/>
      </w:r>
    </w:p>
    <w:p w14:paraId="2FD8D69C" w14:textId="77777777" w:rsidR="00F41DA3" w:rsidRDefault="00F41DA3"/>
  </w:footnote>
  <w:footnote w:type="continuationSeparator" w:id="0">
    <w:p w14:paraId="24D69CCC" w14:textId="77777777" w:rsidR="00F41DA3" w:rsidRDefault="00F41DA3" w:rsidP="006B56BB">
      <w:r>
        <w:continuationSeparator/>
      </w:r>
    </w:p>
    <w:p w14:paraId="5849F69B" w14:textId="77777777" w:rsidR="00F41DA3" w:rsidRDefault="00F41DA3"/>
  </w:footnote>
  <w:footnote w:type="continuationNotice" w:id="1">
    <w:p w14:paraId="4896B052" w14:textId="77777777" w:rsidR="00F41DA3" w:rsidRDefault="00F41D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CE1BA5"/>
    <w:multiLevelType w:val="multilevel"/>
    <w:tmpl w:val="5C8E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360247"/>
    <w:multiLevelType w:val="multilevel"/>
    <w:tmpl w:val="386E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53F27"/>
    <w:multiLevelType w:val="multilevel"/>
    <w:tmpl w:val="DEA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C2876"/>
    <w:multiLevelType w:val="multilevel"/>
    <w:tmpl w:val="00CC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45765F"/>
    <w:multiLevelType w:val="multilevel"/>
    <w:tmpl w:val="FB88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8042B"/>
    <w:multiLevelType w:val="multilevel"/>
    <w:tmpl w:val="052C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253411"/>
    <w:multiLevelType w:val="multilevel"/>
    <w:tmpl w:val="7E8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D8235D"/>
    <w:multiLevelType w:val="multilevel"/>
    <w:tmpl w:val="E16A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D065985"/>
    <w:multiLevelType w:val="multilevel"/>
    <w:tmpl w:val="138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C4E48"/>
    <w:multiLevelType w:val="multilevel"/>
    <w:tmpl w:val="C414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457A2A25"/>
    <w:multiLevelType w:val="multilevel"/>
    <w:tmpl w:val="12F2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8828A4"/>
    <w:multiLevelType w:val="multilevel"/>
    <w:tmpl w:val="A14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46771"/>
    <w:multiLevelType w:val="multilevel"/>
    <w:tmpl w:val="3D0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61310"/>
    <w:multiLevelType w:val="multilevel"/>
    <w:tmpl w:val="2436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D512A"/>
    <w:multiLevelType w:val="multilevel"/>
    <w:tmpl w:val="1B8C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4605C6"/>
    <w:multiLevelType w:val="multilevel"/>
    <w:tmpl w:val="6FC4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30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11"/>
  </w:num>
  <w:num w:numId="7">
    <w:abstractNumId w:val="23"/>
  </w:num>
  <w:num w:numId="8">
    <w:abstractNumId w:val="2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33"/>
  </w:num>
  <w:num w:numId="17">
    <w:abstractNumId w:val="13"/>
  </w:num>
  <w:num w:numId="18">
    <w:abstractNumId w:val="16"/>
  </w:num>
  <w:num w:numId="19">
    <w:abstractNumId w:val="20"/>
  </w:num>
  <w:num w:numId="20">
    <w:abstractNumId w:val="24"/>
  </w:num>
  <w:num w:numId="21">
    <w:abstractNumId w:val="19"/>
  </w:num>
  <w:num w:numId="22">
    <w:abstractNumId w:val="21"/>
  </w:num>
  <w:num w:numId="23">
    <w:abstractNumId w:val="25"/>
  </w:num>
  <w:num w:numId="24">
    <w:abstractNumId w:val="18"/>
  </w:num>
  <w:num w:numId="25">
    <w:abstractNumId w:val="32"/>
  </w:num>
  <w:num w:numId="26">
    <w:abstractNumId w:val="9"/>
  </w:num>
  <w:num w:numId="27">
    <w:abstractNumId w:val="31"/>
  </w:num>
  <w:num w:numId="28">
    <w:abstractNumId w:val="22"/>
  </w:num>
  <w:num w:numId="29">
    <w:abstractNumId w:val="17"/>
  </w:num>
  <w:num w:numId="30">
    <w:abstractNumId w:val="8"/>
  </w:num>
  <w:num w:numId="31">
    <w:abstractNumId w:val="28"/>
  </w:num>
  <w:num w:numId="32">
    <w:abstractNumId w:val="15"/>
  </w:num>
  <w:num w:numId="33">
    <w:abstractNumId w:val="12"/>
  </w:num>
  <w:num w:numId="34">
    <w:abstractNumId w:val="2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A3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3E1B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1DA3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0C7687"/>
  <w15:docId w15:val="{D9217F78-FE91-4732-9F1D-513D0C1C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F41DA3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41DA3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DA3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05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1267033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8733505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401438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4319751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88979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932304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3885000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8576938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1.health.gov.au/internet/main/publishing.nsf/Content/cda-surveil-nndss-casedefs-cd_dengue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health.gov.au/internet/main/publishing.nsf/Content/cda-surveil-nndss-casedefs-cd_dengue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1.health.gov.au/internet/main/publishing.nsf/Content/cda-surveil-nndss-casedefs-cd_dengue.ht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1.health.gov.au/internet/main/publishing.nsf/Content/cda-surveil-nndss-casedefs-cd_dengue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2FDBA-5F36-4CA1-B0CE-AD57CC20AF0F}"/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36487dd-ec90-4f99-8970-1318e5f29791"/>
    <ds:schemaRef ds:uri="http://schemas.microsoft.com/office/2006/metadata/properties"/>
    <ds:schemaRef ds:uri="dcf7b372-aaaa-46d8-9da6-ade9aab953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6</TotalTime>
  <Pages>3</Pages>
  <Words>407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Dengue virus infection – Surveillance case definition</dc:title>
  <dc:creator>Communicable Diseases Network Australia</dc:creator>
  <cp:keywords>Communicable diseases</cp:keywords>
  <dcterms:created xsi:type="dcterms:W3CDTF">2022-06-07T01:49:00Z</dcterms:created>
  <dcterms:modified xsi:type="dcterms:W3CDTF">2022-06-09T05:30:00Z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