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2938614E" w14:textId="77777777" w:rsidTr="00800DEB">
        <w:tc>
          <w:tcPr>
            <w:tcW w:w="2547" w:type="dxa"/>
          </w:tcPr>
          <w:p w14:paraId="0EB70059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B6CD852" wp14:editId="49B3A811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1D951D11" w14:textId="6072C28F" w:rsidR="00800DEB" w:rsidRDefault="00494ADB" w:rsidP="00800DEB">
            <w:pPr>
              <w:pStyle w:val="Title"/>
            </w:pPr>
            <w:r w:rsidRPr="00494ADB">
              <w:t>Donovanosis</w:t>
            </w:r>
          </w:p>
          <w:p w14:paraId="7C88DAA2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2F9A8E7" w14:textId="68CBC1F2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494ADB">
        <w:t>d</w:t>
      </w:r>
      <w:r w:rsidR="00494ADB" w:rsidRPr="00494ADB">
        <w:t>onovanosis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D27A61" w14:paraId="26369E52" w14:textId="77777777" w:rsidTr="00D27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82F43" w14:textId="77777777" w:rsidR="00D27A61" w:rsidRDefault="00D27A61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9DADC" w14:textId="77777777" w:rsidR="00D27A61" w:rsidRDefault="00D27A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DE245" w14:textId="77777777" w:rsidR="00D27A61" w:rsidRDefault="00D27A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E3B53" w14:textId="77777777" w:rsidR="00D27A61" w:rsidRDefault="00D27A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D27A61" w14:paraId="7A4EB575" w14:textId="77777777" w:rsidTr="00D27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467FD" w14:textId="77777777" w:rsidR="00D27A61" w:rsidRDefault="00D27A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6113A" w14:textId="77777777" w:rsidR="00D27A61" w:rsidRDefault="00D27A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FC061" w14:textId="77777777" w:rsidR="00D27A61" w:rsidRDefault="00D27A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408B5" w14:textId="77777777" w:rsidR="00D27A61" w:rsidRDefault="00D27A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65F469D3" w14:textId="77777777" w:rsidR="00494ADB" w:rsidRPr="00494ADB" w:rsidRDefault="00494ADB" w:rsidP="00494AD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C8CBA43" w14:textId="21EA7F3D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Both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probable cases</w:t>
      </w: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DD28AC8" w14:textId="77777777" w:rsidR="00494ADB" w:rsidRPr="00494ADB" w:rsidRDefault="00494ADB" w:rsidP="00494AD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12310F8" w14:textId="77777777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evidence.</w:t>
      </w:r>
    </w:p>
    <w:p w14:paraId="794ECCBD" w14:textId="77777777" w:rsidR="00494ADB" w:rsidRPr="00494ADB" w:rsidRDefault="00494ADB" w:rsidP="00494AD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5F1155E9" w14:textId="77777777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Demonstration of intracellular Donovan bodies on smears or biopsy specimens taken from a lesion</w:t>
      </w:r>
    </w:p>
    <w:p w14:paraId="3719B12C" w14:textId="77777777" w:rsidR="00494ADB" w:rsidRPr="00494ADB" w:rsidRDefault="00494ADB" w:rsidP="00494AD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FAEC38B" w14:textId="77777777" w:rsidR="00494ADB" w:rsidRPr="00494ADB" w:rsidRDefault="00494ADB" w:rsidP="00494ADB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proofErr w:type="spellStart"/>
      <w:r w:rsidRPr="00494AD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Calymmatobacterium</w:t>
      </w:r>
      <w:proofErr w:type="spellEnd"/>
      <w:r w:rsidRPr="00494AD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 </w:t>
      </w:r>
      <w:proofErr w:type="spellStart"/>
      <w:r w:rsidRPr="00494ADB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granulomatis</w:t>
      </w:r>
      <w:proofErr w:type="spellEnd"/>
      <w:r w:rsidRPr="00494ADB">
        <w:rPr>
          <w:rFonts w:ascii="Helvetica" w:hAnsi="Helvetica" w:cs="Helvetica"/>
          <w:color w:val="222222"/>
          <w:sz w:val="20"/>
          <w:szCs w:val="20"/>
          <w:lang w:eastAsia="en-AU"/>
        </w:rPr>
        <w:t> by nucleic acid testing of a specimen taken from a lesion.</w:t>
      </w:r>
    </w:p>
    <w:p w14:paraId="1E908E2E" w14:textId="77777777" w:rsidR="00494ADB" w:rsidRPr="00494ADB" w:rsidRDefault="00494ADB" w:rsidP="00494ADB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AAB36BB" w14:textId="32FE83F5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Clinically compatible illness involving genital ulceration.</w:t>
      </w:r>
    </w:p>
    <w:p w14:paraId="055F6A5F" w14:textId="77777777" w:rsidR="00494ADB" w:rsidRPr="00494ADB" w:rsidRDefault="00494ADB" w:rsidP="00494AD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38806819" w14:textId="77777777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probable case requires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494ADB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epidemiological evidence.</w:t>
      </w:r>
    </w:p>
    <w:p w14:paraId="312659A7" w14:textId="77777777" w:rsidR="00494ADB" w:rsidRPr="00494ADB" w:rsidRDefault="00494ADB" w:rsidP="00494ADB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74A3BF4" w14:textId="77777777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As with confirmed case.</w:t>
      </w:r>
    </w:p>
    <w:p w14:paraId="65EAC2C6" w14:textId="77777777" w:rsidR="00494ADB" w:rsidRPr="00494ADB" w:rsidRDefault="00494ADB" w:rsidP="00D27A61">
      <w:pPr>
        <w:keepNext/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94ADB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Epidemiological evidence</w:t>
      </w:r>
    </w:p>
    <w:p w14:paraId="7A3F1C8A" w14:textId="77777777" w:rsidR="00494ADB" w:rsidRPr="00494ADB" w:rsidRDefault="00494ADB" w:rsidP="00494ADB">
      <w:pPr>
        <w:rPr>
          <w:rFonts w:ascii="Times New Roman" w:hAnsi="Times New Roman"/>
          <w:sz w:val="24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A compatible sexual risk history in a person from an endemic area</w:t>
      </w:r>
      <w:r w:rsidRPr="00494ADB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494ADB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</w:p>
    <w:p w14:paraId="788D9A7E" w14:textId="69190AEB" w:rsidR="009E0B84" w:rsidRPr="00494ADB" w:rsidRDefault="00494ADB" w:rsidP="00494ADB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94ADB">
        <w:rPr>
          <w:rFonts w:ascii="Helvetica" w:hAnsi="Helvetica" w:cs="Helvetica"/>
          <w:color w:val="222222"/>
          <w:sz w:val="20"/>
          <w:szCs w:val="20"/>
          <w:lang w:eastAsia="en-AU"/>
        </w:rPr>
        <w:t>2. A compatible sexual risk history involving sexual contact with someone from an endemic area.</w:t>
      </w:r>
    </w:p>
    <w:sectPr w:rsidR="009E0B84" w:rsidRPr="00494ADB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915BD" w14:textId="77777777" w:rsidR="00494ADB" w:rsidRDefault="00494ADB" w:rsidP="006B56BB">
      <w:r>
        <w:separator/>
      </w:r>
    </w:p>
    <w:p w14:paraId="3293FC2E" w14:textId="77777777" w:rsidR="00494ADB" w:rsidRDefault="00494ADB"/>
  </w:endnote>
  <w:endnote w:type="continuationSeparator" w:id="0">
    <w:p w14:paraId="5A79D7FF" w14:textId="77777777" w:rsidR="00494ADB" w:rsidRDefault="00494ADB" w:rsidP="006B56BB">
      <w:r>
        <w:continuationSeparator/>
      </w:r>
    </w:p>
    <w:p w14:paraId="0F60415C" w14:textId="77777777" w:rsidR="00494ADB" w:rsidRDefault="00494ADB"/>
  </w:endnote>
  <w:endnote w:type="continuationNotice" w:id="1">
    <w:p w14:paraId="02C689BE" w14:textId="77777777" w:rsidR="00494ADB" w:rsidRDefault="0049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0E6AEC" w14:textId="04AA1358" w:rsidR="00CD407A" w:rsidRDefault="00494ADB">
            <w:pPr>
              <w:pStyle w:val="Footer"/>
              <w:jc w:val="right"/>
            </w:pPr>
            <w:r w:rsidRPr="00494ADB">
              <w:t>Donovanosis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289E86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36BC5" w14:textId="77777777" w:rsidR="00494ADB" w:rsidRDefault="00494ADB" w:rsidP="006B56BB">
      <w:r>
        <w:separator/>
      </w:r>
    </w:p>
    <w:p w14:paraId="118A2502" w14:textId="77777777" w:rsidR="00494ADB" w:rsidRDefault="00494ADB"/>
  </w:footnote>
  <w:footnote w:type="continuationSeparator" w:id="0">
    <w:p w14:paraId="3BCC1B99" w14:textId="77777777" w:rsidR="00494ADB" w:rsidRDefault="00494ADB" w:rsidP="006B56BB">
      <w:r>
        <w:continuationSeparator/>
      </w:r>
    </w:p>
    <w:p w14:paraId="204B7F0C" w14:textId="77777777" w:rsidR="00494ADB" w:rsidRDefault="00494ADB"/>
  </w:footnote>
  <w:footnote w:type="continuationNotice" w:id="1">
    <w:p w14:paraId="6FFE55C8" w14:textId="77777777" w:rsidR="00494ADB" w:rsidRDefault="00494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DB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94ADB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27A61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4E4094"/>
  <w15:docId w15:val="{D4ACE8F2-0C2C-4661-8B78-4E098198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494ADB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4ADB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804C6-BE35-4695-A74C-538514BCB48B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</TotalTime>
  <Pages>2</Pages>
  <Words>173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Donovanosis – Surveillance case definition</dc:title>
  <cp:keywords>Communicable diseases</cp:keywords>
  <cp:revision>2</cp:revision>
  <dcterms:created xsi:type="dcterms:W3CDTF">2022-06-07T01:58:00Z</dcterms:created>
  <dcterms:modified xsi:type="dcterms:W3CDTF">2022-06-09T05:34:00Z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