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800DEB" w14:paraId="6382BD87" w14:textId="77777777" w:rsidTr="00800DEB">
        <w:tc>
          <w:tcPr>
            <w:tcW w:w="2547" w:type="dxa"/>
          </w:tcPr>
          <w:p w14:paraId="6F726605" w14:textId="77777777" w:rsidR="00800DEB" w:rsidRDefault="00800DEB" w:rsidP="00800DEB">
            <w:r>
              <w:rPr>
                <w:noProof/>
              </w:rPr>
              <w:drawing>
                <wp:inline distT="0" distB="0" distL="0" distR="0" wp14:anchorId="181EC744" wp14:editId="6FCF36F8">
                  <wp:extent cx="1171575" cy="1714500"/>
                  <wp:effectExtent l="0" t="0" r="9525" b="0"/>
                  <wp:docPr id="2" name="Picture 2" descr="Communicable Diseases Net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unicable Diseases Network Australia logo"/>
                          <pic:cNvPicPr/>
                        </pic:nvPicPr>
                        <pic:blipFill>
                          <a:blip r:embed="rId11">
                            <a:extLst>
                              <a:ext uri="{28A0092B-C50C-407E-A947-70E740481C1C}">
                                <a14:useLocalDpi xmlns:a14="http://schemas.microsoft.com/office/drawing/2010/main" val="0"/>
                              </a:ext>
                            </a:extLst>
                          </a:blip>
                          <a:stretch>
                            <a:fillRect/>
                          </a:stretch>
                        </pic:blipFill>
                        <pic:spPr>
                          <a:xfrm>
                            <a:off x="0" y="0"/>
                            <a:ext cx="1171575" cy="1714500"/>
                          </a:xfrm>
                          <a:prstGeom prst="rect">
                            <a:avLst/>
                          </a:prstGeom>
                        </pic:spPr>
                      </pic:pic>
                    </a:graphicData>
                  </a:graphic>
                </wp:inline>
              </w:drawing>
            </w:r>
          </w:p>
        </w:tc>
        <w:tc>
          <w:tcPr>
            <w:tcW w:w="6513" w:type="dxa"/>
          </w:tcPr>
          <w:p w14:paraId="12C0CEEC" w14:textId="55BA6C87" w:rsidR="00800DEB" w:rsidRDefault="006845F1" w:rsidP="00800DEB">
            <w:pPr>
              <w:pStyle w:val="Title"/>
            </w:pPr>
            <w:r w:rsidRPr="006845F1">
              <w:t>Flavivirus infection</w:t>
            </w:r>
          </w:p>
          <w:p w14:paraId="09CEF467" w14:textId="77777777" w:rsidR="00800DEB" w:rsidRDefault="00800DEB" w:rsidP="00800DEB">
            <w:pPr>
              <w:pStyle w:val="Subtitle"/>
            </w:pPr>
            <w:r w:rsidRPr="00800DEB">
              <w:t>Australian national notifiable diseases case definition</w:t>
            </w:r>
          </w:p>
        </w:tc>
      </w:tr>
    </w:tbl>
    <w:p w14:paraId="29ADC108" w14:textId="2437A0FD" w:rsidR="004516E8" w:rsidRDefault="00800DEB" w:rsidP="009E0B84">
      <w:pPr>
        <w:pStyle w:val="IntroPara"/>
      </w:pPr>
      <w:r w:rsidRPr="00872414">
        <w:t xml:space="preserve">This document contains the </w:t>
      </w:r>
      <w:r>
        <w:t xml:space="preserve">surveillance </w:t>
      </w:r>
      <w:r w:rsidRPr="00872414">
        <w:t xml:space="preserve">case definition for </w:t>
      </w:r>
      <w:r w:rsidR="006845F1">
        <w:t>f</w:t>
      </w:r>
      <w:r w:rsidR="006845F1" w:rsidRPr="006845F1">
        <w:t>lavivirus infection</w:t>
      </w:r>
      <w:r>
        <w:t>,</w:t>
      </w:r>
      <w:r w:rsidRPr="00872414">
        <w:t xml:space="preserve"> which is nationally notifiable within Australia. </w:t>
      </w:r>
      <w:r w:rsidR="004516E8">
        <w:t>State and territory health departments use this definition to decide whether to notify the Australian Government Department of Health</w:t>
      </w:r>
      <w:r w:rsidR="00B14926">
        <w:t xml:space="preserve"> and Aged Care</w:t>
      </w:r>
      <w:r w:rsidR="004516E8">
        <w:t xml:space="preserve"> of a case.</w:t>
      </w:r>
    </w:p>
    <w:tbl>
      <w:tblPr>
        <w:tblStyle w:val="DepartmentofHealthtable"/>
        <w:tblW w:w="5000" w:type="pct"/>
        <w:tblLook w:val="04A0" w:firstRow="1" w:lastRow="0" w:firstColumn="1" w:lastColumn="0" w:noHBand="0" w:noVBand="1"/>
        <w:tblDescription w:val="version control table for the cholera case definition"/>
      </w:tblPr>
      <w:tblGrid>
        <w:gridCol w:w="1169"/>
        <w:gridCol w:w="3295"/>
        <w:gridCol w:w="1912"/>
        <w:gridCol w:w="2694"/>
      </w:tblGrid>
      <w:tr w:rsidR="00EF5D76" w14:paraId="45CEEE24" w14:textId="77777777" w:rsidTr="00EF5D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nil"/>
            </w:tcBorders>
            <w:hideMark/>
          </w:tcPr>
          <w:p w14:paraId="11B0BC78" w14:textId="77777777" w:rsidR="00EF5D76" w:rsidRDefault="00EF5D76">
            <w:pPr>
              <w:pStyle w:val="TableHeader"/>
              <w:rPr>
                <w:color w:val="FFFFFF" w:themeColor="background1"/>
                <w:lang w:eastAsia="en-AU"/>
              </w:rPr>
            </w:pPr>
            <w:r>
              <w:rPr>
                <w:color w:val="FFFFFF" w:themeColor="background1"/>
                <w:lang w:eastAsia="en-AU"/>
              </w:rPr>
              <w:t>Version</w:t>
            </w:r>
          </w:p>
        </w:tc>
        <w:tc>
          <w:tcPr>
            <w:tcW w:w="0" w:type="auto"/>
            <w:tcBorders>
              <w:top w:val="single" w:sz="4" w:space="0" w:color="auto"/>
              <w:left w:val="nil"/>
              <w:bottom w:val="single" w:sz="4" w:space="0" w:color="auto"/>
              <w:right w:val="nil"/>
            </w:tcBorders>
            <w:hideMark/>
          </w:tcPr>
          <w:p w14:paraId="443B0B07" w14:textId="77777777" w:rsidR="00EF5D76" w:rsidRDefault="00EF5D76">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Pr>
                <w:color w:val="FFFFFF" w:themeColor="background1"/>
                <w:lang w:eastAsia="en-AU"/>
              </w:rPr>
              <w:t>Status</w:t>
            </w:r>
          </w:p>
        </w:tc>
        <w:tc>
          <w:tcPr>
            <w:tcW w:w="0" w:type="auto"/>
            <w:tcBorders>
              <w:top w:val="single" w:sz="4" w:space="0" w:color="auto"/>
              <w:left w:val="nil"/>
              <w:bottom w:val="single" w:sz="4" w:space="0" w:color="auto"/>
              <w:right w:val="nil"/>
            </w:tcBorders>
            <w:hideMark/>
          </w:tcPr>
          <w:p w14:paraId="2822F7AB" w14:textId="77777777" w:rsidR="00EF5D76" w:rsidRDefault="00EF5D76">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Pr>
                <w:color w:val="FFFFFF" w:themeColor="background1"/>
                <w:lang w:eastAsia="en-AU"/>
              </w:rPr>
              <w:t>Last reviewed</w:t>
            </w:r>
          </w:p>
        </w:tc>
        <w:tc>
          <w:tcPr>
            <w:tcW w:w="0" w:type="auto"/>
            <w:tcBorders>
              <w:top w:val="single" w:sz="4" w:space="0" w:color="auto"/>
              <w:left w:val="nil"/>
              <w:bottom w:val="single" w:sz="4" w:space="0" w:color="auto"/>
              <w:right w:val="nil"/>
            </w:tcBorders>
            <w:hideMark/>
          </w:tcPr>
          <w:p w14:paraId="608412B7" w14:textId="77777777" w:rsidR="00EF5D76" w:rsidRDefault="00EF5D76">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Pr>
                <w:color w:val="FFFFFF" w:themeColor="background1"/>
                <w:lang w:eastAsia="en-AU"/>
              </w:rPr>
              <w:t>Implementation date</w:t>
            </w:r>
          </w:p>
        </w:tc>
      </w:tr>
      <w:tr w:rsidR="00EF5D76" w14:paraId="57870DC2" w14:textId="77777777" w:rsidTr="00EF5D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nil"/>
            </w:tcBorders>
            <w:hideMark/>
          </w:tcPr>
          <w:p w14:paraId="2E92B7FE" w14:textId="77777777" w:rsidR="00EF5D76" w:rsidRDefault="00EF5D76">
            <w:pPr>
              <w:pStyle w:val="TableText"/>
              <w:rPr>
                <w:lang w:eastAsia="en-AU"/>
              </w:rPr>
            </w:pPr>
            <w:r>
              <w:rPr>
                <w:lang w:eastAsia="en-AU"/>
              </w:rPr>
              <w:t>1.0</w:t>
            </w:r>
          </w:p>
        </w:tc>
        <w:tc>
          <w:tcPr>
            <w:tcW w:w="0" w:type="auto"/>
            <w:tcBorders>
              <w:top w:val="single" w:sz="4" w:space="0" w:color="auto"/>
              <w:left w:val="nil"/>
              <w:bottom w:val="single" w:sz="4" w:space="0" w:color="auto"/>
              <w:right w:val="nil"/>
            </w:tcBorders>
            <w:hideMark/>
          </w:tcPr>
          <w:p w14:paraId="4DA947BD" w14:textId="77777777" w:rsidR="00EF5D76" w:rsidRDefault="00EF5D76">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Initial CDNA case definition</w:t>
            </w:r>
          </w:p>
        </w:tc>
        <w:tc>
          <w:tcPr>
            <w:tcW w:w="0" w:type="auto"/>
            <w:tcBorders>
              <w:top w:val="single" w:sz="4" w:space="0" w:color="auto"/>
              <w:left w:val="nil"/>
              <w:bottom w:val="single" w:sz="4" w:space="0" w:color="auto"/>
              <w:right w:val="nil"/>
            </w:tcBorders>
            <w:hideMark/>
          </w:tcPr>
          <w:p w14:paraId="72320DE6" w14:textId="77777777" w:rsidR="00EF5D76" w:rsidRDefault="00EF5D76">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2004</w:t>
            </w:r>
          </w:p>
        </w:tc>
        <w:tc>
          <w:tcPr>
            <w:tcW w:w="0" w:type="auto"/>
            <w:tcBorders>
              <w:top w:val="single" w:sz="4" w:space="0" w:color="auto"/>
              <w:left w:val="nil"/>
              <w:bottom w:val="single" w:sz="4" w:space="0" w:color="auto"/>
              <w:right w:val="nil"/>
            </w:tcBorders>
            <w:hideMark/>
          </w:tcPr>
          <w:p w14:paraId="054C3482" w14:textId="77777777" w:rsidR="00EF5D76" w:rsidRDefault="00EF5D76">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2004</w:t>
            </w:r>
          </w:p>
        </w:tc>
      </w:tr>
    </w:tbl>
    <w:p w14:paraId="05380C2D" w14:textId="77777777" w:rsidR="006845F1" w:rsidRPr="006845F1" w:rsidRDefault="006845F1" w:rsidP="006845F1">
      <w:pPr>
        <w:shd w:val="clear" w:color="auto" w:fill="FFFFFF"/>
        <w:spacing w:before="240" w:after="120"/>
        <w:outlineLvl w:val="2"/>
        <w:rPr>
          <w:rFonts w:ascii="Open Sans" w:hAnsi="Open Sans" w:cs="Open Sans"/>
          <w:sz w:val="27"/>
          <w:szCs w:val="27"/>
          <w:lang w:eastAsia="en-AU"/>
        </w:rPr>
      </w:pPr>
      <w:r w:rsidRPr="006845F1">
        <w:rPr>
          <w:rFonts w:ascii="Open Sans" w:hAnsi="Open Sans" w:cs="Open Sans"/>
          <w:sz w:val="27"/>
          <w:szCs w:val="27"/>
          <w:lang w:eastAsia="en-AU"/>
        </w:rPr>
        <w:t>Note</w:t>
      </w:r>
    </w:p>
    <w:p w14:paraId="5237BBC4" w14:textId="77777777" w:rsidR="006845F1" w:rsidRPr="006845F1" w:rsidRDefault="006845F1" w:rsidP="006845F1">
      <w:pPr>
        <w:numPr>
          <w:ilvl w:val="0"/>
          <w:numId w:val="20"/>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It is recognised that some cases of human infection cannot be attributed to a single flavivirus. This may either be because the serology shows specific antibody to more than one virus, specific antibody cannot be assigned based on the tests available in Australian reference laboratories, or a flavivirus is detected that cannot be identified.</w:t>
      </w:r>
    </w:p>
    <w:p w14:paraId="3F2B287E" w14:textId="77777777" w:rsidR="006845F1" w:rsidRPr="006845F1" w:rsidRDefault="006845F1" w:rsidP="006845F1">
      <w:pPr>
        <w:numPr>
          <w:ilvl w:val="0"/>
          <w:numId w:val="20"/>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Confirmation by a second arbovirus reference laboratory is required if the case cannot be attributed to known flaviviruses.</w:t>
      </w:r>
    </w:p>
    <w:p w14:paraId="75BD3EE4" w14:textId="77777777" w:rsidR="006845F1" w:rsidRPr="006845F1" w:rsidRDefault="006845F1" w:rsidP="006845F1">
      <w:pPr>
        <w:numPr>
          <w:ilvl w:val="0"/>
          <w:numId w:val="20"/>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 xml:space="preserve">Occasional human infections occur due to other known flaviviruses, such as </w:t>
      </w:r>
      <w:proofErr w:type="spellStart"/>
      <w:r w:rsidRPr="006845F1">
        <w:rPr>
          <w:rFonts w:ascii="Helvetica" w:hAnsi="Helvetica" w:cs="Helvetica"/>
          <w:sz w:val="20"/>
          <w:szCs w:val="20"/>
          <w:lang w:eastAsia="en-AU"/>
        </w:rPr>
        <w:t>Kokobera</w:t>
      </w:r>
      <w:proofErr w:type="spellEnd"/>
      <w:r w:rsidRPr="006845F1">
        <w:rPr>
          <w:rFonts w:ascii="Helvetica" w:hAnsi="Helvetica" w:cs="Helvetica"/>
          <w:sz w:val="20"/>
          <w:szCs w:val="20"/>
          <w:lang w:eastAsia="en-AU"/>
        </w:rPr>
        <w:t xml:space="preserve">, </w:t>
      </w:r>
      <w:proofErr w:type="spellStart"/>
      <w:r w:rsidRPr="006845F1">
        <w:rPr>
          <w:rFonts w:ascii="Helvetica" w:hAnsi="Helvetica" w:cs="Helvetica"/>
          <w:sz w:val="20"/>
          <w:szCs w:val="20"/>
          <w:lang w:eastAsia="en-AU"/>
        </w:rPr>
        <w:t>Alfuy</w:t>
      </w:r>
      <w:proofErr w:type="spellEnd"/>
      <w:r w:rsidRPr="006845F1">
        <w:rPr>
          <w:rFonts w:ascii="Helvetica" w:hAnsi="Helvetica" w:cs="Helvetica"/>
          <w:sz w:val="20"/>
          <w:szCs w:val="20"/>
          <w:lang w:eastAsia="en-AU"/>
        </w:rPr>
        <w:t>, Edge Hill and Stratford viruses.</w:t>
      </w:r>
    </w:p>
    <w:p w14:paraId="782297DA" w14:textId="77777777" w:rsidR="006845F1" w:rsidRPr="006845F1" w:rsidRDefault="006845F1" w:rsidP="006845F1">
      <w:pPr>
        <w:shd w:val="clear" w:color="auto" w:fill="FFFFFF"/>
        <w:spacing w:after="120"/>
        <w:outlineLvl w:val="2"/>
        <w:rPr>
          <w:rFonts w:ascii="Open Sans" w:hAnsi="Open Sans" w:cs="Open Sans"/>
          <w:sz w:val="27"/>
          <w:szCs w:val="27"/>
          <w:lang w:eastAsia="en-AU"/>
        </w:rPr>
      </w:pPr>
      <w:r w:rsidRPr="006845F1">
        <w:rPr>
          <w:rFonts w:ascii="Open Sans" w:hAnsi="Open Sans" w:cs="Open Sans"/>
          <w:sz w:val="27"/>
          <w:szCs w:val="27"/>
          <w:lang w:eastAsia="en-AU"/>
        </w:rPr>
        <w:t>Reporting</w:t>
      </w:r>
    </w:p>
    <w:p w14:paraId="62287D1B" w14:textId="77777777"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Only</w:t>
      </w:r>
      <w:r w:rsidRPr="006845F1">
        <w:rPr>
          <w:rFonts w:ascii="Helvetica" w:hAnsi="Helvetica" w:cs="Helvetica"/>
          <w:b/>
          <w:bCs/>
          <w:sz w:val="20"/>
          <w:szCs w:val="20"/>
          <w:lang w:eastAsia="en-AU"/>
        </w:rPr>
        <w:t> confirmed cases</w:t>
      </w:r>
      <w:r w:rsidRPr="006845F1">
        <w:rPr>
          <w:rFonts w:ascii="Helvetica" w:hAnsi="Helvetica" w:cs="Helvetica"/>
          <w:sz w:val="20"/>
          <w:szCs w:val="20"/>
          <w:lang w:eastAsia="en-AU"/>
        </w:rPr>
        <w:t> should be notified.</w:t>
      </w:r>
    </w:p>
    <w:p w14:paraId="465458D6" w14:textId="77777777" w:rsidR="006845F1" w:rsidRPr="006845F1" w:rsidRDefault="006845F1" w:rsidP="006845F1">
      <w:pPr>
        <w:shd w:val="clear" w:color="auto" w:fill="FFFFFF"/>
        <w:spacing w:after="120"/>
        <w:outlineLvl w:val="3"/>
        <w:rPr>
          <w:rFonts w:ascii="Open Sans" w:hAnsi="Open Sans" w:cs="Open Sans"/>
          <w:sz w:val="24"/>
          <w:lang w:eastAsia="en-AU"/>
        </w:rPr>
      </w:pPr>
      <w:r w:rsidRPr="006845F1">
        <w:rPr>
          <w:rFonts w:ascii="Open Sans" w:hAnsi="Open Sans" w:cs="Open Sans"/>
          <w:sz w:val="24"/>
          <w:lang w:eastAsia="en-AU"/>
        </w:rPr>
        <w:t>Confirmed case</w:t>
      </w:r>
    </w:p>
    <w:p w14:paraId="2CE0F664" w14:textId="77777777"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A confirmed case requires </w:t>
      </w:r>
      <w:r w:rsidRPr="006845F1">
        <w:rPr>
          <w:rFonts w:ascii="Helvetica" w:hAnsi="Helvetica" w:cs="Helvetica"/>
          <w:b/>
          <w:bCs/>
          <w:sz w:val="20"/>
          <w:szCs w:val="20"/>
          <w:lang w:eastAsia="en-AU"/>
        </w:rPr>
        <w:t>laboratory definitive evidence</w:t>
      </w:r>
      <w:r w:rsidRPr="006845F1">
        <w:rPr>
          <w:rFonts w:ascii="Helvetica" w:hAnsi="Helvetica" w:cs="Helvetica"/>
          <w:sz w:val="20"/>
          <w:szCs w:val="20"/>
          <w:lang w:eastAsia="en-AU"/>
        </w:rPr>
        <w:t> AND </w:t>
      </w:r>
      <w:r w:rsidRPr="006845F1">
        <w:rPr>
          <w:rFonts w:ascii="Helvetica" w:hAnsi="Helvetica" w:cs="Helvetica"/>
          <w:b/>
          <w:bCs/>
          <w:sz w:val="20"/>
          <w:szCs w:val="20"/>
          <w:lang w:eastAsia="en-AU"/>
        </w:rPr>
        <w:t>clinical evidence.</w:t>
      </w:r>
    </w:p>
    <w:p w14:paraId="4D591C57" w14:textId="77777777" w:rsidR="006845F1" w:rsidRPr="006845F1" w:rsidRDefault="006845F1" w:rsidP="006845F1">
      <w:pPr>
        <w:shd w:val="clear" w:color="auto" w:fill="FFFFFF"/>
        <w:spacing w:after="120"/>
        <w:outlineLvl w:val="4"/>
        <w:rPr>
          <w:rFonts w:ascii="Open Sans" w:hAnsi="Open Sans" w:cs="Open Sans"/>
          <w:sz w:val="20"/>
          <w:szCs w:val="20"/>
          <w:lang w:eastAsia="en-AU"/>
        </w:rPr>
      </w:pPr>
      <w:r w:rsidRPr="006845F1">
        <w:rPr>
          <w:rFonts w:ascii="Open Sans" w:hAnsi="Open Sans" w:cs="Open Sans"/>
          <w:sz w:val="20"/>
          <w:szCs w:val="20"/>
          <w:lang w:eastAsia="en-AU"/>
        </w:rPr>
        <w:t>Laboratory definitive evidence</w:t>
      </w:r>
    </w:p>
    <w:p w14:paraId="6EA1106B" w14:textId="77777777" w:rsidR="006845F1" w:rsidRPr="006845F1" w:rsidRDefault="006845F1" w:rsidP="006845F1">
      <w:pPr>
        <w:numPr>
          <w:ilvl w:val="0"/>
          <w:numId w:val="21"/>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Isolation of a flavivirus that cannot be identified in Australian reference laboratories or which is identified as one of the flaviviruses not otherwise classified</w:t>
      </w:r>
    </w:p>
    <w:p w14:paraId="321A0235" w14:textId="2AD3846C" w:rsidR="006845F1" w:rsidRPr="006845F1" w:rsidRDefault="006845F1" w:rsidP="006845F1">
      <w:pPr>
        <w:keepNext/>
        <w:shd w:val="clear" w:color="auto" w:fill="FFFFFF"/>
        <w:spacing w:before="240" w:after="240" w:line="300" w:lineRule="atLeast"/>
        <w:rPr>
          <w:rFonts w:ascii="Helvetica" w:hAnsi="Helvetica" w:cs="Helvetica"/>
          <w:sz w:val="20"/>
          <w:szCs w:val="20"/>
          <w:lang w:eastAsia="en-AU"/>
        </w:rPr>
      </w:pPr>
      <w:r w:rsidRPr="006845F1">
        <w:rPr>
          <w:rFonts w:ascii="Helvetica" w:hAnsi="Helvetica" w:cs="Helvetica"/>
          <w:sz w:val="20"/>
          <w:szCs w:val="20"/>
          <w:lang w:eastAsia="en-AU"/>
        </w:rPr>
        <w:lastRenderedPageBreak/>
        <w:t>OR</w:t>
      </w:r>
    </w:p>
    <w:p w14:paraId="74523808" w14:textId="77777777" w:rsidR="006845F1" w:rsidRPr="006845F1" w:rsidRDefault="006845F1" w:rsidP="006845F1">
      <w:pPr>
        <w:numPr>
          <w:ilvl w:val="0"/>
          <w:numId w:val="22"/>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Detection of a flavivirus, by nucleic acid testing, that cannot be identified in Australian reference laboratories or which is identified as one of the flaviviruses not otherwise classified</w:t>
      </w:r>
    </w:p>
    <w:p w14:paraId="113C8B56" w14:textId="77777777" w:rsidR="006845F1" w:rsidRPr="006845F1" w:rsidRDefault="006845F1" w:rsidP="006845F1">
      <w:pPr>
        <w:shd w:val="clear" w:color="auto" w:fill="FFFFFF"/>
        <w:spacing w:before="240" w:after="240" w:line="300" w:lineRule="atLeast"/>
        <w:rPr>
          <w:rFonts w:ascii="Helvetica" w:hAnsi="Helvetica" w:cs="Helvetica"/>
          <w:sz w:val="20"/>
          <w:szCs w:val="20"/>
          <w:lang w:eastAsia="en-AU"/>
        </w:rPr>
      </w:pPr>
      <w:r w:rsidRPr="006845F1">
        <w:rPr>
          <w:rFonts w:ascii="Helvetica" w:hAnsi="Helvetica" w:cs="Helvetica"/>
          <w:sz w:val="20"/>
          <w:szCs w:val="20"/>
          <w:lang w:eastAsia="en-AU"/>
        </w:rPr>
        <w:t>OR</w:t>
      </w:r>
    </w:p>
    <w:p w14:paraId="5ABA229B" w14:textId="77777777" w:rsidR="006845F1" w:rsidRPr="006845F1" w:rsidRDefault="006845F1" w:rsidP="006845F1">
      <w:pPr>
        <w:numPr>
          <w:ilvl w:val="0"/>
          <w:numId w:val="23"/>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 xml:space="preserve">IgG seroconversion or a significant increase in antibody level or a fourfold or greater rise in titre of flavivirus specific IgG that cannot be </w:t>
      </w:r>
      <w:proofErr w:type="gramStart"/>
      <w:r w:rsidRPr="006845F1">
        <w:rPr>
          <w:rFonts w:ascii="Helvetica" w:hAnsi="Helvetica" w:cs="Helvetica"/>
          <w:sz w:val="20"/>
          <w:szCs w:val="20"/>
          <w:lang w:eastAsia="en-AU"/>
        </w:rPr>
        <w:t>identified</w:t>
      </w:r>
      <w:proofErr w:type="gramEnd"/>
      <w:r w:rsidRPr="006845F1">
        <w:rPr>
          <w:rFonts w:ascii="Helvetica" w:hAnsi="Helvetica" w:cs="Helvetica"/>
          <w:sz w:val="20"/>
          <w:szCs w:val="20"/>
          <w:lang w:eastAsia="en-AU"/>
        </w:rPr>
        <w:t xml:space="preserve"> or which is identified as being specific for one of the flaviviruses not otherwise classified. There must be no history of recent Japanese encephalitis or yellow fever vaccination</w:t>
      </w:r>
    </w:p>
    <w:p w14:paraId="31CE6F46" w14:textId="77777777" w:rsidR="006845F1" w:rsidRPr="006845F1" w:rsidRDefault="006845F1" w:rsidP="006845F1">
      <w:pPr>
        <w:shd w:val="clear" w:color="auto" w:fill="FFFFFF"/>
        <w:spacing w:before="240" w:after="240" w:line="300" w:lineRule="atLeast"/>
        <w:rPr>
          <w:rFonts w:ascii="Helvetica" w:hAnsi="Helvetica" w:cs="Helvetica"/>
          <w:sz w:val="20"/>
          <w:szCs w:val="20"/>
          <w:lang w:eastAsia="en-AU"/>
        </w:rPr>
      </w:pPr>
      <w:r w:rsidRPr="006845F1">
        <w:rPr>
          <w:rFonts w:ascii="Helvetica" w:hAnsi="Helvetica" w:cs="Helvetica"/>
          <w:sz w:val="20"/>
          <w:szCs w:val="20"/>
          <w:lang w:eastAsia="en-AU"/>
        </w:rPr>
        <w:t>OR</w:t>
      </w:r>
    </w:p>
    <w:p w14:paraId="578F9789" w14:textId="77777777" w:rsidR="006845F1" w:rsidRPr="006845F1" w:rsidRDefault="006845F1" w:rsidP="006845F1">
      <w:pPr>
        <w:numPr>
          <w:ilvl w:val="0"/>
          <w:numId w:val="24"/>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 xml:space="preserve">Detection of flavivirus IgM in cerebrospinal fluid, with reactivity to more than one flavivirus antigen (Murray Valley encephalitis, </w:t>
      </w:r>
      <w:proofErr w:type="spellStart"/>
      <w:r w:rsidRPr="006845F1">
        <w:rPr>
          <w:rFonts w:ascii="Helvetica" w:hAnsi="Helvetica" w:cs="Helvetica"/>
          <w:sz w:val="20"/>
          <w:szCs w:val="20"/>
          <w:lang w:eastAsia="en-AU"/>
        </w:rPr>
        <w:t>Kunjin</w:t>
      </w:r>
      <w:proofErr w:type="spellEnd"/>
      <w:r w:rsidRPr="006845F1">
        <w:rPr>
          <w:rFonts w:ascii="Helvetica" w:hAnsi="Helvetica" w:cs="Helvetica"/>
          <w:sz w:val="20"/>
          <w:szCs w:val="20"/>
          <w:lang w:eastAsia="en-AU"/>
        </w:rPr>
        <w:t>, Japanese Encephalitis and/or dengue) or with reactivity only to one or more of the flaviviruses not otherwise classified</w:t>
      </w:r>
    </w:p>
    <w:p w14:paraId="3AB54B12" w14:textId="77777777" w:rsidR="006845F1" w:rsidRPr="006845F1" w:rsidRDefault="006845F1" w:rsidP="006845F1">
      <w:pPr>
        <w:shd w:val="clear" w:color="auto" w:fill="FFFFFF"/>
        <w:spacing w:before="240" w:after="240" w:line="300" w:lineRule="atLeast"/>
        <w:rPr>
          <w:rFonts w:ascii="Helvetica" w:hAnsi="Helvetica" w:cs="Helvetica"/>
          <w:sz w:val="20"/>
          <w:szCs w:val="20"/>
          <w:lang w:eastAsia="en-AU"/>
        </w:rPr>
      </w:pPr>
      <w:r w:rsidRPr="006845F1">
        <w:rPr>
          <w:rFonts w:ascii="Helvetica" w:hAnsi="Helvetica" w:cs="Helvetica"/>
          <w:sz w:val="20"/>
          <w:szCs w:val="20"/>
          <w:lang w:eastAsia="en-AU"/>
        </w:rPr>
        <w:t>OR</w:t>
      </w:r>
    </w:p>
    <w:p w14:paraId="580DC562" w14:textId="77777777" w:rsidR="006845F1" w:rsidRPr="006845F1" w:rsidRDefault="006845F1" w:rsidP="006845F1">
      <w:pPr>
        <w:numPr>
          <w:ilvl w:val="0"/>
          <w:numId w:val="25"/>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 xml:space="preserve">Detection of flavivirus IgM in the serum, with reactivity to more than one flavivirus antigen (Murray Valley encephalitis, </w:t>
      </w:r>
      <w:proofErr w:type="spellStart"/>
      <w:r w:rsidRPr="006845F1">
        <w:rPr>
          <w:rFonts w:ascii="Helvetica" w:hAnsi="Helvetica" w:cs="Helvetica"/>
          <w:sz w:val="20"/>
          <w:szCs w:val="20"/>
          <w:lang w:eastAsia="en-AU"/>
        </w:rPr>
        <w:t>Kunjin</w:t>
      </w:r>
      <w:proofErr w:type="spellEnd"/>
      <w:r w:rsidRPr="006845F1">
        <w:rPr>
          <w:rFonts w:ascii="Helvetica" w:hAnsi="Helvetica" w:cs="Helvetica"/>
          <w:sz w:val="20"/>
          <w:szCs w:val="20"/>
          <w:lang w:eastAsia="en-AU"/>
        </w:rPr>
        <w:t>, Japanese Encephalitis and/or dengue) or with reactivity only to one or more of the flaviviruses not otherwise classified. This is only accepted as laboratory evidence for encephalitic illnesses. There must be no history of recent Japanese encephalitis or yellow fever vaccination</w:t>
      </w:r>
    </w:p>
    <w:p w14:paraId="235A2442" w14:textId="77777777" w:rsidR="006845F1" w:rsidRPr="006845F1" w:rsidRDefault="006845F1" w:rsidP="006845F1">
      <w:pPr>
        <w:shd w:val="clear" w:color="auto" w:fill="FFFFFF"/>
        <w:spacing w:after="120"/>
        <w:outlineLvl w:val="4"/>
        <w:rPr>
          <w:rFonts w:ascii="Open Sans" w:hAnsi="Open Sans" w:cs="Open Sans"/>
          <w:sz w:val="20"/>
          <w:szCs w:val="20"/>
          <w:lang w:eastAsia="en-AU"/>
        </w:rPr>
      </w:pPr>
      <w:r w:rsidRPr="006845F1">
        <w:rPr>
          <w:rFonts w:ascii="Open Sans" w:hAnsi="Open Sans" w:cs="Open Sans"/>
          <w:sz w:val="20"/>
          <w:szCs w:val="20"/>
          <w:lang w:eastAsia="en-AU"/>
        </w:rPr>
        <w:t>Clinical evidence</w:t>
      </w:r>
    </w:p>
    <w:p w14:paraId="542DC1C8" w14:textId="77777777" w:rsidR="006845F1" w:rsidRPr="006845F1" w:rsidRDefault="006845F1" w:rsidP="006845F1">
      <w:pPr>
        <w:numPr>
          <w:ilvl w:val="0"/>
          <w:numId w:val="26"/>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Non-encephalitic disease: acute febrile illness with headache, myalgia and/or rash</w:t>
      </w:r>
    </w:p>
    <w:p w14:paraId="7A6FEC45" w14:textId="77777777" w:rsidR="006845F1" w:rsidRPr="006845F1" w:rsidRDefault="006845F1" w:rsidP="006845F1">
      <w:pPr>
        <w:shd w:val="clear" w:color="auto" w:fill="FFFFFF"/>
        <w:spacing w:before="240" w:after="240" w:line="300" w:lineRule="atLeast"/>
        <w:rPr>
          <w:rFonts w:ascii="Helvetica" w:hAnsi="Helvetica" w:cs="Helvetica"/>
          <w:sz w:val="20"/>
          <w:szCs w:val="20"/>
          <w:lang w:eastAsia="en-AU"/>
        </w:rPr>
      </w:pPr>
      <w:r w:rsidRPr="006845F1">
        <w:rPr>
          <w:rFonts w:ascii="Helvetica" w:hAnsi="Helvetica" w:cs="Helvetica"/>
          <w:sz w:val="20"/>
          <w:szCs w:val="20"/>
          <w:lang w:eastAsia="en-AU"/>
        </w:rPr>
        <w:t>OR</w:t>
      </w:r>
    </w:p>
    <w:p w14:paraId="32C8125F" w14:textId="77777777" w:rsidR="006845F1" w:rsidRPr="006845F1" w:rsidRDefault="006845F1" w:rsidP="006845F1">
      <w:pPr>
        <w:numPr>
          <w:ilvl w:val="0"/>
          <w:numId w:val="27"/>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Encephalitic disease: acute febrile meningoencephalitis characterised by one or more of the following:</w:t>
      </w:r>
    </w:p>
    <w:p w14:paraId="4075915E" w14:textId="77777777" w:rsidR="006845F1" w:rsidRPr="006845F1" w:rsidRDefault="006845F1" w:rsidP="006845F1">
      <w:pPr>
        <w:numPr>
          <w:ilvl w:val="0"/>
          <w:numId w:val="28"/>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focal neurological disease or clearly impaired level of consciousness</w:t>
      </w:r>
    </w:p>
    <w:p w14:paraId="7956883B" w14:textId="77777777" w:rsidR="006845F1" w:rsidRPr="006845F1" w:rsidRDefault="006845F1" w:rsidP="006845F1">
      <w:pPr>
        <w:numPr>
          <w:ilvl w:val="0"/>
          <w:numId w:val="28"/>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 xml:space="preserve">an abnormal computerised </w:t>
      </w:r>
      <w:proofErr w:type="spellStart"/>
      <w:r w:rsidRPr="006845F1">
        <w:rPr>
          <w:rFonts w:ascii="Helvetica" w:hAnsi="Helvetica" w:cs="Helvetica"/>
          <w:sz w:val="20"/>
          <w:szCs w:val="20"/>
          <w:lang w:eastAsia="en-AU"/>
        </w:rPr>
        <w:t>tomograph</w:t>
      </w:r>
      <w:proofErr w:type="spellEnd"/>
      <w:r w:rsidRPr="006845F1">
        <w:rPr>
          <w:rFonts w:ascii="Helvetica" w:hAnsi="Helvetica" w:cs="Helvetica"/>
          <w:sz w:val="20"/>
          <w:szCs w:val="20"/>
          <w:lang w:eastAsia="en-AU"/>
        </w:rPr>
        <w:t xml:space="preserve"> or magnetic resonance image or electrocardiograph</w:t>
      </w:r>
    </w:p>
    <w:p w14:paraId="07B52B69" w14:textId="77777777" w:rsidR="006845F1" w:rsidRPr="006845F1" w:rsidRDefault="006845F1" w:rsidP="006845F1">
      <w:pPr>
        <w:numPr>
          <w:ilvl w:val="0"/>
          <w:numId w:val="28"/>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presence of pleocytosis in cerebrospinal fluid.</w:t>
      </w:r>
    </w:p>
    <w:p w14:paraId="4C4F04E1" w14:textId="5B8FFEB9" w:rsidR="006845F1" w:rsidRPr="006845F1" w:rsidRDefault="006845F1" w:rsidP="006845F1">
      <w:pPr>
        <w:rPr>
          <w:rFonts w:ascii="Times New Roman" w:hAnsi="Times New Roman"/>
          <w:sz w:val="24"/>
          <w:lang w:eastAsia="en-AU"/>
        </w:rPr>
      </w:pPr>
    </w:p>
    <w:p w14:paraId="285BC633" w14:textId="77777777" w:rsidR="006845F1" w:rsidRPr="00BE0A7F" w:rsidRDefault="006845F1">
      <w:pPr>
        <w:rPr>
          <w:rFonts w:ascii="Open Sans" w:hAnsi="Open Sans" w:cs="Open Sans"/>
          <w:sz w:val="36"/>
          <w:szCs w:val="36"/>
          <w:lang w:eastAsia="en-AU"/>
        </w:rPr>
      </w:pPr>
      <w:r w:rsidRPr="00BE0A7F">
        <w:rPr>
          <w:rFonts w:ascii="Open Sans" w:hAnsi="Open Sans" w:cs="Open Sans"/>
          <w:sz w:val="36"/>
          <w:szCs w:val="36"/>
          <w:lang w:eastAsia="en-AU"/>
        </w:rPr>
        <w:br w:type="page"/>
      </w:r>
    </w:p>
    <w:p w14:paraId="0E7B0C40" w14:textId="5BA37210" w:rsidR="006845F1" w:rsidRPr="006845F1" w:rsidRDefault="006845F1" w:rsidP="006845F1">
      <w:pPr>
        <w:shd w:val="clear" w:color="auto" w:fill="FFFFFF"/>
        <w:spacing w:before="240" w:after="120"/>
        <w:outlineLvl w:val="1"/>
        <w:rPr>
          <w:rFonts w:ascii="Open Sans" w:hAnsi="Open Sans" w:cs="Open Sans"/>
          <w:sz w:val="36"/>
          <w:szCs w:val="36"/>
          <w:lang w:eastAsia="en-AU"/>
        </w:rPr>
      </w:pPr>
      <w:r w:rsidRPr="006845F1">
        <w:rPr>
          <w:rFonts w:ascii="Open Sans" w:hAnsi="Open Sans" w:cs="Open Sans"/>
          <w:sz w:val="36"/>
          <w:szCs w:val="36"/>
          <w:lang w:eastAsia="en-AU"/>
        </w:rPr>
        <w:lastRenderedPageBreak/>
        <w:t>Australian national notifiable diseases case definitions - Zika virus case definition</w:t>
      </w:r>
    </w:p>
    <w:p w14:paraId="2191A4EE" w14:textId="77777777"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Confirmed and probable cases are nationally notifiable under the disease </w:t>
      </w:r>
      <w:r w:rsidRPr="006845F1">
        <w:rPr>
          <w:rFonts w:ascii="Helvetica" w:hAnsi="Helvetica" w:cs="Helvetica"/>
          <w:i/>
          <w:iCs/>
          <w:sz w:val="20"/>
          <w:szCs w:val="20"/>
          <w:lang w:eastAsia="en-AU"/>
        </w:rPr>
        <w:t>Flavivirus infection (unspecified)</w:t>
      </w:r>
      <w:r w:rsidRPr="006845F1">
        <w:rPr>
          <w:rFonts w:ascii="Helvetica" w:hAnsi="Helvetica" w:cs="Helvetica"/>
          <w:sz w:val="20"/>
          <w:szCs w:val="20"/>
          <w:lang w:eastAsia="en-AU"/>
        </w:rPr>
        <w:t> using the Organism Name field to specify infection with Zika virus (ZIKV).</w:t>
      </w:r>
    </w:p>
    <w:p w14:paraId="6B710258" w14:textId="77777777" w:rsidR="006845F1" w:rsidRPr="006845F1" w:rsidRDefault="006845F1" w:rsidP="006845F1">
      <w:pPr>
        <w:shd w:val="clear" w:color="auto" w:fill="FFFFFF"/>
        <w:spacing w:after="120"/>
        <w:outlineLvl w:val="2"/>
        <w:rPr>
          <w:rFonts w:ascii="Open Sans" w:hAnsi="Open Sans" w:cs="Open Sans"/>
          <w:sz w:val="27"/>
          <w:szCs w:val="27"/>
          <w:lang w:eastAsia="en-AU"/>
        </w:rPr>
      </w:pPr>
      <w:r w:rsidRPr="006845F1">
        <w:rPr>
          <w:rFonts w:ascii="Open Sans" w:hAnsi="Open Sans" w:cs="Open Sans"/>
          <w:sz w:val="27"/>
          <w:szCs w:val="27"/>
          <w:lang w:eastAsia="en-AU"/>
        </w:rPr>
        <w:t>Reporting</w:t>
      </w:r>
    </w:p>
    <w:p w14:paraId="6973D989" w14:textId="77777777"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Both </w:t>
      </w:r>
      <w:r w:rsidRPr="006845F1">
        <w:rPr>
          <w:rFonts w:ascii="Helvetica" w:hAnsi="Helvetica" w:cs="Helvetica"/>
          <w:b/>
          <w:bCs/>
          <w:sz w:val="20"/>
          <w:szCs w:val="20"/>
          <w:lang w:eastAsia="en-AU"/>
        </w:rPr>
        <w:t>confirmed </w:t>
      </w:r>
      <w:r w:rsidRPr="006845F1">
        <w:rPr>
          <w:rFonts w:ascii="Helvetica" w:hAnsi="Helvetica" w:cs="Helvetica"/>
          <w:sz w:val="20"/>
          <w:szCs w:val="20"/>
          <w:lang w:eastAsia="en-AU"/>
        </w:rPr>
        <w:t>and </w:t>
      </w:r>
      <w:r w:rsidRPr="006845F1">
        <w:rPr>
          <w:rFonts w:ascii="Helvetica" w:hAnsi="Helvetica" w:cs="Helvetica"/>
          <w:b/>
          <w:bCs/>
          <w:sz w:val="20"/>
          <w:szCs w:val="20"/>
          <w:lang w:eastAsia="en-AU"/>
        </w:rPr>
        <w:t>probable</w:t>
      </w:r>
      <w:r w:rsidRPr="006845F1">
        <w:rPr>
          <w:rFonts w:ascii="Helvetica" w:hAnsi="Helvetica" w:cs="Helvetica"/>
          <w:sz w:val="20"/>
          <w:szCs w:val="20"/>
          <w:lang w:eastAsia="en-AU"/>
        </w:rPr>
        <w:t> cases are nationally notifiable. Both confirmed and probable cases should be further sub-classified into clinical and non-clinical cases.</w:t>
      </w:r>
    </w:p>
    <w:p w14:paraId="1C6D4872" w14:textId="77777777" w:rsidR="006845F1" w:rsidRPr="006845F1" w:rsidRDefault="006845F1" w:rsidP="006845F1">
      <w:pPr>
        <w:shd w:val="clear" w:color="auto" w:fill="FFFFFF"/>
        <w:spacing w:after="120"/>
        <w:outlineLvl w:val="3"/>
        <w:rPr>
          <w:rFonts w:ascii="Open Sans" w:hAnsi="Open Sans" w:cs="Open Sans"/>
          <w:sz w:val="24"/>
          <w:lang w:eastAsia="en-AU"/>
        </w:rPr>
      </w:pPr>
      <w:r w:rsidRPr="006845F1">
        <w:rPr>
          <w:rFonts w:ascii="Open Sans" w:hAnsi="Open Sans" w:cs="Open Sans"/>
          <w:sz w:val="24"/>
          <w:lang w:eastAsia="en-AU"/>
        </w:rPr>
        <w:t>Conﬁrmed case</w:t>
      </w:r>
    </w:p>
    <w:p w14:paraId="2780F191" w14:textId="77777777"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A conﬁrmed case requires </w:t>
      </w:r>
      <w:r w:rsidRPr="006845F1">
        <w:rPr>
          <w:rFonts w:ascii="Helvetica" w:hAnsi="Helvetica" w:cs="Helvetica"/>
          <w:b/>
          <w:bCs/>
          <w:sz w:val="20"/>
          <w:szCs w:val="20"/>
          <w:lang w:eastAsia="en-AU"/>
        </w:rPr>
        <w:t>laboratory deﬁnitive evidence</w:t>
      </w:r>
      <w:r w:rsidRPr="006845F1">
        <w:rPr>
          <w:rFonts w:ascii="Helvetica" w:hAnsi="Helvetica" w:cs="Helvetica"/>
          <w:sz w:val="20"/>
          <w:szCs w:val="20"/>
          <w:lang w:eastAsia="en-AU"/>
        </w:rPr>
        <w:t> only. Clinical evidence should be used to sub-classify cases as clinical or non-clinical.</w:t>
      </w:r>
    </w:p>
    <w:p w14:paraId="18C00B57" w14:textId="77777777" w:rsidR="006845F1" w:rsidRPr="006845F1" w:rsidRDefault="006845F1" w:rsidP="006845F1">
      <w:pPr>
        <w:shd w:val="clear" w:color="auto" w:fill="FFFFFF"/>
        <w:spacing w:after="120"/>
        <w:outlineLvl w:val="4"/>
        <w:rPr>
          <w:rFonts w:ascii="Open Sans" w:hAnsi="Open Sans" w:cs="Open Sans"/>
          <w:sz w:val="20"/>
          <w:szCs w:val="20"/>
          <w:lang w:eastAsia="en-AU"/>
        </w:rPr>
      </w:pPr>
      <w:r w:rsidRPr="006845F1">
        <w:rPr>
          <w:rFonts w:ascii="Open Sans" w:hAnsi="Open Sans" w:cs="Open Sans"/>
          <w:sz w:val="20"/>
          <w:szCs w:val="20"/>
          <w:lang w:eastAsia="en-AU"/>
        </w:rPr>
        <w:t>Laboratory deﬁnitive evidence</w:t>
      </w:r>
    </w:p>
    <w:p w14:paraId="1A7FBCE8" w14:textId="77777777" w:rsidR="006845F1" w:rsidRPr="006845F1" w:rsidRDefault="006845F1" w:rsidP="006845F1">
      <w:pPr>
        <w:numPr>
          <w:ilvl w:val="0"/>
          <w:numId w:val="29"/>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 xml:space="preserve">Detection of ZIKV by nucleic acid testing or virus </w:t>
      </w:r>
      <w:proofErr w:type="gramStart"/>
      <w:r w:rsidRPr="006845F1">
        <w:rPr>
          <w:rFonts w:ascii="Helvetica" w:hAnsi="Helvetica" w:cs="Helvetica"/>
          <w:sz w:val="20"/>
          <w:szCs w:val="20"/>
          <w:lang w:eastAsia="en-AU"/>
        </w:rPr>
        <w:t>isolation;</w:t>
      </w:r>
      <w:proofErr w:type="gramEnd"/>
    </w:p>
    <w:p w14:paraId="317EE1E1" w14:textId="77777777" w:rsidR="006845F1" w:rsidRPr="006845F1" w:rsidRDefault="006845F1" w:rsidP="006845F1">
      <w:pPr>
        <w:shd w:val="clear" w:color="auto" w:fill="FFFFFF"/>
        <w:spacing w:before="240" w:after="240" w:line="300" w:lineRule="atLeast"/>
        <w:rPr>
          <w:rFonts w:ascii="Helvetica" w:hAnsi="Helvetica" w:cs="Helvetica"/>
          <w:sz w:val="20"/>
          <w:szCs w:val="20"/>
          <w:lang w:eastAsia="en-AU"/>
        </w:rPr>
      </w:pPr>
      <w:r w:rsidRPr="006845F1">
        <w:rPr>
          <w:rFonts w:ascii="Helvetica" w:hAnsi="Helvetica" w:cs="Helvetica"/>
          <w:sz w:val="20"/>
          <w:szCs w:val="20"/>
          <w:lang w:eastAsia="en-AU"/>
        </w:rPr>
        <w:t>OR</w:t>
      </w:r>
    </w:p>
    <w:p w14:paraId="6BAC4728" w14:textId="77777777" w:rsidR="006845F1" w:rsidRPr="006845F1" w:rsidRDefault="006845F1" w:rsidP="006845F1">
      <w:pPr>
        <w:numPr>
          <w:ilvl w:val="0"/>
          <w:numId w:val="30"/>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 xml:space="preserve">IgG seroconversion or a significant increase in antibody level or a fourfold or greater rise in titre of ZIKV-specific IgG, and recent infection by dengue or other epidemiologically possible flaviviruses has been </w:t>
      </w:r>
      <w:proofErr w:type="gramStart"/>
      <w:r w:rsidRPr="006845F1">
        <w:rPr>
          <w:rFonts w:ascii="Helvetica" w:hAnsi="Helvetica" w:cs="Helvetica"/>
          <w:sz w:val="20"/>
          <w:szCs w:val="20"/>
          <w:lang w:eastAsia="en-AU"/>
        </w:rPr>
        <w:t>excluded;</w:t>
      </w:r>
      <w:proofErr w:type="gramEnd"/>
    </w:p>
    <w:p w14:paraId="4B32C23E" w14:textId="77777777" w:rsidR="006845F1" w:rsidRPr="006845F1" w:rsidRDefault="006845F1" w:rsidP="006845F1">
      <w:pPr>
        <w:shd w:val="clear" w:color="auto" w:fill="FFFFFF"/>
        <w:spacing w:before="240" w:after="240" w:line="300" w:lineRule="atLeast"/>
        <w:rPr>
          <w:rFonts w:ascii="Helvetica" w:hAnsi="Helvetica" w:cs="Helvetica"/>
          <w:sz w:val="20"/>
          <w:szCs w:val="20"/>
          <w:lang w:eastAsia="en-AU"/>
        </w:rPr>
      </w:pPr>
      <w:r w:rsidRPr="006845F1">
        <w:rPr>
          <w:rFonts w:ascii="Helvetica" w:hAnsi="Helvetica" w:cs="Helvetica"/>
          <w:sz w:val="20"/>
          <w:szCs w:val="20"/>
          <w:lang w:eastAsia="en-AU"/>
        </w:rPr>
        <w:t>OR</w:t>
      </w:r>
    </w:p>
    <w:p w14:paraId="75528FF9" w14:textId="77777777" w:rsidR="006845F1" w:rsidRPr="006845F1" w:rsidRDefault="006845F1" w:rsidP="006845F1">
      <w:pPr>
        <w:numPr>
          <w:ilvl w:val="0"/>
          <w:numId w:val="31"/>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Detection of ZIKV-specific IgM in cerebrospinal fluid, in the absence of IgM to other possible infecting flaviviruses.</w:t>
      </w:r>
    </w:p>
    <w:p w14:paraId="7B6A4049" w14:textId="77777777" w:rsidR="006845F1" w:rsidRPr="006845F1" w:rsidRDefault="006845F1" w:rsidP="006845F1">
      <w:pPr>
        <w:shd w:val="clear" w:color="auto" w:fill="FFFFFF"/>
        <w:spacing w:after="120"/>
        <w:outlineLvl w:val="3"/>
        <w:rPr>
          <w:rFonts w:ascii="Open Sans" w:hAnsi="Open Sans" w:cs="Open Sans"/>
          <w:sz w:val="24"/>
          <w:lang w:eastAsia="en-AU"/>
        </w:rPr>
      </w:pPr>
      <w:r w:rsidRPr="006845F1">
        <w:rPr>
          <w:rFonts w:ascii="Open Sans" w:hAnsi="Open Sans" w:cs="Open Sans"/>
          <w:sz w:val="24"/>
          <w:lang w:eastAsia="en-AU"/>
        </w:rPr>
        <w:t>Probable case</w:t>
      </w:r>
    </w:p>
    <w:p w14:paraId="36312209" w14:textId="77777777"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A probable case requires </w:t>
      </w:r>
      <w:r w:rsidRPr="006845F1">
        <w:rPr>
          <w:rFonts w:ascii="Helvetica" w:hAnsi="Helvetica" w:cs="Helvetica"/>
          <w:b/>
          <w:bCs/>
          <w:sz w:val="20"/>
          <w:szCs w:val="20"/>
          <w:lang w:eastAsia="en-AU"/>
        </w:rPr>
        <w:t>laboratory suggestive evidence</w:t>
      </w:r>
      <w:r w:rsidRPr="006845F1">
        <w:rPr>
          <w:rFonts w:ascii="Helvetica" w:hAnsi="Helvetica" w:cs="Helvetica"/>
          <w:sz w:val="20"/>
          <w:szCs w:val="20"/>
          <w:lang w:eastAsia="en-AU"/>
        </w:rPr>
        <w:t> AND </w:t>
      </w:r>
      <w:r w:rsidRPr="006845F1">
        <w:rPr>
          <w:rFonts w:ascii="Helvetica" w:hAnsi="Helvetica" w:cs="Helvetica"/>
          <w:b/>
          <w:bCs/>
          <w:sz w:val="20"/>
          <w:szCs w:val="20"/>
          <w:lang w:eastAsia="en-AU"/>
        </w:rPr>
        <w:t>epidemiological evidence</w:t>
      </w:r>
      <w:r w:rsidRPr="006845F1">
        <w:rPr>
          <w:rFonts w:ascii="Helvetica" w:hAnsi="Helvetica" w:cs="Helvetica"/>
          <w:sz w:val="20"/>
          <w:szCs w:val="20"/>
          <w:lang w:eastAsia="en-AU"/>
        </w:rPr>
        <w:t>. Clinical evidence should be used to sub-classify cases as clinical or non-clinical.</w:t>
      </w:r>
    </w:p>
    <w:p w14:paraId="15F3944E" w14:textId="77777777" w:rsidR="006845F1" w:rsidRPr="006845F1" w:rsidRDefault="006845F1" w:rsidP="006845F1">
      <w:pPr>
        <w:shd w:val="clear" w:color="auto" w:fill="FFFFFF"/>
        <w:spacing w:after="120"/>
        <w:outlineLvl w:val="4"/>
        <w:rPr>
          <w:rFonts w:ascii="Open Sans" w:hAnsi="Open Sans" w:cs="Open Sans"/>
          <w:sz w:val="20"/>
          <w:szCs w:val="20"/>
          <w:lang w:eastAsia="en-AU"/>
        </w:rPr>
      </w:pPr>
      <w:r w:rsidRPr="006845F1">
        <w:rPr>
          <w:rFonts w:ascii="Open Sans" w:hAnsi="Open Sans" w:cs="Open Sans"/>
          <w:sz w:val="20"/>
          <w:szCs w:val="20"/>
          <w:lang w:eastAsia="en-AU"/>
        </w:rPr>
        <w:t>Laboratory suggestive evidence</w:t>
      </w:r>
    </w:p>
    <w:p w14:paraId="3C8D306E" w14:textId="77777777"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 xml:space="preserve">Detection of ZIKV-specific IgM in the absence of IgM to other epidemiologically possible </w:t>
      </w:r>
      <w:proofErr w:type="spellStart"/>
      <w:r w:rsidRPr="006845F1">
        <w:rPr>
          <w:rFonts w:ascii="Helvetica" w:hAnsi="Helvetica" w:cs="Helvetica"/>
          <w:sz w:val="20"/>
          <w:szCs w:val="20"/>
          <w:lang w:eastAsia="en-AU"/>
        </w:rPr>
        <w:t>flaviruses</w:t>
      </w:r>
      <w:proofErr w:type="spellEnd"/>
      <w:r w:rsidRPr="006845F1">
        <w:rPr>
          <w:rFonts w:ascii="Helvetica" w:hAnsi="Helvetica" w:cs="Helvetica"/>
          <w:sz w:val="20"/>
          <w:szCs w:val="20"/>
          <w:lang w:eastAsia="en-AU"/>
        </w:rPr>
        <w:t xml:space="preserve"> or flavivirus vaccination in the 3 weeks prior to testing.</w:t>
      </w:r>
    </w:p>
    <w:p w14:paraId="0F87B95D" w14:textId="77777777"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Notes:</w:t>
      </w:r>
    </w:p>
    <w:p w14:paraId="64DEF09C" w14:textId="77777777" w:rsidR="006845F1" w:rsidRPr="006845F1" w:rsidRDefault="006845F1" w:rsidP="006845F1">
      <w:pPr>
        <w:numPr>
          <w:ilvl w:val="0"/>
          <w:numId w:val="32"/>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If the date of most recent exposure was greater than 4 weeks before the specimen date, then ZIKV-specific IgG must also be positive.</w:t>
      </w:r>
    </w:p>
    <w:p w14:paraId="57C189FB" w14:textId="77777777" w:rsidR="006845F1" w:rsidRPr="006845F1" w:rsidRDefault="006845F1" w:rsidP="006845F1">
      <w:pPr>
        <w:numPr>
          <w:ilvl w:val="0"/>
          <w:numId w:val="32"/>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If ZIKV-specific IgG was initially negative and subsequent testing greater than 4 weeks after exposure fails to demonstrate seroconversion the case should be rejected. </w:t>
      </w:r>
    </w:p>
    <w:p w14:paraId="36D73EF2" w14:textId="7E6B34A9" w:rsidR="006845F1" w:rsidRPr="006845F1" w:rsidRDefault="006845F1" w:rsidP="006845F1">
      <w:pPr>
        <w:rPr>
          <w:rFonts w:ascii="Times New Roman" w:hAnsi="Times New Roman"/>
          <w:sz w:val="24"/>
          <w:lang w:eastAsia="en-AU"/>
        </w:rPr>
      </w:pPr>
    </w:p>
    <w:p w14:paraId="7A969ECE" w14:textId="77777777" w:rsidR="006845F1" w:rsidRPr="006845F1" w:rsidRDefault="006845F1" w:rsidP="006845F1">
      <w:pPr>
        <w:keepNext/>
        <w:shd w:val="clear" w:color="auto" w:fill="FFFFFF"/>
        <w:spacing w:before="240" w:after="120"/>
        <w:outlineLvl w:val="4"/>
        <w:rPr>
          <w:rFonts w:ascii="Open Sans" w:hAnsi="Open Sans" w:cs="Open Sans"/>
          <w:sz w:val="20"/>
          <w:szCs w:val="20"/>
          <w:lang w:eastAsia="en-AU"/>
        </w:rPr>
      </w:pPr>
      <w:r w:rsidRPr="006845F1">
        <w:rPr>
          <w:rFonts w:ascii="Open Sans" w:hAnsi="Open Sans" w:cs="Open Sans"/>
          <w:sz w:val="20"/>
          <w:szCs w:val="20"/>
          <w:lang w:eastAsia="en-AU"/>
        </w:rPr>
        <w:lastRenderedPageBreak/>
        <w:t>Epidemiological evidence</w:t>
      </w:r>
    </w:p>
    <w:p w14:paraId="7F573D51" w14:textId="77777777" w:rsidR="006845F1" w:rsidRPr="006845F1" w:rsidRDefault="006845F1" w:rsidP="006845F1">
      <w:pPr>
        <w:shd w:val="clear" w:color="auto" w:fill="FFFFFF"/>
        <w:spacing w:before="240" w:after="120"/>
        <w:outlineLvl w:val="5"/>
        <w:rPr>
          <w:rFonts w:ascii="Open Sans" w:hAnsi="Open Sans" w:cs="Open Sans"/>
          <w:sz w:val="15"/>
          <w:szCs w:val="15"/>
          <w:lang w:eastAsia="en-AU"/>
        </w:rPr>
      </w:pPr>
      <w:r w:rsidRPr="006845F1">
        <w:rPr>
          <w:rFonts w:ascii="Open Sans" w:hAnsi="Open Sans" w:cs="Open Sans"/>
          <w:sz w:val="15"/>
          <w:szCs w:val="15"/>
          <w:lang w:eastAsia="en-AU"/>
        </w:rPr>
        <w:t>Clinical case</w:t>
      </w:r>
    </w:p>
    <w:p w14:paraId="50D84FA0" w14:textId="2975635D" w:rsidR="006845F1" w:rsidRPr="006845F1" w:rsidRDefault="006845F1" w:rsidP="006845F1">
      <w:pPr>
        <w:numPr>
          <w:ilvl w:val="0"/>
          <w:numId w:val="33"/>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Travel to or residence in a ZIKV receptive country</w:t>
      </w:r>
      <w:bookmarkStart w:id="0" w:name="_ftnref1"/>
      <w:r w:rsidRPr="006845F1">
        <w:rPr>
          <w:rFonts w:ascii="Helvetica" w:hAnsi="Helvetica" w:cs="Helvetica"/>
          <w:sz w:val="15"/>
          <w:szCs w:val="15"/>
          <w:vertAlign w:val="superscript"/>
          <w:lang w:eastAsia="en-AU"/>
        </w:rPr>
        <w:t>1 </w:t>
      </w:r>
      <w:r w:rsidRPr="006845F1">
        <w:rPr>
          <w:rFonts w:ascii="Helvetica" w:hAnsi="Helvetica" w:cs="Helvetica"/>
          <w:sz w:val="20"/>
          <w:szCs w:val="20"/>
          <w:lang w:eastAsia="en-AU"/>
        </w:rPr>
        <w:t xml:space="preserve">or area in Australia within two weeks prior to symptom </w:t>
      </w:r>
      <w:proofErr w:type="gramStart"/>
      <w:r w:rsidRPr="006845F1">
        <w:rPr>
          <w:rFonts w:ascii="Helvetica" w:hAnsi="Helvetica" w:cs="Helvetica"/>
          <w:sz w:val="20"/>
          <w:szCs w:val="20"/>
          <w:lang w:eastAsia="en-AU"/>
        </w:rPr>
        <w:t>onset;</w:t>
      </w:r>
      <w:proofErr w:type="gramEnd"/>
    </w:p>
    <w:p w14:paraId="15738911" w14:textId="77777777" w:rsidR="006845F1" w:rsidRPr="006845F1" w:rsidRDefault="006845F1" w:rsidP="006845F1">
      <w:pPr>
        <w:shd w:val="clear" w:color="auto" w:fill="FFFFFF"/>
        <w:spacing w:before="240" w:after="240" w:line="300" w:lineRule="atLeast"/>
        <w:rPr>
          <w:rFonts w:ascii="Helvetica" w:hAnsi="Helvetica" w:cs="Helvetica"/>
          <w:sz w:val="20"/>
          <w:szCs w:val="20"/>
          <w:lang w:eastAsia="en-AU"/>
        </w:rPr>
      </w:pPr>
      <w:r w:rsidRPr="006845F1">
        <w:rPr>
          <w:rFonts w:ascii="Helvetica" w:hAnsi="Helvetica" w:cs="Helvetica"/>
          <w:sz w:val="20"/>
          <w:szCs w:val="20"/>
          <w:lang w:eastAsia="en-AU"/>
        </w:rPr>
        <w:t> OR</w:t>
      </w:r>
    </w:p>
    <w:p w14:paraId="0C5DFFC9" w14:textId="77777777" w:rsidR="006845F1" w:rsidRPr="006845F1" w:rsidRDefault="006845F1" w:rsidP="006845F1">
      <w:pPr>
        <w:numPr>
          <w:ilvl w:val="0"/>
          <w:numId w:val="34"/>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Sexual exposure to a confirmed or probable case of ZIKV infection within two weeks prior to symptom onset.</w:t>
      </w:r>
    </w:p>
    <w:p w14:paraId="0D2A74C0" w14:textId="77777777" w:rsidR="006845F1" w:rsidRPr="006845F1" w:rsidRDefault="006845F1" w:rsidP="006845F1">
      <w:pPr>
        <w:shd w:val="clear" w:color="auto" w:fill="FFFFFF"/>
        <w:spacing w:after="120"/>
        <w:outlineLvl w:val="5"/>
        <w:rPr>
          <w:rFonts w:ascii="Open Sans" w:hAnsi="Open Sans" w:cs="Open Sans"/>
          <w:sz w:val="15"/>
          <w:szCs w:val="15"/>
          <w:lang w:eastAsia="en-AU"/>
        </w:rPr>
      </w:pPr>
      <w:r w:rsidRPr="006845F1">
        <w:rPr>
          <w:rFonts w:ascii="Open Sans" w:hAnsi="Open Sans" w:cs="Open Sans"/>
          <w:sz w:val="15"/>
          <w:szCs w:val="15"/>
          <w:lang w:eastAsia="en-AU"/>
        </w:rPr>
        <w:t>Non-clinical case</w:t>
      </w:r>
    </w:p>
    <w:p w14:paraId="30CD9C1A" w14:textId="69D6A5B8" w:rsidR="006845F1" w:rsidRPr="006845F1" w:rsidRDefault="006845F1" w:rsidP="006845F1">
      <w:pPr>
        <w:numPr>
          <w:ilvl w:val="0"/>
          <w:numId w:val="35"/>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Travel to or residence in a ZIKV receptive country</w:t>
      </w:r>
      <w:r w:rsidRPr="006845F1">
        <w:rPr>
          <w:rFonts w:ascii="Helvetica" w:hAnsi="Helvetica" w:cs="Helvetica"/>
          <w:sz w:val="15"/>
          <w:szCs w:val="15"/>
          <w:vertAlign w:val="superscript"/>
          <w:lang w:eastAsia="en-AU"/>
        </w:rPr>
        <w:t>1 </w:t>
      </w:r>
      <w:r w:rsidRPr="006845F1">
        <w:rPr>
          <w:rFonts w:ascii="Helvetica" w:hAnsi="Helvetica" w:cs="Helvetica"/>
          <w:sz w:val="20"/>
          <w:szCs w:val="20"/>
          <w:lang w:eastAsia="en-AU"/>
        </w:rPr>
        <w:t>or area in Australia within two months prior to specimen date.</w:t>
      </w:r>
    </w:p>
    <w:p w14:paraId="5AEA6DAE" w14:textId="77777777" w:rsidR="006845F1" w:rsidRPr="006845F1" w:rsidRDefault="006845F1" w:rsidP="006845F1">
      <w:pPr>
        <w:shd w:val="clear" w:color="auto" w:fill="FFFFFF"/>
        <w:spacing w:before="240" w:after="240" w:line="300" w:lineRule="atLeast"/>
        <w:rPr>
          <w:rFonts w:ascii="Helvetica" w:hAnsi="Helvetica" w:cs="Helvetica"/>
          <w:sz w:val="20"/>
          <w:szCs w:val="20"/>
          <w:lang w:eastAsia="en-AU"/>
        </w:rPr>
      </w:pPr>
      <w:r w:rsidRPr="006845F1">
        <w:rPr>
          <w:rFonts w:ascii="Helvetica" w:hAnsi="Helvetica" w:cs="Helvetica"/>
          <w:sz w:val="20"/>
          <w:szCs w:val="20"/>
          <w:lang w:eastAsia="en-AU"/>
        </w:rPr>
        <w:t>OR</w:t>
      </w:r>
    </w:p>
    <w:p w14:paraId="6E7E9D0D" w14:textId="77777777" w:rsidR="006845F1" w:rsidRPr="006845F1" w:rsidRDefault="006845F1" w:rsidP="006845F1">
      <w:pPr>
        <w:numPr>
          <w:ilvl w:val="0"/>
          <w:numId w:val="36"/>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Sexual exposure to a confirmed or probable case of ZIKV infection within two months prior to specimen date.</w:t>
      </w:r>
    </w:p>
    <w:p w14:paraId="0A5BEAB2" w14:textId="77777777" w:rsidR="006845F1" w:rsidRPr="006845F1" w:rsidRDefault="006845F1" w:rsidP="006845F1">
      <w:pPr>
        <w:shd w:val="clear" w:color="auto" w:fill="FFFFFF"/>
        <w:spacing w:after="120"/>
        <w:outlineLvl w:val="3"/>
        <w:rPr>
          <w:rFonts w:ascii="Open Sans" w:hAnsi="Open Sans" w:cs="Open Sans"/>
          <w:sz w:val="24"/>
          <w:lang w:eastAsia="en-AU"/>
        </w:rPr>
      </w:pPr>
      <w:r w:rsidRPr="006845F1">
        <w:rPr>
          <w:rFonts w:ascii="Open Sans" w:hAnsi="Open Sans" w:cs="Open Sans"/>
          <w:sz w:val="24"/>
          <w:lang w:eastAsia="en-AU"/>
        </w:rPr>
        <w:t>Clinical case</w:t>
      </w:r>
    </w:p>
    <w:p w14:paraId="03476298" w14:textId="77777777"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Both confirmed and probable cases should be further sub-classified into </w:t>
      </w:r>
      <w:r w:rsidRPr="006845F1">
        <w:rPr>
          <w:rFonts w:ascii="Helvetica" w:hAnsi="Helvetica" w:cs="Helvetica"/>
          <w:b/>
          <w:bCs/>
          <w:sz w:val="20"/>
          <w:szCs w:val="20"/>
          <w:lang w:eastAsia="en-AU"/>
        </w:rPr>
        <w:t>clinical</w:t>
      </w:r>
      <w:r w:rsidRPr="006845F1">
        <w:rPr>
          <w:rFonts w:ascii="Helvetica" w:hAnsi="Helvetica" w:cs="Helvetica"/>
          <w:sz w:val="20"/>
          <w:szCs w:val="20"/>
          <w:lang w:eastAsia="en-AU"/>
        </w:rPr>
        <w:t> or </w:t>
      </w:r>
      <w:r w:rsidRPr="006845F1">
        <w:rPr>
          <w:rFonts w:ascii="Helvetica" w:hAnsi="Helvetica" w:cs="Helvetica"/>
          <w:b/>
          <w:bCs/>
          <w:sz w:val="20"/>
          <w:szCs w:val="20"/>
          <w:lang w:eastAsia="en-AU"/>
        </w:rPr>
        <w:t>non-clinical</w:t>
      </w:r>
      <w:r w:rsidRPr="006845F1">
        <w:rPr>
          <w:rFonts w:ascii="Helvetica" w:hAnsi="Helvetica" w:cs="Helvetica"/>
          <w:sz w:val="20"/>
          <w:szCs w:val="20"/>
          <w:lang w:eastAsia="en-AU"/>
        </w:rPr>
        <w:t> cases.</w:t>
      </w:r>
    </w:p>
    <w:p w14:paraId="649E0FF9" w14:textId="77777777" w:rsidR="006845F1" w:rsidRPr="006845F1" w:rsidRDefault="006845F1" w:rsidP="006845F1">
      <w:pPr>
        <w:shd w:val="clear" w:color="auto" w:fill="FFFFFF"/>
        <w:spacing w:after="120"/>
        <w:outlineLvl w:val="4"/>
        <w:rPr>
          <w:rFonts w:ascii="Open Sans" w:hAnsi="Open Sans" w:cs="Open Sans"/>
          <w:sz w:val="20"/>
          <w:szCs w:val="20"/>
          <w:lang w:eastAsia="en-AU"/>
        </w:rPr>
      </w:pPr>
      <w:r w:rsidRPr="006845F1">
        <w:rPr>
          <w:rFonts w:ascii="Open Sans" w:hAnsi="Open Sans" w:cs="Open Sans"/>
          <w:sz w:val="20"/>
          <w:szCs w:val="20"/>
          <w:lang w:eastAsia="en-AU"/>
        </w:rPr>
        <w:t>Clinical evidence</w:t>
      </w:r>
    </w:p>
    <w:p w14:paraId="1ED7AA7D" w14:textId="77777777"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An acute illness within 2 weeks of exposure with 2 or more of the following symptoms:</w:t>
      </w:r>
    </w:p>
    <w:p w14:paraId="52B43E86" w14:textId="77777777" w:rsidR="006845F1" w:rsidRPr="006845F1" w:rsidRDefault="006845F1" w:rsidP="006845F1">
      <w:pPr>
        <w:numPr>
          <w:ilvl w:val="0"/>
          <w:numId w:val="37"/>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Fever</w:t>
      </w:r>
    </w:p>
    <w:p w14:paraId="67CF6E99" w14:textId="77777777" w:rsidR="006845F1" w:rsidRPr="006845F1" w:rsidRDefault="006845F1" w:rsidP="006845F1">
      <w:pPr>
        <w:numPr>
          <w:ilvl w:val="0"/>
          <w:numId w:val="37"/>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Headache</w:t>
      </w:r>
    </w:p>
    <w:p w14:paraId="1BD2CE35" w14:textId="77777777" w:rsidR="006845F1" w:rsidRPr="006845F1" w:rsidRDefault="006845F1" w:rsidP="006845F1">
      <w:pPr>
        <w:numPr>
          <w:ilvl w:val="0"/>
          <w:numId w:val="37"/>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Myalgia</w:t>
      </w:r>
    </w:p>
    <w:p w14:paraId="013D8CF1" w14:textId="77777777" w:rsidR="006845F1" w:rsidRPr="006845F1" w:rsidRDefault="006845F1" w:rsidP="006845F1">
      <w:pPr>
        <w:numPr>
          <w:ilvl w:val="0"/>
          <w:numId w:val="37"/>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Arthralgia</w:t>
      </w:r>
    </w:p>
    <w:p w14:paraId="3154AA2E" w14:textId="77777777" w:rsidR="006845F1" w:rsidRPr="006845F1" w:rsidRDefault="006845F1" w:rsidP="006845F1">
      <w:pPr>
        <w:numPr>
          <w:ilvl w:val="0"/>
          <w:numId w:val="37"/>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Rash</w:t>
      </w:r>
    </w:p>
    <w:p w14:paraId="18117C22" w14:textId="77777777" w:rsidR="006845F1" w:rsidRPr="006845F1" w:rsidRDefault="006845F1" w:rsidP="006845F1">
      <w:pPr>
        <w:numPr>
          <w:ilvl w:val="0"/>
          <w:numId w:val="37"/>
        </w:numPr>
        <w:shd w:val="clear" w:color="auto" w:fill="FFFFFF"/>
        <w:spacing w:after="90" w:line="300" w:lineRule="atLeast"/>
        <w:rPr>
          <w:rFonts w:ascii="Helvetica" w:hAnsi="Helvetica" w:cs="Helvetica"/>
          <w:sz w:val="20"/>
          <w:szCs w:val="20"/>
          <w:lang w:eastAsia="en-AU"/>
        </w:rPr>
      </w:pPr>
      <w:r w:rsidRPr="006845F1">
        <w:rPr>
          <w:rFonts w:ascii="Helvetica" w:hAnsi="Helvetica" w:cs="Helvetica"/>
          <w:sz w:val="20"/>
          <w:szCs w:val="20"/>
          <w:lang w:eastAsia="en-AU"/>
        </w:rPr>
        <w:t>Non-purulent conjunctivitis.</w:t>
      </w:r>
    </w:p>
    <w:p w14:paraId="71D3E606" w14:textId="77777777" w:rsidR="006845F1" w:rsidRPr="006845F1" w:rsidRDefault="006845F1" w:rsidP="006845F1">
      <w:pPr>
        <w:shd w:val="clear" w:color="auto" w:fill="FFFFFF"/>
        <w:spacing w:before="240" w:after="240" w:line="300" w:lineRule="atLeast"/>
        <w:rPr>
          <w:rFonts w:ascii="Helvetica" w:hAnsi="Helvetica" w:cs="Helvetica"/>
          <w:sz w:val="20"/>
          <w:szCs w:val="20"/>
          <w:lang w:eastAsia="en-AU"/>
        </w:rPr>
      </w:pPr>
      <w:r w:rsidRPr="006845F1">
        <w:rPr>
          <w:rFonts w:ascii="Helvetica" w:hAnsi="Helvetica" w:cs="Helvetica"/>
          <w:sz w:val="20"/>
          <w:szCs w:val="20"/>
          <w:lang w:eastAsia="en-AU"/>
        </w:rPr>
        <w:t>In the absence of clinical evidence, the case will be classified as non-clinical.</w:t>
      </w:r>
    </w:p>
    <w:p w14:paraId="692C692E" w14:textId="191A6544" w:rsidR="006845F1" w:rsidRPr="006845F1" w:rsidRDefault="006845F1" w:rsidP="006845F1">
      <w:pPr>
        <w:rPr>
          <w:rFonts w:ascii="Times New Roman" w:hAnsi="Times New Roman"/>
          <w:sz w:val="24"/>
          <w:lang w:eastAsia="en-AU"/>
        </w:rPr>
      </w:pPr>
    </w:p>
    <w:p w14:paraId="05E2AD5D" w14:textId="77777777" w:rsidR="006845F1" w:rsidRPr="00BE0A7F" w:rsidRDefault="006845F1">
      <w:pPr>
        <w:rPr>
          <w:rFonts w:ascii="Open Sans" w:hAnsi="Open Sans" w:cs="Open Sans"/>
          <w:sz w:val="36"/>
          <w:szCs w:val="36"/>
          <w:lang w:eastAsia="en-AU"/>
        </w:rPr>
      </w:pPr>
      <w:r w:rsidRPr="00BE0A7F">
        <w:rPr>
          <w:rFonts w:ascii="Open Sans" w:hAnsi="Open Sans" w:cs="Open Sans"/>
          <w:sz w:val="36"/>
          <w:szCs w:val="36"/>
          <w:lang w:eastAsia="en-AU"/>
        </w:rPr>
        <w:br w:type="page"/>
      </w:r>
    </w:p>
    <w:p w14:paraId="67CBE8A5" w14:textId="7D501FD8" w:rsidR="006845F1" w:rsidRPr="006845F1" w:rsidRDefault="006845F1" w:rsidP="006845F1">
      <w:pPr>
        <w:shd w:val="clear" w:color="auto" w:fill="FFFFFF"/>
        <w:spacing w:before="240" w:after="120"/>
        <w:outlineLvl w:val="1"/>
        <w:rPr>
          <w:rFonts w:ascii="Open Sans" w:hAnsi="Open Sans" w:cs="Open Sans"/>
          <w:sz w:val="36"/>
          <w:szCs w:val="36"/>
          <w:lang w:eastAsia="en-AU"/>
        </w:rPr>
      </w:pPr>
      <w:r w:rsidRPr="006845F1">
        <w:rPr>
          <w:rFonts w:ascii="Open Sans" w:hAnsi="Open Sans" w:cs="Open Sans"/>
          <w:sz w:val="36"/>
          <w:szCs w:val="36"/>
          <w:lang w:eastAsia="en-AU"/>
        </w:rPr>
        <w:lastRenderedPageBreak/>
        <w:t>Australian national notifiable diseases case definitions - congenital Zika virus infection case definition</w:t>
      </w:r>
    </w:p>
    <w:p w14:paraId="14A8E11A" w14:textId="77777777"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Confirmed and probable cases are nationally notifiable under the disease </w:t>
      </w:r>
      <w:r w:rsidRPr="006845F1">
        <w:rPr>
          <w:rFonts w:ascii="Helvetica" w:hAnsi="Helvetica" w:cs="Helvetica"/>
          <w:i/>
          <w:iCs/>
          <w:sz w:val="20"/>
          <w:szCs w:val="20"/>
          <w:lang w:eastAsia="en-AU"/>
        </w:rPr>
        <w:t>Flavivirus infection (unspecified) </w:t>
      </w:r>
      <w:r w:rsidRPr="006845F1">
        <w:rPr>
          <w:rFonts w:ascii="Helvetica" w:hAnsi="Helvetica" w:cs="Helvetica"/>
          <w:sz w:val="20"/>
          <w:szCs w:val="20"/>
          <w:lang w:eastAsia="en-AU"/>
        </w:rPr>
        <w:t>using the Organism Name field to specify congenital ZIKV infection.</w:t>
      </w:r>
    </w:p>
    <w:p w14:paraId="2DD07026" w14:textId="77777777" w:rsidR="006845F1" w:rsidRPr="006845F1" w:rsidRDefault="006845F1" w:rsidP="006845F1">
      <w:pPr>
        <w:shd w:val="clear" w:color="auto" w:fill="FFFFFF"/>
        <w:spacing w:after="120"/>
        <w:outlineLvl w:val="2"/>
        <w:rPr>
          <w:rFonts w:ascii="Open Sans" w:hAnsi="Open Sans" w:cs="Open Sans"/>
          <w:sz w:val="27"/>
          <w:szCs w:val="27"/>
          <w:lang w:eastAsia="en-AU"/>
        </w:rPr>
      </w:pPr>
      <w:r w:rsidRPr="006845F1">
        <w:rPr>
          <w:rFonts w:ascii="Open Sans" w:hAnsi="Open Sans" w:cs="Open Sans"/>
          <w:sz w:val="27"/>
          <w:szCs w:val="27"/>
          <w:lang w:eastAsia="en-AU"/>
        </w:rPr>
        <w:t>Reporting</w:t>
      </w:r>
    </w:p>
    <w:p w14:paraId="306B2325" w14:textId="77777777"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Both </w:t>
      </w:r>
      <w:r w:rsidRPr="006845F1">
        <w:rPr>
          <w:rFonts w:ascii="Helvetica" w:hAnsi="Helvetica" w:cs="Helvetica"/>
          <w:b/>
          <w:bCs/>
          <w:sz w:val="20"/>
          <w:szCs w:val="20"/>
          <w:lang w:eastAsia="en-AU"/>
        </w:rPr>
        <w:t>confirmed </w:t>
      </w:r>
      <w:r w:rsidRPr="006845F1">
        <w:rPr>
          <w:rFonts w:ascii="Helvetica" w:hAnsi="Helvetica" w:cs="Helvetica"/>
          <w:sz w:val="20"/>
          <w:szCs w:val="20"/>
          <w:lang w:eastAsia="en-AU"/>
        </w:rPr>
        <w:t>and </w:t>
      </w:r>
      <w:r w:rsidRPr="006845F1">
        <w:rPr>
          <w:rFonts w:ascii="Helvetica" w:hAnsi="Helvetica" w:cs="Helvetica"/>
          <w:b/>
          <w:bCs/>
          <w:sz w:val="20"/>
          <w:szCs w:val="20"/>
          <w:lang w:eastAsia="en-AU"/>
        </w:rPr>
        <w:t>probable</w:t>
      </w:r>
      <w:r w:rsidRPr="006845F1">
        <w:rPr>
          <w:rFonts w:ascii="Helvetica" w:hAnsi="Helvetica" w:cs="Helvetica"/>
          <w:sz w:val="20"/>
          <w:szCs w:val="20"/>
          <w:lang w:eastAsia="en-AU"/>
        </w:rPr>
        <w:t> cases are nationally notifiable.</w:t>
      </w:r>
    </w:p>
    <w:p w14:paraId="193004E8" w14:textId="77777777" w:rsidR="006845F1" w:rsidRPr="006845F1" w:rsidRDefault="006845F1" w:rsidP="006845F1">
      <w:pPr>
        <w:shd w:val="clear" w:color="auto" w:fill="FFFFFF"/>
        <w:spacing w:after="120"/>
        <w:outlineLvl w:val="3"/>
        <w:rPr>
          <w:rFonts w:ascii="Open Sans" w:hAnsi="Open Sans" w:cs="Open Sans"/>
          <w:sz w:val="24"/>
          <w:lang w:eastAsia="en-AU"/>
        </w:rPr>
      </w:pPr>
      <w:r w:rsidRPr="006845F1">
        <w:rPr>
          <w:rFonts w:ascii="Open Sans" w:hAnsi="Open Sans" w:cs="Open Sans"/>
          <w:sz w:val="24"/>
          <w:lang w:eastAsia="en-AU"/>
        </w:rPr>
        <w:t>Confirmed Case</w:t>
      </w:r>
    </w:p>
    <w:p w14:paraId="6238F02D" w14:textId="77777777"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A confirmed case requires </w:t>
      </w:r>
      <w:r w:rsidRPr="006845F1">
        <w:rPr>
          <w:rFonts w:ascii="Helvetica" w:hAnsi="Helvetica" w:cs="Helvetica"/>
          <w:b/>
          <w:bCs/>
          <w:sz w:val="20"/>
          <w:szCs w:val="20"/>
          <w:lang w:eastAsia="en-AU"/>
        </w:rPr>
        <w:t>laboratory definitive evidence</w:t>
      </w:r>
      <w:r w:rsidRPr="006845F1">
        <w:rPr>
          <w:rFonts w:ascii="Helvetica" w:hAnsi="Helvetica" w:cs="Helvetica"/>
          <w:sz w:val="20"/>
          <w:szCs w:val="20"/>
          <w:lang w:eastAsia="en-AU"/>
        </w:rPr>
        <w:t> only.</w:t>
      </w:r>
    </w:p>
    <w:p w14:paraId="3D62DB85" w14:textId="77777777" w:rsidR="006845F1" w:rsidRPr="006845F1" w:rsidRDefault="006845F1" w:rsidP="006845F1">
      <w:pPr>
        <w:shd w:val="clear" w:color="auto" w:fill="FFFFFF"/>
        <w:spacing w:after="120"/>
        <w:outlineLvl w:val="4"/>
        <w:rPr>
          <w:rFonts w:ascii="Open Sans" w:hAnsi="Open Sans" w:cs="Open Sans"/>
          <w:sz w:val="20"/>
          <w:szCs w:val="20"/>
          <w:lang w:eastAsia="en-AU"/>
        </w:rPr>
      </w:pPr>
      <w:r w:rsidRPr="006845F1">
        <w:rPr>
          <w:rFonts w:ascii="Open Sans" w:hAnsi="Open Sans" w:cs="Open Sans"/>
          <w:sz w:val="20"/>
          <w:szCs w:val="20"/>
          <w:lang w:eastAsia="en-AU"/>
        </w:rPr>
        <w:t>Laboratory definitive evidence</w:t>
      </w:r>
    </w:p>
    <w:p w14:paraId="148C49BF" w14:textId="77777777" w:rsidR="006845F1" w:rsidRPr="006845F1" w:rsidRDefault="006845F1" w:rsidP="006845F1">
      <w:pPr>
        <w:shd w:val="clear" w:color="auto" w:fill="FFFFFF"/>
        <w:spacing w:before="240" w:after="120"/>
        <w:outlineLvl w:val="5"/>
        <w:rPr>
          <w:rFonts w:ascii="Open Sans" w:hAnsi="Open Sans" w:cs="Open Sans"/>
          <w:sz w:val="15"/>
          <w:szCs w:val="15"/>
          <w:lang w:eastAsia="en-AU"/>
        </w:rPr>
      </w:pPr>
      <w:proofErr w:type="spellStart"/>
      <w:r w:rsidRPr="006845F1">
        <w:rPr>
          <w:rFonts w:ascii="Open Sans" w:hAnsi="Open Sans" w:cs="Open Sans"/>
          <w:sz w:val="15"/>
          <w:szCs w:val="15"/>
          <w:lang w:eastAsia="en-AU"/>
        </w:rPr>
        <w:t>Fetal</w:t>
      </w:r>
      <w:proofErr w:type="spellEnd"/>
      <w:r w:rsidRPr="006845F1">
        <w:rPr>
          <w:rFonts w:ascii="Open Sans" w:hAnsi="Open Sans" w:cs="Open Sans"/>
          <w:sz w:val="15"/>
          <w:szCs w:val="15"/>
          <w:lang w:eastAsia="en-AU"/>
        </w:rPr>
        <w:t xml:space="preserve"> (at 20 weeks gestation or more)</w:t>
      </w:r>
    </w:p>
    <w:p w14:paraId="64F5E25A" w14:textId="77777777"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Isolation or detection of ZIKV from appropriate clinical samples (</w:t>
      </w:r>
      <w:proofErr w:type="gramStart"/>
      <w:r w:rsidRPr="006845F1">
        <w:rPr>
          <w:rFonts w:ascii="Helvetica" w:hAnsi="Helvetica" w:cs="Helvetica"/>
          <w:sz w:val="20"/>
          <w:szCs w:val="20"/>
          <w:lang w:eastAsia="en-AU"/>
        </w:rPr>
        <w:t>i.e.</w:t>
      </w:r>
      <w:proofErr w:type="gramEnd"/>
      <w:r w:rsidRPr="006845F1">
        <w:rPr>
          <w:rFonts w:ascii="Helvetica" w:hAnsi="Helvetica" w:cs="Helvetica"/>
          <w:sz w:val="20"/>
          <w:szCs w:val="20"/>
          <w:lang w:eastAsia="en-AU"/>
        </w:rPr>
        <w:t xml:space="preserve"> </w:t>
      </w:r>
      <w:proofErr w:type="spellStart"/>
      <w:r w:rsidRPr="006845F1">
        <w:rPr>
          <w:rFonts w:ascii="Helvetica" w:hAnsi="Helvetica" w:cs="Helvetica"/>
          <w:sz w:val="20"/>
          <w:szCs w:val="20"/>
          <w:lang w:eastAsia="en-AU"/>
        </w:rPr>
        <w:t>fetal</w:t>
      </w:r>
      <w:proofErr w:type="spellEnd"/>
      <w:r w:rsidRPr="006845F1">
        <w:rPr>
          <w:rFonts w:ascii="Helvetica" w:hAnsi="Helvetica" w:cs="Helvetica"/>
          <w:sz w:val="20"/>
          <w:szCs w:val="20"/>
          <w:lang w:eastAsia="en-AU"/>
        </w:rPr>
        <w:t xml:space="preserve"> blood, amniotic fluid, chorionic villus sample or post-mortem cerebrospinal fluid or tissue) by viral culture or nucleic acid testing.</w:t>
      </w:r>
    </w:p>
    <w:p w14:paraId="47F978DA" w14:textId="77777777" w:rsidR="006845F1" w:rsidRPr="006845F1" w:rsidRDefault="006845F1" w:rsidP="006845F1">
      <w:pPr>
        <w:shd w:val="clear" w:color="auto" w:fill="FFFFFF"/>
        <w:spacing w:after="120"/>
        <w:outlineLvl w:val="5"/>
        <w:rPr>
          <w:rFonts w:ascii="Open Sans" w:hAnsi="Open Sans" w:cs="Open Sans"/>
          <w:sz w:val="15"/>
          <w:szCs w:val="15"/>
          <w:lang w:eastAsia="en-AU"/>
        </w:rPr>
      </w:pPr>
      <w:r w:rsidRPr="006845F1">
        <w:rPr>
          <w:rFonts w:ascii="Open Sans" w:hAnsi="Open Sans" w:cs="Open Sans"/>
          <w:sz w:val="15"/>
          <w:szCs w:val="15"/>
          <w:lang w:eastAsia="en-AU"/>
        </w:rPr>
        <w:t>Infant (within 28 days following birth)</w:t>
      </w:r>
    </w:p>
    <w:p w14:paraId="489E1B16" w14:textId="5FC3D546"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Isolation or detection of ZIKV from appropriate clinical samples by viral culture or nucleic acid testing, with no history of travel since birth to, or residence in, a ZIKV receptive country</w:t>
      </w:r>
      <w:r w:rsidRPr="006845F1">
        <w:rPr>
          <w:rFonts w:ascii="Helvetica" w:hAnsi="Helvetica" w:cs="Helvetica"/>
          <w:sz w:val="15"/>
          <w:szCs w:val="15"/>
          <w:vertAlign w:val="superscript"/>
          <w:lang w:eastAsia="en-AU"/>
        </w:rPr>
        <w:t>1 </w:t>
      </w:r>
      <w:bookmarkEnd w:id="0"/>
      <w:r w:rsidRPr="006845F1">
        <w:rPr>
          <w:rFonts w:ascii="Helvetica" w:hAnsi="Helvetica" w:cs="Helvetica"/>
          <w:sz w:val="20"/>
          <w:szCs w:val="20"/>
          <w:lang w:eastAsia="en-AU"/>
        </w:rPr>
        <w:t>or area in Australia.</w:t>
      </w:r>
    </w:p>
    <w:p w14:paraId="7481F74D" w14:textId="77777777" w:rsidR="006845F1" w:rsidRPr="006845F1" w:rsidRDefault="006845F1" w:rsidP="006845F1">
      <w:pPr>
        <w:shd w:val="clear" w:color="auto" w:fill="FFFFFF"/>
        <w:spacing w:after="120"/>
        <w:outlineLvl w:val="3"/>
        <w:rPr>
          <w:rFonts w:ascii="Open Sans" w:hAnsi="Open Sans" w:cs="Open Sans"/>
          <w:sz w:val="24"/>
          <w:lang w:eastAsia="en-AU"/>
        </w:rPr>
      </w:pPr>
      <w:r w:rsidRPr="006845F1">
        <w:rPr>
          <w:rFonts w:ascii="Open Sans" w:hAnsi="Open Sans" w:cs="Open Sans"/>
          <w:sz w:val="24"/>
          <w:lang w:eastAsia="en-AU"/>
        </w:rPr>
        <w:t>Probable Case</w:t>
      </w:r>
    </w:p>
    <w:p w14:paraId="38F93CC9" w14:textId="77777777"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A probable case requires clinical evidence AND epidemiological evidence.</w:t>
      </w:r>
    </w:p>
    <w:p w14:paraId="4C9DAF94" w14:textId="77777777" w:rsidR="006845F1" w:rsidRPr="006845F1" w:rsidRDefault="006845F1" w:rsidP="006845F1">
      <w:pPr>
        <w:shd w:val="clear" w:color="auto" w:fill="FFFFFF"/>
        <w:spacing w:after="120"/>
        <w:outlineLvl w:val="4"/>
        <w:rPr>
          <w:rFonts w:ascii="Open Sans" w:hAnsi="Open Sans" w:cs="Open Sans"/>
          <w:sz w:val="20"/>
          <w:szCs w:val="20"/>
          <w:lang w:eastAsia="en-AU"/>
        </w:rPr>
      </w:pPr>
      <w:r w:rsidRPr="006845F1">
        <w:rPr>
          <w:rFonts w:ascii="Open Sans" w:hAnsi="Open Sans" w:cs="Open Sans"/>
          <w:sz w:val="20"/>
          <w:szCs w:val="20"/>
          <w:lang w:eastAsia="en-AU"/>
        </w:rPr>
        <w:t>Clinical evidence</w:t>
      </w:r>
    </w:p>
    <w:p w14:paraId="5865A252" w14:textId="5BDD8FA2"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Microcephaly</w:t>
      </w:r>
      <w:bookmarkStart w:id="1" w:name="_ftnref2"/>
      <w:r w:rsidRPr="006845F1">
        <w:rPr>
          <w:rFonts w:ascii="Helvetica" w:hAnsi="Helvetica" w:cs="Helvetica"/>
          <w:sz w:val="15"/>
          <w:szCs w:val="15"/>
          <w:vertAlign w:val="superscript"/>
          <w:lang w:eastAsia="en-AU"/>
        </w:rPr>
        <w:t>2 </w:t>
      </w:r>
      <w:bookmarkEnd w:id="1"/>
      <w:r w:rsidRPr="006845F1">
        <w:rPr>
          <w:rFonts w:ascii="Helvetica" w:hAnsi="Helvetica" w:cs="Helvetica"/>
          <w:sz w:val="15"/>
          <w:szCs w:val="15"/>
          <w:vertAlign w:val="superscript"/>
          <w:lang w:eastAsia="en-AU"/>
        </w:rPr>
        <w:t>,</w:t>
      </w:r>
      <w:bookmarkStart w:id="2" w:name="_ftnref3"/>
      <w:r w:rsidRPr="006845F1">
        <w:rPr>
          <w:rFonts w:ascii="Helvetica" w:hAnsi="Helvetica" w:cs="Helvetica"/>
          <w:sz w:val="15"/>
          <w:szCs w:val="15"/>
          <w:vertAlign w:val="superscript"/>
          <w:lang w:eastAsia="en-AU"/>
        </w:rPr>
        <w:t>3 </w:t>
      </w:r>
      <w:bookmarkEnd w:id="2"/>
      <w:r w:rsidRPr="006845F1">
        <w:rPr>
          <w:rFonts w:ascii="Helvetica" w:hAnsi="Helvetica" w:cs="Helvetica"/>
          <w:sz w:val="15"/>
          <w:szCs w:val="15"/>
          <w:vertAlign w:val="superscript"/>
          <w:lang w:eastAsia="en-AU"/>
        </w:rPr>
        <w:t>,</w:t>
      </w:r>
      <w:bookmarkStart w:id="3" w:name="_ftnref4"/>
      <w:r w:rsidRPr="006845F1">
        <w:rPr>
          <w:rFonts w:ascii="Helvetica" w:hAnsi="Helvetica" w:cs="Helvetica"/>
          <w:sz w:val="15"/>
          <w:szCs w:val="15"/>
          <w:vertAlign w:val="superscript"/>
          <w:lang w:eastAsia="en-AU"/>
        </w:rPr>
        <w:t>4 </w:t>
      </w:r>
      <w:bookmarkEnd w:id="3"/>
      <w:r w:rsidRPr="006845F1">
        <w:rPr>
          <w:rFonts w:ascii="Helvetica" w:hAnsi="Helvetica" w:cs="Helvetica"/>
          <w:sz w:val="15"/>
          <w:szCs w:val="15"/>
          <w:vertAlign w:val="superscript"/>
          <w:lang w:eastAsia="en-AU"/>
        </w:rPr>
        <w:t>,</w:t>
      </w:r>
      <w:bookmarkStart w:id="4" w:name="_ftnref5"/>
      <w:r w:rsidRPr="006845F1">
        <w:rPr>
          <w:rFonts w:ascii="Helvetica" w:hAnsi="Helvetica" w:cs="Helvetica"/>
          <w:sz w:val="15"/>
          <w:szCs w:val="15"/>
          <w:vertAlign w:val="superscript"/>
          <w:lang w:eastAsia="en-AU"/>
        </w:rPr>
        <w:t>5 </w:t>
      </w:r>
      <w:bookmarkEnd w:id="4"/>
      <w:r w:rsidRPr="006845F1">
        <w:rPr>
          <w:rFonts w:ascii="Helvetica" w:hAnsi="Helvetica" w:cs="Helvetica"/>
          <w:sz w:val="15"/>
          <w:szCs w:val="15"/>
          <w:vertAlign w:val="superscript"/>
          <w:lang w:eastAsia="en-AU"/>
        </w:rPr>
        <w:t>,</w:t>
      </w:r>
      <w:bookmarkStart w:id="5" w:name="_ftnref6"/>
      <w:proofErr w:type="gramStart"/>
      <w:r w:rsidRPr="006845F1">
        <w:rPr>
          <w:rFonts w:ascii="Helvetica" w:hAnsi="Helvetica" w:cs="Helvetica"/>
          <w:sz w:val="15"/>
          <w:szCs w:val="15"/>
          <w:vertAlign w:val="superscript"/>
          <w:lang w:eastAsia="en-AU"/>
        </w:rPr>
        <w:t>6</w:t>
      </w:r>
      <w:proofErr w:type="gramEnd"/>
      <w:r w:rsidRPr="006845F1">
        <w:rPr>
          <w:rFonts w:ascii="Helvetica" w:hAnsi="Helvetica" w:cs="Helvetica"/>
          <w:sz w:val="15"/>
          <w:szCs w:val="15"/>
          <w:vertAlign w:val="superscript"/>
          <w:lang w:eastAsia="en-AU"/>
        </w:rPr>
        <w:t> </w:t>
      </w:r>
      <w:bookmarkEnd w:id="5"/>
      <w:r w:rsidRPr="006845F1">
        <w:rPr>
          <w:rFonts w:ascii="Helvetica" w:hAnsi="Helvetica" w:cs="Helvetica"/>
          <w:sz w:val="20"/>
          <w:szCs w:val="20"/>
          <w:lang w:eastAsia="en-AU"/>
        </w:rPr>
        <w:t>or other CNS abnormalities</w:t>
      </w:r>
      <w:bookmarkStart w:id="6" w:name="_ftnref7"/>
      <w:r w:rsidRPr="006845F1">
        <w:rPr>
          <w:rFonts w:ascii="Helvetica" w:hAnsi="Helvetica" w:cs="Helvetica"/>
          <w:sz w:val="15"/>
          <w:szCs w:val="15"/>
          <w:vertAlign w:val="superscript"/>
          <w:lang w:eastAsia="en-AU"/>
        </w:rPr>
        <w:t>7 </w:t>
      </w:r>
      <w:bookmarkEnd w:id="6"/>
      <w:r w:rsidRPr="006845F1">
        <w:rPr>
          <w:rFonts w:ascii="Helvetica" w:hAnsi="Helvetica" w:cs="Helvetica"/>
          <w:sz w:val="20"/>
          <w:szCs w:val="20"/>
          <w:lang w:eastAsia="en-AU"/>
        </w:rPr>
        <w:t xml:space="preserve">in the infant or </w:t>
      </w:r>
      <w:proofErr w:type="spellStart"/>
      <w:r w:rsidRPr="006845F1">
        <w:rPr>
          <w:rFonts w:ascii="Helvetica" w:hAnsi="Helvetica" w:cs="Helvetica"/>
          <w:sz w:val="20"/>
          <w:szCs w:val="20"/>
          <w:lang w:eastAsia="en-AU"/>
        </w:rPr>
        <w:t>fetus</w:t>
      </w:r>
      <w:proofErr w:type="spellEnd"/>
      <w:r w:rsidRPr="006845F1">
        <w:rPr>
          <w:rFonts w:ascii="Helvetica" w:hAnsi="Helvetica" w:cs="Helvetica"/>
          <w:sz w:val="20"/>
          <w:szCs w:val="20"/>
          <w:lang w:eastAsia="en-AU"/>
        </w:rPr>
        <w:t xml:space="preserve"> (in the absence of any other known cause).</w:t>
      </w:r>
    </w:p>
    <w:p w14:paraId="4E1110A9" w14:textId="77777777" w:rsidR="006845F1" w:rsidRPr="006845F1" w:rsidRDefault="006845F1" w:rsidP="006845F1">
      <w:pPr>
        <w:shd w:val="clear" w:color="auto" w:fill="FFFFFF"/>
        <w:spacing w:after="120"/>
        <w:outlineLvl w:val="4"/>
        <w:rPr>
          <w:rFonts w:ascii="Open Sans" w:hAnsi="Open Sans" w:cs="Open Sans"/>
          <w:sz w:val="20"/>
          <w:szCs w:val="20"/>
          <w:lang w:eastAsia="en-AU"/>
        </w:rPr>
      </w:pPr>
      <w:r w:rsidRPr="006845F1">
        <w:rPr>
          <w:rFonts w:ascii="Open Sans" w:hAnsi="Open Sans" w:cs="Open Sans"/>
          <w:sz w:val="20"/>
          <w:szCs w:val="20"/>
          <w:lang w:eastAsia="en-AU"/>
        </w:rPr>
        <w:t>Epidemiological evidence</w:t>
      </w:r>
    </w:p>
    <w:p w14:paraId="7FB8FA4F" w14:textId="77777777" w:rsidR="006845F1" w:rsidRPr="006845F1" w:rsidRDefault="006845F1" w:rsidP="006845F1">
      <w:pPr>
        <w:shd w:val="clear" w:color="auto" w:fill="FFFFFF"/>
        <w:spacing w:after="240" w:line="300" w:lineRule="atLeast"/>
        <w:rPr>
          <w:rFonts w:ascii="Helvetica" w:hAnsi="Helvetica" w:cs="Helvetica"/>
          <w:sz w:val="20"/>
          <w:szCs w:val="20"/>
          <w:lang w:eastAsia="en-AU"/>
        </w:rPr>
      </w:pPr>
      <w:r w:rsidRPr="006845F1">
        <w:rPr>
          <w:rFonts w:ascii="Helvetica" w:hAnsi="Helvetica" w:cs="Helvetica"/>
          <w:sz w:val="20"/>
          <w:szCs w:val="20"/>
          <w:lang w:eastAsia="en-AU"/>
        </w:rPr>
        <w:t>Confirmed or probable ZIKV infection in the mother during pregnancy.</w:t>
      </w:r>
    </w:p>
    <w:p w14:paraId="76679D82" w14:textId="0B677E9C" w:rsidR="006845F1" w:rsidRPr="006845F1" w:rsidRDefault="00EF5D76" w:rsidP="006845F1">
      <w:pPr>
        <w:rPr>
          <w:rFonts w:ascii="Times New Roman" w:hAnsi="Times New Roman"/>
          <w:sz w:val="24"/>
          <w:lang w:eastAsia="en-AU"/>
        </w:rPr>
      </w:pPr>
      <w:hyperlink r:id="rId12" w:anchor="top" w:history="1"/>
    </w:p>
    <w:p w14:paraId="7460DFBB" w14:textId="77777777" w:rsidR="006845F1" w:rsidRDefault="006845F1">
      <w:pPr>
        <w:rPr>
          <w:rFonts w:ascii="Times New Roman" w:hAnsi="Times New Roman"/>
          <w:sz w:val="24"/>
          <w:lang w:eastAsia="en-AU"/>
        </w:rPr>
      </w:pPr>
      <w:r>
        <w:rPr>
          <w:rFonts w:ascii="Times New Roman" w:hAnsi="Times New Roman"/>
          <w:sz w:val="24"/>
          <w:lang w:eastAsia="en-AU"/>
        </w:rPr>
        <w:br w:type="page"/>
      </w:r>
    </w:p>
    <w:p w14:paraId="00128B54" w14:textId="6421810E" w:rsidR="006845F1" w:rsidRPr="006845F1" w:rsidRDefault="00EF5D76" w:rsidP="006845F1">
      <w:pPr>
        <w:spacing w:before="450" w:after="450"/>
        <w:rPr>
          <w:rFonts w:ascii="Times New Roman" w:hAnsi="Times New Roman"/>
          <w:sz w:val="24"/>
          <w:lang w:eastAsia="en-AU"/>
        </w:rPr>
      </w:pPr>
      <w:r>
        <w:rPr>
          <w:rFonts w:ascii="Times New Roman" w:hAnsi="Times New Roman"/>
          <w:sz w:val="24"/>
          <w:lang w:eastAsia="en-AU"/>
        </w:rPr>
        <w:lastRenderedPageBreak/>
        <w:pict w14:anchorId="0FDF5121">
          <v:rect id="_x0000_i1025" style="width:0;height:1.5pt" o:hralign="center" o:hrstd="t" o:hrnoshade="t" o:hr="t" fillcolor="#222" stroked="f"/>
        </w:pict>
      </w:r>
    </w:p>
    <w:p w14:paraId="6277B5CF" w14:textId="77777777" w:rsidR="006845F1" w:rsidRPr="006845F1" w:rsidRDefault="006845F1" w:rsidP="006845F1">
      <w:pPr>
        <w:shd w:val="clear" w:color="auto" w:fill="FFFFFF"/>
        <w:spacing w:before="240" w:after="120"/>
        <w:outlineLvl w:val="1"/>
        <w:rPr>
          <w:rFonts w:ascii="Open Sans" w:hAnsi="Open Sans" w:cs="Open Sans"/>
          <w:color w:val="000000"/>
          <w:sz w:val="36"/>
          <w:szCs w:val="36"/>
          <w:lang w:eastAsia="en-AU"/>
        </w:rPr>
      </w:pPr>
      <w:r w:rsidRPr="006845F1">
        <w:rPr>
          <w:rFonts w:ascii="Open Sans" w:hAnsi="Open Sans" w:cs="Open Sans"/>
          <w:color w:val="000000"/>
          <w:sz w:val="36"/>
          <w:szCs w:val="36"/>
          <w:lang w:eastAsia="en-AU"/>
        </w:rPr>
        <w:t>Footnotes</w:t>
      </w:r>
    </w:p>
    <w:p w14:paraId="2586AB0E" w14:textId="77777777" w:rsidR="006845F1" w:rsidRPr="006845F1" w:rsidRDefault="006845F1" w:rsidP="006845F1">
      <w:pPr>
        <w:numPr>
          <w:ilvl w:val="0"/>
          <w:numId w:val="38"/>
        </w:numPr>
        <w:shd w:val="clear" w:color="auto" w:fill="FFFFFF"/>
        <w:spacing w:after="90" w:line="300" w:lineRule="atLeast"/>
        <w:rPr>
          <w:rFonts w:ascii="Helvetica" w:hAnsi="Helvetica" w:cs="Helvetica"/>
          <w:color w:val="222222"/>
          <w:sz w:val="20"/>
          <w:szCs w:val="20"/>
          <w:lang w:eastAsia="en-AU"/>
        </w:rPr>
      </w:pPr>
      <w:bookmarkStart w:id="7" w:name="_ftn1"/>
      <w:bookmarkEnd w:id="7"/>
      <w:r w:rsidRPr="006845F1">
        <w:rPr>
          <w:rFonts w:ascii="Helvetica" w:hAnsi="Helvetica" w:cs="Helvetica"/>
          <w:color w:val="222222"/>
          <w:sz w:val="20"/>
          <w:szCs w:val="20"/>
          <w:lang w:eastAsia="en-AU"/>
        </w:rPr>
        <w:t>ZIKV receptive countries and areas are outlined on the Global Consensus Map at  </w:t>
      </w:r>
      <w:hyperlink r:id="rId13" w:history="1">
        <w:r w:rsidRPr="006845F1">
          <w:rPr>
            <w:rFonts w:ascii="Helvetica" w:hAnsi="Helvetica" w:cs="Helvetica"/>
            <w:color w:val="1157AD"/>
            <w:sz w:val="20"/>
            <w:szCs w:val="20"/>
            <w:u w:val="single"/>
            <w:lang w:eastAsia="en-AU"/>
          </w:rPr>
          <w:t>http://www.healthmap.org/dengue/en/</w:t>
        </w:r>
      </w:hyperlink>
      <w:r w:rsidRPr="006845F1">
        <w:rPr>
          <w:rFonts w:ascii="Helvetica" w:hAnsi="Helvetica" w:cs="Helvetica"/>
          <w:color w:val="222222"/>
          <w:sz w:val="20"/>
          <w:szCs w:val="20"/>
          <w:lang w:eastAsia="en-AU"/>
        </w:rPr>
        <w:t>. Areas are considered receptive to ZIKV where the likelihood of local acquisition is placed on the map as ‘uncertain’ or more.</w:t>
      </w:r>
    </w:p>
    <w:p w14:paraId="3A5D0BEE" w14:textId="77777777" w:rsidR="006845F1" w:rsidRPr="006845F1" w:rsidRDefault="006845F1" w:rsidP="006845F1">
      <w:pPr>
        <w:numPr>
          <w:ilvl w:val="0"/>
          <w:numId w:val="38"/>
        </w:numPr>
        <w:shd w:val="clear" w:color="auto" w:fill="FFFFFF"/>
        <w:spacing w:after="90" w:line="300" w:lineRule="atLeast"/>
        <w:rPr>
          <w:rFonts w:ascii="Helvetica" w:hAnsi="Helvetica" w:cs="Helvetica"/>
          <w:color w:val="222222"/>
          <w:sz w:val="20"/>
          <w:szCs w:val="20"/>
          <w:lang w:eastAsia="en-AU"/>
        </w:rPr>
      </w:pPr>
      <w:bookmarkStart w:id="8" w:name="_ftn2"/>
      <w:bookmarkEnd w:id="8"/>
      <w:r w:rsidRPr="006845F1">
        <w:rPr>
          <w:rFonts w:ascii="Helvetica" w:hAnsi="Helvetica" w:cs="Helvetica"/>
          <w:color w:val="222222"/>
          <w:sz w:val="20"/>
          <w:szCs w:val="20"/>
          <w:lang w:eastAsia="en-AU"/>
        </w:rPr>
        <w:t>Head circumference &lt;-2SD below mean for gestation.</w:t>
      </w:r>
    </w:p>
    <w:p w14:paraId="1E9F8D1E" w14:textId="77777777" w:rsidR="006845F1" w:rsidRPr="006845F1" w:rsidRDefault="006845F1" w:rsidP="006845F1">
      <w:pPr>
        <w:numPr>
          <w:ilvl w:val="0"/>
          <w:numId w:val="38"/>
        </w:numPr>
        <w:shd w:val="clear" w:color="auto" w:fill="FFFFFF"/>
        <w:spacing w:after="90" w:line="300" w:lineRule="atLeast"/>
        <w:rPr>
          <w:rFonts w:ascii="Helvetica" w:hAnsi="Helvetica" w:cs="Helvetica"/>
          <w:color w:val="222222"/>
          <w:sz w:val="20"/>
          <w:szCs w:val="20"/>
          <w:lang w:eastAsia="en-AU"/>
        </w:rPr>
      </w:pPr>
      <w:bookmarkStart w:id="9" w:name="_ftn3"/>
      <w:bookmarkEnd w:id="9"/>
      <w:r w:rsidRPr="006845F1">
        <w:rPr>
          <w:rFonts w:ascii="Helvetica" w:hAnsi="Helvetica" w:cs="Helvetica"/>
          <w:color w:val="222222"/>
          <w:sz w:val="20"/>
          <w:szCs w:val="20"/>
          <w:lang w:eastAsia="en-AU"/>
        </w:rPr>
        <w:t>WHO Assessment of infants with microcephaly in the context of ZIKV. Interim guidance. 4 March 2016, WHO/ZIKV/MOC/16.3 Rev.1.</w:t>
      </w:r>
    </w:p>
    <w:p w14:paraId="69F581B3" w14:textId="77777777" w:rsidR="006845F1" w:rsidRPr="006845F1" w:rsidRDefault="006845F1" w:rsidP="006845F1">
      <w:pPr>
        <w:numPr>
          <w:ilvl w:val="0"/>
          <w:numId w:val="38"/>
        </w:numPr>
        <w:shd w:val="clear" w:color="auto" w:fill="FFFFFF"/>
        <w:spacing w:after="90" w:line="300" w:lineRule="atLeast"/>
        <w:rPr>
          <w:rFonts w:ascii="Helvetica" w:hAnsi="Helvetica" w:cs="Helvetica"/>
          <w:color w:val="222222"/>
          <w:sz w:val="20"/>
          <w:szCs w:val="20"/>
          <w:lang w:eastAsia="en-AU"/>
        </w:rPr>
      </w:pPr>
      <w:bookmarkStart w:id="10" w:name="_ftn4"/>
      <w:bookmarkEnd w:id="10"/>
      <w:r w:rsidRPr="006845F1">
        <w:rPr>
          <w:rFonts w:ascii="Helvetica" w:hAnsi="Helvetica" w:cs="Helvetica"/>
          <w:color w:val="222222"/>
          <w:sz w:val="20"/>
          <w:szCs w:val="20"/>
          <w:lang w:eastAsia="en-AU"/>
        </w:rPr>
        <w:t>WHO Growth standards for term neonates (http://www.who.int/childgrowth/standards/en/)</w:t>
      </w:r>
    </w:p>
    <w:p w14:paraId="0A7DAD03" w14:textId="77777777" w:rsidR="006845F1" w:rsidRPr="006845F1" w:rsidRDefault="006845F1" w:rsidP="006845F1">
      <w:pPr>
        <w:numPr>
          <w:ilvl w:val="0"/>
          <w:numId w:val="38"/>
        </w:numPr>
        <w:shd w:val="clear" w:color="auto" w:fill="FFFFFF"/>
        <w:spacing w:after="90" w:line="300" w:lineRule="atLeast"/>
        <w:rPr>
          <w:rFonts w:ascii="Helvetica" w:hAnsi="Helvetica" w:cs="Helvetica"/>
          <w:color w:val="222222"/>
          <w:sz w:val="20"/>
          <w:szCs w:val="20"/>
          <w:lang w:eastAsia="en-AU"/>
        </w:rPr>
      </w:pPr>
      <w:bookmarkStart w:id="11" w:name="_ftn5"/>
      <w:bookmarkEnd w:id="11"/>
      <w:r w:rsidRPr="006845F1">
        <w:rPr>
          <w:rFonts w:ascii="Helvetica" w:hAnsi="Helvetica" w:cs="Helvetica"/>
          <w:color w:val="222222"/>
          <w:sz w:val="20"/>
          <w:szCs w:val="20"/>
          <w:lang w:eastAsia="en-AU"/>
        </w:rPr>
        <w:t>WHO Pregnancy management in the context of ZIKV. Interim guidance. 2 March 2016. WHO/ZIKV/MOC/16.2</w:t>
      </w:r>
    </w:p>
    <w:p w14:paraId="1262FEAB" w14:textId="77777777" w:rsidR="006845F1" w:rsidRPr="006845F1" w:rsidRDefault="006845F1" w:rsidP="006845F1">
      <w:pPr>
        <w:numPr>
          <w:ilvl w:val="0"/>
          <w:numId w:val="38"/>
        </w:numPr>
        <w:shd w:val="clear" w:color="auto" w:fill="FFFFFF"/>
        <w:spacing w:after="90" w:line="300" w:lineRule="atLeast"/>
        <w:rPr>
          <w:rFonts w:ascii="Helvetica" w:hAnsi="Helvetica" w:cs="Helvetica"/>
          <w:color w:val="222222"/>
          <w:sz w:val="20"/>
          <w:szCs w:val="20"/>
          <w:lang w:eastAsia="en-AU"/>
        </w:rPr>
      </w:pPr>
      <w:bookmarkStart w:id="12" w:name="_ftn6"/>
      <w:bookmarkEnd w:id="12"/>
      <w:r w:rsidRPr="006845F1">
        <w:rPr>
          <w:rFonts w:ascii="Helvetica" w:hAnsi="Helvetica" w:cs="Helvetica"/>
          <w:color w:val="222222"/>
          <w:sz w:val="20"/>
          <w:szCs w:val="20"/>
          <w:lang w:eastAsia="en-AU"/>
        </w:rPr>
        <w:t xml:space="preserve">Intergrowth standards for preterm neonates (Villar, José et al. (2014). International standards for newborn weight, length, and head circumference by gestational age and sex: </w:t>
      </w:r>
      <w:proofErr w:type="gramStart"/>
      <w:r w:rsidRPr="006845F1">
        <w:rPr>
          <w:rFonts w:ascii="Helvetica" w:hAnsi="Helvetica" w:cs="Helvetica"/>
          <w:color w:val="222222"/>
          <w:sz w:val="20"/>
          <w:szCs w:val="20"/>
          <w:lang w:eastAsia="en-AU"/>
        </w:rPr>
        <w:t>the</w:t>
      </w:r>
      <w:proofErr w:type="gramEnd"/>
      <w:r w:rsidRPr="006845F1">
        <w:rPr>
          <w:rFonts w:ascii="Helvetica" w:hAnsi="Helvetica" w:cs="Helvetica"/>
          <w:color w:val="222222"/>
          <w:sz w:val="20"/>
          <w:szCs w:val="20"/>
          <w:lang w:eastAsia="en-AU"/>
        </w:rPr>
        <w:t xml:space="preserve"> Newborn Cross-Sectional Study of the INTERGROWTH-21st Project. Lancet; (384). 9946: 857–868)</w:t>
      </w:r>
    </w:p>
    <w:p w14:paraId="7AD0B0E5" w14:textId="77777777" w:rsidR="006845F1" w:rsidRPr="006845F1" w:rsidRDefault="006845F1" w:rsidP="006845F1">
      <w:pPr>
        <w:numPr>
          <w:ilvl w:val="0"/>
          <w:numId w:val="38"/>
        </w:numPr>
        <w:shd w:val="clear" w:color="auto" w:fill="FFFFFF"/>
        <w:spacing w:after="90" w:line="300" w:lineRule="atLeast"/>
        <w:rPr>
          <w:rFonts w:ascii="Helvetica" w:hAnsi="Helvetica" w:cs="Helvetica"/>
          <w:color w:val="222222"/>
          <w:sz w:val="20"/>
          <w:szCs w:val="20"/>
          <w:lang w:eastAsia="en-AU"/>
        </w:rPr>
      </w:pPr>
      <w:bookmarkStart w:id="13" w:name="_ftn7"/>
      <w:bookmarkEnd w:id="13"/>
      <w:r w:rsidRPr="006845F1">
        <w:rPr>
          <w:rFonts w:ascii="Helvetica" w:hAnsi="Helvetica" w:cs="Helvetica"/>
          <w:color w:val="222222"/>
          <w:sz w:val="20"/>
          <w:szCs w:val="20"/>
          <w:lang w:eastAsia="en-AU"/>
        </w:rPr>
        <w:t xml:space="preserve">These include: ventriculomegaly, calcifications, abnormal sulcation and gyration, brain atrophy, callosal dysgenesis, </w:t>
      </w:r>
      <w:proofErr w:type="spellStart"/>
      <w:r w:rsidRPr="006845F1">
        <w:rPr>
          <w:rFonts w:ascii="Helvetica" w:hAnsi="Helvetica" w:cs="Helvetica"/>
          <w:color w:val="222222"/>
          <w:sz w:val="20"/>
          <w:szCs w:val="20"/>
          <w:lang w:eastAsia="en-AU"/>
        </w:rPr>
        <w:t>microophthalmia</w:t>
      </w:r>
      <w:proofErr w:type="spellEnd"/>
      <w:r w:rsidRPr="006845F1">
        <w:rPr>
          <w:rFonts w:ascii="Helvetica" w:hAnsi="Helvetica" w:cs="Helvetica"/>
          <w:color w:val="222222"/>
          <w:sz w:val="20"/>
          <w:szCs w:val="20"/>
          <w:lang w:eastAsia="en-AU"/>
        </w:rPr>
        <w:t>, eye calcifications.</w:t>
      </w:r>
    </w:p>
    <w:p w14:paraId="7AC5FA43" w14:textId="6FA7B533" w:rsidR="009E0B84" w:rsidRDefault="009E0B84" w:rsidP="006845F1">
      <w:pPr>
        <w:pStyle w:val="Paragraphtext"/>
      </w:pPr>
    </w:p>
    <w:sectPr w:rsidR="009E0B84" w:rsidSect="00022629">
      <w:footerReference w:type="default" r:id="rId14"/>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B1C7C" w14:textId="77777777" w:rsidR="006845F1" w:rsidRDefault="006845F1" w:rsidP="006B56BB">
      <w:r>
        <w:separator/>
      </w:r>
    </w:p>
    <w:p w14:paraId="2B70B004" w14:textId="77777777" w:rsidR="006845F1" w:rsidRDefault="006845F1"/>
  </w:endnote>
  <w:endnote w:type="continuationSeparator" w:id="0">
    <w:p w14:paraId="0B856546" w14:textId="77777777" w:rsidR="006845F1" w:rsidRDefault="006845F1" w:rsidP="006B56BB">
      <w:r>
        <w:continuationSeparator/>
      </w:r>
    </w:p>
    <w:p w14:paraId="178AF337" w14:textId="77777777" w:rsidR="006845F1" w:rsidRDefault="006845F1"/>
  </w:endnote>
  <w:endnote w:type="continuationNotice" w:id="1">
    <w:p w14:paraId="7049C0C5" w14:textId="77777777" w:rsidR="006845F1" w:rsidRDefault="00684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14:paraId="6ECEB80B" w14:textId="5B535169" w:rsidR="00CD407A" w:rsidRDefault="006845F1" w:rsidP="006845F1">
            <w:pPr>
              <w:pStyle w:val="Footer"/>
              <w:jc w:val="right"/>
            </w:pPr>
            <w:r w:rsidRPr="006845F1">
              <w:t>Flavivirus infection</w:t>
            </w:r>
            <w:r w:rsidR="00076AD6">
              <w:t xml:space="preserve"> – </w:t>
            </w:r>
            <w:r w:rsidR="00800DEB">
              <w:t>Surveillance</w:t>
            </w:r>
            <w:r w:rsidR="00076AD6">
              <w:t xml:space="preserve">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CBBEE" w14:textId="77777777" w:rsidR="006845F1" w:rsidRDefault="006845F1" w:rsidP="006B56BB">
      <w:r>
        <w:separator/>
      </w:r>
    </w:p>
    <w:p w14:paraId="7B4292C4" w14:textId="77777777" w:rsidR="006845F1" w:rsidRDefault="006845F1"/>
  </w:footnote>
  <w:footnote w:type="continuationSeparator" w:id="0">
    <w:p w14:paraId="1F1C875B" w14:textId="77777777" w:rsidR="006845F1" w:rsidRDefault="006845F1" w:rsidP="006B56BB">
      <w:r>
        <w:continuationSeparator/>
      </w:r>
    </w:p>
    <w:p w14:paraId="24818307" w14:textId="77777777" w:rsidR="006845F1" w:rsidRDefault="006845F1"/>
  </w:footnote>
  <w:footnote w:type="continuationNotice" w:id="1">
    <w:p w14:paraId="03962B92" w14:textId="77777777" w:rsidR="006845F1" w:rsidRDefault="006845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A22127"/>
    <w:multiLevelType w:val="multilevel"/>
    <w:tmpl w:val="1D8E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5D57DA4"/>
    <w:multiLevelType w:val="multilevel"/>
    <w:tmpl w:val="893C5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EA5E73"/>
    <w:multiLevelType w:val="multilevel"/>
    <w:tmpl w:val="763A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F54BB7"/>
    <w:multiLevelType w:val="multilevel"/>
    <w:tmpl w:val="040EE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9B286B"/>
    <w:multiLevelType w:val="multilevel"/>
    <w:tmpl w:val="BB32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BD62A1"/>
    <w:multiLevelType w:val="multilevel"/>
    <w:tmpl w:val="275C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C03FE4"/>
    <w:multiLevelType w:val="multilevel"/>
    <w:tmpl w:val="A38A7E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8F5462"/>
    <w:multiLevelType w:val="multilevel"/>
    <w:tmpl w:val="15D0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4EC6419"/>
    <w:multiLevelType w:val="multilevel"/>
    <w:tmpl w:val="C228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A56C4"/>
    <w:multiLevelType w:val="multilevel"/>
    <w:tmpl w:val="B7BAC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5041E2"/>
    <w:multiLevelType w:val="multilevel"/>
    <w:tmpl w:val="7880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23512"/>
    <w:multiLevelType w:val="multilevel"/>
    <w:tmpl w:val="52A4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5D2295"/>
    <w:multiLevelType w:val="multilevel"/>
    <w:tmpl w:val="CC92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4965A7"/>
    <w:multiLevelType w:val="multilevel"/>
    <w:tmpl w:val="ED289D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787373"/>
    <w:multiLevelType w:val="multilevel"/>
    <w:tmpl w:val="93606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FC1B50"/>
    <w:multiLevelType w:val="multilevel"/>
    <w:tmpl w:val="FBC0A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13386"/>
    <w:multiLevelType w:val="multilevel"/>
    <w:tmpl w:val="A636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D47FD5"/>
    <w:multiLevelType w:val="multilevel"/>
    <w:tmpl w:val="BBC032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7FD312E3"/>
    <w:multiLevelType w:val="multilevel"/>
    <w:tmpl w:val="6BA4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6"/>
  </w:num>
  <w:num w:numId="3">
    <w:abstractNumId w:val="31"/>
  </w:num>
  <w:num w:numId="4">
    <w:abstractNumId w:val="9"/>
  </w:num>
  <w:num w:numId="5">
    <w:abstractNumId w:val="9"/>
    <w:lvlOverride w:ilvl="0">
      <w:startOverride w:val="1"/>
    </w:lvlOverride>
  </w:num>
  <w:num w:numId="6">
    <w:abstractNumId w:val="11"/>
  </w:num>
  <w:num w:numId="7">
    <w:abstractNumId w:val="21"/>
  </w:num>
  <w:num w:numId="8">
    <w:abstractNumId w:val="30"/>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35"/>
  </w:num>
  <w:num w:numId="17">
    <w:abstractNumId w:val="12"/>
  </w:num>
  <w:num w:numId="18">
    <w:abstractNumId w:val="14"/>
  </w:num>
  <w:num w:numId="19">
    <w:abstractNumId w:val="20"/>
  </w:num>
  <w:num w:numId="20">
    <w:abstractNumId w:val="10"/>
  </w:num>
  <w:num w:numId="21">
    <w:abstractNumId w:val="32"/>
  </w:num>
  <w:num w:numId="22">
    <w:abstractNumId w:val="29"/>
  </w:num>
  <w:num w:numId="23">
    <w:abstractNumId w:val="28"/>
  </w:num>
  <w:num w:numId="24">
    <w:abstractNumId w:val="34"/>
  </w:num>
  <w:num w:numId="25">
    <w:abstractNumId w:val="23"/>
  </w:num>
  <w:num w:numId="26">
    <w:abstractNumId w:val="15"/>
  </w:num>
  <w:num w:numId="27">
    <w:abstractNumId w:val="18"/>
  </w:num>
  <w:num w:numId="28">
    <w:abstractNumId w:val="16"/>
  </w:num>
  <w:num w:numId="29">
    <w:abstractNumId w:val="22"/>
  </w:num>
  <w:num w:numId="30">
    <w:abstractNumId w:val="25"/>
  </w:num>
  <w:num w:numId="31">
    <w:abstractNumId w:val="33"/>
  </w:num>
  <w:num w:numId="32">
    <w:abstractNumId w:val="24"/>
  </w:num>
  <w:num w:numId="33">
    <w:abstractNumId w:val="13"/>
  </w:num>
  <w:num w:numId="34">
    <w:abstractNumId w:val="8"/>
  </w:num>
  <w:num w:numId="35">
    <w:abstractNumId w:val="36"/>
  </w:num>
  <w:num w:numId="36">
    <w:abstractNumId w:val="19"/>
  </w:num>
  <w:num w:numId="37">
    <w:abstractNumId w:val="17"/>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F1"/>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16E8"/>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845F1"/>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4D09"/>
    <w:rsid w:val="007F2220"/>
    <w:rsid w:val="007F4B3E"/>
    <w:rsid w:val="00800DEB"/>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42AD3"/>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4926"/>
    <w:rsid w:val="00B16A51"/>
    <w:rsid w:val="00B32222"/>
    <w:rsid w:val="00B3618D"/>
    <w:rsid w:val="00B36233"/>
    <w:rsid w:val="00B42851"/>
    <w:rsid w:val="00B45AC7"/>
    <w:rsid w:val="00B5372F"/>
    <w:rsid w:val="00B55C3A"/>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E0A7F"/>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D361A"/>
    <w:rsid w:val="00EE3E8A"/>
    <w:rsid w:val="00EF58B8"/>
    <w:rsid w:val="00EF5D76"/>
    <w:rsid w:val="00EF6EC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0A9194"/>
  <w15:docId w15:val="{83EF8A8F-EBA6-4EDC-9663-378A258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link w:val="Heading5Char"/>
    <w:uiPriority w:val="9"/>
    <w:qFormat/>
    <w:rsid w:val="00A705AF"/>
    <w:pPr>
      <w:keepNext/>
      <w:spacing w:before="240" w:after="60"/>
      <w:outlineLvl w:val="4"/>
    </w:pPr>
    <w:rPr>
      <w:b/>
      <w:bCs/>
      <w:iCs/>
      <w:szCs w:val="26"/>
    </w:rPr>
  </w:style>
  <w:style w:type="paragraph" w:styleId="Heading6">
    <w:name w:val="heading 6"/>
    <w:basedOn w:val="Normal"/>
    <w:next w:val="Normal"/>
    <w:link w:val="Heading6Char"/>
    <w:uiPriority w:val="9"/>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3100AE"/>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2Char">
    <w:name w:val="Heading 2 Char"/>
    <w:basedOn w:val="DefaultParagraphFont"/>
    <w:link w:val="Heading2"/>
    <w:uiPriority w:val="9"/>
    <w:rsid w:val="006845F1"/>
    <w:rPr>
      <w:rFonts w:ascii="Arial" w:hAnsi="Arial" w:cs="Arial"/>
      <w:bCs/>
      <w:iCs/>
      <w:color w:val="358189"/>
      <w:sz w:val="32"/>
      <w:szCs w:val="28"/>
      <w:lang w:eastAsia="en-US"/>
    </w:rPr>
  </w:style>
  <w:style w:type="character" w:customStyle="1" w:styleId="Heading3Char">
    <w:name w:val="Heading 3 Char"/>
    <w:basedOn w:val="DefaultParagraphFont"/>
    <w:link w:val="Heading3"/>
    <w:uiPriority w:val="9"/>
    <w:rsid w:val="006845F1"/>
    <w:rPr>
      <w:rFonts w:ascii="Arial" w:hAnsi="Arial" w:cs="Arial"/>
      <w:bCs/>
      <w:color w:val="358189"/>
      <w:sz w:val="24"/>
      <w:szCs w:val="26"/>
      <w:lang w:eastAsia="en-US"/>
    </w:rPr>
  </w:style>
  <w:style w:type="character" w:customStyle="1" w:styleId="Heading4Char">
    <w:name w:val="Heading 4 Char"/>
    <w:basedOn w:val="DefaultParagraphFont"/>
    <w:link w:val="Heading4"/>
    <w:uiPriority w:val="9"/>
    <w:rsid w:val="006845F1"/>
    <w:rPr>
      <w:rFonts w:ascii="Arial" w:hAnsi="Arial"/>
      <w:b/>
      <w:bCs/>
      <w:i/>
      <w:color w:val="414141"/>
      <w:sz w:val="24"/>
      <w:szCs w:val="28"/>
      <w:lang w:eastAsia="en-US"/>
    </w:rPr>
  </w:style>
  <w:style w:type="character" w:customStyle="1" w:styleId="Heading5Char">
    <w:name w:val="Heading 5 Char"/>
    <w:basedOn w:val="DefaultParagraphFont"/>
    <w:link w:val="Heading5"/>
    <w:uiPriority w:val="9"/>
    <w:rsid w:val="006845F1"/>
    <w:rPr>
      <w:rFonts w:ascii="Arial" w:hAnsi="Arial"/>
      <w:b/>
      <w:bCs/>
      <w:iCs/>
      <w:sz w:val="22"/>
      <w:szCs w:val="26"/>
      <w:lang w:eastAsia="en-US"/>
    </w:rPr>
  </w:style>
  <w:style w:type="character" w:customStyle="1" w:styleId="Heading6Char">
    <w:name w:val="Heading 6 Char"/>
    <w:basedOn w:val="DefaultParagraphFont"/>
    <w:link w:val="Heading6"/>
    <w:uiPriority w:val="9"/>
    <w:rsid w:val="006845F1"/>
    <w:rPr>
      <w:rFonts w:ascii="Arial" w:hAnsi="Arial"/>
      <w:b/>
      <w:bCs/>
      <w:i/>
      <w:sz w:val="22"/>
      <w:szCs w:val="22"/>
      <w:lang w:eastAsia="en-US"/>
    </w:rPr>
  </w:style>
  <w:style w:type="paragraph" w:styleId="NormalWeb">
    <w:name w:val="Normal (Web)"/>
    <w:basedOn w:val="Normal"/>
    <w:uiPriority w:val="99"/>
    <w:semiHidden/>
    <w:unhideWhenUsed/>
    <w:rsid w:val="006845F1"/>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026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9467692">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map.org/dengue/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health.gov.au/internet/main/publishing.nsf/Content/cda-surveil-nndss-casedefs-cd_flavnec.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Surveillance%20Case%20Definitions\CDNA%20surveillance%20case%20definition%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6487dd-ec90-4f99-8970-1318e5f29791"/>
    <ds:schemaRef ds:uri="http://purl.org/dc/elements/1.1/"/>
    <ds:schemaRef ds:uri="dcf7b372-aaaa-46d8-9da6-ade9aab953df"/>
    <ds:schemaRef ds:uri="http://www.w3.org/XML/1998/namespace"/>
    <ds:schemaRef ds:uri="http://purl.org/dc/dcmitype/"/>
  </ds:schemaRefs>
</ds:datastoreItem>
</file>

<file path=customXml/itemProps2.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0CFA7CC3-3D78-4EEC-B2B2-E4871EF1A9E6}"/>
</file>

<file path=docProps/app.xml><?xml version="1.0" encoding="utf-8"?>
<Properties xmlns="http://schemas.openxmlformats.org/officeDocument/2006/extended-properties" xmlns:vt="http://schemas.openxmlformats.org/officeDocument/2006/docPropsVTypes">
  <Template>CDNA surveillance case definition template.dotx</Template>
  <TotalTime>8</TotalTime>
  <Pages>6</Pages>
  <Words>1149</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Surveillance case definition</vt:lpstr>
    </vt:vector>
  </TitlesOfParts>
  <Company>Dept Health And Ageing</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Flavivirus infection – Surveillance case definition</dc:title>
  <dc:creator>Communicable Diseases Network Australia</dc:creator>
  <cp:keywords>Communicable diseases</cp:keywords>
  <cp:lastModifiedBy>ARNOLD, Max</cp:lastModifiedBy>
  <cp:revision>4</cp:revision>
  <dcterms:created xsi:type="dcterms:W3CDTF">2022-06-07T02:01:00Z</dcterms:created>
  <dcterms:modified xsi:type="dcterms:W3CDTF">2022-06-09T05:31:00Z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ies>
</file>