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CC3A" w14:textId="779B1C9A" w:rsidR="00FF4E31" w:rsidRDefault="00FF4E31" w:rsidP="00FF4E31">
      <w:pPr>
        <w:pStyle w:val="Title"/>
      </w:pPr>
      <w:r w:rsidRPr="000F1DB4">
        <w:rPr>
          <w:rFonts w:cs="Arial"/>
          <w:noProof/>
        </w:rPr>
        <w:drawing>
          <wp:anchor distT="0" distB="0" distL="114300" distR="114300" simplePos="0" relativeHeight="251658240" behindDoc="0" locked="0" layoutInCell="1" allowOverlap="1" wp14:anchorId="14A53C54" wp14:editId="1E8F5E24">
            <wp:simplePos x="0" y="0"/>
            <wp:positionH relativeFrom="column">
              <wp:posOffset>4445</wp:posOffset>
            </wp:positionH>
            <wp:positionV relativeFrom="paragraph">
              <wp:posOffset>300990</wp:posOffset>
            </wp:positionV>
            <wp:extent cx="1171575" cy="1714500"/>
            <wp:effectExtent l="0" t="0" r="952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171575" cy="1714500"/>
                    </a:xfrm>
                    <a:prstGeom prst="rect">
                      <a:avLst/>
                    </a:prstGeom>
                  </pic:spPr>
                </pic:pic>
              </a:graphicData>
            </a:graphic>
            <wp14:sizeRelH relativeFrom="page">
              <wp14:pctWidth>0</wp14:pctWidth>
            </wp14:sizeRelH>
            <wp14:sizeRelV relativeFrom="page">
              <wp14:pctHeight>0</wp14:pctHeight>
            </wp14:sizeRelV>
          </wp:anchor>
        </w:drawing>
      </w:r>
      <w:r>
        <w:t>Human immunodeficiency virus (HIV; individual aged 18 months or older)</w:t>
      </w:r>
    </w:p>
    <w:p w14:paraId="16248A89" w14:textId="70D6AEC6" w:rsidR="00FF4E31" w:rsidRDefault="00FF4E31" w:rsidP="00FF4E31">
      <w:pPr>
        <w:pStyle w:val="Subtitle"/>
      </w:pPr>
      <w:r>
        <w:t>Australian national notifiable diseases case definition</w:t>
      </w:r>
    </w:p>
    <w:p w14:paraId="61E718F1" w14:textId="16744B28" w:rsidR="004516E8" w:rsidRPr="000F1DB4" w:rsidRDefault="00800DEB" w:rsidP="009E0B84">
      <w:pPr>
        <w:pStyle w:val="IntroPara"/>
        <w:rPr>
          <w:rFonts w:cs="Arial"/>
        </w:rPr>
      </w:pPr>
      <w:r w:rsidRPr="000F1DB4">
        <w:rPr>
          <w:rFonts w:cs="Arial"/>
        </w:rPr>
        <w:t xml:space="preserve">This document contains the surveillance case definition for </w:t>
      </w:r>
      <w:r w:rsidR="00B22C39" w:rsidRPr="000F1DB4">
        <w:rPr>
          <w:rFonts w:cs="Arial"/>
        </w:rPr>
        <w:t>human immunodeficiency virus (HIV</w:t>
      </w:r>
      <w:r w:rsidR="00984DF4" w:rsidRPr="000F1DB4">
        <w:rPr>
          <w:rFonts w:cs="Arial"/>
        </w:rPr>
        <w:t xml:space="preserve">; </w:t>
      </w:r>
      <w:r w:rsidR="0017428F" w:rsidRPr="000F1DB4">
        <w:rPr>
          <w:rFonts w:cs="Arial"/>
        </w:rPr>
        <w:t>individual aged 18 months or older</w:t>
      </w:r>
      <w:r w:rsidR="00B22C39" w:rsidRPr="000F1DB4">
        <w:rPr>
          <w:rFonts w:cs="Arial"/>
        </w:rPr>
        <w:t>)</w:t>
      </w:r>
      <w:r w:rsidRPr="000F1DB4">
        <w:rPr>
          <w:rFonts w:cs="Arial"/>
        </w:rPr>
        <w:t xml:space="preserve">, which is nationally notifiable within Australia. </w:t>
      </w:r>
      <w:r w:rsidR="004516E8" w:rsidRPr="000F1DB4">
        <w:rPr>
          <w:rFonts w:cs="Arial"/>
        </w:rPr>
        <w:t>State and territory health departments use this definition to decide whether to notify the Australian Government Department of Health</w:t>
      </w:r>
      <w:r w:rsidR="00B14926" w:rsidRPr="000F1DB4">
        <w:rPr>
          <w:rFonts w:cs="Arial"/>
        </w:rPr>
        <w:t xml:space="preserve"> and Aged Care</w:t>
      </w:r>
      <w:r w:rsidR="004516E8" w:rsidRPr="000F1DB4">
        <w:rPr>
          <w:rFonts w:cs="Arial"/>
        </w:rPr>
        <w:t xml:space="preserve"> of a case.</w:t>
      </w:r>
    </w:p>
    <w:tbl>
      <w:tblPr>
        <w:tblStyle w:val="DepartmentofHealthtable"/>
        <w:tblW w:w="5000" w:type="pct"/>
        <w:tblLook w:val="04A0" w:firstRow="1" w:lastRow="0" w:firstColumn="1" w:lastColumn="0" w:noHBand="0" w:noVBand="1"/>
        <w:tblDescription w:val="version control table for the cholera case definition"/>
      </w:tblPr>
      <w:tblGrid>
        <w:gridCol w:w="1023"/>
        <w:gridCol w:w="4877"/>
        <w:gridCol w:w="1243"/>
        <w:gridCol w:w="1927"/>
      </w:tblGrid>
      <w:tr w:rsidR="00844269" w:rsidRPr="000F1DB4" w14:paraId="7C32E9E8" w14:textId="77777777" w:rsidTr="00FF4E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79C1B812" w14:textId="77777777" w:rsidR="00844269" w:rsidRPr="00FF4E31" w:rsidRDefault="00844269" w:rsidP="00FF4E31">
            <w:pPr>
              <w:pStyle w:val="TableHeader"/>
            </w:pPr>
            <w:r w:rsidRPr="00FF4E31">
              <w:t>Version</w:t>
            </w:r>
          </w:p>
        </w:tc>
        <w:tc>
          <w:tcPr>
            <w:tcW w:w="0" w:type="auto"/>
            <w:tcBorders>
              <w:top w:val="single" w:sz="4" w:space="0" w:color="auto"/>
              <w:left w:val="nil"/>
              <w:bottom w:val="single" w:sz="4" w:space="0" w:color="auto"/>
              <w:right w:val="nil"/>
            </w:tcBorders>
            <w:hideMark/>
          </w:tcPr>
          <w:p w14:paraId="17BF729E" w14:textId="07C94779" w:rsidR="00844269" w:rsidRPr="00FF4E31" w:rsidRDefault="00844269" w:rsidP="00916C33">
            <w:pPr>
              <w:pStyle w:val="TableHeader"/>
              <w:tabs>
                <w:tab w:val="left" w:pos="3135"/>
              </w:tabs>
              <w:cnfStyle w:val="100000000000" w:firstRow="1" w:lastRow="0" w:firstColumn="0" w:lastColumn="0" w:oddVBand="0" w:evenVBand="0" w:oddHBand="0" w:evenHBand="0" w:firstRowFirstColumn="0" w:firstRowLastColumn="0" w:lastRowFirstColumn="0" w:lastRowLastColumn="0"/>
            </w:pPr>
            <w:r w:rsidRPr="00FF4E31">
              <w:t>Status</w:t>
            </w:r>
            <w:r w:rsidR="00916C33">
              <w:tab/>
            </w:r>
          </w:p>
        </w:tc>
        <w:tc>
          <w:tcPr>
            <w:tcW w:w="0" w:type="auto"/>
            <w:tcBorders>
              <w:top w:val="single" w:sz="4" w:space="0" w:color="auto"/>
              <w:left w:val="nil"/>
              <w:bottom w:val="single" w:sz="4" w:space="0" w:color="auto"/>
              <w:right w:val="nil"/>
            </w:tcBorders>
            <w:hideMark/>
          </w:tcPr>
          <w:p w14:paraId="269CD66A" w14:textId="77777777" w:rsidR="00844269" w:rsidRPr="00FF4E31" w:rsidRDefault="00844269" w:rsidP="00FF4E31">
            <w:pPr>
              <w:pStyle w:val="TableHeader"/>
              <w:cnfStyle w:val="100000000000" w:firstRow="1" w:lastRow="0" w:firstColumn="0" w:lastColumn="0" w:oddVBand="0" w:evenVBand="0" w:oddHBand="0" w:evenHBand="0" w:firstRowFirstColumn="0" w:firstRowLastColumn="0" w:lastRowFirstColumn="0" w:lastRowLastColumn="0"/>
            </w:pPr>
            <w:r w:rsidRPr="00FF4E31">
              <w:t>Last reviewed</w:t>
            </w:r>
          </w:p>
        </w:tc>
        <w:tc>
          <w:tcPr>
            <w:tcW w:w="0" w:type="auto"/>
            <w:tcBorders>
              <w:top w:val="single" w:sz="4" w:space="0" w:color="auto"/>
              <w:left w:val="nil"/>
              <w:bottom w:val="single" w:sz="4" w:space="0" w:color="auto"/>
              <w:right w:val="nil"/>
            </w:tcBorders>
            <w:hideMark/>
          </w:tcPr>
          <w:p w14:paraId="69DA7121" w14:textId="77777777" w:rsidR="00844269" w:rsidRPr="00FF4E31" w:rsidRDefault="00844269" w:rsidP="00FF4E31">
            <w:pPr>
              <w:pStyle w:val="TableHeader"/>
              <w:cnfStyle w:val="100000000000" w:firstRow="1" w:lastRow="0" w:firstColumn="0" w:lastColumn="0" w:oddVBand="0" w:evenVBand="0" w:oddHBand="0" w:evenHBand="0" w:firstRowFirstColumn="0" w:firstRowLastColumn="0" w:lastRowFirstColumn="0" w:lastRowLastColumn="0"/>
            </w:pPr>
            <w:r w:rsidRPr="00FF4E31">
              <w:t>Implementation date</w:t>
            </w:r>
          </w:p>
        </w:tc>
      </w:tr>
      <w:tr w:rsidR="0017428F" w:rsidRPr="000F1DB4" w14:paraId="5CABF0B6" w14:textId="77777777" w:rsidTr="008442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tcPr>
          <w:p w14:paraId="67D6557B" w14:textId="2321C925" w:rsidR="0017428F" w:rsidRPr="000F1DB4" w:rsidRDefault="0017428F">
            <w:pPr>
              <w:pStyle w:val="TableText"/>
              <w:rPr>
                <w:rFonts w:cs="Arial"/>
                <w:lang w:eastAsia="en-AU"/>
              </w:rPr>
            </w:pPr>
            <w:r w:rsidRPr="000F1DB4">
              <w:rPr>
                <w:rFonts w:cs="Arial"/>
                <w:lang w:eastAsia="en-AU"/>
              </w:rPr>
              <w:t>2.0</w:t>
            </w:r>
          </w:p>
        </w:tc>
        <w:tc>
          <w:tcPr>
            <w:tcW w:w="0" w:type="auto"/>
            <w:tcBorders>
              <w:top w:val="single" w:sz="4" w:space="0" w:color="auto"/>
              <w:left w:val="nil"/>
              <w:bottom w:val="single" w:sz="4" w:space="0" w:color="auto"/>
              <w:right w:val="nil"/>
            </w:tcBorders>
          </w:tcPr>
          <w:p w14:paraId="250D2FB6" w14:textId="3EE2585A" w:rsidR="0017428F" w:rsidRPr="000F1DB4" w:rsidRDefault="0017428F" w:rsidP="0017428F">
            <w:pPr>
              <w:pStyle w:val="TableText"/>
              <w:cnfStyle w:val="000000100000" w:firstRow="0" w:lastRow="0" w:firstColumn="0" w:lastColumn="0" w:oddVBand="0" w:evenVBand="0" w:oddHBand="1" w:evenHBand="0" w:firstRowFirstColumn="0" w:firstRowLastColumn="0" w:lastRowFirstColumn="0" w:lastRowLastColumn="0"/>
              <w:rPr>
                <w:rFonts w:cs="Arial"/>
                <w:lang w:eastAsia="en-AU"/>
              </w:rPr>
            </w:pPr>
            <w:r w:rsidRPr="000F1DB4">
              <w:rPr>
                <w:rFonts w:cs="Arial"/>
                <w:lang w:eastAsia="en-AU"/>
              </w:rPr>
              <w:t>Integration of HIV – newly acquired and HIV  unspecified into one case definition that covers both stages of infection.</w:t>
            </w:r>
          </w:p>
          <w:p w14:paraId="05EC240D" w14:textId="7CFDC845" w:rsidR="0017428F" w:rsidRPr="000F1DB4" w:rsidRDefault="0017428F" w:rsidP="0017428F">
            <w:pPr>
              <w:pStyle w:val="TableText"/>
              <w:cnfStyle w:val="000000100000" w:firstRow="0" w:lastRow="0" w:firstColumn="0" w:lastColumn="0" w:oddVBand="0" w:evenVBand="0" w:oddHBand="1" w:evenHBand="0" w:firstRowFirstColumn="0" w:firstRowLastColumn="0" w:lastRowFirstColumn="0" w:lastRowLastColumn="0"/>
              <w:rPr>
                <w:rFonts w:cs="Arial"/>
                <w:lang w:eastAsia="en-AU"/>
              </w:rPr>
            </w:pPr>
            <w:r w:rsidRPr="000F1DB4">
              <w:rPr>
                <w:rFonts w:cs="Arial"/>
                <w:lang w:eastAsia="en-AU"/>
              </w:rPr>
              <w:t>Laboratory definitive and laboratory suggestive evidence updated to reflect advances in laboratory testing.</w:t>
            </w:r>
          </w:p>
          <w:p w14:paraId="249A3178" w14:textId="1F2CA56C" w:rsidR="0017428F" w:rsidRPr="000F1DB4" w:rsidRDefault="0017428F" w:rsidP="0017428F">
            <w:pPr>
              <w:pStyle w:val="TableText"/>
              <w:cnfStyle w:val="000000100000" w:firstRow="0" w:lastRow="0" w:firstColumn="0" w:lastColumn="0" w:oddVBand="0" w:evenVBand="0" w:oddHBand="1" w:evenHBand="0" w:firstRowFirstColumn="0" w:firstRowLastColumn="0" w:lastRowFirstColumn="0" w:lastRowLastColumn="0"/>
              <w:rPr>
                <w:rFonts w:cs="Arial"/>
                <w:lang w:eastAsia="en-AU"/>
              </w:rPr>
            </w:pPr>
            <w:r w:rsidRPr="000F1DB4">
              <w:rPr>
                <w:rFonts w:cs="Arial"/>
                <w:lang w:eastAsia="en-AU"/>
              </w:rPr>
              <w:t>Detection of HIV nucleic acid (RNA or DNA) included as laboratory definitive evidence (in combination with other evidence) and as laboratory suggestive evidence.</w:t>
            </w:r>
          </w:p>
        </w:tc>
        <w:tc>
          <w:tcPr>
            <w:tcW w:w="0" w:type="auto"/>
            <w:tcBorders>
              <w:top w:val="single" w:sz="4" w:space="0" w:color="auto"/>
              <w:left w:val="nil"/>
              <w:bottom w:val="single" w:sz="4" w:space="0" w:color="auto"/>
              <w:right w:val="nil"/>
            </w:tcBorders>
          </w:tcPr>
          <w:p w14:paraId="4A687DA5" w14:textId="5D88E181" w:rsidR="0017428F" w:rsidRPr="000F1DB4" w:rsidRDefault="0017428F">
            <w:pPr>
              <w:pStyle w:val="TableText"/>
              <w:cnfStyle w:val="000000100000" w:firstRow="0" w:lastRow="0" w:firstColumn="0" w:lastColumn="0" w:oddVBand="0" w:evenVBand="0" w:oddHBand="1" w:evenHBand="0" w:firstRowFirstColumn="0" w:firstRowLastColumn="0" w:lastRowFirstColumn="0" w:lastRowLastColumn="0"/>
              <w:rPr>
                <w:rFonts w:cs="Arial"/>
                <w:lang w:eastAsia="en-AU"/>
              </w:rPr>
            </w:pPr>
            <w:r w:rsidRPr="000F1DB4">
              <w:rPr>
                <w:rFonts w:cs="Arial"/>
                <w:lang w:eastAsia="en-AU"/>
              </w:rPr>
              <w:t>2022</w:t>
            </w:r>
          </w:p>
        </w:tc>
        <w:tc>
          <w:tcPr>
            <w:tcW w:w="0" w:type="auto"/>
            <w:tcBorders>
              <w:top w:val="single" w:sz="4" w:space="0" w:color="auto"/>
              <w:left w:val="nil"/>
              <w:bottom w:val="single" w:sz="4" w:space="0" w:color="auto"/>
              <w:right w:val="nil"/>
            </w:tcBorders>
          </w:tcPr>
          <w:p w14:paraId="25A8ED7F" w14:textId="44F9EB24" w:rsidR="0017428F" w:rsidRPr="000F1DB4" w:rsidRDefault="0017428F">
            <w:pPr>
              <w:pStyle w:val="TableText"/>
              <w:cnfStyle w:val="000000100000" w:firstRow="0" w:lastRow="0" w:firstColumn="0" w:lastColumn="0" w:oddVBand="0" w:evenVBand="0" w:oddHBand="1" w:evenHBand="0" w:firstRowFirstColumn="0" w:firstRowLastColumn="0" w:lastRowFirstColumn="0" w:lastRowLastColumn="0"/>
              <w:rPr>
                <w:rFonts w:cs="Arial"/>
                <w:lang w:eastAsia="en-AU"/>
              </w:rPr>
            </w:pPr>
            <w:r w:rsidRPr="000F1DB4">
              <w:rPr>
                <w:rFonts w:cs="Arial"/>
                <w:lang w:eastAsia="en-AU"/>
              </w:rPr>
              <w:t>1 January 2023</w:t>
            </w:r>
          </w:p>
        </w:tc>
      </w:tr>
      <w:tr w:rsidR="00844269" w:rsidRPr="000F1DB4" w14:paraId="656E9858" w14:textId="77777777" w:rsidTr="008442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single" w:sz="4" w:space="0" w:color="auto"/>
              <w:right w:val="nil"/>
            </w:tcBorders>
            <w:hideMark/>
          </w:tcPr>
          <w:p w14:paraId="48447133" w14:textId="77777777" w:rsidR="00844269" w:rsidRPr="000F1DB4" w:rsidRDefault="00844269">
            <w:pPr>
              <w:pStyle w:val="TableText"/>
              <w:rPr>
                <w:rFonts w:cs="Arial"/>
                <w:lang w:eastAsia="en-AU"/>
              </w:rPr>
            </w:pPr>
            <w:r w:rsidRPr="000F1DB4">
              <w:rPr>
                <w:rFonts w:cs="Arial"/>
                <w:lang w:eastAsia="en-AU"/>
              </w:rPr>
              <w:t>1.0</w:t>
            </w:r>
          </w:p>
        </w:tc>
        <w:tc>
          <w:tcPr>
            <w:tcW w:w="0" w:type="auto"/>
            <w:tcBorders>
              <w:top w:val="single" w:sz="4" w:space="0" w:color="auto"/>
              <w:left w:val="nil"/>
              <w:bottom w:val="single" w:sz="4" w:space="0" w:color="auto"/>
              <w:right w:val="nil"/>
            </w:tcBorders>
            <w:hideMark/>
          </w:tcPr>
          <w:p w14:paraId="04B79E8D" w14:textId="77777777" w:rsidR="00844269" w:rsidRPr="000F1DB4" w:rsidRDefault="00844269">
            <w:pPr>
              <w:pStyle w:val="TableText"/>
              <w:cnfStyle w:val="000000010000" w:firstRow="0" w:lastRow="0" w:firstColumn="0" w:lastColumn="0" w:oddVBand="0" w:evenVBand="0" w:oddHBand="0" w:evenHBand="1" w:firstRowFirstColumn="0" w:firstRowLastColumn="0" w:lastRowFirstColumn="0" w:lastRowLastColumn="0"/>
              <w:rPr>
                <w:rFonts w:cs="Arial"/>
                <w:lang w:eastAsia="en-AU"/>
              </w:rPr>
            </w:pPr>
            <w:r w:rsidRPr="000F1DB4">
              <w:rPr>
                <w:rFonts w:cs="Arial"/>
                <w:lang w:eastAsia="en-AU"/>
              </w:rPr>
              <w:t>Initial CDNA case definition</w:t>
            </w:r>
          </w:p>
        </w:tc>
        <w:tc>
          <w:tcPr>
            <w:tcW w:w="0" w:type="auto"/>
            <w:tcBorders>
              <w:top w:val="single" w:sz="4" w:space="0" w:color="auto"/>
              <w:left w:val="nil"/>
              <w:bottom w:val="single" w:sz="4" w:space="0" w:color="auto"/>
              <w:right w:val="nil"/>
            </w:tcBorders>
            <w:hideMark/>
          </w:tcPr>
          <w:p w14:paraId="134A45B7" w14:textId="77777777" w:rsidR="00844269" w:rsidRPr="000F1DB4" w:rsidRDefault="00844269">
            <w:pPr>
              <w:pStyle w:val="TableText"/>
              <w:cnfStyle w:val="000000010000" w:firstRow="0" w:lastRow="0" w:firstColumn="0" w:lastColumn="0" w:oddVBand="0" w:evenVBand="0" w:oddHBand="0" w:evenHBand="1" w:firstRowFirstColumn="0" w:firstRowLastColumn="0" w:lastRowFirstColumn="0" w:lastRowLastColumn="0"/>
              <w:rPr>
                <w:rFonts w:cs="Arial"/>
                <w:lang w:eastAsia="en-AU"/>
              </w:rPr>
            </w:pPr>
            <w:r w:rsidRPr="000F1DB4">
              <w:rPr>
                <w:rFonts w:cs="Arial"/>
                <w:lang w:eastAsia="en-AU"/>
              </w:rPr>
              <w:t>2004</w:t>
            </w:r>
          </w:p>
        </w:tc>
        <w:tc>
          <w:tcPr>
            <w:tcW w:w="0" w:type="auto"/>
            <w:tcBorders>
              <w:top w:val="single" w:sz="4" w:space="0" w:color="auto"/>
              <w:left w:val="nil"/>
              <w:bottom w:val="single" w:sz="4" w:space="0" w:color="auto"/>
              <w:right w:val="nil"/>
            </w:tcBorders>
            <w:hideMark/>
          </w:tcPr>
          <w:p w14:paraId="236143B1" w14:textId="77777777" w:rsidR="00844269" w:rsidRPr="000F1DB4" w:rsidRDefault="00844269">
            <w:pPr>
              <w:pStyle w:val="TableText"/>
              <w:cnfStyle w:val="000000010000" w:firstRow="0" w:lastRow="0" w:firstColumn="0" w:lastColumn="0" w:oddVBand="0" w:evenVBand="0" w:oddHBand="0" w:evenHBand="1" w:firstRowFirstColumn="0" w:firstRowLastColumn="0" w:lastRowFirstColumn="0" w:lastRowLastColumn="0"/>
              <w:rPr>
                <w:rFonts w:cs="Arial"/>
                <w:lang w:eastAsia="en-AU"/>
              </w:rPr>
            </w:pPr>
            <w:r w:rsidRPr="000F1DB4">
              <w:rPr>
                <w:rFonts w:cs="Arial"/>
                <w:lang w:eastAsia="en-AU"/>
              </w:rPr>
              <w:t>2004</w:t>
            </w:r>
          </w:p>
        </w:tc>
      </w:tr>
    </w:tbl>
    <w:p w14:paraId="2FB5BA6E" w14:textId="77777777" w:rsidR="0017428F" w:rsidRPr="000F1DB4" w:rsidRDefault="0017428F" w:rsidP="00756003">
      <w:r w:rsidRPr="000F1DB4">
        <w:t>HIV may be diagnosed in individuals aged 18 months or older at the time of specimen collection. A diagnosis of HIV excludes a diagnosis of HIV in individuals aged less than 18 months at the time of specimen collection.</w:t>
      </w:r>
    </w:p>
    <w:p w14:paraId="71792148" w14:textId="4011E30C" w:rsidR="00B22C39" w:rsidRPr="00FF4E31" w:rsidRDefault="00B22C39" w:rsidP="00E67A4E">
      <w:pPr>
        <w:pStyle w:val="Heading2"/>
      </w:pPr>
      <w:r w:rsidRPr="00FF4E31">
        <w:t>Reporting</w:t>
      </w:r>
    </w:p>
    <w:p w14:paraId="4EFEC256" w14:textId="49A00B68" w:rsidR="00B22C39" w:rsidRPr="00FF4E31" w:rsidRDefault="00B22C39" w:rsidP="00B22C39">
      <w:r w:rsidRPr="00FF4E31">
        <w:t>Both </w:t>
      </w:r>
      <w:r w:rsidRPr="00FF4E31">
        <w:rPr>
          <w:rStyle w:val="Strong"/>
        </w:rPr>
        <w:t>confirmed cases</w:t>
      </w:r>
      <w:r w:rsidRPr="00FF4E31">
        <w:t> and </w:t>
      </w:r>
      <w:r w:rsidRPr="00FF4E31">
        <w:rPr>
          <w:rStyle w:val="Strong"/>
        </w:rPr>
        <w:t>probable cases</w:t>
      </w:r>
      <w:r w:rsidRPr="00FF4E31">
        <w:t> should be notified.</w:t>
      </w:r>
    </w:p>
    <w:p w14:paraId="1E724EC3" w14:textId="77777777" w:rsidR="00B22C39" w:rsidRPr="00FF4E31" w:rsidRDefault="00B22C39" w:rsidP="00E67A4E">
      <w:pPr>
        <w:pStyle w:val="Heading2"/>
      </w:pPr>
      <w:r w:rsidRPr="00FF4E31">
        <w:t>Confirmed case</w:t>
      </w:r>
    </w:p>
    <w:p w14:paraId="22444970" w14:textId="77777777" w:rsidR="00B22C39" w:rsidRPr="00FF4E31" w:rsidRDefault="00B22C39" w:rsidP="00B22C39">
      <w:r w:rsidRPr="00FF4E31">
        <w:t>A confirmed case requires </w:t>
      </w:r>
      <w:r w:rsidRPr="00FF4E31">
        <w:rPr>
          <w:rStyle w:val="Strong"/>
        </w:rPr>
        <w:t>laboratory definitive evidence</w:t>
      </w:r>
      <w:r w:rsidRPr="00FF4E31">
        <w:t> only.</w:t>
      </w:r>
    </w:p>
    <w:p w14:paraId="30C202D0" w14:textId="2332A6D3" w:rsidR="00B22C39" w:rsidRPr="00FF4E31" w:rsidRDefault="00B22C39" w:rsidP="00E67A4E">
      <w:pPr>
        <w:pStyle w:val="Heading2"/>
      </w:pPr>
      <w:r w:rsidRPr="00FF4E31">
        <w:lastRenderedPageBreak/>
        <w:t>Laboratory definitive evidence</w:t>
      </w:r>
    </w:p>
    <w:p w14:paraId="077A21B2" w14:textId="77777777" w:rsidR="0017428F" w:rsidRPr="00FF4E31" w:rsidRDefault="0017428F" w:rsidP="00FF4E31">
      <w:r w:rsidRPr="00FF4E31">
        <w:t>Reactive</w:t>
      </w:r>
      <w:r w:rsidRPr="00FF4E31">
        <w:rPr>
          <w:rStyle w:val="FootnoteReference"/>
        </w:rPr>
        <w:footnoteReference w:id="2"/>
      </w:r>
      <w:r w:rsidRPr="00FF4E31">
        <w:t xml:space="preserve"> HIV antibody or HIV antigen/antibody combination assay </w:t>
      </w:r>
    </w:p>
    <w:p w14:paraId="736B69CD" w14:textId="5931A6C7" w:rsidR="0017428F" w:rsidRPr="00FF4E31" w:rsidRDefault="0017428F" w:rsidP="00FF4E31">
      <w:r w:rsidRPr="002F18DD">
        <w:rPr>
          <w:rStyle w:val="Strong"/>
        </w:rPr>
        <w:t>AND</w:t>
      </w:r>
      <w:r w:rsidRPr="00FF4E31">
        <w:t xml:space="preserve"> at least one of the following:</w:t>
      </w:r>
    </w:p>
    <w:p w14:paraId="7AC6C9E4" w14:textId="57C0A63D" w:rsidR="0017428F" w:rsidRPr="00FF4E31" w:rsidRDefault="0017428F" w:rsidP="00FF4E31">
      <w:pPr>
        <w:pStyle w:val="ListNumber"/>
      </w:pPr>
      <w:r w:rsidRPr="00FF4E31">
        <w:t>Positive western blot</w:t>
      </w:r>
    </w:p>
    <w:p w14:paraId="53B46525" w14:textId="77777777" w:rsidR="00FF4E31" w:rsidRPr="00FF4E31" w:rsidRDefault="0017428F" w:rsidP="00FF4E31">
      <w:pPr>
        <w:rPr>
          <w:rStyle w:val="Strong"/>
        </w:rPr>
      </w:pPr>
      <w:r w:rsidRPr="00FF4E31">
        <w:rPr>
          <w:rStyle w:val="Strong"/>
        </w:rPr>
        <w:t>OR</w:t>
      </w:r>
    </w:p>
    <w:p w14:paraId="1A19FF85" w14:textId="3B0897CD" w:rsidR="0017428F" w:rsidRPr="00FF4E31" w:rsidRDefault="0017428F" w:rsidP="00FF4E31">
      <w:pPr>
        <w:pStyle w:val="ListNumber"/>
      </w:pPr>
      <w:r w:rsidRPr="00FF4E31">
        <w:t>Detection of HIV-1 p24 antigen, confirmed by neutralisation</w:t>
      </w:r>
    </w:p>
    <w:p w14:paraId="726C4C35" w14:textId="2D1B253D" w:rsidR="0017428F" w:rsidRPr="00FF4E31" w:rsidRDefault="0017428F" w:rsidP="00FF4E31">
      <w:pPr>
        <w:rPr>
          <w:rStyle w:val="Strong"/>
        </w:rPr>
      </w:pPr>
      <w:r w:rsidRPr="00FF4E31">
        <w:rPr>
          <w:rStyle w:val="Strong"/>
        </w:rPr>
        <w:t>OR</w:t>
      </w:r>
    </w:p>
    <w:p w14:paraId="3FB4849D" w14:textId="77777777" w:rsidR="0017428F" w:rsidRPr="00FF4E31" w:rsidRDefault="0017428F" w:rsidP="00FF4E31">
      <w:pPr>
        <w:pStyle w:val="ListNumber"/>
      </w:pPr>
      <w:r w:rsidRPr="00FF4E31">
        <w:t xml:space="preserve">Detection of HIV nucleic acid (RNA or DNA) by an HIV nucleic acid test </w:t>
      </w:r>
      <w:r w:rsidRPr="00FF4E31">
        <w:rPr>
          <w:rStyle w:val="FootnoteReference"/>
        </w:rPr>
        <w:footnoteReference w:id="3"/>
      </w:r>
      <w:r w:rsidRPr="00FF4E31">
        <w:t>,</w:t>
      </w:r>
      <w:r w:rsidRPr="000F1DB4">
        <w:rPr>
          <w:rStyle w:val="FootnoteReference"/>
          <w:rFonts w:cs="Arial"/>
        </w:rPr>
        <w:footnoteReference w:id="4"/>
      </w:r>
    </w:p>
    <w:p w14:paraId="3941AA1B" w14:textId="77CEADAD" w:rsidR="00B22C39" w:rsidRPr="00FF4E31" w:rsidRDefault="00B22C39" w:rsidP="006B0943">
      <w:pPr>
        <w:pStyle w:val="Heading2"/>
      </w:pPr>
      <w:r w:rsidRPr="00FF4E31">
        <w:t>Probable case</w:t>
      </w:r>
    </w:p>
    <w:p w14:paraId="2727A0D5" w14:textId="1F13A6AD" w:rsidR="00B22C39" w:rsidRPr="00FF4E31" w:rsidRDefault="00B22C39" w:rsidP="00B22C39">
      <w:r w:rsidRPr="00FF4E31">
        <w:t>A probable case requires </w:t>
      </w:r>
      <w:r w:rsidRPr="00FF4E31">
        <w:rPr>
          <w:rStyle w:val="Strong"/>
        </w:rPr>
        <w:t>Laboratory suggestive evidence</w:t>
      </w:r>
      <w:r w:rsidRPr="00FF4E31">
        <w:t> </w:t>
      </w:r>
      <w:r w:rsidR="0017428F" w:rsidRPr="00FF4E31">
        <w:t>only</w:t>
      </w:r>
    </w:p>
    <w:p w14:paraId="3651C8BF" w14:textId="5CAD168E" w:rsidR="00B22C39" w:rsidRPr="00FF4E31" w:rsidRDefault="00B22C39" w:rsidP="006B0943">
      <w:pPr>
        <w:pStyle w:val="Heading2"/>
      </w:pPr>
      <w:r w:rsidRPr="00FF4E31">
        <w:t>Laboratory suggestive evidence</w:t>
      </w:r>
    </w:p>
    <w:p w14:paraId="2AFB7CDB" w14:textId="77777777" w:rsidR="0017428F" w:rsidRPr="00FF4E31" w:rsidRDefault="0017428F" w:rsidP="006B0943">
      <w:pPr>
        <w:pStyle w:val="ListNumber"/>
        <w:numPr>
          <w:ilvl w:val="0"/>
          <w:numId w:val="23"/>
        </w:numPr>
      </w:pPr>
      <w:r w:rsidRPr="00FF4E31">
        <w:t xml:space="preserve">Detection of HIV-1 p24 antigen, confirmed by neutralisation </w:t>
      </w:r>
    </w:p>
    <w:p w14:paraId="0CF197B5" w14:textId="394C54D1" w:rsidR="0017428F" w:rsidRPr="00FF4E31" w:rsidRDefault="0017428F" w:rsidP="00FF4E31">
      <w:pPr>
        <w:rPr>
          <w:rStyle w:val="Strong"/>
        </w:rPr>
      </w:pPr>
      <w:r w:rsidRPr="00FF4E31">
        <w:rPr>
          <w:rStyle w:val="Strong"/>
        </w:rPr>
        <w:t>OR</w:t>
      </w:r>
    </w:p>
    <w:p w14:paraId="2B55AC6F" w14:textId="0A70108D" w:rsidR="0017428F" w:rsidRPr="00FF4E31" w:rsidRDefault="0017428F" w:rsidP="006B0943">
      <w:pPr>
        <w:pStyle w:val="ListNumber"/>
      </w:pPr>
      <w:r w:rsidRPr="00FF4E31">
        <w:t xml:space="preserve">Detection of HIV nucleic acid (RNA or DNA) by an HIV nucleic acid test </w:t>
      </w:r>
      <w:r w:rsidRPr="00862A83">
        <w:rPr>
          <w:rStyle w:val="FootnoteReference"/>
        </w:rPr>
        <w:t>2,3</w:t>
      </w:r>
    </w:p>
    <w:p w14:paraId="6C26FAD2" w14:textId="63F1E205" w:rsidR="0017428F" w:rsidRPr="000F1DB4" w:rsidRDefault="0017428F" w:rsidP="0017428F">
      <w:pPr>
        <w:contextualSpacing/>
        <w:rPr>
          <w:rFonts w:cs="Arial"/>
          <w:szCs w:val="28"/>
        </w:rPr>
      </w:pPr>
      <w:r w:rsidRPr="00FF4E31">
        <w:rPr>
          <w:rStyle w:val="Strong"/>
        </w:rPr>
        <w:t>Note:</w:t>
      </w:r>
      <w:r w:rsidRPr="000F1DB4">
        <w:rPr>
          <w:rFonts w:cs="Arial"/>
          <w:szCs w:val="28"/>
        </w:rPr>
        <w:t xml:space="preserve"> Additional information to distinguish newly-acquired HIV infection should be collected routinely for surveillance purposes, and includes evidence of a negative or indeterminate HIV antibody test and/or a seroconversion illness occurring within the 12 months prior to diagnosis.</w:t>
      </w:r>
    </w:p>
    <w:sectPr w:rsidR="0017428F" w:rsidRPr="000F1DB4" w:rsidSect="00FF4E31">
      <w:footerReference w:type="default" r:id="rId12"/>
      <w:type w:val="continuous"/>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21ED" w14:textId="77777777" w:rsidR="00556361" w:rsidRDefault="00556361" w:rsidP="006B56BB">
      <w:r>
        <w:separator/>
      </w:r>
    </w:p>
    <w:p w14:paraId="2A417CE1" w14:textId="77777777" w:rsidR="00556361" w:rsidRDefault="00556361"/>
  </w:endnote>
  <w:endnote w:type="continuationSeparator" w:id="0">
    <w:p w14:paraId="6EF183C7" w14:textId="77777777" w:rsidR="00556361" w:rsidRDefault="00556361" w:rsidP="006B56BB">
      <w:r>
        <w:continuationSeparator/>
      </w:r>
    </w:p>
    <w:p w14:paraId="42596E24" w14:textId="77777777" w:rsidR="00556361" w:rsidRDefault="00556361"/>
  </w:endnote>
  <w:endnote w:type="continuationNotice" w:id="1">
    <w:p w14:paraId="56BCA9AE" w14:textId="77777777" w:rsidR="00556361" w:rsidRDefault="00556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475FB944" w14:textId="3BD1B313" w:rsidR="00CD407A" w:rsidRDefault="00B22C39" w:rsidP="000F1DB4">
            <w:pPr>
              <w:pStyle w:val="Footer"/>
            </w:pPr>
            <w:r w:rsidRPr="00B22C39">
              <w:t>Human immunodeficiency virus (HIV</w:t>
            </w:r>
            <w:r w:rsidR="00984DF4">
              <w:t xml:space="preserve">; </w:t>
            </w:r>
            <w:r w:rsidR="000F1DB4" w:rsidRPr="000F1DB4">
              <w:t>individual aged 18 months or older</w:t>
            </w:r>
            <w:r w:rsidRPr="00B22C39">
              <w:t>)</w:t>
            </w:r>
            <w:r>
              <w:t xml:space="preserve"> </w:t>
            </w:r>
            <w:r w:rsidR="00076AD6">
              <w:t xml:space="preserve">– </w:t>
            </w:r>
            <w:r w:rsidR="00800DEB">
              <w:t>Surveillance</w:t>
            </w:r>
            <w:r w:rsidR="00076AD6">
              <w:t xml:space="preserve">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2C4F" w14:textId="77777777" w:rsidR="00556361" w:rsidRDefault="00556361">
      <w:r>
        <w:separator/>
      </w:r>
    </w:p>
  </w:footnote>
  <w:footnote w:type="continuationSeparator" w:id="0">
    <w:p w14:paraId="5764EA46" w14:textId="77777777" w:rsidR="00556361" w:rsidRDefault="00556361">
      <w:r>
        <w:continuationSeparator/>
      </w:r>
    </w:p>
  </w:footnote>
  <w:footnote w:type="continuationNotice" w:id="1">
    <w:p w14:paraId="1D9667F5" w14:textId="77777777" w:rsidR="00556361" w:rsidRDefault="00556361"/>
  </w:footnote>
  <w:footnote w:id="2">
    <w:p w14:paraId="0B506284" w14:textId="77777777" w:rsidR="0017428F" w:rsidRPr="009F4524" w:rsidRDefault="0017428F" w:rsidP="0017428F">
      <w:pPr>
        <w:pStyle w:val="FootnoteText"/>
        <w:rPr>
          <w:rFonts w:cs="Arial"/>
          <w:lang w:val="en-US"/>
        </w:rPr>
      </w:pPr>
      <w:r w:rsidRPr="009F4524">
        <w:rPr>
          <w:rStyle w:val="FootnoteReference"/>
          <w:rFonts w:cs="Arial"/>
        </w:rPr>
        <w:footnoteRef/>
      </w:r>
      <w:r w:rsidRPr="009F4524">
        <w:rPr>
          <w:rFonts w:cs="Arial"/>
        </w:rPr>
        <w:t xml:space="preserve"> False positive results can occur infrequently with screening tests, and hence screening test results should be reported as reactive rather than positive. Most manufacturers of HIV screening assays recommend samples that are initially reactive be retested in duplicate in the same assay to confirm the result, in-line with the National Pathology Accreditation Advisory Council (NPAAC) </w:t>
      </w:r>
      <w:hyperlink r:id="rId1" w:history="1">
        <w:r w:rsidRPr="009F4524">
          <w:rPr>
            <w:rStyle w:val="Hyperlink"/>
            <w:rFonts w:cs="Arial"/>
            <w:i/>
            <w:iCs/>
          </w:rPr>
          <w:t>Requirements for Laboratory Testing of HIV</w:t>
        </w:r>
      </w:hyperlink>
      <w:r w:rsidRPr="009F4524">
        <w:rPr>
          <w:rFonts w:cs="Arial"/>
        </w:rPr>
        <w:t>.</w:t>
      </w:r>
    </w:p>
  </w:footnote>
  <w:footnote w:id="3">
    <w:p w14:paraId="25E00F83" w14:textId="77777777" w:rsidR="0017428F" w:rsidRPr="009F4524" w:rsidRDefault="0017428F" w:rsidP="0017428F">
      <w:pPr>
        <w:pStyle w:val="FootnoteText"/>
        <w:rPr>
          <w:rFonts w:cs="Arial"/>
          <w:lang w:val="en-US"/>
        </w:rPr>
      </w:pPr>
      <w:r w:rsidRPr="009F4524">
        <w:rPr>
          <w:rStyle w:val="FootnoteReference"/>
          <w:rFonts w:cs="Arial"/>
        </w:rPr>
        <w:footnoteRef/>
      </w:r>
      <w:r w:rsidRPr="009F4524">
        <w:rPr>
          <w:rFonts w:cs="Arial"/>
        </w:rPr>
        <w:t xml:space="preserve"> </w:t>
      </w:r>
      <w:r w:rsidRPr="009F4524">
        <w:rPr>
          <w:rFonts w:cs="Arial"/>
          <w:lang w:val="en-US"/>
        </w:rPr>
        <w:t xml:space="preserve">RNA testing should be performed using a commercial nucleic acid test assay with an in-vitro diagnostic (IVD) medical device which has been classified by the Therapeutic Goods Administration as a Class 4 IVD and entered on the </w:t>
      </w:r>
      <w:hyperlink r:id="rId2" w:history="1">
        <w:r w:rsidRPr="009F4524">
          <w:rPr>
            <w:rStyle w:val="Hyperlink"/>
            <w:rFonts w:cs="Arial"/>
            <w:i/>
            <w:iCs/>
            <w:lang w:val="en-US"/>
          </w:rPr>
          <w:t>Australian Register of Therapeutic Goods (ARTG)</w:t>
        </w:r>
      </w:hyperlink>
      <w:r w:rsidRPr="009F4524">
        <w:rPr>
          <w:rFonts w:cs="Arial"/>
          <w:lang w:val="en-US"/>
        </w:rPr>
        <w:t xml:space="preserve"> for diagnostic purposes.</w:t>
      </w:r>
    </w:p>
  </w:footnote>
  <w:footnote w:id="4">
    <w:p w14:paraId="1FBFD8DA" w14:textId="77777777" w:rsidR="0017428F" w:rsidRPr="004E0092" w:rsidRDefault="0017428F" w:rsidP="0017428F">
      <w:pPr>
        <w:pStyle w:val="FootnoteText"/>
        <w:rPr>
          <w:lang w:val="en-US"/>
        </w:rPr>
      </w:pPr>
      <w:r w:rsidRPr="009F4524">
        <w:rPr>
          <w:rStyle w:val="FootnoteReference"/>
          <w:rFonts w:cs="Arial"/>
        </w:rPr>
        <w:footnoteRef/>
      </w:r>
      <w:r w:rsidRPr="009F4524">
        <w:rPr>
          <w:rFonts w:cs="Arial"/>
        </w:rPr>
        <w:t xml:space="preserve"> HIV nucleic acid testing should be performed on a dedicated specimen not previously used for other testing.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AC26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24570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38AE15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5949E0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DEC6B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5E65FC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B6D6C"/>
    <w:multiLevelType w:val="hybridMultilevel"/>
    <w:tmpl w:val="FB1E52A4"/>
    <w:lvl w:ilvl="0" w:tplc="B15E17CC">
      <w:start w:val="1"/>
      <w:numFmt w:val="decimal"/>
      <w:lvlText w:val="%1."/>
      <w:lvlJc w:val="left"/>
      <w:pPr>
        <w:ind w:left="502" w:hanging="360"/>
      </w:pPr>
      <w:rPr>
        <w:rFonts w:hint="default"/>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7A50409"/>
    <w:multiLevelType w:val="hybridMultilevel"/>
    <w:tmpl w:val="208E496C"/>
    <w:lvl w:ilvl="0" w:tplc="D7DA556E">
      <w:start w:val="1"/>
      <w:numFmt w:val="bulle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5"/>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1"/>
  </w:num>
  <w:num w:numId="19">
    <w:abstractNumId w:val="13"/>
  </w:num>
  <w:num w:numId="20">
    <w:abstractNumId w:val="14"/>
  </w:num>
  <w:num w:numId="21">
    <w:abstractNumId w:val="12"/>
  </w:num>
  <w:num w:numId="22">
    <w:abstractNumId w:val="6"/>
    <w:lvlOverride w:ilvl="0">
      <w:startOverride w:val="1"/>
    </w:lvlOverride>
  </w:num>
  <w:num w:numId="2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39"/>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1DB4"/>
    <w:rsid w:val="000F2FED"/>
    <w:rsid w:val="0010616D"/>
    <w:rsid w:val="00110478"/>
    <w:rsid w:val="0011711B"/>
    <w:rsid w:val="00117F8A"/>
    <w:rsid w:val="00121B9B"/>
    <w:rsid w:val="00122ADC"/>
    <w:rsid w:val="00130F59"/>
    <w:rsid w:val="00133EC0"/>
    <w:rsid w:val="00141CE5"/>
    <w:rsid w:val="00144908"/>
    <w:rsid w:val="001571C7"/>
    <w:rsid w:val="00161094"/>
    <w:rsid w:val="0017428F"/>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18DD"/>
    <w:rsid w:val="002F3AE3"/>
    <w:rsid w:val="0030464B"/>
    <w:rsid w:val="0030786C"/>
    <w:rsid w:val="003100AE"/>
    <w:rsid w:val="003233DE"/>
    <w:rsid w:val="0032466B"/>
    <w:rsid w:val="00326280"/>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16E8"/>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361"/>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76B33"/>
    <w:rsid w:val="006821EB"/>
    <w:rsid w:val="006B0943"/>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56003"/>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0DEB"/>
    <w:rsid w:val="008127AF"/>
    <w:rsid w:val="00812B46"/>
    <w:rsid w:val="00815700"/>
    <w:rsid w:val="008264EB"/>
    <w:rsid w:val="00826B8F"/>
    <w:rsid w:val="00831E8A"/>
    <w:rsid w:val="00835C76"/>
    <w:rsid w:val="008376E2"/>
    <w:rsid w:val="00843049"/>
    <w:rsid w:val="00844269"/>
    <w:rsid w:val="0085209B"/>
    <w:rsid w:val="00856B66"/>
    <w:rsid w:val="008601AC"/>
    <w:rsid w:val="00861A5F"/>
    <w:rsid w:val="0086254B"/>
    <w:rsid w:val="00862A83"/>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C3E53"/>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16C33"/>
    <w:rsid w:val="009208F7"/>
    <w:rsid w:val="00921649"/>
    <w:rsid w:val="00922517"/>
    <w:rsid w:val="00922722"/>
    <w:rsid w:val="009261E6"/>
    <w:rsid w:val="009268E1"/>
    <w:rsid w:val="009344DE"/>
    <w:rsid w:val="00945E7F"/>
    <w:rsid w:val="009557C1"/>
    <w:rsid w:val="00960D6E"/>
    <w:rsid w:val="00974B59"/>
    <w:rsid w:val="0098340B"/>
    <w:rsid w:val="00984DF4"/>
    <w:rsid w:val="00986830"/>
    <w:rsid w:val="009924C3"/>
    <w:rsid w:val="00993102"/>
    <w:rsid w:val="009B1570"/>
    <w:rsid w:val="009C6F10"/>
    <w:rsid w:val="009D148F"/>
    <w:rsid w:val="009D3D70"/>
    <w:rsid w:val="009E0B84"/>
    <w:rsid w:val="009E6F7E"/>
    <w:rsid w:val="009E7A57"/>
    <w:rsid w:val="009F4524"/>
    <w:rsid w:val="009F4803"/>
    <w:rsid w:val="009F4F6A"/>
    <w:rsid w:val="00A13EB5"/>
    <w:rsid w:val="00A16E36"/>
    <w:rsid w:val="00A24961"/>
    <w:rsid w:val="00A24B10"/>
    <w:rsid w:val="00A277EF"/>
    <w:rsid w:val="00A30E9B"/>
    <w:rsid w:val="00A42AD3"/>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4926"/>
    <w:rsid w:val="00B16A51"/>
    <w:rsid w:val="00B22C39"/>
    <w:rsid w:val="00B32222"/>
    <w:rsid w:val="00B3618D"/>
    <w:rsid w:val="00B36233"/>
    <w:rsid w:val="00B42851"/>
    <w:rsid w:val="00B45AC7"/>
    <w:rsid w:val="00B5372F"/>
    <w:rsid w:val="00B61129"/>
    <w:rsid w:val="00B67E21"/>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67A4E"/>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D361A"/>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4E31"/>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DC218A"/>
  <w15:docId w15:val="{E798BAC4-E7EE-4414-BD9D-CA318BCA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2A83"/>
    <w:pPr>
      <w:spacing w:before="120" w:after="120" w:line="276" w:lineRule="auto"/>
    </w:pPr>
    <w:rPr>
      <w:rFonts w:ascii="Arial" w:hAnsi="Arial"/>
      <w:sz w:val="22"/>
      <w:szCs w:val="24"/>
      <w:lang w:eastAsia="en-US"/>
    </w:rPr>
  </w:style>
  <w:style w:type="paragraph" w:styleId="Heading1">
    <w:name w:val="heading 1"/>
    <w:basedOn w:val="Normal"/>
    <w:next w:val="Normal"/>
    <w:qFormat/>
    <w:rsid w:val="00FF4E31"/>
    <w:pPr>
      <w:keepNext/>
      <w:spacing w:before="240" w:after="60"/>
      <w:outlineLvl w:val="0"/>
    </w:pPr>
    <w:rPr>
      <w:rFonts w:cs="Arial"/>
      <w:bCs/>
      <w:color w:val="3F4A75"/>
      <w:kern w:val="28"/>
      <w:sz w:val="32"/>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FF4E31"/>
    <w:pPr>
      <w:spacing w:before="80" w:after="80"/>
    </w:pPr>
    <w:rPr>
      <w:rFonts w:eastAsia="Cambria"/>
      <w:b/>
      <w:color w:val="FFFFFF" w:themeColor="background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uiPriority w:val="99"/>
    <w:rsid w:val="00A24961"/>
    <w:rPr>
      <w:sz w:val="20"/>
      <w:szCs w:val="20"/>
    </w:rPr>
  </w:style>
  <w:style w:type="character" w:customStyle="1" w:styleId="FootnoteTextChar">
    <w:name w:val="Footnote Text Char"/>
    <w:basedOn w:val="DefaultParagraphFont"/>
    <w:link w:val="FootnoteText"/>
    <w:uiPriority w:val="99"/>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styleId="ListNumber">
    <w:name w:val="List Number"/>
    <w:basedOn w:val="Normal"/>
    <w:rsid w:val="00FF4E31"/>
    <w:pPr>
      <w:numPr>
        <w:numId w:val="13"/>
      </w:numPr>
      <w:contextualSpacing/>
    </w:p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3Char">
    <w:name w:val="Heading 3 Char"/>
    <w:basedOn w:val="DefaultParagraphFont"/>
    <w:link w:val="Heading3"/>
    <w:uiPriority w:val="9"/>
    <w:rsid w:val="00B22C39"/>
    <w:rPr>
      <w:rFonts w:ascii="Arial" w:hAnsi="Arial" w:cs="Arial"/>
      <w:bCs/>
      <w:color w:val="358189"/>
      <w:sz w:val="24"/>
      <w:szCs w:val="26"/>
      <w:lang w:eastAsia="en-US"/>
    </w:rPr>
  </w:style>
  <w:style w:type="paragraph" w:styleId="NormalWeb">
    <w:name w:val="Normal (Web)"/>
    <w:basedOn w:val="Normal"/>
    <w:uiPriority w:val="99"/>
    <w:semiHidden/>
    <w:unhideWhenUsed/>
    <w:rsid w:val="00B22C39"/>
    <w:pPr>
      <w:spacing w:before="100" w:beforeAutospacing="1" w:after="100" w:afterAutospacing="1"/>
    </w:pPr>
    <w:rPr>
      <w:rFonts w:ascii="Times New Roman" w:hAnsi="Times New Roman"/>
      <w:sz w:val="24"/>
      <w:lang w:eastAsia="en-AU"/>
    </w:rPr>
  </w:style>
  <w:style w:type="character" w:styleId="FootnoteReference">
    <w:name w:val="footnote reference"/>
    <w:basedOn w:val="DefaultParagraphFont"/>
    <w:uiPriority w:val="99"/>
    <w:unhideWhenUsed/>
    <w:rsid w:val="00174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357013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506519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2497390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products/australian-register-therapeutic-goods-artg" TargetMode="External"/><Relationship Id="rId1" Type="http://schemas.openxmlformats.org/officeDocument/2006/relationships/hyperlink" Target="https://www1.health.gov.au/internet/main/publishing.nsf/Content/health-npaac-docs-hivhepc.htm"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04A1D2EF-513C-4108-96E7-624A554A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cf7b372-aaaa-46d8-9da6-ade9aab953df"/>
    <ds:schemaRef ds:uri="236487dd-ec90-4f99-8970-1318e5f29791"/>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Human immunodeficiency virus (HIV; individual aged 18 months or older) – Surveillance case definition</vt:lpstr>
    </vt:vector>
  </TitlesOfParts>
  <Company>Australian Centre for Disease Control</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immunodeficiency virus (HIV; individual aged 18 months or older) – Surveillance case definition</dc:title>
  <dc:subject>Communicable diseases;</dc:subject>
  <dc:creator>Communicable Diseases Network Australia</dc:creator>
  <cp:keywords>Communicable diseases; HIV; Surveillance case definition</cp:keywords>
  <dcterms:created xsi:type="dcterms:W3CDTF">2023-01-04T21:13:00Z</dcterms:created>
  <dcterms:modified xsi:type="dcterms:W3CDTF">2023-01-04T21:13:00Z</dcterms:modified>
</cp:coreProperties>
</file>