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B0BA5" w14:textId="312CB6A2" w:rsidR="00A363C7" w:rsidRDefault="008D5412" w:rsidP="009E0B84">
      <w:pPr>
        <w:pStyle w:val="Subtitle"/>
        <w:rPr>
          <w:b/>
          <w:iCs w:val="0"/>
          <w:color w:val="auto"/>
          <w:spacing w:val="0"/>
          <w:kern w:val="28"/>
          <w:sz w:val="48"/>
          <w:szCs w:val="52"/>
        </w:rPr>
      </w:pPr>
      <w:r w:rsidRPr="008D5412">
        <w:rPr>
          <w:b/>
          <w:iCs w:val="0"/>
          <w:color w:val="auto"/>
          <w:spacing w:val="0"/>
          <w:kern w:val="28"/>
          <w:sz w:val="48"/>
          <w:szCs w:val="52"/>
        </w:rPr>
        <w:t>Human transmissible spongiform encephalopathies (TSE)</w:t>
      </w:r>
    </w:p>
    <w:p w14:paraId="760A9866" w14:textId="77777777" w:rsidR="00177AD2" w:rsidRDefault="009E0B84" w:rsidP="009E0B84">
      <w:pPr>
        <w:pStyle w:val="Subtitle"/>
      </w:pPr>
      <w:r>
        <w:t>Laboratory case definition</w:t>
      </w:r>
    </w:p>
    <w:p w14:paraId="0F856AA2" w14:textId="5F0AC30C" w:rsidR="009E0B84" w:rsidRDefault="009E0B84" w:rsidP="009E0B84">
      <w:pPr>
        <w:pStyle w:val="IntroPara"/>
      </w:pPr>
      <w:r w:rsidRPr="009E0B84">
        <w:t xml:space="preserve">The Public Health Laboratory Network </w:t>
      </w:r>
      <w:r w:rsidR="00CD407A">
        <w:t xml:space="preserve">(PHLN) </w:t>
      </w:r>
      <w:r w:rsidRPr="009E0B84">
        <w:t>ha</w:t>
      </w:r>
      <w:r w:rsidR="003100AE">
        <w:t>s</w:t>
      </w:r>
      <w:r w:rsidRPr="009E0B84">
        <w:t xml:space="preserve"> developed standard case definition</w:t>
      </w:r>
      <w:r w:rsidR="003100AE">
        <w:t>s</w:t>
      </w:r>
      <w:r w:rsidRPr="009E0B84">
        <w:t xml:space="preserve"> for the diagnosis of </w:t>
      </w:r>
      <w:r w:rsidR="00AA26D0">
        <w:t xml:space="preserve">key </w:t>
      </w:r>
      <w:r w:rsidRPr="009E0B84">
        <w:t xml:space="preserve">diseases in Australia. This document contains the laboratory case definition for </w:t>
      </w:r>
      <w:r w:rsidR="00860860">
        <w:t>h</w:t>
      </w:r>
      <w:r w:rsidR="008D5412" w:rsidRPr="008D5412">
        <w:t>uman transmissible spongiform encephalopathies</w:t>
      </w:r>
      <w:r w:rsidR="008D5412">
        <w:t xml:space="preserve">. </w:t>
      </w:r>
    </w:p>
    <w:p w14:paraId="3944B896" w14:textId="77777777" w:rsidR="009E0B84" w:rsidRPr="009E0B84" w:rsidRDefault="009E0B84" w:rsidP="009E0B84">
      <w:pPr>
        <w:spacing w:after="120"/>
      </w:pPr>
      <w:r w:rsidRPr="009E0B84">
        <w:rPr>
          <w:b/>
          <w:bCs/>
        </w:rPr>
        <w:t>Authorisation:</w:t>
      </w:r>
      <w:r w:rsidRPr="009E0B84">
        <w:t> </w:t>
      </w:r>
      <w:r w:rsidRPr="009E0B84">
        <w:tab/>
        <w:t>PHLN</w:t>
      </w:r>
    </w:p>
    <w:p w14:paraId="29115E52" w14:textId="77777777" w:rsidR="008D5412" w:rsidRDefault="009E0B84" w:rsidP="009E0B84">
      <w:pPr>
        <w:pBdr>
          <w:bottom w:val="single" w:sz="6" w:space="1" w:color="auto"/>
        </w:pBdr>
      </w:pPr>
      <w:r w:rsidRPr="009E0B84">
        <w:rPr>
          <w:b/>
          <w:bCs/>
        </w:rPr>
        <w:t>Consensus date:</w:t>
      </w:r>
      <w:r w:rsidRPr="009E0B84">
        <w:t> </w:t>
      </w:r>
      <w:r w:rsidRPr="009E0B84">
        <w:tab/>
      </w:r>
      <w:r w:rsidR="008D5412" w:rsidRPr="008D5412">
        <w:t>2 November 2020</w:t>
      </w:r>
    </w:p>
    <w:p w14:paraId="686A3EC3" w14:textId="1A5C473C" w:rsidR="008D5412" w:rsidRDefault="008D5412" w:rsidP="009E0B84">
      <w:pPr>
        <w:pBdr>
          <w:bottom w:val="single" w:sz="6" w:space="1" w:color="auto"/>
        </w:pBdr>
      </w:pPr>
    </w:p>
    <w:p w14:paraId="5F776AC9" w14:textId="77777777" w:rsidR="008D5412" w:rsidRPr="008D5412" w:rsidRDefault="008D5412" w:rsidP="008D5412">
      <w:pPr>
        <w:shd w:val="clear" w:color="auto" w:fill="FFFFFF"/>
        <w:spacing w:before="240" w:after="120"/>
        <w:outlineLvl w:val="1"/>
        <w:rPr>
          <w:rFonts w:ascii="Open Sans" w:hAnsi="Open Sans" w:cs="Open Sans"/>
          <w:sz w:val="36"/>
          <w:szCs w:val="36"/>
          <w:lang w:eastAsia="en-AU"/>
        </w:rPr>
      </w:pPr>
      <w:r w:rsidRPr="008D5412">
        <w:rPr>
          <w:rFonts w:ascii="Open Sans" w:hAnsi="Open Sans" w:cs="Open Sans"/>
          <w:sz w:val="36"/>
          <w:szCs w:val="36"/>
          <w:lang w:eastAsia="en-AU"/>
        </w:rPr>
        <w:t>1 PHLN Summary Laboratory Definition</w:t>
      </w:r>
    </w:p>
    <w:p w14:paraId="4EF6A1D2" w14:textId="77777777" w:rsidR="008D5412" w:rsidRPr="008D5412" w:rsidRDefault="008D5412" w:rsidP="008D5412">
      <w:pPr>
        <w:shd w:val="clear" w:color="auto" w:fill="FFFFFF"/>
        <w:spacing w:before="240" w:after="120"/>
        <w:outlineLvl w:val="2"/>
        <w:rPr>
          <w:rFonts w:ascii="Open Sans" w:hAnsi="Open Sans" w:cs="Open Sans"/>
          <w:sz w:val="27"/>
          <w:szCs w:val="27"/>
          <w:lang w:eastAsia="en-AU"/>
        </w:rPr>
      </w:pPr>
      <w:r w:rsidRPr="008D5412">
        <w:rPr>
          <w:rFonts w:ascii="Open Sans" w:hAnsi="Open Sans" w:cs="Open Sans"/>
          <w:sz w:val="27"/>
          <w:szCs w:val="27"/>
          <w:lang w:eastAsia="en-AU"/>
        </w:rPr>
        <w:t>1.1 Condition:</w:t>
      </w:r>
    </w:p>
    <w:p w14:paraId="66AACD1A" w14:textId="77777777" w:rsidR="008D5412" w:rsidRPr="008D5412" w:rsidRDefault="008D5412" w:rsidP="008D5412">
      <w:pPr>
        <w:shd w:val="clear" w:color="auto" w:fill="FFFFFF"/>
        <w:spacing w:after="240" w:line="300" w:lineRule="atLeast"/>
        <w:rPr>
          <w:rFonts w:ascii="Helvetica" w:hAnsi="Helvetica" w:cs="Helvetica"/>
          <w:sz w:val="20"/>
          <w:szCs w:val="20"/>
          <w:lang w:eastAsia="en-AU"/>
        </w:rPr>
      </w:pPr>
      <w:r w:rsidRPr="008D5412">
        <w:rPr>
          <w:rFonts w:ascii="Helvetica" w:hAnsi="Helvetica" w:cs="Helvetica"/>
          <w:sz w:val="20"/>
          <w:szCs w:val="20"/>
          <w:lang w:eastAsia="en-AU"/>
        </w:rPr>
        <w:t>Human Transmissible Spongiform Encephalopathies (TSE), including Creutzfeldt-Jakob Disease (CJD)</w:t>
      </w:r>
    </w:p>
    <w:p w14:paraId="418B5A27" w14:textId="77777777" w:rsidR="008D5412" w:rsidRPr="008D5412" w:rsidRDefault="008D5412" w:rsidP="008D5412">
      <w:pPr>
        <w:shd w:val="clear" w:color="auto" w:fill="FFFFFF"/>
        <w:spacing w:after="120"/>
        <w:outlineLvl w:val="3"/>
        <w:rPr>
          <w:rFonts w:ascii="Open Sans" w:hAnsi="Open Sans" w:cs="Open Sans"/>
          <w:sz w:val="24"/>
          <w:lang w:eastAsia="en-AU"/>
        </w:rPr>
      </w:pPr>
      <w:r w:rsidRPr="008D5412">
        <w:rPr>
          <w:rFonts w:ascii="Open Sans" w:hAnsi="Open Sans" w:cs="Open Sans"/>
          <w:sz w:val="24"/>
          <w:lang w:eastAsia="en-AU"/>
        </w:rPr>
        <w:t>1.1.1 Definitive Criteria</w:t>
      </w:r>
    </w:p>
    <w:p w14:paraId="1A0E5FBD" w14:textId="77777777" w:rsidR="008D5412" w:rsidRPr="008D5412" w:rsidRDefault="008D5412" w:rsidP="008D5412">
      <w:pPr>
        <w:numPr>
          <w:ilvl w:val="0"/>
          <w:numId w:val="20"/>
        </w:numPr>
        <w:shd w:val="clear" w:color="auto" w:fill="FFFFFF"/>
        <w:spacing w:after="90" w:line="300" w:lineRule="atLeast"/>
        <w:rPr>
          <w:rFonts w:ascii="Helvetica" w:hAnsi="Helvetica" w:cs="Helvetica"/>
          <w:sz w:val="20"/>
          <w:szCs w:val="20"/>
          <w:lang w:eastAsia="en-AU"/>
        </w:rPr>
      </w:pPr>
      <w:r w:rsidRPr="008D5412">
        <w:rPr>
          <w:rFonts w:ascii="Helvetica" w:hAnsi="Helvetica" w:cs="Helvetica"/>
          <w:sz w:val="20"/>
          <w:szCs w:val="20"/>
          <w:lang w:eastAsia="en-AU"/>
        </w:rPr>
        <w:t>Neuropathological confirmation of TSE supplemented by immunochemical detection of abnormal (typically protease resistant) prion protein (</w:t>
      </w:r>
      <w:proofErr w:type="spellStart"/>
      <w:r w:rsidRPr="008D5412">
        <w:rPr>
          <w:rFonts w:ascii="Helvetica" w:hAnsi="Helvetica" w:cs="Helvetica"/>
          <w:sz w:val="20"/>
          <w:szCs w:val="20"/>
          <w:lang w:eastAsia="en-AU"/>
        </w:rPr>
        <w:t>PrPsc</w:t>
      </w:r>
      <w:proofErr w:type="spellEnd"/>
      <w:r w:rsidRPr="008D5412">
        <w:rPr>
          <w:rFonts w:ascii="Helvetica" w:hAnsi="Helvetica" w:cs="Helvetica"/>
          <w:sz w:val="20"/>
          <w:szCs w:val="20"/>
          <w:lang w:eastAsia="en-AU"/>
        </w:rPr>
        <w:t>) by blot OR immunohistochemistry.</w:t>
      </w:r>
    </w:p>
    <w:p w14:paraId="347B99C5" w14:textId="77777777" w:rsidR="008D5412" w:rsidRPr="008D5412" w:rsidRDefault="008D5412" w:rsidP="008D5412">
      <w:pPr>
        <w:shd w:val="clear" w:color="auto" w:fill="FFFFFF"/>
        <w:spacing w:before="240" w:after="240" w:line="300" w:lineRule="atLeast"/>
        <w:rPr>
          <w:rFonts w:ascii="Helvetica" w:hAnsi="Helvetica" w:cs="Helvetica"/>
          <w:sz w:val="20"/>
          <w:szCs w:val="20"/>
          <w:lang w:eastAsia="en-AU"/>
        </w:rPr>
      </w:pPr>
      <w:r w:rsidRPr="008D5412">
        <w:rPr>
          <w:rFonts w:ascii="Helvetica" w:hAnsi="Helvetica" w:cs="Helvetica"/>
          <w:b/>
          <w:bCs/>
          <w:sz w:val="20"/>
          <w:szCs w:val="20"/>
          <w:lang w:eastAsia="en-AU"/>
        </w:rPr>
        <w:t>Note:</w:t>
      </w:r>
      <w:r w:rsidRPr="008D5412">
        <w:rPr>
          <w:rFonts w:ascii="Helvetica" w:hAnsi="Helvetica" w:cs="Helvetica"/>
          <w:sz w:val="20"/>
          <w:szCs w:val="20"/>
          <w:lang w:eastAsia="en-AU"/>
        </w:rPr>
        <w:t> Genetic forms of TSE: Definitive criteria with a recognized pathogenic prion protein gene (</w:t>
      </w:r>
      <w:r w:rsidRPr="008D5412">
        <w:rPr>
          <w:rFonts w:ascii="Helvetica" w:hAnsi="Helvetica" w:cs="Helvetica"/>
          <w:i/>
          <w:iCs/>
          <w:sz w:val="20"/>
          <w:szCs w:val="20"/>
          <w:lang w:eastAsia="en-AU"/>
        </w:rPr>
        <w:t>PRNP</w:t>
      </w:r>
      <w:r w:rsidRPr="008D5412">
        <w:rPr>
          <w:rFonts w:ascii="Helvetica" w:hAnsi="Helvetica" w:cs="Helvetica"/>
          <w:sz w:val="20"/>
          <w:szCs w:val="20"/>
          <w:lang w:eastAsia="en-AU"/>
        </w:rPr>
        <w:t>) mutation.</w:t>
      </w:r>
    </w:p>
    <w:p w14:paraId="04C6F8AE" w14:textId="77777777" w:rsidR="008D5412" w:rsidRPr="008D5412" w:rsidRDefault="008D5412" w:rsidP="008D5412">
      <w:pPr>
        <w:shd w:val="clear" w:color="auto" w:fill="FFFFFF"/>
        <w:spacing w:after="120"/>
        <w:outlineLvl w:val="3"/>
        <w:rPr>
          <w:rFonts w:ascii="Open Sans" w:hAnsi="Open Sans" w:cs="Open Sans"/>
          <w:sz w:val="24"/>
          <w:lang w:eastAsia="en-AU"/>
        </w:rPr>
      </w:pPr>
      <w:r w:rsidRPr="008D5412">
        <w:rPr>
          <w:rFonts w:ascii="Open Sans" w:hAnsi="Open Sans" w:cs="Open Sans"/>
          <w:sz w:val="24"/>
          <w:lang w:eastAsia="en-AU"/>
        </w:rPr>
        <w:t>1.1.2 Suggestive Criteria</w:t>
      </w:r>
    </w:p>
    <w:p w14:paraId="603EE414" w14:textId="77777777" w:rsidR="008D5412" w:rsidRPr="008D5412" w:rsidRDefault="008D5412" w:rsidP="008D5412">
      <w:pPr>
        <w:numPr>
          <w:ilvl w:val="0"/>
          <w:numId w:val="21"/>
        </w:numPr>
        <w:shd w:val="clear" w:color="auto" w:fill="FFFFFF"/>
        <w:spacing w:after="90" w:line="300" w:lineRule="atLeast"/>
        <w:rPr>
          <w:rFonts w:ascii="Helvetica" w:hAnsi="Helvetica" w:cs="Helvetica"/>
          <w:sz w:val="20"/>
          <w:szCs w:val="20"/>
          <w:lang w:eastAsia="en-AU"/>
        </w:rPr>
      </w:pPr>
      <w:r w:rsidRPr="008D5412">
        <w:rPr>
          <w:rFonts w:ascii="Helvetica" w:hAnsi="Helvetica" w:cs="Helvetica"/>
          <w:sz w:val="20"/>
          <w:szCs w:val="20"/>
          <w:lang w:eastAsia="en-AU"/>
        </w:rPr>
        <w:t>Presence of 14-3-3 protein in cerebrospinal fluid (CSF).</w:t>
      </w:r>
    </w:p>
    <w:p w14:paraId="67C0CE4C" w14:textId="77777777" w:rsidR="008D5412" w:rsidRPr="008D5412" w:rsidRDefault="008D5412" w:rsidP="008D5412">
      <w:pPr>
        <w:numPr>
          <w:ilvl w:val="0"/>
          <w:numId w:val="21"/>
        </w:numPr>
        <w:shd w:val="clear" w:color="auto" w:fill="FFFFFF"/>
        <w:spacing w:after="90" w:line="300" w:lineRule="atLeast"/>
        <w:rPr>
          <w:rFonts w:ascii="Helvetica" w:hAnsi="Helvetica" w:cs="Helvetica"/>
          <w:sz w:val="20"/>
          <w:szCs w:val="20"/>
          <w:lang w:eastAsia="en-AU"/>
        </w:rPr>
      </w:pPr>
      <w:r w:rsidRPr="008D5412">
        <w:rPr>
          <w:rFonts w:ascii="Helvetica" w:hAnsi="Helvetica" w:cs="Helvetica"/>
          <w:sz w:val="20"/>
          <w:szCs w:val="20"/>
          <w:lang w:eastAsia="en-AU"/>
        </w:rPr>
        <w:t xml:space="preserve">Real Time-Quaking </w:t>
      </w:r>
      <w:proofErr w:type="spellStart"/>
      <w:r w:rsidRPr="008D5412">
        <w:rPr>
          <w:rFonts w:ascii="Helvetica" w:hAnsi="Helvetica" w:cs="Helvetica"/>
          <w:sz w:val="20"/>
          <w:szCs w:val="20"/>
          <w:lang w:eastAsia="en-AU"/>
        </w:rPr>
        <w:t>lnduced</w:t>
      </w:r>
      <w:proofErr w:type="spellEnd"/>
      <w:r w:rsidRPr="008D5412">
        <w:rPr>
          <w:rFonts w:ascii="Helvetica" w:hAnsi="Helvetica" w:cs="Helvetica"/>
          <w:sz w:val="20"/>
          <w:szCs w:val="20"/>
          <w:lang w:eastAsia="en-AU"/>
        </w:rPr>
        <w:t xml:space="preserve"> Conversion (RT-</w:t>
      </w:r>
      <w:proofErr w:type="spellStart"/>
      <w:r w:rsidRPr="008D5412">
        <w:rPr>
          <w:rFonts w:ascii="Helvetica" w:hAnsi="Helvetica" w:cs="Helvetica"/>
          <w:sz w:val="20"/>
          <w:szCs w:val="20"/>
          <w:lang w:eastAsia="en-AU"/>
        </w:rPr>
        <w:t>QuIC</w:t>
      </w:r>
      <w:proofErr w:type="spellEnd"/>
      <w:r w:rsidRPr="008D5412">
        <w:rPr>
          <w:rFonts w:ascii="Helvetica" w:hAnsi="Helvetica" w:cs="Helvetica"/>
          <w:sz w:val="20"/>
          <w:szCs w:val="20"/>
          <w:lang w:eastAsia="en-AU"/>
        </w:rPr>
        <w:t xml:space="preserve">) of </w:t>
      </w:r>
      <w:proofErr w:type="spellStart"/>
      <w:r w:rsidRPr="008D5412">
        <w:rPr>
          <w:rFonts w:ascii="Helvetica" w:hAnsi="Helvetica" w:cs="Helvetica"/>
          <w:sz w:val="20"/>
          <w:szCs w:val="20"/>
          <w:lang w:eastAsia="en-AU"/>
        </w:rPr>
        <w:t>PrPC</w:t>
      </w:r>
      <w:proofErr w:type="spellEnd"/>
      <w:r w:rsidRPr="008D5412">
        <w:rPr>
          <w:rFonts w:ascii="Helvetica" w:hAnsi="Helvetica" w:cs="Helvetica"/>
          <w:sz w:val="20"/>
          <w:szCs w:val="20"/>
          <w:lang w:eastAsia="en-AU"/>
        </w:rPr>
        <w:t xml:space="preserve"> in CSF and other tissues</w:t>
      </w:r>
    </w:p>
    <w:p w14:paraId="6AB71D30" w14:textId="77777777" w:rsidR="008D5412" w:rsidRPr="008D5412" w:rsidRDefault="008D5412" w:rsidP="008D5412">
      <w:pPr>
        <w:numPr>
          <w:ilvl w:val="0"/>
          <w:numId w:val="21"/>
        </w:numPr>
        <w:shd w:val="clear" w:color="auto" w:fill="FFFFFF"/>
        <w:spacing w:after="90" w:line="300" w:lineRule="atLeast"/>
        <w:rPr>
          <w:rFonts w:ascii="Helvetica" w:hAnsi="Helvetica" w:cs="Helvetica"/>
          <w:sz w:val="20"/>
          <w:szCs w:val="20"/>
          <w:lang w:eastAsia="en-AU"/>
        </w:rPr>
      </w:pPr>
      <w:proofErr w:type="spellStart"/>
      <w:r w:rsidRPr="008D5412">
        <w:rPr>
          <w:rFonts w:ascii="Helvetica" w:hAnsi="Helvetica" w:cs="Helvetica"/>
          <w:sz w:val="20"/>
          <w:szCs w:val="20"/>
          <w:lang w:eastAsia="en-AU"/>
        </w:rPr>
        <w:t>PrPsc</w:t>
      </w:r>
      <w:proofErr w:type="spellEnd"/>
      <w:r w:rsidRPr="008D5412">
        <w:rPr>
          <w:rFonts w:ascii="Helvetica" w:hAnsi="Helvetica" w:cs="Helvetica"/>
          <w:sz w:val="20"/>
          <w:szCs w:val="20"/>
          <w:lang w:eastAsia="en-AU"/>
        </w:rPr>
        <w:t xml:space="preserve"> positive tonsil or other lymphoreticular tissue biopsy (variant CJD only).</w:t>
      </w:r>
    </w:p>
    <w:p w14:paraId="0DE7A3A4" w14:textId="77777777" w:rsidR="008D5412" w:rsidRPr="008D5412" w:rsidRDefault="008D5412" w:rsidP="008D5412">
      <w:pPr>
        <w:shd w:val="clear" w:color="auto" w:fill="FFFFFF"/>
        <w:spacing w:before="240" w:after="240" w:line="300" w:lineRule="atLeast"/>
        <w:rPr>
          <w:rFonts w:ascii="Helvetica" w:hAnsi="Helvetica" w:cs="Helvetica"/>
          <w:sz w:val="20"/>
          <w:szCs w:val="20"/>
          <w:lang w:eastAsia="en-AU"/>
        </w:rPr>
      </w:pPr>
      <w:r w:rsidRPr="008D5412">
        <w:rPr>
          <w:rFonts w:ascii="Helvetica" w:hAnsi="Helvetica" w:cs="Helvetica"/>
          <w:b/>
          <w:bCs/>
          <w:sz w:val="20"/>
          <w:szCs w:val="20"/>
          <w:lang w:eastAsia="en-AU"/>
        </w:rPr>
        <w:t>Note:</w:t>
      </w:r>
      <w:r w:rsidRPr="008D5412">
        <w:rPr>
          <w:rFonts w:ascii="Helvetica" w:hAnsi="Helvetica" w:cs="Helvetica"/>
          <w:sz w:val="20"/>
          <w:szCs w:val="20"/>
          <w:lang w:eastAsia="en-AU"/>
        </w:rPr>
        <w:t> Laboratory suggestive evidence requires clinical and/or radiological and/or electroencephalogram (EEG) evidence to meet the case definition of CJD/</w:t>
      </w:r>
      <w:proofErr w:type="spellStart"/>
      <w:r w:rsidRPr="008D5412">
        <w:rPr>
          <w:rFonts w:ascii="Helvetica" w:hAnsi="Helvetica" w:cs="Helvetica"/>
          <w:sz w:val="20"/>
          <w:szCs w:val="20"/>
          <w:lang w:eastAsia="en-AU"/>
        </w:rPr>
        <w:t>vCJD</w:t>
      </w:r>
      <w:proofErr w:type="spellEnd"/>
      <w:r w:rsidRPr="008D5412">
        <w:rPr>
          <w:rFonts w:ascii="Helvetica" w:hAnsi="Helvetica" w:cs="Helvetica"/>
          <w:sz w:val="20"/>
          <w:szCs w:val="20"/>
          <w:lang w:eastAsia="en-AU"/>
        </w:rPr>
        <w:t>.</w:t>
      </w:r>
    </w:p>
    <w:p w14:paraId="0A7D7EF5" w14:textId="77777777" w:rsidR="008D5412" w:rsidRPr="008D5412" w:rsidRDefault="008D5412" w:rsidP="008D5412">
      <w:pPr>
        <w:shd w:val="clear" w:color="auto" w:fill="FFFFFF"/>
        <w:spacing w:after="120"/>
        <w:outlineLvl w:val="3"/>
        <w:rPr>
          <w:rFonts w:ascii="Open Sans" w:hAnsi="Open Sans" w:cs="Open Sans"/>
          <w:sz w:val="24"/>
          <w:lang w:eastAsia="en-AU"/>
        </w:rPr>
      </w:pPr>
      <w:r w:rsidRPr="008D5412">
        <w:rPr>
          <w:rFonts w:ascii="Open Sans" w:hAnsi="Open Sans" w:cs="Open Sans"/>
          <w:sz w:val="24"/>
          <w:lang w:eastAsia="en-AU"/>
        </w:rPr>
        <w:lastRenderedPageBreak/>
        <w:t>1.1.3 Special Considerations / Guide for Use</w:t>
      </w:r>
    </w:p>
    <w:p w14:paraId="0B7C2F36" w14:textId="77777777" w:rsidR="008D5412" w:rsidRPr="008D5412" w:rsidRDefault="008D5412" w:rsidP="008D5412">
      <w:pPr>
        <w:shd w:val="clear" w:color="auto" w:fill="FFFFFF"/>
        <w:spacing w:after="240" w:line="300" w:lineRule="atLeast"/>
        <w:rPr>
          <w:rFonts w:ascii="Helvetica" w:hAnsi="Helvetica" w:cs="Helvetica"/>
          <w:sz w:val="20"/>
          <w:szCs w:val="20"/>
          <w:lang w:eastAsia="en-AU"/>
        </w:rPr>
      </w:pPr>
      <w:r w:rsidRPr="008D5412">
        <w:rPr>
          <w:rFonts w:ascii="Helvetica" w:hAnsi="Helvetica" w:cs="Helvetica"/>
          <w:sz w:val="20"/>
          <w:szCs w:val="20"/>
          <w:lang w:eastAsia="en-AU"/>
        </w:rPr>
        <w:t>Pre-mortem brain biopsy is not recommended as a routine procedure to confirm the clinical suspicion of TSE.</w:t>
      </w:r>
    </w:p>
    <w:p w14:paraId="362BD28E" w14:textId="77777777" w:rsidR="008D5412" w:rsidRPr="008D5412" w:rsidRDefault="008D5412" w:rsidP="008D5412">
      <w:pPr>
        <w:shd w:val="clear" w:color="auto" w:fill="FFFFFF"/>
        <w:spacing w:after="120"/>
        <w:outlineLvl w:val="3"/>
        <w:rPr>
          <w:rFonts w:ascii="Open Sans" w:hAnsi="Open Sans" w:cs="Open Sans"/>
          <w:color w:val="000000"/>
          <w:sz w:val="24"/>
          <w:lang w:eastAsia="en-AU"/>
        </w:rPr>
      </w:pPr>
      <w:r w:rsidRPr="008D5412">
        <w:rPr>
          <w:rFonts w:ascii="Open Sans" w:hAnsi="Open Sans" w:cs="Open Sans"/>
          <w:color w:val="000000"/>
          <w:sz w:val="24"/>
          <w:lang w:eastAsia="en-AU"/>
        </w:rPr>
        <w:t>1.1.4 Links to related documents</w:t>
      </w:r>
    </w:p>
    <w:p w14:paraId="4A39644E" w14:textId="77777777" w:rsidR="008D5412" w:rsidRPr="008D5412" w:rsidRDefault="00860860" w:rsidP="008D5412">
      <w:pPr>
        <w:numPr>
          <w:ilvl w:val="0"/>
          <w:numId w:val="22"/>
        </w:numPr>
        <w:shd w:val="clear" w:color="auto" w:fill="FFFFFF"/>
        <w:spacing w:after="90" w:line="300" w:lineRule="atLeast"/>
        <w:rPr>
          <w:rFonts w:ascii="Helvetica" w:hAnsi="Helvetica" w:cs="Helvetica"/>
          <w:color w:val="222222"/>
          <w:sz w:val="20"/>
          <w:szCs w:val="20"/>
          <w:lang w:eastAsia="en-AU"/>
        </w:rPr>
      </w:pPr>
      <w:hyperlink r:id="rId11" w:history="1">
        <w:r w:rsidR="008D5412" w:rsidRPr="008D5412">
          <w:rPr>
            <w:rFonts w:ascii="Helvetica" w:hAnsi="Helvetica" w:cs="Helvetica"/>
            <w:color w:val="1157AD"/>
            <w:sz w:val="20"/>
            <w:szCs w:val="20"/>
            <w:u w:val="single"/>
            <w:lang w:eastAsia="en-AU"/>
          </w:rPr>
          <w:t>CDNA (clinical) case definition for Creutzfeldt-Jakob Disease</w:t>
        </w:r>
      </w:hyperlink>
      <w:r w:rsidR="008D5412" w:rsidRPr="008D5412">
        <w:rPr>
          <w:rFonts w:ascii="Helvetica" w:hAnsi="Helvetica" w:cs="Helvetica"/>
          <w:color w:val="222222"/>
          <w:sz w:val="20"/>
          <w:szCs w:val="20"/>
          <w:lang w:eastAsia="en-AU"/>
        </w:rPr>
        <w:t>: through (www.health.gov.au/casedefinitions) or directly at (www.health.gov.au/internet/main/publishing.nsf/Content/cda-surveil-nndss-casedefs-cd_cjd.htm)</w:t>
      </w:r>
    </w:p>
    <w:p w14:paraId="16C9F28F" w14:textId="77777777" w:rsidR="008D5412" w:rsidRPr="008D5412" w:rsidRDefault="00860860" w:rsidP="008D5412">
      <w:pPr>
        <w:numPr>
          <w:ilvl w:val="0"/>
          <w:numId w:val="22"/>
        </w:numPr>
        <w:shd w:val="clear" w:color="auto" w:fill="FFFFFF"/>
        <w:spacing w:after="90" w:line="300" w:lineRule="atLeast"/>
        <w:rPr>
          <w:rFonts w:ascii="Helvetica" w:hAnsi="Helvetica" w:cs="Helvetica"/>
          <w:color w:val="222222"/>
          <w:sz w:val="20"/>
          <w:szCs w:val="20"/>
          <w:lang w:eastAsia="en-AU"/>
        </w:rPr>
      </w:pPr>
      <w:hyperlink r:id="rId12" w:history="1">
        <w:r w:rsidR="008D5412" w:rsidRPr="008D5412">
          <w:rPr>
            <w:rFonts w:ascii="Helvetica" w:hAnsi="Helvetica" w:cs="Helvetica"/>
            <w:color w:val="1157AD"/>
            <w:sz w:val="20"/>
            <w:szCs w:val="20"/>
            <w:u w:val="single"/>
            <w:lang w:eastAsia="en-AU"/>
          </w:rPr>
          <w:t>CDNA (clinical) case definition for Variant Creutzfeldt-Jakob Disease</w:t>
        </w:r>
      </w:hyperlink>
      <w:r w:rsidR="008D5412" w:rsidRPr="008D5412">
        <w:rPr>
          <w:rFonts w:ascii="Helvetica" w:hAnsi="Helvetica" w:cs="Helvetica"/>
          <w:color w:val="222222"/>
          <w:sz w:val="20"/>
          <w:szCs w:val="20"/>
          <w:lang w:eastAsia="en-AU"/>
        </w:rPr>
        <w:t>: through (www.health.gov.au/casedefinitions) or directly at (www.health.gov.au/internet/main/publishing.nsf/Content/cda-nndss-casedef-vcjd.htm)</w:t>
      </w:r>
    </w:p>
    <w:p w14:paraId="5C6B12D7" w14:textId="77777777" w:rsidR="008D5412" w:rsidRPr="008D5412" w:rsidRDefault="00860860" w:rsidP="008D5412">
      <w:pPr>
        <w:numPr>
          <w:ilvl w:val="0"/>
          <w:numId w:val="22"/>
        </w:numPr>
        <w:shd w:val="clear" w:color="auto" w:fill="FFFFFF"/>
        <w:spacing w:after="90" w:line="300" w:lineRule="atLeast"/>
        <w:rPr>
          <w:rFonts w:ascii="Helvetica" w:hAnsi="Helvetica" w:cs="Helvetica"/>
          <w:color w:val="222222"/>
          <w:sz w:val="20"/>
          <w:szCs w:val="20"/>
          <w:lang w:eastAsia="en-AU"/>
        </w:rPr>
      </w:pPr>
      <w:hyperlink r:id="rId13" w:history="1">
        <w:r w:rsidR="008D5412" w:rsidRPr="008D5412">
          <w:rPr>
            <w:rFonts w:ascii="Helvetica" w:hAnsi="Helvetica" w:cs="Helvetica"/>
            <w:color w:val="1157AD"/>
            <w:sz w:val="20"/>
            <w:szCs w:val="20"/>
            <w:u w:val="single"/>
            <w:lang w:eastAsia="en-AU"/>
          </w:rPr>
          <w:t>CDNA The Creutzfeldt-Jakob Disease Infection Control Guidelines 2013</w:t>
        </w:r>
      </w:hyperlink>
      <w:r w:rsidR="008D5412" w:rsidRPr="008D5412">
        <w:rPr>
          <w:rFonts w:ascii="Helvetica" w:hAnsi="Helvetica" w:cs="Helvetica"/>
          <w:color w:val="222222"/>
          <w:sz w:val="20"/>
          <w:szCs w:val="20"/>
          <w:lang w:eastAsia="en-AU"/>
        </w:rPr>
        <w:t> at (www.health.gov.au/internet/main/publishing.nsf/Content/icg-guidelines-index.htm)</w:t>
      </w:r>
    </w:p>
    <w:p w14:paraId="12BEB978" w14:textId="77777777" w:rsidR="008D5412" w:rsidRPr="008D5412" w:rsidRDefault="00860860" w:rsidP="008D5412">
      <w:pPr>
        <w:numPr>
          <w:ilvl w:val="0"/>
          <w:numId w:val="22"/>
        </w:numPr>
        <w:shd w:val="clear" w:color="auto" w:fill="FFFFFF"/>
        <w:spacing w:after="90" w:line="300" w:lineRule="atLeast"/>
        <w:rPr>
          <w:rFonts w:ascii="Helvetica" w:hAnsi="Helvetica" w:cs="Helvetica"/>
          <w:color w:val="222222"/>
          <w:sz w:val="20"/>
          <w:szCs w:val="20"/>
          <w:lang w:eastAsia="en-AU"/>
        </w:rPr>
      </w:pPr>
      <w:hyperlink r:id="rId14" w:history="1">
        <w:r w:rsidR="008D5412" w:rsidRPr="008D5412">
          <w:rPr>
            <w:rFonts w:ascii="Helvetica" w:hAnsi="Helvetica" w:cs="Helvetica"/>
            <w:color w:val="1157AD"/>
            <w:sz w:val="20"/>
            <w:szCs w:val="20"/>
            <w:u w:val="single"/>
            <w:lang w:eastAsia="en-AU"/>
          </w:rPr>
          <w:t>Australian Government. Department of Health. The use of human pituitary hormones in Australia and Creutzfeldt-Jakob disease</w:t>
        </w:r>
      </w:hyperlink>
      <w:r w:rsidR="008D5412" w:rsidRPr="008D5412">
        <w:rPr>
          <w:rFonts w:ascii="Helvetica" w:hAnsi="Helvetica" w:cs="Helvetica"/>
          <w:color w:val="222222"/>
          <w:sz w:val="20"/>
          <w:szCs w:val="20"/>
          <w:lang w:eastAsia="en-AU"/>
        </w:rPr>
        <w:t> at (www.health.gov.au/internet/main/publishing.nsf/Content/health-pubhlth-strateg-phi-index.htm)</w:t>
      </w:r>
    </w:p>
    <w:p w14:paraId="39DDF1A2" w14:textId="77777777" w:rsidR="008D5412" w:rsidRPr="008D5412" w:rsidRDefault="00860860" w:rsidP="008D5412">
      <w:pPr>
        <w:numPr>
          <w:ilvl w:val="0"/>
          <w:numId w:val="22"/>
        </w:numPr>
        <w:shd w:val="clear" w:color="auto" w:fill="FFFFFF"/>
        <w:spacing w:after="90" w:line="300" w:lineRule="atLeast"/>
        <w:rPr>
          <w:rFonts w:ascii="Helvetica" w:hAnsi="Helvetica" w:cs="Helvetica"/>
          <w:color w:val="222222"/>
          <w:sz w:val="20"/>
          <w:szCs w:val="20"/>
          <w:lang w:eastAsia="en-AU"/>
        </w:rPr>
      </w:pPr>
      <w:hyperlink r:id="rId15" w:history="1">
        <w:r w:rsidR="008D5412" w:rsidRPr="008D5412">
          <w:rPr>
            <w:rFonts w:ascii="Helvetica" w:hAnsi="Helvetica" w:cs="Helvetica"/>
            <w:color w:val="1157AD"/>
            <w:sz w:val="20"/>
            <w:szCs w:val="20"/>
            <w:u w:val="single"/>
            <w:lang w:eastAsia="en-AU"/>
          </w:rPr>
          <w:t>Australian Government. Department of Health. Bovine Spongiform Encephalopathy (BSE) in animals</w:t>
        </w:r>
      </w:hyperlink>
      <w:r w:rsidR="008D5412" w:rsidRPr="008D5412">
        <w:rPr>
          <w:rFonts w:ascii="Helvetica" w:hAnsi="Helvetica" w:cs="Helvetica"/>
          <w:color w:val="222222"/>
          <w:sz w:val="20"/>
          <w:szCs w:val="20"/>
          <w:lang w:eastAsia="en-AU"/>
        </w:rPr>
        <w:t> at (www.health.gov.au/internet/main/publishing.nsf/Content/health-pubhlth-strateg-bse-index.htm)</w:t>
      </w:r>
    </w:p>
    <w:p w14:paraId="128BA0CE" w14:textId="77777777" w:rsidR="008D5412" w:rsidRPr="008D5412" w:rsidRDefault="008D5412" w:rsidP="008D5412">
      <w:pPr>
        <w:shd w:val="clear" w:color="auto" w:fill="FFFFFF"/>
        <w:spacing w:after="120"/>
        <w:outlineLvl w:val="1"/>
        <w:rPr>
          <w:rFonts w:ascii="Open Sans" w:hAnsi="Open Sans" w:cs="Open Sans"/>
          <w:sz w:val="36"/>
          <w:szCs w:val="36"/>
          <w:lang w:eastAsia="en-AU"/>
        </w:rPr>
      </w:pPr>
      <w:r w:rsidRPr="008D5412">
        <w:rPr>
          <w:rFonts w:ascii="Open Sans" w:hAnsi="Open Sans" w:cs="Open Sans"/>
          <w:sz w:val="36"/>
          <w:szCs w:val="36"/>
          <w:lang w:eastAsia="en-AU"/>
        </w:rPr>
        <w:t>2 Background</w:t>
      </w:r>
    </w:p>
    <w:p w14:paraId="11A4C738" w14:textId="77777777" w:rsidR="008D5412" w:rsidRPr="008D5412" w:rsidRDefault="008D5412" w:rsidP="008D5412">
      <w:pPr>
        <w:shd w:val="clear" w:color="auto" w:fill="FFFFFF"/>
        <w:spacing w:before="240" w:after="120"/>
        <w:outlineLvl w:val="2"/>
        <w:rPr>
          <w:rFonts w:ascii="Open Sans" w:hAnsi="Open Sans" w:cs="Open Sans"/>
          <w:sz w:val="27"/>
          <w:szCs w:val="27"/>
          <w:lang w:eastAsia="en-AU"/>
        </w:rPr>
      </w:pPr>
      <w:r w:rsidRPr="008D5412">
        <w:rPr>
          <w:rFonts w:ascii="Open Sans" w:hAnsi="Open Sans" w:cs="Open Sans"/>
          <w:sz w:val="27"/>
          <w:szCs w:val="27"/>
          <w:lang w:eastAsia="en-AU"/>
        </w:rPr>
        <w:t>2.1 Introduction</w:t>
      </w:r>
    </w:p>
    <w:p w14:paraId="797B74A6" w14:textId="2787D747" w:rsidR="008D5412" w:rsidRPr="008D5412" w:rsidRDefault="008D5412" w:rsidP="008D5412">
      <w:pPr>
        <w:shd w:val="clear" w:color="auto" w:fill="FFFFFF"/>
        <w:spacing w:after="240" w:line="300" w:lineRule="atLeast"/>
        <w:rPr>
          <w:rFonts w:ascii="Helvetica" w:hAnsi="Helvetica" w:cs="Helvetica"/>
          <w:sz w:val="20"/>
          <w:szCs w:val="20"/>
          <w:lang w:eastAsia="en-AU"/>
        </w:rPr>
      </w:pPr>
      <w:r w:rsidRPr="008D5412">
        <w:rPr>
          <w:rFonts w:ascii="Helvetica" w:hAnsi="Helvetica" w:cs="Helvetica"/>
          <w:sz w:val="20"/>
          <w:szCs w:val="20"/>
          <w:lang w:eastAsia="en-AU"/>
        </w:rPr>
        <w:t>Transmissible spongiform encephalopathies (TSE), or prion diseases, are a group of invariably fatal neurodegenerative disorders, which may involve prolonged incubation periods (order of years to decades) after horizontal transmission in humans and animals</w:t>
      </w:r>
      <w:r w:rsidRPr="008D5412">
        <w:rPr>
          <w:rFonts w:ascii="Helvetica" w:hAnsi="Helvetica" w:cs="Helvetica"/>
          <w:sz w:val="15"/>
          <w:szCs w:val="15"/>
          <w:vertAlign w:val="superscript"/>
          <w:lang w:eastAsia="en-AU"/>
        </w:rPr>
        <w:t>1</w:t>
      </w:r>
      <w:r w:rsidRPr="008D5412">
        <w:rPr>
          <w:rFonts w:ascii="Helvetica" w:hAnsi="Helvetica" w:cs="Helvetica"/>
          <w:sz w:val="20"/>
          <w:szCs w:val="20"/>
          <w:lang w:eastAsia="en-AU"/>
        </w:rPr>
        <w:t>.</w:t>
      </w:r>
    </w:p>
    <w:p w14:paraId="1037052F" w14:textId="402FA281" w:rsidR="008D5412" w:rsidRPr="008D5412" w:rsidRDefault="008D5412" w:rsidP="008D5412">
      <w:pPr>
        <w:shd w:val="clear" w:color="auto" w:fill="FFFFFF"/>
        <w:spacing w:after="240" w:line="300" w:lineRule="atLeast"/>
        <w:rPr>
          <w:rFonts w:ascii="Helvetica" w:hAnsi="Helvetica" w:cs="Helvetica"/>
          <w:sz w:val="20"/>
          <w:szCs w:val="20"/>
          <w:lang w:eastAsia="en-AU"/>
        </w:rPr>
      </w:pPr>
      <w:r w:rsidRPr="008D5412">
        <w:rPr>
          <w:rFonts w:ascii="Helvetica" w:hAnsi="Helvetica" w:cs="Helvetica"/>
          <w:sz w:val="20"/>
          <w:szCs w:val="20"/>
          <w:lang w:eastAsia="en-AU"/>
        </w:rPr>
        <w:t xml:space="preserve">The precise biophysical nature of the agent responsible for transmission in TSEs is not fully understood, however the transmissible agent is comprised primarily, if not exclusively, by </w:t>
      </w:r>
      <w:proofErr w:type="spellStart"/>
      <w:r w:rsidRPr="008D5412">
        <w:rPr>
          <w:rFonts w:ascii="Helvetica" w:hAnsi="Helvetica" w:cs="Helvetica"/>
          <w:sz w:val="20"/>
          <w:szCs w:val="20"/>
          <w:lang w:eastAsia="en-AU"/>
        </w:rPr>
        <w:t>PrPsc</w:t>
      </w:r>
      <w:proofErr w:type="spellEnd"/>
      <w:r w:rsidRPr="008D5412">
        <w:rPr>
          <w:rFonts w:ascii="Helvetica" w:hAnsi="Helvetica" w:cs="Helvetica"/>
          <w:sz w:val="20"/>
          <w:szCs w:val="20"/>
          <w:lang w:eastAsia="en-AU"/>
        </w:rPr>
        <w:t>, a misfolded conformer of the normal cellular prion protein (</w:t>
      </w:r>
      <w:proofErr w:type="spellStart"/>
      <w:r w:rsidRPr="008D5412">
        <w:rPr>
          <w:rFonts w:ascii="Helvetica" w:hAnsi="Helvetica" w:cs="Helvetica"/>
          <w:sz w:val="20"/>
          <w:szCs w:val="20"/>
          <w:lang w:eastAsia="en-AU"/>
        </w:rPr>
        <w:t>PrPc</w:t>
      </w:r>
      <w:proofErr w:type="spellEnd"/>
      <w:r w:rsidRPr="008D5412">
        <w:rPr>
          <w:rFonts w:ascii="Helvetica" w:hAnsi="Helvetica" w:cs="Helvetica"/>
          <w:sz w:val="20"/>
          <w:szCs w:val="20"/>
          <w:lang w:eastAsia="en-AU"/>
        </w:rPr>
        <w:t>). The term prion is derived from the phrase “proteinaceous infectious particle”</w:t>
      </w:r>
      <w:r w:rsidRPr="008D5412">
        <w:rPr>
          <w:rFonts w:ascii="Helvetica" w:hAnsi="Helvetica" w:cs="Helvetica"/>
          <w:sz w:val="15"/>
          <w:szCs w:val="15"/>
          <w:vertAlign w:val="superscript"/>
          <w:lang w:eastAsia="en-AU"/>
        </w:rPr>
        <w:t>1</w:t>
      </w:r>
      <w:r w:rsidRPr="008D5412">
        <w:rPr>
          <w:rFonts w:ascii="Helvetica" w:hAnsi="Helvetica" w:cs="Helvetica"/>
          <w:sz w:val="20"/>
          <w:szCs w:val="20"/>
          <w:lang w:eastAsia="en-AU"/>
        </w:rPr>
        <w:t xml:space="preserve">. Both </w:t>
      </w:r>
      <w:proofErr w:type="spellStart"/>
      <w:r w:rsidRPr="008D5412">
        <w:rPr>
          <w:rFonts w:ascii="Helvetica" w:hAnsi="Helvetica" w:cs="Helvetica"/>
          <w:sz w:val="20"/>
          <w:szCs w:val="20"/>
          <w:lang w:eastAsia="en-AU"/>
        </w:rPr>
        <w:t>PrPsc</w:t>
      </w:r>
      <w:proofErr w:type="spellEnd"/>
      <w:r w:rsidRPr="008D5412">
        <w:rPr>
          <w:rFonts w:ascii="Helvetica" w:hAnsi="Helvetica" w:cs="Helvetica"/>
          <w:sz w:val="20"/>
          <w:szCs w:val="20"/>
          <w:lang w:eastAsia="en-AU"/>
        </w:rPr>
        <w:t xml:space="preserve"> and </w:t>
      </w:r>
      <w:proofErr w:type="spellStart"/>
      <w:r w:rsidRPr="008D5412">
        <w:rPr>
          <w:rFonts w:ascii="Helvetica" w:hAnsi="Helvetica" w:cs="Helvetica"/>
          <w:sz w:val="20"/>
          <w:szCs w:val="20"/>
          <w:lang w:eastAsia="en-AU"/>
        </w:rPr>
        <w:t>PrPc</w:t>
      </w:r>
      <w:proofErr w:type="spellEnd"/>
      <w:r w:rsidRPr="008D5412">
        <w:rPr>
          <w:rFonts w:ascii="Helvetica" w:hAnsi="Helvetica" w:cs="Helvetica"/>
          <w:sz w:val="20"/>
          <w:szCs w:val="20"/>
          <w:lang w:eastAsia="en-AU"/>
        </w:rPr>
        <w:t xml:space="preserve"> are encoded from the same sequence of the prion protein gene (</w:t>
      </w:r>
      <w:r w:rsidRPr="008D5412">
        <w:rPr>
          <w:rFonts w:ascii="Helvetica" w:hAnsi="Helvetica" w:cs="Helvetica"/>
          <w:i/>
          <w:iCs/>
          <w:sz w:val="20"/>
          <w:szCs w:val="20"/>
          <w:lang w:eastAsia="en-AU"/>
        </w:rPr>
        <w:t>PRNP</w:t>
      </w:r>
      <w:r w:rsidRPr="008D5412">
        <w:rPr>
          <w:rFonts w:ascii="Helvetica" w:hAnsi="Helvetica" w:cs="Helvetica"/>
          <w:sz w:val="20"/>
          <w:szCs w:val="20"/>
          <w:lang w:eastAsia="en-AU"/>
        </w:rPr>
        <w:t xml:space="preserve">); hence, the </w:t>
      </w:r>
      <w:proofErr w:type="spellStart"/>
      <w:r w:rsidRPr="008D5412">
        <w:rPr>
          <w:rFonts w:ascii="Helvetica" w:hAnsi="Helvetica" w:cs="Helvetica"/>
          <w:sz w:val="20"/>
          <w:szCs w:val="20"/>
          <w:lang w:eastAsia="en-AU"/>
        </w:rPr>
        <w:t>PrPsc</w:t>
      </w:r>
      <w:proofErr w:type="spellEnd"/>
      <w:r w:rsidRPr="008D5412">
        <w:rPr>
          <w:rFonts w:ascii="Helvetica" w:hAnsi="Helvetica" w:cs="Helvetica"/>
          <w:sz w:val="20"/>
          <w:szCs w:val="20"/>
          <w:lang w:eastAsia="en-AU"/>
        </w:rPr>
        <w:t xml:space="preserve"> isoform differs from the normal </w:t>
      </w:r>
      <w:proofErr w:type="spellStart"/>
      <w:r w:rsidRPr="008D5412">
        <w:rPr>
          <w:rFonts w:ascii="Helvetica" w:hAnsi="Helvetica" w:cs="Helvetica"/>
          <w:sz w:val="20"/>
          <w:szCs w:val="20"/>
          <w:lang w:eastAsia="en-AU"/>
        </w:rPr>
        <w:t>PrPc</w:t>
      </w:r>
      <w:proofErr w:type="spellEnd"/>
      <w:r w:rsidRPr="008D5412">
        <w:rPr>
          <w:rFonts w:ascii="Helvetica" w:hAnsi="Helvetica" w:cs="Helvetica"/>
          <w:sz w:val="20"/>
          <w:szCs w:val="20"/>
          <w:lang w:eastAsia="en-AU"/>
        </w:rPr>
        <w:t xml:space="preserve"> isoform in secondary and tertiary structure but not in primary amino acids sequence</w:t>
      </w:r>
      <w:r w:rsidRPr="008D5412">
        <w:rPr>
          <w:rFonts w:ascii="Helvetica" w:hAnsi="Helvetica" w:cs="Helvetica"/>
          <w:sz w:val="15"/>
          <w:szCs w:val="15"/>
          <w:vertAlign w:val="superscript"/>
          <w:lang w:eastAsia="en-AU"/>
        </w:rPr>
        <w:t>2</w:t>
      </w:r>
      <w:r w:rsidRPr="008D5412">
        <w:rPr>
          <w:rFonts w:ascii="Helvetica" w:hAnsi="Helvetica" w:cs="Helvetica"/>
          <w:sz w:val="20"/>
          <w:szCs w:val="20"/>
          <w:lang w:eastAsia="en-AU"/>
        </w:rPr>
        <w:t xml:space="preserve">. The </w:t>
      </w:r>
      <w:proofErr w:type="spellStart"/>
      <w:r w:rsidRPr="008D5412">
        <w:rPr>
          <w:rFonts w:ascii="Helvetica" w:hAnsi="Helvetica" w:cs="Helvetica"/>
          <w:sz w:val="20"/>
          <w:szCs w:val="20"/>
          <w:lang w:eastAsia="en-AU"/>
        </w:rPr>
        <w:t>PrPsc</w:t>
      </w:r>
      <w:proofErr w:type="spellEnd"/>
      <w:r w:rsidRPr="008D5412">
        <w:rPr>
          <w:rFonts w:ascii="Helvetica" w:hAnsi="Helvetica" w:cs="Helvetica"/>
          <w:sz w:val="20"/>
          <w:szCs w:val="20"/>
          <w:lang w:eastAsia="en-AU"/>
        </w:rPr>
        <w:t xml:space="preserve"> isoform is typically highly resistant to proteolysis and degradation by conventional means of chemical and physical decontamination or disinfection. In contrast, the </w:t>
      </w:r>
      <w:proofErr w:type="spellStart"/>
      <w:r w:rsidRPr="008D5412">
        <w:rPr>
          <w:rFonts w:ascii="Helvetica" w:hAnsi="Helvetica" w:cs="Helvetica"/>
          <w:sz w:val="20"/>
          <w:szCs w:val="20"/>
          <w:lang w:eastAsia="en-AU"/>
        </w:rPr>
        <w:t>PrPc</w:t>
      </w:r>
      <w:proofErr w:type="spellEnd"/>
      <w:r w:rsidRPr="008D5412">
        <w:rPr>
          <w:rFonts w:ascii="Helvetica" w:hAnsi="Helvetica" w:cs="Helvetica"/>
          <w:sz w:val="20"/>
          <w:szCs w:val="20"/>
          <w:lang w:eastAsia="en-AU"/>
        </w:rPr>
        <w:t xml:space="preserve"> is soluble in non-denaturing detergents and is completely degraded by proteases</w:t>
      </w:r>
      <w:r w:rsidRPr="008D5412">
        <w:rPr>
          <w:rFonts w:ascii="Helvetica" w:hAnsi="Helvetica" w:cs="Helvetica"/>
          <w:sz w:val="15"/>
          <w:szCs w:val="15"/>
          <w:vertAlign w:val="superscript"/>
          <w:lang w:eastAsia="en-AU"/>
        </w:rPr>
        <w:t>2</w:t>
      </w:r>
      <w:r w:rsidRPr="008D5412">
        <w:rPr>
          <w:rFonts w:ascii="Helvetica" w:hAnsi="Helvetica" w:cs="Helvetica"/>
          <w:sz w:val="20"/>
          <w:szCs w:val="20"/>
          <w:lang w:eastAsia="en-AU"/>
        </w:rPr>
        <w:t xml:space="preserve">. </w:t>
      </w:r>
      <w:proofErr w:type="spellStart"/>
      <w:r w:rsidRPr="008D5412">
        <w:rPr>
          <w:rFonts w:ascii="Helvetica" w:hAnsi="Helvetica" w:cs="Helvetica"/>
          <w:sz w:val="20"/>
          <w:szCs w:val="20"/>
          <w:lang w:eastAsia="en-AU"/>
        </w:rPr>
        <w:t>PrPsc</w:t>
      </w:r>
      <w:proofErr w:type="spellEnd"/>
      <w:r w:rsidRPr="008D5412">
        <w:rPr>
          <w:rFonts w:ascii="Helvetica" w:hAnsi="Helvetica" w:cs="Helvetica"/>
          <w:sz w:val="20"/>
          <w:szCs w:val="20"/>
          <w:lang w:eastAsia="en-AU"/>
        </w:rPr>
        <w:t xml:space="preserve"> is transmissible in the laboratory to many species, including wild-type and transgenic mice and non-human primates</w:t>
      </w:r>
      <w:r w:rsidRPr="008D5412">
        <w:rPr>
          <w:rFonts w:ascii="Helvetica" w:hAnsi="Helvetica" w:cs="Helvetica"/>
          <w:sz w:val="15"/>
          <w:szCs w:val="15"/>
          <w:vertAlign w:val="superscript"/>
          <w:lang w:eastAsia="en-AU"/>
        </w:rPr>
        <w:t>3</w:t>
      </w:r>
      <w:r w:rsidRPr="008D5412">
        <w:rPr>
          <w:rFonts w:ascii="Helvetica" w:hAnsi="Helvetica" w:cs="Helvetica"/>
          <w:sz w:val="20"/>
          <w:szCs w:val="20"/>
          <w:lang w:eastAsia="en-AU"/>
        </w:rPr>
        <w:t>. Prion diseases of humans are not transmitted through casual or intimate person-to-person contact.</w:t>
      </w:r>
    </w:p>
    <w:p w14:paraId="29CE9FBC" w14:textId="31F08786" w:rsidR="008D5412" w:rsidRPr="008D5412" w:rsidRDefault="008D5412" w:rsidP="008D5412">
      <w:pPr>
        <w:shd w:val="clear" w:color="auto" w:fill="FFFFFF"/>
        <w:spacing w:after="240" w:line="300" w:lineRule="atLeast"/>
        <w:rPr>
          <w:rFonts w:ascii="Helvetica" w:hAnsi="Helvetica" w:cs="Helvetica"/>
          <w:sz w:val="20"/>
          <w:szCs w:val="20"/>
          <w:lang w:eastAsia="en-AU"/>
        </w:rPr>
      </w:pPr>
      <w:r w:rsidRPr="008D5412">
        <w:rPr>
          <w:rFonts w:ascii="Helvetica" w:hAnsi="Helvetica" w:cs="Helvetica"/>
          <w:sz w:val="20"/>
          <w:szCs w:val="20"/>
          <w:lang w:eastAsia="en-AU"/>
        </w:rPr>
        <w:t>There are 9 human TSE sub-types: (1) sporadic Creutzfeldt-Jakob disease (</w:t>
      </w:r>
      <w:proofErr w:type="spellStart"/>
      <w:r w:rsidRPr="008D5412">
        <w:rPr>
          <w:rFonts w:ascii="Helvetica" w:hAnsi="Helvetica" w:cs="Helvetica"/>
          <w:sz w:val="20"/>
          <w:szCs w:val="20"/>
          <w:lang w:eastAsia="en-AU"/>
        </w:rPr>
        <w:t>sCJD</w:t>
      </w:r>
      <w:proofErr w:type="spellEnd"/>
      <w:r w:rsidRPr="008D5412">
        <w:rPr>
          <w:rFonts w:ascii="Helvetica" w:hAnsi="Helvetica" w:cs="Helvetica"/>
          <w:sz w:val="20"/>
          <w:szCs w:val="20"/>
          <w:lang w:eastAsia="en-AU"/>
        </w:rPr>
        <w:t>), (2) genetic CJD (</w:t>
      </w:r>
      <w:proofErr w:type="spellStart"/>
      <w:r w:rsidRPr="008D5412">
        <w:rPr>
          <w:rFonts w:ascii="Helvetica" w:hAnsi="Helvetica" w:cs="Helvetica"/>
          <w:sz w:val="20"/>
          <w:szCs w:val="20"/>
          <w:lang w:eastAsia="en-AU"/>
        </w:rPr>
        <w:t>gCJD</w:t>
      </w:r>
      <w:proofErr w:type="spellEnd"/>
      <w:r w:rsidRPr="008D5412">
        <w:rPr>
          <w:rFonts w:ascii="Helvetica" w:hAnsi="Helvetica" w:cs="Helvetica"/>
          <w:sz w:val="20"/>
          <w:szCs w:val="20"/>
          <w:lang w:eastAsia="en-AU"/>
        </w:rPr>
        <w:t>), (3) iatrogenic CJD (</w:t>
      </w:r>
      <w:proofErr w:type="spellStart"/>
      <w:r w:rsidRPr="008D5412">
        <w:rPr>
          <w:rFonts w:ascii="Helvetica" w:hAnsi="Helvetica" w:cs="Helvetica"/>
          <w:sz w:val="20"/>
          <w:szCs w:val="20"/>
          <w:lang w:eastAsia="en-AU"/>
        </w:rPr>
        <w:t>iCJD</w:t>
      </w:r>
      <w:proofErr w:type="spellEnd"/>
      <w:r w:rsidRPr="008D5412">
        <w:rPr>
          <w:rFonts w:ascii="Helvetica" w:hAnsi="Helvetica" w:cs="Helvetica"/>
          <w:sz w:val="20"/>
          <w:szCs w:val="20"/>
          <w:lang w:eastAsia="en-AU"/>
        </w:rPr>
        <w:t>), (4) variant CJD (</w:t>
      </w:r>
      <w:proofErr w:type="spellStart"/>
      <w:r w:rsidRPr="008D5412">
        <w:rPr>
          <w:rFonts w:ascii="Helvetica" w:hAnsi="Helvetica" w:cs="Helvetica"/>
          <w:sz w:val="20"/>
          <w:szCs w:val="20"/>
          <w:lang w:eastAsia="en-AU"/>
        </w:rPr>
        <w:t>vCJD</w:t>
      </w:r>
      <w:proofErr w:type="spellEnd"/>
      <w:r w:rsidRPr="008D5412">
        <w:rPr>
          <w:rFonts w:ascii="Helvetica" w:hAnsi="Helvetica" w:cs="Helvetica"/>
          <w:sz w:val="20"/>
          <w:szCs w:val="20"/>
          <w:lang w:eastAsia="en-AU"/>
        </w:rPr>
        <w:t xml:space="preserve">), (5) Kuru, (6) </w:t>
      </w:r>
      <w:proofErr w:type="spellStart"/>
      <w:r w:rsidRPr="008D5412">
        <w:rPr>
          <w:rFonts w:ascii="Helvetica" w:hAnsi="Helvetica" w:cs="Helvetica"/>
          <w:sz w:val="20"/>
          <w:szCs w:val="20"/>
          <w:lang w:eastAsia="en-AU"/>
        </w:rPr>
        <w:t>Gerstmann-Sträussler-</w:t>
      </w:r>
      <w:r w:rsidRPr="008D5412">
        <w:rPr>
          <w:rFonts w:ascii="Helvetica" w:hAnsi="Helvetica" w:cs="Helvetica"/>
          <w:sz w:val="20"/>
          <w:szCs w:val="20"/>
          <w:lang w:eastAsia="en-AU"/>
        </w:rPr>
        <w:lastRenderedPageBreak/>
        <w:t>Scheinker</w:t>
      </w:r>
      <w:proofErr w:type="spellEnd"/>
      <w:r w:rsidRPr="008D5412">
        <w:rPr>
          <w:rFonts w:ascii="Helvetica" w:hAnsi="Helvetica" w:cs="Helvetica"/>
          <w:sz w:val="20"/>
          <w:szCs w:val="20"/>
          <w:lang w:eastAsia="en-AU"/>
        </w:rPr>
        <w:t xml:space="preserve"> syndrome (GSS), (7) familial fatal insomnia (FFI), (8) sporadic fatal insomnia (</w:t>
      </w:r>
      <w:proofErr w:type="spellStart"/>
      <w:r w:rsidRPr="008D5412">
        <w:rPr>
          <w:rFonts w:ascii="Helvetica" w:hAnsi="Helvetica" w:cs="Helvetica"/>
          <w:sz w:val="20"/>
          <w:szCs w:val="20"/>
          <w:lang w:eastAsia="en-AU"/>
        </w:rPr>
        <w:t>sFI</w:t>
      </w:r>
      <w:proofErr w:type="spellEnd"/>
      <w:r w:rsidRPr="008D5412">
        <w:rPr>
          <w:rFonts w:ascii="Helvetica" w:hAnsi="Helvetica" w:cs="Helvetica"/>
          <w:sz w:val="20"/>
          <w:szCs w:val="20"/>
          <w:lang w:eastAsia="en-AU"/>
        </w:rPr>
        <w:t xml:space="preserve">) and (9) variably protease sensitive </w:t>
      </w:r>
      <w:proofErr w:type="spellStart"/>
      <w:r w:rsidRPr="008D5412">
        <w:rPr>
          <w:rFonts w:ascii="Helvetica" w:hAnsi="Helvetica" w:cs="Helvetica"/>
          <w:sz w:val="20"/>
          <w:szCs w:val="20"/>
          <w:lang w:eastAsia="en-AU"/>
        </w:rPr>
        <w:t>prionopathy</w:t>
      </w:r>
      <w:proofErr w:type="spellEnd"/>
      <w:r w:rsidRPr="008D5412">
        <w:rPr>
          <w:rFonts w:ascii="Helvetica" w:hAnsi="Helvetica" w:cs="Helvetica"/>
          <w:sz w:val="20"/>
          <w:szCs w:val="20"/>
          <w:lang w:eastAsia="en-AU"/>
        </w:rPr>
        <w:t xml:space="preserve"> (</w:t>
      </w:r>
      <w:proofErr w:type="spellStart"/>
      <w:r w:rsidRPr="008D5412">
        <w:rPr>
          <w:rFonts w:ascii="Helvetica" w:hAnsi="Helvetica" w:cs="Helvetica"/>
          <w:sz w:val="20"/>
          <w:szCs w:val="20"/>
          <w:lang w:eastAsia="en-AU"/>
        </w:rPr>
        <w:t>VPSPr</w:t>
      </w:r>
      <w:proofErr w:type="spellEnd"/>
      <w:r w:rsidRPr="008D5412">
        <w:rPr>
          <w:rFonts w:ascii="Helvetica" w:hAnsi="Helvetica" w:cs="Helvetica"/>
          <w:sz w:val="20"/>
          <w:szCs w:val="20"/>
          <w:lang w:eastAsia="en-AU"/>
        </w:rPr>
        <w:t>)</w:t>
      </w:r>
      <w:r w:rsidRPr="008D5412">
        <w:rPr>
          <w:rFonts w:ascii="Helvetica" w:hAnsi="Helvetica" w:cs="Helvetica"/>
          <w:sz w:val="15"/>
          <w:szCs w:val="15"/>
          <w:vertAlign w:val="superscript"/>
          <w:lang w:eastAsia="en-AU"/>
        </w:rPr>
        <w:t>2</w:t>
      </w:r>
      <w:r w:rsidRPr="008D5412">
        <w:rPr>
          <w:rFonts w:ascii="Helvetica" w:hAnsi="Helvetica" w:cs="Helvetica"/>
          <w:sz w:val="20"/>
          <w:szCs w:val="20"/>
          <w:lang w:eastAsia="en-AU"/>
        </w:rPr>
        <w:t>.</w:t>
      </w:r>
    </w:p>
    <w:p w14:paraId="76D2C9F5" w14:textId="77777777" w:rsidR="008D5412" w:rsidRPr="008D5412" w:rsidRDefault="008D5412" w:rsidP="008D5412">
      <w:pPr>
        <w:shd w:val="clear" w:color="auto" w:fill="FFFFFF"/>
        <w:spacing w:after="120"/>
        <w:outlineLvl w:val="2"/>
        <w:rPr>
          <w:rFonts w:ascii="Open Sans" w:hAnsi="Open Sans" w:cs="Open Sans"/>
          <w:sz w:val="27"/>
          <w:szCs w:val="27"/>
          <w:lang w:eastAsia="en-AU"/>
        </w:rPr>
      </w:pPr>
      <w:r w:rsidRPr="008D5412">
        <w:rPr>
          <w:rFonts w:ascii="Open Sans" w:hAnsi="Open Sans" w:cs="Open Sans"/>
          <w:sz w:val="27"/>
          <w:szCs w:val="27"/>
          <w:lang w:eastAsia="en-AU"/>
        </w:rPr>
        <w:t>2.2 Epidemiology</w:t>
      </w:r>
    </w:p>
    <w:p w14:paraId="0F9AB3F8" w14:textId="578AB229" w:rsidR="008D5412" w:rsidRPr="008D5412" w:rsidRDefault="008D5412" w:rsidP="008D5412">
      <w:pPr>
        <w:shd w:val="clear" w:color="auto" w:fill="FFFFFF"/>
        <w:spacing w:after="240" w:line="300" w:lineRule="atLeast"/>
        <w:rPr>
          <w:rFonts w:ascii="Helvetica" w:hAnsi="Helvetica" w:cs="Helvetica"/>
          <w:sz w:val="20"/>
          <w:szCs w:val="20"/>
          <w:lang w:eastAsia="en-AU"/>
        </w:rPr>
      </w:pPr>
      <w:proofErr w:type="spellStart"/>
      <w:r w:rsidRPr="008D5412">
        <w:rPr>
          <w:rFonts w:ascii="Helvetica" w:hAnsi="Helvetica" w:cs="Helvetica"/>
          <w:sz w:val="20"/>
          <w:szCs w:val="20"/>
          <w:lang w:eastAsia="en-AU"/>
        </w:rPr>
        <w:t>sCJD</w:t>
      </w:r>
      <w:proofErr w:type="spellEnd"/>
      <w:r w:rsidRPr="008D5412">
        <w:rPr>
          <w:rFonts w:ascii="Helvetica" w:hAnsi="Helvetica" w:cs="Helvetica"/>
          <w:sz w:val="20"/>
          <w:szCs w:val="20"/>
          <w:lang w:eastAsia="en-AU"/>
        </w:rPr>
        <w:t xml:space="preserve"> accounts for most TSE cases in humans. </w:t>
      </w:r>
      <w:proofErr w:type="spellStart"/>
      <w:r w:rsidRPr="008D5412">
        <w:rPr>
          <w:rFonts w:ascii="Helvetica" w:hAnsi="Helvetica" w:cs="Helvetica"/>
          <w:sz w:val="20"/>
          <w:szCs w:val="20"/>
          <w:lang w:eastAsia="en-AU"/>
        </w:rPr>
        <w:t>sCJD</w:t>
      </w:r>
      <w:proofErr w:type="spellEnd"/>
      <w:r w:rsidRPr="008D5412">
        <w:rPr>
          <w:rFonts w:ascii="Helvetica" w:hAnsi="Helvetica" w:cs="Helvetica"/>
          <w:sz w:val="20"/>
          <w:szCs w:val="20"/>
          <w:lang w:eastAsia="en-AU"/>
        </w:rPr>
        <w:t xml:space="preserve"> is thought to be due to spontaneous misfolding of </w:t>
      </w:r>
      <w:proofErr w:type="spellStart"/>
      <w:r w:rsidRPr="008D5412">
        <w:rPr>
          <w:rFonts w:ascii="Helvetica" w:hAnsi="Helvetica" w:cs="Helvetica"/>
          <w:sz w:val="20"/>
          <w:szCs w:val="20"/>
          <w:lang w:eastAsia="en-AU"/>
        </w:rPr>
        <w:t>PrPc</w:t>
      </w:r>
      <w:proofErr w:type="spellEnd"/>
      <w:r w:rsidRPr="008D5412">
        <w:rPr>
          <w:rFonts w:ascii="Helvetica" w:hAnsi="Helvetica" w:cs="Helvetica"/>
          <w:sz w:val="20"/>
          <w:szCs w:val="20"/>
          <w:lang w:eastAsia="en-AU"/>
        </w:rPr>
        <w:t xml:space="preserve"> to form </w:t>
      </w:r>
      <w:proofErr w:type="spellStart"/>
      <w:r w:rsidRPr="008D5412">
        <w:rPr>
          <w:rFonts w:ascii="Helvetica" w:hAnsi="Helvetica" w:cs="Helvetica"/>
          <w:sz w:val="20"/>
          <w:szCs w:val="20"/>
          <w:lang w:eastAsia="en-AU"/>
        </w:rPr>
        <w:t>PrPsc</w:t>
      </w:r>
      <w:proofErr w:type="spellEnd"/>
      <w:r w:rsidRPr="008D5412">
        <w:rPr>
          <w:rFonts w:ascii="Helvetica" w:hAnsi="Helvetica" w:cs="Helvetica"/>
          <w:sz w:val="20"/>
          <w:szCs w:val="20"/>
          <w:lang w:eastAsia="en-AU"/>
        </w:rPr>
        <w:t>. It is believed to occur worldwide, with an annual incidence of 1-2 cases per million population, representing approximately 85% of all CJD cases</w:t>
      </w:r>
      <w:r w:rsidRPr="008D5412">
        <w:rPr>
          <w:rFonts w:ascii="Helvetica" w:hAnsi="Helvetica" w:cs="Helvetica"/>
          <w:sz w:val="15"/>
          <w:szCs w:val="15"/>
          <w:vertAlign w:val="superscript"/>
          <w:lang w:eastAsia="en-AU"/>
        </w:rPr>
        <w:t>1,4</w:t>
      </w:r>
      <w:r w:rsidRPr="008D5412">
        <w:rPr>
          <w:rFonts w:ascii="Helvetica" w:hAnsi="Helvetica" w:cs="Helvetica"/>
          <w:sz w:val="20"/>
          <w:szCs w:val="20"/>
          <w:lang w:eastAsia="en-AU"/>
        </w:rPr>
        <w:t>. </w:t>
      </w:r>
      <w:r w:rsidRPr="008D5412">
        <w:rPr>
          <w:rFonts w:ascii="Helvetica" w:hAnsi="Helvetica" w:cs="Helvetica"/>
          <w:i/>
          <w:iCs/>
          <w:sz w:val="20"/>
          <w:szCs w:val="20"/>
          <w:lang w:eastAsia="en-AU"/>
        </w:rPr>
        <w:t>PRNP</w:t>
      </w:r>
      <w:r w:rsidRPr="008D5412">
        <w:rPr>
          <w:rFonts w:ascii="Helvetica" w:hAnsi="Helvetica" w:cs="Helvetica"/>
          <w:sz w:val="20"/>
          <w:szCs w:val="20"/>
          <w:lang w:eastAsia="en-AU"/>
        </w:rPr>
        <w:t xml:space="preserve"> polymorphisms in regulatory, as well as coding sequences, have been associated with predisposition to the disease development. Homozygosity at M129V polymorphism is a risk factor for the development of </w:t>
      </w:r>
      <w:proofErr w:type="spellStart"/>
      <w:r w:rsidRPr="008D5412">
        <w:rPr>
          <w:rFonts w:ascii="Helvetica" w:hAnsi="Helvetica" w:cs="Helvetica"/>
          <w:sz w:val="20"/>
          <w:szCs w:val="20"/>
          <w:lang w:eastAsia="en-AU"/>
        </w:rPr>
        <w:t>sCJD</w:t>
      </w:r>
      <w:proofErr w:type="spellEnd"/>
      <w:r w:rsidRPr="008D5412">
        <w:rPr>
          <w:rFonts w:ascii="Helvetica" w:hAnsi="Helvetica" w:cs="Helvetica"/>
          <w:sz w:val="20"/>
          <w:szCs w:val="20"/>
          <w:lang w:eastAsia="en-AU"/>
        </w:rPr>
        <w:t xml:space="preserve">. </w:t>
      </w:r>
      <w:proofErr w:type="spellStart"/>
      <w:r w:rsidRPr="008D5412">
        <w:rPr>
          <w:rFonts w:ascii="Helvetica" w:hAnsi="Helvetica" w:cs="Helvetica"/>
          <w:sz w:val="20"/>
          <w:szCs w:val="20"/>
          <w:lang w:eastAsia="en-AU"/>
        </w:rPr>
        <w:t>gCJD</w:t>
      </w:r>
      <w:proofErr w:type="spellEnd"/>
      <w:r w:rsidRPr="008D5412">
        <w:rPr>
          <w:rFonts w:ascii="Helvetica" w:hAnsi="Helvetica" w:cs="Helvetica"/>
          <w:sz w:val="20"/>
          <w:szCs w:val="20"/>
          <w:lang w:eastAsia="en-AU"/>
        </w:rPr>
        <w:t xml:space="preserve"> is an autosomal dominant condition with variable penetrance due to one of several sequence variations in the </w:t>
      </w:r>
      <w:r w:rsidRPr="008D5412">
        <w:rPr>
          <w:rFonts w:ascii="Helvetica" w:hAnsi="Helvetica" w:cs="Helvetica"/>
          <w:i/>
          <w:iCs/>
          <w:sz w:val="20"/>
          <w:szCs w:val="20"/>
          <w:lang w:eastAsia="en-AU"/>
        </w:rPr>
        <w:t>PRNP</w:t>
      </w:r>
      <w:r w:rsidRPr="008D5412">
        <w:rPr>
          <w:rFonts w:ascii="Helvetica" w:hAnsi="Helvetica" w:cs="Helvetica"/>
          <w:sz w:val="20"/>
          <w:szCs w:val="20"/>
          <w:lang w:eastAsia="en-AU"/>
        </w:rPr>
        <w:t xml:space="preserve">, and accounts for approximately 10-14% of cases of CJD. </w:t>
      </w:r>
      <w:proofErr w:type="spellStart"/>
      <w:r w:rsidRPr="008D5412">
        <w:rPr>
          <w:rFonts w:ascii="Helvetica" w:hAnsi="Helvetica" w:cs="Helvetica"/>
          <w:sz w:val="20"/>
          <w:szCs w:val="20"/>
          <w:lang w:eastAsia="en-AU"/>
        </w:rPr>
        <w:t>iCJD</w:t>
      </w:r>
      <w:proofErr w:type="spellEnd"/>
      <w:r w:rsidRPr="008D5412">
        <w:rPr>
          <w:rFonts w:ascii="Helvetica" w:hAnsi="Helvetica" w:cs="Helvetica"/>
          <w:sz w:val="20"/>
          <w:szCs w:val="20"/>
          <w:lang w:eastAsia="en-AU"/>
        </w:rPr>
        <w:t xml:space="preserve"> has been reported </w:t>
      </w:r>
      <w:proofErr w:type="gramStart"/>
      <w:r w:rsidRPr="008D5412">
        <w:rPr>
          <w:rFonts w:ascii="Helvetica" w:hAnsi="Helvetica" w:cs="Helvetica"/>
          <w:sz w:val="20"/>
          <w:szCs w:val="20"/>
          <w:lang w:eastAsia="en-AU"/>
        </w:rPr>
        <w:t>as a result of</w:t>
      </w:r>
      <w:proofErr w:type="gramEnd"/>
      <w:r w:rsidRPr="008D5412">
        <w:rPr>
          <w:rFonts w:ascii="Helvetica" w:hAnsi="Helvetica" w:cs="Helvetica"/>
          <w:sz w:val="20"/>
          <w:szCs w:val="20"/>
          <w:lang w:eastAsia="en-AU"/>
        </w:rPr>
        <w:t xml:space="preserve"> medical treatments including human pituitary derived growth hormone injections, dura mater and corneal tissue transplants, and brain surgery involving contaminated instruments. </w:t>
      </w:r>
      <w:proofErr w:type="spellStart"/>
      <w:r w:rsidRPr="008D5412">
        <w:rPr>
          <w:rFonts w:ascii="Helvetica" w:hAnsi="Helvetica" w:cs="Helvetica"/>
          <w:sz w:val="20"/>
          <w:szCs w:val="20"/>
          <w:lang w:eastAsia="en-AU"/>
        </w:rPr>
        <w:t>vCJD</w:t>
      </w:r>
      <w:proofErr w:type="spellEnd"/>
      <w:r w:rsidRPr="008D5412">
        <w:rPr>
          <w:rFonts w:ascii="Helvetica" w:hAnsi="Helvetica" w:cs="Helvetica"/>
          <w:sz w:val="20"/>
          <w:szCs w:val="20"/>
          <w:lang w:eastAsia="en-AU"/>
        </w:rPr>
        <w:t xml:space="preserve"> was first reported in the United Kingdom in 1996 and is linked to bovine spongiform encephalopathy (BSE). The most plausible route of exposure is via BSE contaminated food. Probable secondary transmission of </w:t>
      </w:r>
      <w:proofErr w:type="spellStart"/>
      <w:r w:rsidRPr="008D5412">
        <w:rPr>
          <w:rFonts w:ascii="Helvetica" w:hAnsi="Helvetica" w:cs="Helvetica"/>
          <w:sz w:val="20"/>
          <w:szCs w:val="20"/>
          <w:lang w:eastAsia="en-AU"/>
        </w:rPr>
        <w:t>vCJD</w:t>
      </w:r>
      <w:proofErr w:type="spellEnd"/>
      <w:r w:rsidRPr="008D5412">
        <w:rPr>
          <w:rFonts w:ascii="Helvetica" w:hAnsi="Helvetica" w:cs="Helvetica"/>
          <w:sz w:val="20"/>
          <w:szCs w:val="20"/>
          <w:lang w:eastAsia="en-AU"/>
        </w:rPr>
        <w:t xml:space="preserve"> via blood transfusion has been reported. Examination of appendix specimens in the UK has estimated the prevalence of </w:t>
      </w:r>
      <w:proofErr w:type="spellStart"/>
      <w:r w:rsidRPr="008D5412">
        <w:rPr>
          <w:rFonts w:ascii="Helvetica" w:hAnsi="Helvetica" w:cs="Helvetica"/>
          <w:sz w:val="20"/>
          <w:szCs w:val="20"/>
          <w:lang w:eastAsia="en-AU"/>
        </w:rPr>
        <w:t>vCJD</w:t>
      </w:r>
      <w:proofErr w:type="spellEnd"/>
      <w:r w:rsidRPr="008D5412">
        <w:rPr>
          <w:rFonts w:ascii="Helvetica" w:hAnsi="Helvetica" w:cs="Helvetica"/>
          <w:sz w:val="20"/>
          <w:szCs w:val="20"/>
          <w:lang w:eastAsia="en-AU"/>
        </w:rPr>
        <w:t xml:space="preserve"> infection as 493 per million population</w:t>
      </w:r>
      <w:r w:rsidRPr="008D5412">
        <w:rPr>
          <w:rFonts w:ascii="Helvetica" w:hAnsi="Helvetica" w:cs="Helvetica"/>
          <w:sz w:val="15"/>
          <w:szCs w:val="15"/>
          <w:vertAlign w:val="superscript"/>
          <w:lang w:eastAsia="en-AU"/>
        </w:rPr>
        <w:t>5</w:t>
      </w:r>
      <w:r w:rsidRPr="008D5412">
        <w:rPr>
          <w:rFonts w:ascii="Helvetica" w:hAnsi="Helvetica" w:cs="Helvetica"/>
          <w:sz w:val="20"/>
          <w:szCs w:val="20"/>
          <w:lang w:eastAsia="en-AU"/>
        </w:rPr>
        <w:t xml:space="preserve">. However, uncertainties exist around the susceptibly of these carriers to develop </w:t>
      </w:r>
      <w:proofErr w:type="spellStart"/>
      <w:r w:rsidRPr="008D5412">
        <w:rPr>
          <w:rFonts w:ascii="Helvetica" w:hAnsi="Helvetica" w:cs="Helvetica"/>
          <w:sz w:val="20"/>
          <w:szCs w:val="20"/>
          <w:lang w:eastAsia="en-AU"/>
        </w:rPr>
        <w:t>vCJD</w:t>
      </w:r>
      <w:proofErr w:type="spellEnd"/>
      <w:r w:rsidRPr="008D5412">
        <w:rPr>
          <w:rFonts w:ascii="Helvetica" w:hAnsi="Helvetica" w:cs="Helvetica"/>
          <w:sz w:val="20"/>
          <w:szCs w:val="20"/>
          <w:lang w:eastAsia="en-AU"/>
        </w:rPr>
        <w:t xml:space="preserve">, as well as the duration of the incubation period, making predictions of future numbers of </w:t>
      </w:r>
      <w:proofErr w:type="spellStart"/>
      <w:r w:rsidRPr="008D5412">
        <w:rPr>
          <w:rFonts w:ascii="Helvetica" w:hAnsi="Helvetica" w:cs="Helvetica"/>
          <w:sz w:val="20"/>
          <w:szCs w:val="20"/>
          <w:lang w:eastAsia="en-AU"/>
        </w:rPr>
        <w:t>vCJD</w:t>
      </w:r>
      <w:proofErr w:type="spellEnd"/>
      <w:r w:rsidRPr="008D5412">
        <w:rPr>
          <w:rFonts w:ascii="Helvetica" w:hAnsi="Helvetica" w:cs="Helvetica"/>
          <w:sz w:val="20"/>
          <w:szCs w:val="20"/>
          <w:lang w:eastAsia="en-AU"/>
        </w:rPr>
        <w:t xml:space="preserve"> cases complicated</w:t>
      </w:r>
      <w:r w:rsidRPr="008D5412">
        <w:rPr>
          <w:rFonts w:ascii="Helvetica" w:hAnsi="Helvetica" w:cs="Helvetica"/>
          <w:sz w:val="15"/>
          <w:szCs w:val="15"/>
          <w:vertAlign w:val="superscript"/>
          <w:lang w:eastAsia="en-AU"/>
        </w:rPr>
        <w:t>1</w:t>
      </w:r>
      <w:r w:rsidRPr="008D5412">
        <w:rPr>
          <w:rFonts w:ascii="Helvetica" w:hAnsi="Helvetica" w:cs="Helvetica"/>
          <w:sz w:val="20"/>
          <w:szCs w:val="20"/>
          <w:lang w:eastAsia="en-AU"/>
        </w:rPr>
        <w:t xml:space="preserve">. </w:t>
      </w:r>
      <w:proofErr w:type="spellStart"/>
      <w:r w:rsidRPr="008D5412">
        <w:rPr>
          <w:rFonts w:ascii="Helvetica" w:hAnsi="Helvetica" w:cs="Helvetica"/>
          <w:sz w:val="20"/>
          <w:szCs w:val="20"/>
          <w:lang w:eastAsia="en-AU"/>
        </w:rPr>
        <w:t>vCJD</w:t>
      </w:r>
      <w:proofErr w:type="spellEnd"/>
      <w:r w:rsidRPr="008D5412">
        <w:rPr>
          <w:rFonts w:ascii="Helvetica" w:hAnsi="Helvetica" w:cs="Helvetica"/>
          <w:sz w:val="20"/>
          <w:szCs w:val="20"/>
          <w:lang w:eastAsia="en-AU"/>
        </w:rPr>
        <w:t xml:space="preserve"> has not yet been reported in Australia.</w:t>
      </w:r>
    </w:p>
    <w:p w14:paraId="3CF6DD3A" w14:textId="3098B72B" w:rsidR="008D5412" w:rsidRPr="008D5412" w:rsidRDefault="008D5412" w:rsidP="008D5412">
      <w:pPr>
        <w:shd w:val="clear" w:color="auto" w:fill="FFFFFF"/>
        <w:spacing w:after="240" w:line="300" w:lineRule="atLeast"/>
        <w:rPr>
          <w:rFonts w:ascii="Helvetica" w:hAnsi="Helvetica" w:cs="Helvetica"/>
          <w:sz w:val="20"/>
          <w:szCs w:val="20"/>
          <w:lang w:eastAsia="en-AU"/>
        </w:rPr>
      </w:pPr>
      <w:r w:rsidRPr="008D5412">
        <w:rPr>
          <w:rFonts w:ascii="Helvetica" w:hAnsi="Helvetica" w:cs="Helvetica"/>
          <w:sz w:val="20"/>
          <w:szCs w:val="20"/>
          <w:lang w:eastAsia="en-AU"/>
        </w:rPr>
        <w:t>FFI is an autosomal dominant inherited human prion disease caused by the </w:t>
      </w:r>
      <w:r w:rsidRPr="008D5412">
        <w:rPr>
          <w:rFonts w:ascii="Helvetica" w:hAnsi="Helvetica" w:cs="Helvetica"/>
          <w:i/>
          <w:iCs/>
          <w:sz w:val="20"/>
          <w:szCs w:val="20"/>
          <w:lang w:eastAsia="en-AU"/>
        </w:rPr>
        <w:t>PRNP</w:t>
      </w:r>
      <w:r w:rsidRPr="008D5412">
        <w:rPr>
          <w:rFonts w:ascii="Helvetica" w:hAnsi="Helvetica" w:cs="Helvetica"/>
          <w:sz w:val="20"/>
          <w:szCs w:val="20"/>
          <w:lang w:eastAsia="en-AU"/>
        </w:rPr>
        <w:t> mutation D178N linked to the methionine of the </w:t>
      </w:r>
      <w:r w:rsidRPr="008D5412">
        <w:rPr>
          <w:rFonts w:ascii="Helvetica" w:hAnsi="Helvetica" w:cs="Helvetica"/>
          <w:i/>
          <w:iCs/>
          <w:sz w:val="20"/>
          <w:szCs w:val="20"/>
          <w:lang w:eastAsia="en-AU"/>
        </w:rPr>
        <w:t>PRNP</w:t>
      </w:r>
      <w:r w:rsidRPr="008D5412">
        <w:rPr>
          <w:rFonts w:ascii="Helvetica" w:hAnsi="Helvetica" w:cs="Helvetica"/>
          <w:sz w:val="20"/>
          <w:szCs w:val="20"/>
          <w:lang w:eastAsia="en-AU"/>
        </w:rPr>
        <w:t> polymorphism M129V. When linked to valine at the codon M129V, the same mutation usually causes gCJD</w:t>
      </w:r>
      <w:r w:rsidRPr="008D5412">
        <w:rPr>
          <w:rFonts w:ascii="Helvetica" w:hAnsi="Helvetica" w:cs="Helvetica"/>
          <w:sz w:val="15"/>
          <w:szCs w:val="15"/>
          <w:vertAlign w:val="superscript"/>
          <w:lang w:eastAsia="en-AU"/>
        </w:rPr>
        <w:t>2</w:t>
      </w:r>
      <w:r w:rsidRPr="008D5412">
        <w:rPr>
          <w:rFonts w:ascii="Helvetica" w:hAnsi="Helvetica" w:cs="Helvetica"/>
          <w:sz w:val="20"/>
          <w:szCs w:val="20"/>
          <w:lang w:eastAsia="en-AU"/>
        </w:rPr>
        <w:t xml:space="preserve">. Approximately 100 cases of FFI have been reported among 40 families. </w:t>
      </w:r>
      <w:proofErr w:type="spellStart"/>
      <w:r w:rsidRPr="008D5412">
        <w:rPr>
          <w:rFonts w:ascii="Helvetica" w:hAnsi="Helvetica" w:cs="Helvetica"/>
          <w:sz w:val="20"/>
          <w:szCs w:val="20"/>
          <w:lang w:eastAsia="en-AU"/>
        </w:rPr>
        <w:t>sFI</w:t>
      </w:r>
      <w:proofErr w:type="spellEnd"/>
      <w:r w:rsidRPr="008D5412">
        <w:rPr>
          <w:rFonts w:ascii="Helvetica" w:hAnsi="Helvetica" w:cs="Helvetica"/>
          <w:sz w:val="20"/>
          <w:szCs w:val="20"/>
          <w:lang w:eastAsia="en-AU"/>
        </w:rPr>
        <w:t xml:space="preserve"> presents clinically </w:t>
      </w:r>
      <w:proofErr w:type="gramStart"/>
      <w:r w:rsidRPr="008D5412">
        <w:rPr>
          <w:rFonts w:ascii="Helvetica" w:hAnsi="Helvetica" w:cs="Helvetica"/>
          <w:sz w:val="20"/>
          <w:szCs w:val="20"/>
          <w:lang w:eastAsia="en-AU"/>
        </w:rPr>
        <w:t>similar to</w:t>
      </w:r>
      <w:proofErr w:type="gramEnd"/>
      <w:r w:rsidRPr="008D5412">
        <w:rPr>
          <w:rFonts w:ascii="Helvetica" w:hAnsi="Helvetica" w:cs="Helvetica"/>
          <w:sz w:val="20"/>
          <w:szCs w:val="20"/>
          <w:lang w:eastAsia="en-AU"/>
        </w:rPr>
        <w:t xml:space="preserve"> FFI but without a family history and/or </w:t>
      </w:r>
      <w:r w:rsidRPr="008D5412">
        <w:rPr>
          <w:rFonts w:ascii="Helvetica" w:hAnsi="Helvetica" w:cs="Helvetica"/>
          <w:i/>
          <w:iCs/>
          <w:sz w:val="20"/>
          <w:szCs w:val="20"/>
          <w:lang w:eastAsia="en-AU"/>
        </w:rPr>
        <w:t>PRNP</w:t>
      </w:r>
      <w:r w:rsidRPr="008D5412">
        <w:rPr>
          <w:rFonts w:ascii="Helvetica" w:hAnsi="Helvetica" w:cs="Helvetica"/>
          <w:sz w:val="20"/>
          <w:szCs w:val="20"/>
          <w:lang w:eastAsia="en-AU"/>
        </w:rPr>
        <w:t> mutation, with 24 cases reported globally. GSS also has autosomal dominant inheritance, and results from several </w:t>
      </w:r>
      <w:r w:rsidRPr="008D5412">
        <w:rPr>
          <w:rFonts w:ascii="Helvetica" w:hAnsi="Helvetica" w:cs="Helvetica"/>
          <w:i/>
          <w:iCs/>
          <w:sz w:val="20"/>
          <w:szCs w:val="20"/>
          <w:lang w:eastAsia="en-AU"/>
        </w:rPr>
        <w:t>PRNP</w:t>
      </w:r>
      <w:r w:rsidRPr="008D5412">
        <w:rPr>
          <w:rFonts w:ascii="Helvetica" w:hAnsi="Helvetica" w:cs="Helvetica"/>
          <w:sz w:val="20"/>
          <w:szCs w:val="20"/>
          <w:lang w:eastAsia="en-AU"/>
        </w:rPr>
        <w:t xml:space="preserve"> sequence variants. The incidence is estimated at 1 in 100 million population per year. Kuru resulted from ritualistic endocannibalism in the Fore linguistic group of Papua New Guinea Eastern Highlands. Although the incubation period may be more than fifty years, the incidence of Kuru has steadily declined since a ban on cannibalism was placed in the mid-1950s and is now considered essentially eradicated. </w:t>
      </w:r>
      <w:proofErr w:type="spellStart"/>
      <w:r w:rsidRPr="008D5412">
        <w:rPr>
          <w:rFonts w:ascii="Helvetica" w:hAnsi="Helvetica" w:cs="Helvetica"/>
          <w:sz w:val="20"/>
          <w:szCs w:val="20"/>
          <w:lang w:eastAsia="en-AU"/>
        </w:rPr>
        <w:t>VPSPr</w:t>
      </w:r>
      <w:proofErr w:type="spellEnd"/>
      <w:r w:rsidRPr="008D5412">
        <w:rPr>
          <w:rFonts w:ascii="Helvetica" w:hAnsi="Helvetica" w:cs="Helvetica"/>
          <w:sz w:val="20"/>
          <w:szCs w:val="20"/>
          <w:lang w:eastAsia="en-AU"/>
        </w:rPr>
        <w:t xml:space="preserve"> is the latest human prion disease to be </w:t>
      </w:r>
      <w:proofErr w:type="gramStart"/>
      <w:r w:rsidRPr="008D5412">
        <w:rPr>
          <w:rFonts w:ascii="Helvetica" w:hAnsi="Helvetica" w:cs="Helvetica"/>
          <w:sz w:val="20"/>
          <w:szCs w:val="20"/>
          <w:lang w:eastAsia="en-AU"/>
        </w:rPr>
        <w:t>described, and</w:t>
      </w:r>
      <w:proofErr w:type="gramEnd"/>
      <w:r w:rsidRPr="008D5412">
        <w:rPr>
          <w:rFonts w:ascii="Helvetica" w:hAnsi="Helvetica" w:cs="Helvetica"/>
          <w:sz w:val="20"/>
          <w:szCs w:val="20"/>
          <w:lang w:eastAsia="en-AU"/>
        </w:rPr>
        <w:t xml:space="preserve"> is characterised by reduced resistance of the </w:t>
      </w:r>
      <w:proofErr w:type="spellStart"/>
      <w:r w:rsidRPr="008D5412">
        <w:rPr>
          <w:rFonts w:ascii="Helvetica" w:hAnsi="Helvetica" w:cs="Helvetica"/>
          <w:sz w:val="20"/>
          <w:szCs w:val="20"/>
          <w:lang w:eastAsia="en-AU"/>
        </w:rPr>
        <w:t>PrPsc</w:t>
      </w:r>
      <w:proofErr w:type="spellEnd"/>
      <w:r w:rsidRPr="008D5412">
        <w:rPr>
          <w:rFonts w:ascii="Helvetica" w:hAnsi="Helvetica" w:cs="Helvetica"/>
          <w:sz w:val="20"/>
          <w:szCs w:val="20"/>
          <w:lang w:eastAsia="en-AU"/>
        </w:rPr>
        <w:t xml:space="preserve"> isoforms to proteolysis. Over 30 cases have been reported</w:t>
      </w:r>
      <w:r w:rsidRPr="008D5412">
        <w:rPr>
          <w:rFonts w:ascii="Helvetica" w:hAnsi="Helvetica" w:cs="Helvetica"/>
          <w:sz w:val="15"/>
          <w:szCs w:val="15"/>
          <w:vertAlign w:val="superscript"/>
          <w:lang w:eastAsia="en-AU"/>
        </w:rPr>
        <w:t>2</w:t>
      </w:r>
      <w:r w:rsidRPr="008D5412">
        <w:rPr>
          <w:rFonts w:ascii="Helvetica" w:hAnsi="Helvetica" w:cs="Helvetica"/>
          <w:sz w:val="20"/>
          <w:szCs w:val="20"/>
          <w:lang w:eastAsia="en-AU"/>
        </w:rPr>
        <w:t>.</w:t>
      </w:r>
    </w:p>
    <w:p w14:paraId="6591D362" w14:textId="77777777" w:rsidR="008D5412" w:rsidRPr="008D5412" w:rsidRDefault="008D5412" w:rsidP="008D5412">
      <w:pPr>
        <w:shd w:val="clear" w:color="auto" w:fill="FFFFFF"/>
        <w:spacing w:after="120"/>
        <w:outlineLvl w:val="2"/>
        <w:rPr>
          <w:rFonts w:ascii="Open Sans" w:hAnsi="Open Sans" w:cs="Open Sans"/>
          <w:sz w:val="27"/>
          <w:szCs w:val="27"/>
          <w:lang w:eastAsia="en-AU"/>
        </w:rPr>
      </w:pPr>
      <w:r w:rsidRPr="008D5412">
        <w:rPr>
          <w:rFonts w:ascii="Open Sans" w:hAnsi="Open Sans" w:cs="Open Sans"/>
          <w:sz w:val="27"/>
          <w:szCs w:val="27"/>
          <w:lang w:eastAsia="en-AU"/>
        </w:rPr>
        <w:t>2.3 Clinical Features</w:t>
      </w:r>
    </w:p>
    <w:p w14:paraId="26674439" w14:textId="1E2FC27A" w:rsidR="008D5412" w:rsidRPr="008D5412" w:rsidRDefault="008D5412" w:rsidP="008D5412">
      <w:pPr>
        <w:shd w:val="clear" w:color="auto" w:fill="FFFFFF"/>
        <w:spacing w:after="240" w:line="300" w:lineRule="atLeast"/>
        <w:rPr>
          <w:rFonts w:ascii="Helvetica" w:hAnsi="Helvetica" w:cs="Helvetica"/>
          <w:sz w:val="20"/>
          <w:szCs w:val="20"/>
          <w:lang w:eastAsia="en-AU"/>
        </w:rPr>
      </w:pPr>
      <w:r w:rsidRPr="008D5412">
        <w:rPr>
          <w:rFonts w:ascii="Helvetica" w:hAnsi="Helvetica" w:cs="Helvetica"/>
          <w:sz w:val="20"/>
          <w:szCs w:val="20"/>
          <w:lang w:eastAsia="en-AU"/>
        </w:rPr>
        <w:t xml:space="preserve">As the abnormal </w:t>
      </w:r>
      <w:proofErr w:type="spellStart"/>
      <w:r w:rsidRPr="008D5412">
        <w:rPr>
          <w:rFonts w:ascii="Helvetica" w:hAnsi="Helvetica" w:cs="Helvetica"/>
          <w:sz w:val="20"/>
          <w:szCs w:val="20"/>
          <w:lang w:eastAsia="en-AU"/>
        </w:rPr>
        <w:t>PrPsc</w:t>
      </w:r>
      <w:proofErr w:type="spellEnd"/>
      <w:r w:rsidRPr="008D5412">
        <w:rPr>
          <w:rFonts w:ascii="Helvetica" w:hAnsi="Helvetica" w:cs="Helvetica"/>
          <w:sz w:val="20"/>
          <w:szCs w:val="20"/>
          <w:lang w:eastAsia="en-AU"/>
        </w:rPr>
        <w:t xml:space="preserve"> accumulates in the brain, it causes massive destruction through unresolved mechanisms, which in CJD typically results in vacuolation (spongiform appearance) of the neuropil at the microscopic level. The usual age of onset of </w:t>
      </w:r>
      <w:proofErr w:type="spellStart"/>
      <w:r w:rsidRPr="008D5412">
        <w:rPr>
          <w:rFonts w:ascii="Helvetica" w:hAnsi="Helvetica" w:cs="Helvetica"/>
          <w:sz w:val="20"/>
          <w:szCs w:val="20"/>
          <w:lang w:eastAsia="en-AU"/>
        </w:rPr>
        <w:t>sCJD</w:t>
      </w:r>
      <w:proofErr w:type="spellEnd"/>
      <w:r w:rsidRPr="008D5412">
        <w:rPr>
          <w:rFonts w:ascii="Helvetica" w:hAnsi="Helvetica" w:cs="Helvetica"/>
          <w:sz w:val="20"/>
          <w:szCs w:val="20"/>
          <w:lang w:eastAsia="en-AU"/>
        </w:rPr>
        <w:t xml:space="preserve"> is 65-75 years. Typical CJD symptoms include rapidly progressive dementia, cerebellar dysfunction with gait and limb ataxia, pyramidal/extrapyramidal symptoms, myoclonus and eventually akinetic mutism. Approximately 60-80% of cases of </w:t>
      </w:r>
      <w:proofErr w:type="spellStart"/>
      <w:r w:rsidRPr="008D5412">
        <w:rPr>
          <w:rFonts w:ascii="Helvetica" w:hAnsi="Helvetica" w:cs="Helvetica"/>
          <w:sz w:val="20"/>
          <w:szCs w:val="20"/>
          <w:lang w:eastAsia="en-AU"/>
        </w:rPr>
        <w:t>sCJD</w:t>
      </w:r>
      <w:proofErr w:type="spellEnd"/>
      <w:r w:rsidRPr="008D5412">
        <w:rPr>
          <w:rFonts w:ascii="Helvetica" w:hAnsi="Helvetica" w:cs="Helvetica"/>
          <w:sz w:val="20"/>
          <w:szCs w:val="20"/>
          <w:lang w:eastAsia="en-AU"/>
        </w:rPr>
        <w:t xml:space="preserve"> are reported to develop the characteristic EEG appearance of 0.5-2Hz generalised bi/triphasic periodic complexes, with the remaining cases usually showing only non-specific slow wave abnormalities</w:t>
      </w:r>
      <w:r w:rsidRPr="008D5412">
        <w:rPr>
          <w:rFonts w:ascii="Helvetica" w:hAnsi="Helvetica" w:cs="Helvetica"/>
          <w:sz w:val="15"/>
          <w:szCs w:val="15"/>
          <w:vertAlign w:val="superscript"/>
          <w:lang w:eastAsia="en-AU"/>
        </w:rPr>
        <w:t>6</w:t>
      </w:r>
      <w:r w:rsidRPr="008D5412">
        <w:rPr>
          <w:rFonts w:ascii="Helvetica" w:hAnsi="Helvetica" w:cs="Helvetica"/>
          <w:sz w:val="20"/>
          <w:szCs w:val="20"/>
          <w:lang w:eastAsia="en-AU"/>
        </w:rPr>
        <w:t xml:space="preserve">. MRI may demonstrate high signal changes in the caudate/putamen. The clinicopathological features of </w:t>
      </w:r>
      <w:proofErr w:type="spellStart"/>
      <w:r w:rsidRPr="008D5412">
        <w:rPr>
          <w:rFonts w:ascii="Helvetica" w:hAnsi="Helvetica" w:cs="Helvetica"/>
          <w:sz w:val="20"/>
          <w:szCs w:val="20"/>
          <w:lang w:eastAsia="en-AU"/>
        </w:rPr>
        <w:t>sCJD</w:t>
      </w:r>
      <w:proofErr w:type="spellEnd"/>
      <w:r w:rsidRPr="008D5412">
        <w:rPr>
          <w:rFonts w:ascii="Helvetica" w:hAnsi="Helvetica" w:cs="Helvetica"/>
          <w:sz w:val="20"/>
          <w:szCs w:val="20"/>
          <w:lang w:eastAsia="en-AU"/>
        </w:rPr>
        <w:t xml:space="preserve"> are influenced by variations in </w:t>
      </w:r>
      <w:r w:rsidRPr="008D5412">
        <w:rPr>
          <w:rFonts w:ascii="Helvetica" w:hAnsi="Helvetica" w:cs="Helvetica"/>
          <w:i/>
          <w:iCs/>
          <w:sz w:val="20"/>
          <w:szCs w:val="20"/>
          <w:lang w:eastAsia="en-AU"/>
        </w:rPr>
        <w:t>PRNP</w:t>
      </w:r>
      <w:r w:rsidRPr="008D5412">
        <w:rPr>
          <w:rFonts w:ascii="Helvetica" w:hAnsi="Helvetica" w:cs="Helvetica"/>
          <w:sz w:val="20"/>
          <w:szCs w:val="20"/>
          <w:lang w:eastAsia="en-AU"/>
        </w:rPr>
        <w:t xml:space="preserve">. The duration of illness to death is typically less than 6 months. In comparison, </w:t>
      </w:r>
      <w:proofErr w:type="spellStart"/>
      <w:r w:rsidRPr="008D5412">
        <w:rPr>
          <w:rFonts w:ascii="Helvetica" w:hAnsi="Helvetica" w:cs="Helvetica"/>
          <w:sz w:val="20"/>
          <w:szCs w:val="20"/>
          <w:lang w:eastAsia="en-AU"/>
        </w:rPr>
        <w:t>vCJD</w:t>
      </w:r>
      <w:proofErr w:type="spellEnd"/>
      <w:r w:rsidRPr="008D5412">
        <w:rPr>
          <w:rFonts w:ascii="Helvetica" w:hAnsi="Helvetica" w:cs="Helvetica"/>
          <w:sz w:val="20"/>
          <w:szCs w:val="20"/>
          <w:lang w:eastAsia="en-AU"/>
        </w:rPr>
        <w:t xml:space="preserve"> more commonly occurs in a younger </w:t>
      </w:r>
      <w:r w:rsidRPr="008D5412">
        <w:rPr>
          <w:rFonts w:ascii="Helvetica" w:hAnsi="Helvetica" w:cs="Helvetica"/>
          <w:sz w:val="20"/>
          <w:szCs w:val="20"/>
          <w:lang w:eastAsia="en-AU"/>
        </w:rPr>
        <w:lastRenderedPageBreak/>
        <w:t xml:space="preserve">population (median age at death 28 years), is associated with early psychiatric symptoms (depression, anxiety, apathy, delusions), sensory disturbances, longer duration of illness and bilateral symmetric pulvinar high signal on MRI brain, without the typical EEG findings of </w:t>
      </w:r>
      <w:proofErr w:type="spellStart"/>
      <w:r w:rsidRPr="008D5412">
        <w:rPr>
          <w:rFonts w:ascii="Helvetica" w:hAnsi="Helvetica" w:cs="Helvetica"/>
          <w:sz w:val="20"/>
          <w:szCs w:val="20"/>
          <w:lang w:eastAsia="en-AU"/>
        </w:rPr>
        <w:t>sCJD</w:t>
      </w:r>
      <w:proofErr w:type="spellEnd"/>
      <w:r w:rsidRPr="008D5412">
        <w:rPr>
          <w:rFonts w:ascii="Helvetica" w:hAnsi="Helvetica" w:cs="Helvetica"/>
          <w:sz w:val="20"/>
          <w:szCs w:val="20"/>
          <w:lang w:eastAsia="en-AU"/>
        </w:rPr>
        <w:t>. Genetic forms of CJD can only be reliably distinguished by the presence of sequence variations of</w:t>
      </w:r>
      <w:r w:rsidRPr="008D5412">
        <w:rPr>
          <w:rFonts w:ascii="Helvetica" w:hAnsi="Helvetica" w:cs="Helvetica"/>
          <w:i/>
          <w:iCs/>
          <w:sz w:val="20"/>
          <w:szCs w:val="20"/>
          <w:lang w:eastAsia="en-AU"/>
        </w:rPr>
        <w:t> PRNP</w:t>
      </w:r>
      <w:r w:rsidRPr="008D5412">
        <w:rPr>
          <w:rFonts w:ascii="Helvetica" w:hAnsi="Helvetica" w:cs="Helvetica"/>
          <w:sz w:val="15"/>
          <w:szCs w:val="15"/>
          <w:vertAlign w:val="superscript"/>
          <w:lang w:eastAsia="en-AU"/>
        </w:rPr>
        <w:t>1</w:t>
      </w:r>
      <w:r w:rsidRPr="008D5412">
        <w:rPr>
          <w:rFonts w:ascii="Helvetica" w:hAnsi="Helvetica" w:cs="Helvetica"/>
          <w:sz w:val="20"/>
          <w:szCs w:val="20"/>
          <w:lang w:eastAsia="en-AU"/>
        </w:rPr>
        <w:t xml:space="preserve">. Iatrogenic forms are classified on the basis of CJD in a recipient of human cadaveric-derived pituitary hormone or with a recognized exposure risk, </w:t>
      </w:r>
      <w:proofErr w:type="gramStart"/>
      <w:r w:rsidRPr="008D5412">
        <w:rPr>
          <w:rFonts w:ascii="Helvetica" w:hAnsi="Helvetica" w:cs="Helvetica"/>
          <w:sz w:val="20"/>
          <w:szCs w:val="20"/>
          <w:lang w:eastAsia="en-AU"/>
        </w:rPr>
        <w:t>e.g.</w:t>
      </w:r>
      <w:proofErr w:type="gramEnd"/>
      <w:r w:rsidRPr="008D5412">
        <w:rPr>
          <w:rFonts w:ascii="Helvetica" w:hAnsi="Helvetica" w:cs="Helvetica"/>
          <w:sz w:val="20"/>
          <w:szCs w:val="20"/>
          <w:lang w:eastAsia="en-AU"/>
        </w:rPr>
        <w:t xml:space="preserve"> antecedent neurosurgery with dura mater implantation.</w:t>
      </w:r>
    </w:p>
    <w:p w14:paraId="62B10E94" w14:textId="76250530" w:rsidR="008D5412" w:rsidRPr="008D5412" w:rsidRDefault="008D5412" w:rsidP="008D5412">
      <w:pPr>
        <w:shd w:val="clear" w:color="auto" w:fill="FFFFFF"/>
        <w:spacing w:after="240" w:line="300" w:lineRule="atLeast"/>
        <w:rPr>
          <w:rFonts w:ascii="Helvetica" w:hAnsi="Helvetica" w:cs="Helvetica"/>
          <w:sz w:val="20"/>
          <w:szCs w:val="20"/>
          <w:lang w:eastAsia="en-AU"/>
        </w:rPr>
      </w:pPr>
      <w:r w:rsidRPr="008D5412">
        <w:rPr>
          <w:rFonts w:ascii="Helvetica" w:hAnsi="Helvetica" w:cs="Helvetica"/>
          <w:sz w:val="20"/>
          <w:szCs w:val="20"/>
          <w:lang w:eastAsia="en-AU"/>
        </w:rPr>
        <w:t xml:space="preserve">FFI and </w:t>
      </w:r>
      <w:proofErr w:type="spellStart"/>
      <w:r w:rsidRPr="008D5412">
        <w:rPr>
          <w:rFonts w:ascii="Helvetica" w:hAnsi="Helvetica" w:cs="Helvetica"/>
          <w:sz w:val="20"/>
          <w:szCs w:val="20"/>
          <w:lang w:eastAsia="en-AU"/>
        </w:rPr>
        <w:t>sFI</w:t>
      </w:r>
      <w:proofErr w:type="spellEnd"/>
      <w:r w:rsidRPr="008D5412">
        <w:rPr>
          <w:rFonts w:ascii="Helvetica" w:hAnsi="Helvetica" w:cs="Helvetica"/>
          <w:sz w:val="20"/>
          <w:szCs w:val="20"/>
          <w:lang w:eastAsia="en-AU"/>
        </w:rPr>
        <w:t xml:space="preserve"> present with insomnia and altered sleep, in association with myoclonus, ataxia, dysarthria, dysphagia, pyramidal signs and autonomic hyperactivation, and result from involvement primarily of the thalamus. GSS is characterized by an early onset (between 30 and 60 years of age), and slow disease progression extended over a period of 3.5-9.5 years. Clinical symptoms, which may show intra-familial and intra-generational variation, include cerebellar ataxia, gait abnormalities, dementia, dysarthria, ocular dysmetria, infrequent myoclonus, spastic paraparesis, parkinsonian signs, and hyporeflexia or areflexia in the lower extremities. Kuru may have a prodrome of headache and joint pain, followed by 3 clinical stages: ambulant (still can walk), sedentary (only can sit up), and terminal (unable to sit up independently). Cerebellar ataxia, tremors and choreiform and athetoid movements are distinctive and prominent clinical signs. Shivering amplifiable by cold was the symptom </w:t>
      </w:r>
      <w:proofErr w:type="gramStart"/>
      <w:r w:rsidRPr="008D5412">
        <w:rPr>
          <w:rFonts w:ascii="Helvetica" w:hAnsi="Helvetica" w:cs="Helvetica"/>
          <w:sz w:val="20"/>
          <w:szCs w:val="20"/>
          <w:lang w:eastAsia="en-AU"/>
        </w:rPr>
        <w:t>on the basis of</w:t>
      </w:r>
      <w:proofErr w:type="gramEnd"/>
      <w:r w:rsidRPr="008D5412">
        <w:rPr>
          <w:rFonts w:ascii="Helvetica" w:hAnsi="Helvetica" w:cs="Helvetica"/>
          <w:sz w:val="20"/>
          <w:szCs w:val="20"/>
          <w:lang w:eastAsia="en-AU"/>
        </w:rPr>
        <w:t xml:space="preserve"> which the disease was named “kuru”. A dementing illness, as is prominent in </w:t>
      </w:r>
      <w:proofErr w:type="spellStart"/>
      <w:r w:rsidRPr="008D5412">
        <w:rPr>
          <w:rFonts w:ascii="Helvetica" w:hAnsi="Helvetica" w:cs="Helvetica"/>
          <w:sz w:val="20"/>
          <w:szCs w:val="20"/>
          <w:lang w:eastAsia="en-AU"/>
        </w:rPr>
        <w:t>sCJD</w:t>
      </w:r>
      <w:proofErr w:type="spellEnd"/>
      <w:r w:rsidRPr="008D5412">
        <w:rPr>
          <w:rFonts w:ascii="Helvetica" w:hAnsi="Helvetica" w:cs="Helvetica"/>
          <w:sz w:val="20"/>
          <w:szCs w:val="20"/>
          <w:lang w:eastAsia="en-AU"/>
        </w:rPr>
        <w:t>, can also occur in some cases, but happens during the final disease stages only</w:t>
      </w:r>
      <w:r w:rsidRPr="008D5412">
        <w:rPr>
          <w:rFonts w:ascii="Helvetica" w:hAnsi="Helvetica" w:cs="Helvetica"/>
          <w:sz w:val="15"/>
          <w:szCs w:val="15"/>
          <w:vertAlign w:val="superscript"/>
          <w:lang w:eastAsia="en-AU"/>
        </w:rPr>
        <w:t>2</w:t>
      </w:r>
      <w:r w:rsidRPr="008D5412">
        <w:rPr>
          <w:rFonts w:ascii="Helvetica" w:hAnsi="Helvetica" w:cs="Helvetica"/>
          <w:sz w:val="20"/>
          <w:szCs w:val="20"/>
          <w:lang w:eastAsia="en-AU"/>
        </w:rPr>
        <w:t xml:space="preserve">. </w:t>
      </w:r>
      <w:proofErr w:type="spellStart"/>
      <w:r w:rsidRPr="008D5412">
        <w:rPr>
          <w:rFonts w:ascii="Helvetica" w:hAnsi="Helvetica" w:cs="Helvetica"/>
          <w:sz w:val="20"/>
          <w:szCs w:val="20"/>
          <w:lang w:eastAsia="en-AU"/>
        </w:rPr>
        <w:t>VPSPr</w:t>
      </w:r>
      <w:proofErr w:type="spellEnd"/>
      <w:r w:rsidRPr="008D5412">
        <w:rPr>
          <w:rFonts w:ascii="Helvetica" w:hAnsi="Helvetica" w:cs="Helvetica"/>
          <w:sz w:val="20"/>
          <w:szCs w:val="20"/>
          <w:lang w:eastAsia="en-AU"/>
        </w:rPr>
        <w:t xml:space="preserve"> was initially described in people with atypical dementia. The clinical course is often up to 2 years, longer than </w:t>
      </w:r>
      <w:proofErr w:type="spellStart"/>
      <w:r w:rsidRPr="008D5412">
        <w:rPr>
          <w:rFonts w:ascii="Helvetica" w:hAnsi="Helvetica" w:cs="Helvetica"/>
          <w:sz w:val="20"/>
          <w:szCs w:val="20"/>
          <w:lang w:eastAsia="en-AU"/>
        </w:rPr>
        <w:t>sCJD</w:t>
      </w:r>
      <w:proofErr w:type="spellEnd"/>
      <w:r w:rsidRPr="008D5412">
        <w:rPr>
          <w:rFonts w:ascii="Helvetica" w:hAnsi="Helvetica" w:cs="Helvetica"/>
          <w:sz w:val="20"/>
          <w:szCs w:val="20"/>
          <w:lang w:eastAsia="en-AU"/>
        </w:rPr>
        <w:t>.</w:t>
      </w:r>
    </w:p>
    <w:p w14:paraId="3D8935BB" w14:textId="77777777" w:rsidR="008D5412" w:rsidRPr="008D5412" w:rsidRDefault="008D5412" w:rsidP="008D5412">
      <w:pPr>
        <w:shd w:val="clear" w:color="auto" w:fill="FFFFFF"/>
        <w:spacing w:after="240" w:line="300" w:lineRule="atLeast"/>
        <w:rPr>
          <w:rFonts w:ascii="Helvetica" w:hAnsi="Helvetica" w:cs="Helvetica"/>
          <w:sz w:val="20"/>
          <w:szCs w:val="20"/>
          <w:lang w:eastAsia="en-AU"/>
        </w:rPr>
      </w:pPr>
      <w:r w:rsidRPr="008D5412">
        <w:rPr>
          <w:rFonts w:ascii="Helvetica" w:hAnsi="Helvetica" w:cs="Helvetica"/>
          <w:b/>
          <w:bCs/>
          <w:sz w:val="20"/>
          <w:szCs w:val="20"/>
          <w:lang w:eastAsia="en-AU"/>
        </w:rPr>
        <w:t xml:space="preserve">CJD, including </w:t>
      </w:r>
      <w:proofErr w:type="spellStart"/>
      <w:r w:rsidRPr="008D5412">
        <w:rPr>
          <w:rFonts w:ascii="Helvetica" w:hAnsi="Helvetica" w:cs="Helvetica"/>
          <w:b/>
          <w:bCs/>
          <w:sz w:val="20"/>
          <w:szCs w:val="20"/>
          <w:lang w:eastAsia="en-AU"/>
        </w:rPr>
        <w:t>vCJD</w:t>
      </w:r>
      <w:proofErr w:type="spellEnd"/>
      <w:r w:rsidRPr="008D5412">
        <w:rPr>
          <w:rFonts w:ascii="Helvetica" w:hAnsi="Helvetica" w:cs="Helvetica"/>
          <w:b/>
          <w:bCs/>
          <w:sz w:val="20"/>
          <w:szCs w:val="20"/>
          <w:lang w:eastAsia="en-AU"/>
        </w:rPr>
        <w:t>, is a notifiable disease within Australia to the relevant state or territory heath department communicable disease control unit. Notification is indicated where a strong CLINICAL SUSPICION for CJD exists.</w:t>
      </w:r>
    </w:p>
    <w:p w14:paraId="53DF2B56" w14:textId="4957FBEC" w:rsidR="008D5412" w:rsidRPr="008D5412" w:rsidRDefault="008D5412" w:rsidP="008D5412">
      <w:pPr>
        <w:shd w:val="clear" w:color="auto" w:fill="FFFFFF"/>
        <w:spacing w:after="240" w:line="300" w:lineRule="atLeast"/>
        <w:rPr>
          <w:rFonts w:ascii="Helvetica" w:hAnsi="Helvetica" w:cs="Helvetica"/>
          <w:sz w:val="20"/>
          <w:szCs w:val="20"/>
          <w:lang w:eastAsia="en-AU"/>
        </w:rPr>
      </w:pPr>
      <w:r w:rsidRPr="008D5412">
        <w:rPr>
          <w:rFonts w:ascii="Helvetica" w:hAnsi="Helvetica" w:cs="Helvetica"/>
          <w:sz w:val="20"/>
          <w:szCs w:val="20"/>
          <w:lang w:eastAsia="en-AU"/>
        </w:rPr>
        <w:t xml:space="preserve">In addition, the Australian National Creutzfeldt-Jakob Disease Registry (ANCJDR) is under contract to the Commonwealth for national surveillance of human TSEs and provides diagnostic testing services to aid in the assessment of all suspected cases of human TSEs, including CJD, within Australia (Florey Institute of Neurosciences and Mental Health, The University of Melbourne, Kenneth Myer Building, 30 Royal Parade, Gate 11 Rear Loading Dock, Parkville, Victoria 3010 Australia, </w:t>
      </w:r>
      <w:proofErr w:type="spellStart"/>
      <w:r w:rsidRPr="008D5412">
        <w:rPr>
          <w:rFonts w:ascii="Helvetica" w:hAnsi="Helvetica" w:cs="Helvetica"/>
          <w:sz w:val="20"/>
          <w:szCs w:val="20"/>
          <w:lang w:eastAsia="en-AU"/>
        </w:rPr>
        <w:t>ph</w:t>
      </w:r>
      <w:proofErr w:type="spellEnd"/>
      <w:r w:rsidRPr="008D5412">
        <w:rPr>
          <w:rFonts w:ascii="Helvetica" w:hAnsi="Helvetica" w:cs="Helvetica"/>
          <w:sz w:val="20"/>
          <w:szCs w:val="20"/>
          <w:lang w:eastAsia="en-AU"/>
        </w:rPr>
        <w:t xml:space="preserve"> 03 83441949, fax 03 93495105, email ANCJDR (ancjd-reg@unimelb.edu.au)), however notification to state and territory health department communicable disease control units is still required.</w:t>
      </w:r>
    </w:p>
    <w:p w14:paraId="338E6B5E" w14:textId="77777777" w:rsidR="008D5412" w:rsidRPr="008D5412" w:rsidRDefault="008D5412" w:rsidP="008D5412">
      <w:pPr>
        <w:shd w:val="clear" w:color="auto" w:fill="FFFFFF"/>
        <w:spacing w:after="120"/>
        <w:outlineLvl w:val="1"/>
        <w:rPr>
          <w:rFonts w:ascii="Open Sans" w:hAnsi="Open Sans" w:cs="Open Sans"/>
          <w:sz w:val="36"/>
          <w:szCs w:val="36"/>
          <w:lang w:eastAsia="en-AU"/>
        </w:rPr>
      </w:pPr>
      <w:r w:rsidRPr="008D5412">
        <w:rPr>
          <w:rFonts w:ascii="Open Sans" w:hAnsi="Open Sans" w:cs="Open Sans"/>
          <w:sz w:val="36"/>
          <w:szCs w:val="36"/>
          <w:lang w:eastAsia="en-AU"/>
        </w:rPr>
        <w:t>3 Tests</w:t>
      </w:r>
    </w:p>
    <w:p w14:paraId="79B9C8EA" w14:textId="77777777" w:rsidR="008D5412" w:rsidRPr="008D5412" w:rsidRDefault="008D5412" w:rsidP="008D5412">
      <w:pPr>
        <w:shd w:val="clear" w:color="auto" w:fill="FFFFFF"/>
        <w:spacing w:after="240" w:line="300" w:lineRule="atLeast"/>
        <w:rPr>
          <w:rFonts w:ascii="Helvetica" w:hAnsi="Helvetica" w:cs="Helvetica"/>
          <w:sz w:val="20"/>
          <w:szCs w:val="20"/>
          <w:lang w:eastAsia="en-AU"/>
        </w:rPr>
      </w:pPr>
      <w:r w:rsidRPr="008D5412">
        <w:rPr>
          <w:rFonts w:ascii="Helvetica" w:hAnsi="Helvetica" w:cs="Helvetica"/>
          <w:b/>
          <w:bCs/>
          <w:sz w:val="20"/>
          <w:szCs w:val="20"/>
          <w:lang w:eastAsia="en-AU"/>
        </w:rPr>
        <w:t>The only laboratory method for making a definite diagnosis of TSE is histopathological examination of brain tissue.</w:t>
      </w:r>
    </w:p>
    <w:p w14:paraId="675DBC0E" w14:textId="77777777" w:rsidR="008D5412" w:rsidRPr="008D5412" w:rsidRDefault="008D5412" w:rsidP="008D5412">
      <w:pPr>
        <w:shd w:val="clear" w:color="auto" w:fill="FFFFFF"/>
        <w:spacing w:after="120"/>
        <w:outlineLvl w:val="2"/>
        <w:rPr>
          <w:rFonts w:ascii="Open Sans" w:hAnsi="Open Sans" w:cs="Open Sans"/>
          <w:sz w:val="27"/>
          <w:szCs w:val="27"/>
          <w:lang w:eastAsia="en-AU"/>
        </w:rPr>
      </w:pPr>
      <w:r w:rsidRPr="008D5412">
        <w:rPr>
          <w:rFonts w:ascii="Open Sans" w:hAnsi="Open Sans" w:cs="Open Sans"/>
          <w:sz w:val="27"/>
          <w:szCs w:val="27"/>
          <w:lang w:eastAsia="en-AU"/>
        </w:rPr>
        <w:t>3.1 Histopathological examination</w:t>
      </w:r>
    </w:p>
    <w:p w14:paraId="12045974" w14:textId="77777777" w:rsidR="008D5412" w:rsidRPr="008D5412" w:rsidRDefault="008D5412" w:rsidP="008D5412">
      <w:pPr>
        <w:shd w:val="clear" w:color="auto" w:fill="FFFFFF"/>
        <w:spacing w:before="240" w:after="120"/>
        <w:outlineLvl w:val="3"/>
        <w:rPr>
          <w:rFonts w:ascii="Open Sans" w:hAnsi="Open Sans" w:cs="Open Sans"/>
          <w:sz w:val="24"/>
          <w:lang w:eastAsia="en-AU"/>
        </w:rPr>
      </w:pPr>
      <w:r w:rsidRPr="008D5412">
        <w:rPr>
          <w:rFonts w:ascii="Open Sans" w:hAnsi="Open Sans" w:cs="Open Sans"/>
          <w:sz w:val="24"/>
          <w:lang w:eastAsia="en-AU"/>
        </w:rPr>
        <w:t>3.1.1 Brain Biopsy</w:t>
      </w:r>
    </w:p>
    <w:p w14:paraId="4BE86DFD" w14:textId="18DFFA45" w:rsidR="008D5412" w:rsidRPr="008D5412" w:rsidRDefault="008D5412" w:rsidP="008D5412">
      <w:pPr>
        <w:shd w:val="clear" w:color="auto" w:fill="FFFFFF"/>
        <w:spacing w:after="240" w:line="300" w:lineRule="atLeast"/>
        <w:rPr>
          <w:rFonts w:ascii="Helvetica" w:hAnsi="Helvetica" w:cs="Helvetica"/>
          <w:sz w:val="20"/>
          <w:szCs w:val="20"/>
          <w:lang w:eastAsia="en-AU"/>
        </w:rPr>
      </w:pPr>
      <w:r w:rsidRPr="008D5412">
        <w:rPr>
          <w:rFonts w:ascii="Helvetica" w:hAnsi="Helvetica" w:cs="Helvetica"/>
          <w:sz w:val="20"/>
          <w:szCs w:val="20"/>
          <w:lang w:eastAsia="en-AU"/>
        </w:rPr>
        <w:t xml:space="preserve">A definite diagnosis of TSE, including CJD and </w:t>
      </w:r>
      <w:proofErr w:type="spellStart"/>
      <w:r w:rsidRPr="008D5412">
        <w:rPr>
          <w:rFonts w:ascii="Helvetica" w:hAnsi="Helvetica" w:cs="Helvetica"/>
          <w:sz w:val="20"/>
          <w:szCs w:val="20"/>
          <w:lang w:eastAsia="en-AU"/>
        </w:rPr>
        <w:t>vCJD</w:t>
      </w:r>
      <w:proofErr w:type="spellEnd"/>
      <w:r w:rsidRPr="008D5412">
        <w:rPr>
          <w:rFonts w:ascii="Helvetica" w:hAnsi="Helvetica" w:cs="Helvetica"/>
          <w:sz w:val="20"/>
          <w:szCs w:val="20"/>
          <w:lang w:eastAsia="en-AU"/>
        </w:rPr>
        <w:t xml:space="preserve">, is established only by neuropathological examination. Autopsy, or at least post-mortem brain biopsy, is strongly encouraged in any suspected case of human TSE. Ante-mortem brain biopsy typically involves the removal of a small piece of non-dominant frontal </w:t>
      </w:r>
      <w:proofErr w:type="gramStart"/>
      <w:r w:rsidRPr="008D5412">
        <w:rPr>
          <w:rFonts w:ascii="Helvetica" w:hAnsi="Helvetica" w:cs="Helvetica"/>
          <w:sz w:val="20"/>
          <w:szCs w:val="20"/>
          <w:lang w:eastAsia="en-AU"/>
        </w:rPr>
        <w:t>cortex, and</w:t>
      </w:r>
      <w:proofErr w:type="gramEnd"/>
      <w:r w:rsidRPr="008D5412">
        <w:rPr>
          <w:rFonts w:ascii="Helvetica" w:hAnsi="Helvetica" w:cs="Helvetica"/>
          <w:sz w:val="20"/>
          <w:szCs w:val="20"/>
          <w:lang w:eastAsia="en-AU"/>
        </w:rPr>
        <w:t xml:space="preserve"> is generally only recommended when the clinical features are atypical and the diagnosis of an alternative treatable disease is being sought. Although usually diagnostic in </w:t>
      </w:r>
      <w:r w:rsidRPr="008D5412">
        <w:rPr>
          <w:rFonts w:ascii="Helvetica" w:hAnsi="Helvetica" w:cs="Helvetica"/>
          <w:sz w:val="20"/>
          <w:szCs w:val="20"/>
          <w:lang w:eastAsia="en-AU"/>
        </w:rPr>
        <w:lastRenderedPageBreak/>
        <w:t>CJD, approximately 5% of biopsies from subsequently confirmed definite cases are non-diagnostic, reflecting “sampling error” from the variable distribution of brain pathology in CJD. The extent and intensity of pathological features increase as the disease progresses and therefore, the pathological characteristics become more marked in patients with a disease of long duration</w:t>
      </w:r>
      <w:r w:rsidRPr="008D5412">
        <w:rPr>
          <w:rFonts w:ascii="Helvetica" w:hAnsi="Helvetica" w:cs="Helvetica"/>
          <w:sz w:val="15"/>
          <w:szCs w:val="15"/>
          <w:vertAlign w:val="superscript"/>
          <w:lang w:eastAsia="en-AU"/>
        </w:rPr>
        <w:t>4</w:t>
      </w:r>
      <w:r w:rsidRPr="008D5412">
        <w:rPr>
          <w:rFonts w:ascii="Helvetica" w:hAnsi="Helvetica" w:cs="Helvetica"/>
          <w:sz w:val="20"/>
          <w:szCs w:val="20"/>
          <w:lang w:eastAsia="en-AU"/>
        </w:rPr>
        <w:t>.</w:t>
      </w:r>
    </w:p>
    <w:p w14:paraId="2ED05B41" w14:textId="77777777" w:rsidR="008D5412" w:rsidRPr="008D5412" w:rsidRDefault="008D5412" w:rsidP="008D5412">
      <w:pPr>
        <w:shd w:val="clear" w:color="auto" w:fill="FFFFFF"/>
        <w:spacing w:after="240" w:line="300" w:lineRule="atLeast"/>
        <w:rPr>
          <w:rFonts w:ascii="Helvetica" w:hAnsi="Helvetica" w:cs="Helvetica"/>
          <w:sz w:val="20"/>
          <w:szCs w:val="20"/>
          <w:lang w:eastAsia="en-AU"/>
        </w:rPr>
      </w:pPr>
      <w:r w:rsidRPr="008D5412">
        <w:rPr>
          <w:rFonts w:ascii="Helvetica" w:hAnsi="Helvetica" w:cs="Helvetica"/>
          <w:sz w:val="20"/>
          <w:szCs w:val="20"/>
          <w:lang w:eastAsia="en-AU"/>
        </w:rPr>
        <w:t xml:space="preserve">The sporadic, </w:t>
      </w:r>
      <w:proofErr w:type="gramStart"/>
      <w:r w:rsidRPr="008D5412">
        <w:rPr>
          <w:rFonts w:ascii="Helvetica" w:hAnsi="Helvetica" w:cs="Helvetica"/>
          <w:sz w:val="20"/>
          <w:szCs w:val="20"/>
          <w:lang w:eastAsia="en-AU"/>
        </w:rPr>
        <w:t>genetic</w:t>
      </w:r>
      <w:proofErr w:type="gramEnd"/>
      <w:r w:rsidRPr="008D5412">
        <w:rPr>
          <w:rFonts w:ascii="Helvetica" w:hAnsi="Helvetica" w:cs="Helvetica"/>
          <w:sz w:val="20"/>
          <w:szCs w:val="20"/>
          <w:lang w:eastAsia="en-AU"/>
        </w:rPr>
        <w:t xml:space="preserve"> and iatrogenic forms of CJD and </w:t>
      </w:r>
      <w:proofErr w:type="spellStart"/>
      <w:r w:rsidRPr="008D5412">
        <w:rPr>
          <w:rFonts w:ascii="Helvetica" w:hAnsi="Helvetica" w:cs="Helvetica"/>
          <w:sz w:val="20"/>
          <w:szCs w:val="20"/>
          <w:lang w:eastAsia="en-AU"/>
        </w:rPr>
        <w:t>VPRPr</w:t>
      </w:r>
      <w:proofErr w:type="spellEnd"/>
      <w:r w:rsidRPr="008D5412">
        <w:rPr>
          <w:rFonts w:ascii="Helvetica" w:hAnsi="Helvetica" w:cs="Helvetica"/>
          <w:sz w:val="20"/>
          <w:szCs w:val="20"/>
          <w:lang w:eastAsia="en-AU"/>
        </w:rPr>
        <w:t xml:space="preserve"> characteristically display neuropathological findings of spongiform lesions, reactive </w:t>
      </w:r>
      <w:proofErr w:type="spellStart"/>
      <w:r w:rsidRPr="008D5412">
        <w:rPr>
          <w:rFonts w:ascii="Helvetica" w:hAnsi="Helvetica" w:cs="Helvetica"/>
          <w:sz w:val="20"/>
          <w:szCs w:val="20"/>
          <w:lang w:eastAsia="en-AU"/>
        </w:rPr>
        <w:t>astrocytosis</w:t>
      </w:r>
      <w:proofErr w:type="spellEnd"/>
      <w:r w:rsidRPr="008D5412">
        <w:rPr>
          <w:rFonts w:ascii="Helvetica" w:hAnsi="Helvetica" w:cs="Helvetica"/>
          <w:sz w:val="20"/>
          <w:szCs w:val="20"/>
          <w:lang w:eastAsia="en-AU"/>
        </w:rPr>
        <w:t xml:space="preserve"> and neuronal loss in the cerebral and/or cerebellar cortex and/or subcortical grey matter, with accumulation of the abnormal prion protein (</w:t>
      </w:r>
      <w:proofErr w:type="spellStart"/>
      <w:r w:rsidRPr="008D5412">
        <w:rPr>
          <w:rFonts w:ascii="Helvetica" w:hAnsi="Helvetica" w:cs="Helvetica"/>
          <w:sz w:val="20"/>
          <w:szCs w:val="20"/>
          <w:lang w:eastAsia="en-AU"/>
        </w:rPr>
        <w:t>PrPsc</w:t>
      </w:r>
      <w:proofErr w:type="spellEnd"/>
      <w:r w:rsidRPr="008D5412">
        <w:rPr>
          <w:rFonts w:ascii="Helvetica" w:hAnsi="Helvetica" w:cs="Helvetica"/>
          <w:sz w:val="20"/>
          <w:szCs w:val="20"/>
          <w:lang w:eastAsia="en-AU"/>
        </w:rPr>
        <w:t>), demonstrated by immunohistochemistry or immunochemical detection by immunoblot; however, lesion profiles may vary depending on the molecular sub-type.</w:t>
      </w:r>
    </w:p>
    <w:p w14:paraId="0A498603" w14:textId="3890964B" w:rsidR="008D5412" w:rsidRPr="008D5412" w:rsidRDefault="008D5412" w:rsidP="008D5412">
      <w:pPr>
        <w:shd w:val="clear" w:color="auto" w:fill="FFFFFF"/>
        <w:spacing w:after="240" w:line="300" w:lineRule="atLeast"/>
        <w:rPr>
          <w:rFonts w:ascii="Helvetica" w:hAnsi="Helvetica" w:cs="Helvetica"/>
          <w:sz w:val="20"/>
          <w:szCs w:val="20"/>
          <w:lang w:eastAsia="en-AU"/>
        </w:rPr>
      </w:pPr>
      <w:r w:rsidRPr="008D5412">
        <w:rPr>
          <w:rFonts w:ascii="Helvetica" w:hAnsi="Helvetica" w:cs="Helvetica"/>
          <w:sz w:val="20"/>
          <w:szCs w:val="20"/>
          <w:lang w:eastAsia="en-AU"/>
        </w:rPr>
        <w:t xml:space="preserve">The neuropathology of </w:t>
      </w:r>
      <w:proofErr w:type="spellStart"/>
      <w:r w:rsidRPr="008D5412">
        <w:rPr>
          <w:rFonts w:ascii="Helvetica" w:hAnsi="Helvetica" w:cs="Helvetica"/>
          <w:sz w:val="20"/>
          <w:szCs w:val="20"/>
          <w:lang w:eastAsia="en-AU"/>
        </w:rPr>
        <w:t>vCJD</w:t>
      </w:r>
      <w:proofErr w:type="spellEnd"/>
      <w:r w:rsidRPr="008D5412">
        <w:rPr>
          <w:rFonts w:ascii="Helvetica" w:hAnsi="Helvetica" w:cs="Helvetica"/>
          <w:sz w:val="20"/>
          <w:szCs w:val="20"/>
          <w:lang w:eastAsia="en-AU"/>
        </w:rPr>
        <w:t xml:space="preserve"> is distinctively different from </w:t>
      </w:r>
      <w:proofErr w:type="spellStart"/>
      <w:r w:rsidRPr="008D5412">
        <w:rPr>
          <w:rFonts w:ascii="Helvetica" w:hAnsi="Helvetica" w:cs="Helvetica"/>
          <w:sz w:val="20"/>
          <w:szCs w:val="20"/>
          <w:lang w:eastAsia="en-AU"/>
        </w:rPr>
        <w:t>sCJD</w:t>
      </w:r>
      <w:proofErr w:type="spellEnd"/>
      <w:r w:rsidRPr="008D5412">
        <w:rPr>
          <w:rFonts w:ascii="Helvetica" w:hAnsi="Helvetica" w:cs="Helvetica"/>
          <w:sz w:val="20"/>
          <w:szCs w:val="20"/>
          <w:lang w:eastAsia="en-AU"/>
        </w:rPr>
        <w:t xml:space="preserve">. In particular, </w:t>
      </w:r>
      <w:proofErr w:type="gramStart"/>
      <w:r w:rsidRPr="008D5412">
        <w:rPr>
          <w:rFonts w:ascii="Helvetica" w:hAnsi="Helvetica" w:cs="Helvetica"/>
          <w:sz w:val="20"/>
          <w:szCs w:val="20"/>
          <w:lang w:eastAsia="en-AU"/>
        </w:rPr>
        <w:t>a large number of</w:t>
      </w:r>
      <w:proofErr w:type="gramEnd"/>
      <w:r w:rsidRPr="008D5412">
        <w:rPr>
          <w:rFonts w:ascii="Helvetica" w:hAnsi="Helvetica" w:cs="Helvetica"/>
          <w:sz w:val="20"/>
          <w:szCs w:val="20"/>
          <w:lang w:eastAsia="en-AU"/>
        </w:rPr>
        <w:t xml:space="preserve"> </w:t>
      </w:r>
      <w:proofErr w:type="spellStart"/>
      <w:r w:rsidRPr="008D5412">
        <w:rPr>
          <w:rFonts w:ascii="Helvetica" w:hAnsi="Helvetica" w:cs="Helvetica"/>
          <w:sz w:val="20"/>
          <w:szCs w:val="20"/>
          <w:lang w:eastAsia="en-AU"/>
        </w:rPr>
        <w:t>PrP</w:t>
      </w:r>
      <w:proofErr w:type="spellEnd"/>
      <w:r w:rsidRPr="008D5412">
        <w:rPr>
          <w:rFonts w:ascii="Helvetica" w:hAnsi="Helvetica" w:cs="Helvetica"/>
          <w:sz w:val="20"/>
          <w:szCs w:val="20"/>
          <w:lang w:eastAsia="en-AU"/>
        </w:rPr>
        <w:t xml:space="preserve"> amyloid plaques surrounded by a halo of spongiform change (‘florid plaques’ or ‘daisy-like’ plaques) are seen, particularly in the cerebral and cerebellar cortical grey matter</w:t>
      </w:r>
      <w:r w:rsidRPr="008D5412">
        <w:rPr>
          <w:rFonts w:ascii="Helvetica" w:hAnsi="Helvetica" w:cs="Helvetica"/>
          <w:sz w:val="15"/>
          <w:szCs w:val="15"/>
          <w:vertAlign w:val="superscript"/>
          <w:lang w:eastAsia="en-AU"/>
        </w:rPr>
        <w:t>1</w:t>
      </w:r>
      <w:r w:rsidRPr="008D5412">
        <w:rPr>
          <w:rFonts w:ascii="Helvetica" w:hAnsi="Helvetica" w:cs="Helvetica"/>
          <w:sz w:val="20"/>
          <w:szCs w:val="20"/>
          <w:lang w:eastAsia="en-AU"/>
        </w:rPr>
        <w:t xml:space="preserve">. The ‘florid plaques’ are not specific for </w:t>
      </w:r>
      <w:proofErr w:type="spellStart"/>
      <w:r w:rsidRPr="008D5412">
        <w:rPr>
          <w:rFonts w:ascii="Helvetica" w:hAnsi="Helvetica" w:cs="Helvetica"/>
          <w:sz w:val="20"/>
          <w:szCs w:val="20"/>
          <w:lang w:eastAsia="en-AU"/>
        </w:rPr>
        <w:t>vCJD</w:t>
      </w:r>
      <w:proofErr w:type="spellEnd"/>
      <w:r w:rsidRPr="008D5412">
        <w:rPr>
          <w:rFonts w:ascii="Helvetica" w:hAnsi="Helvetica" w:cs="Helvetica"/>
          <w:sz w:val="20"/>
          <w:szCs w:val="20"/>
          <w:lang w:eastAsia="en-AU"/>
        </w:rPr>
        <w:t xml:space="preserve"> (also may be seen in </w:t>
      </w:r>
      <w:proofErr w:type="spellStart"/>
      <w:r w:rsidRPr="008D5412">
        <w:rPr>
          <w:rFonts w:ascii="Helvetica" w:hAnsi="Helvetica" w:cs="Helvetica"/>
          <w:sz w:val="20"/>
          <w:szCs w:val="20"/>
          <w:lang w:eastAsia="en-AU"/>
        </w:rPr>
        <w:t>gCJD</w:t>
      </w:r>
      <w:proofErr w:type="spellEnd"/>
      <w:r w:rsidRPr="008D5412">
        <w:rPr>
          <w:rFonts w:ascii="Helvetica" w:hAnsi="Helvetica" w:cs="Helvetica"/>
          <w:sz w:val="20"/>
          <w:szCs w:val="20"/>
          <w:lang w:eastAsia="en-AU"/>
        </w:rPr>
        <w:t xml:space="preserve">) but their widespread distribution is characteristic of the disease. Amorphous pericellular and perivascular </w:t>
      </w:r>
      <w:proofErr w:type="spellStart"/>
      <w:r w:rsidRPr="008D5412">
        <w:rPr>
          <w:rFonts w:ascii="Helvetica" w:hAnsi="Helvetica" w:cs="Helvetica"/>
          <w:sz w:val="20"/>
          <w:szCs w:val="20"/>
          <w:lang w:eastAsia="en-AU"/>
        </w:rPr>
        <w:t>PrPsc</w:t>
      </w:r>
      <w:proofErr w:type="spellEnd"/>
      <w:r w:rsidRPr="008D5412">
        <w:rPr>
          <w:rFonts w:ascii="Helvetica" w:hAnsi="Helvetica" w:cs="Helvetica"/>
          <w:sz w:val="20"/>
          <w:szCs w:val="20"/>
          <w:lang w:eastAsia="en-AU"/>
        </w:rPr>
        <w:t xml:space="preserve"> deposits, especially prominent in the cerebellar molecular layer, and multiple small </w:t>
      </w:r>
      <w:proofErr w:type="spellStart"/>
      <w:r w:rsidRPr="008D5412">
        <w:rPr>
          <w:rFonts w:ascii="Helvetica" w:hAnsi="Helvetica" w:cs="Helvetica"/>
          <w:sz w:val="20"/>
          <w:szCs w:val="20"/>
          <w:lang w:eastAsia="en-AU"/>
        </w:rPr>
        <w:t>PrPsc</w:t>
      </w:r>
      <w:proofErr w:type="spellEnd"/>
      <w:r w:rsidRPr="008D5412">
        <w:rPr>
          <w:rFonts w:ascii="Helvetica" w:hAnsi="Helvetica" w:cs="Helvetica"/>
          <w:sz w:val="20"/>
          <w:szCs w:val="20"/>
          <w:lang w:eastAsia="en-AU"/>
        </w:rPr>
        <w:t xml:space="preserve"> plaques which are only detectable by immunohistochemical staining, may also be present. In addition to amyloid plaques, </w:t>
      </w:r>
      <w:proofErr w:type="spellStart"/>
      <w:r w:rsidRPr="008D5412">
        <w:rPr>
          <w:rFonts w:ascii="Helvetica" w:hAnsi="Helvetica" w:cs="Helvetica"/>
          <w:sz w:val="20"/>
          <w:szCs w:val="20"/>
          <w:lang w:eastAsia="en-AU"/>
        </w:rPr>
        <w:t>vCJD</w:t>
      </w:r>
      <w:proofErr w:type="spellEnd"/>
      <w:r w:rsidRPr="008D5412">
        <w:rPr>
          <w:rFonts w:ascii="Helvetica" w:hAnsi="Helvetica" w:cs="Helvetica"/>
          <w:sz w:val="20"/>
          <w:szCs w:val="20"/>
          <w:lang w:eastAsia="en-AU"/>
        </w:rPr>
        <w:t xml:space="preserve"> displays some other neuropathological features that make it distinguishable from other human prion diseases. Posterior thalamic astrocytic gliosis is more extensive in </w:t>
      </w:r>
      <w:proofErr w:type="spellStart"/>
      <w:r w:rsidRPr="008D5412">
        <w:rPr>
          <w:rFonts w:ascii="Helvetica" w:hAnsi="Helvetica" w:cs="Helvetica"/>
          <w:sz w:val="20"/>
          <w:szCs w:val="20"/>
          <w:lang w:eastAsia="en-AU"/>
        </w:rPr>
        <w:t>vCJD</w:t>
      </w:r>
      <w:proofErr w:type="spellEnd"/>
      <w:r w:rsidRPr="008D5412">
        <w:rPr>
          <w:rFonts w:ascii="Helvetica" w:hAnsi="Helvetica" w:cs="Helvetica"/>
          <w:sz w:val="20"/>
          <w:szCs w:val="20"/>
          <w:lang w:eastAsia="en-AU"/>
        </w:rPr>
        <w:t xml:space="preserve"> than in other forms of the disease (</w:t>
      </w:r>
      <w:proofErr w:type="gramStart"/>
      <w:r w:rsidRPr="008D5412">
        <w:rPr>
          <w:rFonts w:ascii="Helvetica" w:hAnsi="Helvetica" w:cs="Helvetica"/>
          <w:sz w:val="20"/>
          <w:szCs w:val="20"/>
          <w:lang w:eastAsia="en-AU"/>
        </w:rPr>
        <w:t>i.e.</w:t>
      </w:r>
      <w:proofErr w:type="gramEnd"/>
      <w:r w:rsidRPr="008D5412">
        <w:rPr>
          <w:rFonts w:ascii="Helvetica" w:hAnsi="Helvetica" w:cs="Helvetica"/>
          <w:sz w:val="20"/>
          <w:szCs w:val="20"/>
          <w:lang w:eastAsia="en-AU"/>
        </w:rPr>
        <w:t xml:space="preserve"> the total number of astrocytes is higher in </w:t>
      </w:r>
      <w:proofErr w:type="spellStart"/>
      <w:r w:rsidRPr="008D5412">
        <w:rPr>
          <w:rFonts w:ascii="Helvetica" w:hAnsi="Helvetica" w:cs="Helvetica"/>
          <w:sz w:val="20"/>
          <w:szCs w:val="20"/>
          <w:lang w:eastAsia="en-AU"/>
        </w:rPr>
        <w:t>vCJD</w:t>
      </w:r>
      <w:proofErr w:type="spellEnd"/>
      <w:r w:rsidRPr="008D5412">
        <w:rPr>
          <w:rFonts w:ascii="Helvetica" w:hAnsi="Helvetica" w:cs="Helvetica"/>
          <w:sz w:val="20"/>
          <w:szCs w:val="20"/>
          <w:lang w:eastAsia="en-AU"/>
        </w:rPr>
        <w:t xml:space="preserve"> than in </w:t>
      </w:r>
      <w:proofErr w:type="spellStart"/>
      <w:r w:rsidRPr="008D5412">
        <w:rPr>
          <w:rFonts w:ascii="Helvetica" w:hAnsi="Helvetica" w:cs="Helvetica"/>
          <w:sz w:val="20"/>
          <w:szCs w:val="20"/>
          <w:lang w:eastAsia="en-AU"/>
        </w:rPr>
        <w:t>sCJD</w:t>
      </w:r>
      <w:proofErr w:type="spellEnd"/>
      <w:r w:rsidRPr="008D5412">
        <w:rPr>
          <w:rFonts w:ascii="Helvetica" w:hAnsi="Helvetica" w:cs="Helvetica"/>
          <w:sz w:val="20"/>
          <w:szCs w:val="20"/>
          <w:lang w:eastAsia="en-AU"/>
        </w:rPr>
        <w:t>). This severe astrocytic gliosis is accompanied by marked neuronal loss in vCJD</w:t>
      </w:r>
      <w:r w:rsidRPr="008D5412">
        <w:rPr>
          <w:rFonts w:ascii="Helvetica" w:hAnsi="Helvetica" w:cs="Helvetica"/>
          <w:sz w:val="15"/>
          <w:szCs w:val="15"/>
          <w:vertAlign w:val="superscript"/>
          <w:lang w:eastAsia="en-AU"/>
        </w:rPr>
        <w:t>1</w:t>
      </w:r>
      <w:r w:rsidRPr="008D5412">
        <w:rPr>
          <w:rFonts w:ascii="Helvetica" w:hAnsi="Helvetica" w:cs="Helvetica"/>
          <w:sz w:val="20"/>
          <w:szCs w:val="20"/>
          <w:lang w:eastAsia="en-AU"/>
        </w:rPr>
        <w:t>.</w:t>
      </w:r>
    </w:p>
    <w:p w14:paraId="41A6D9D0" w14:textId="46209C66" w:rsidR="008D5412" w:rsidRPr="008D5412" w:rsidRDefault="008D5412" w:rsidP="008D5412">
      <w:pPr>
        <w:shd w:val="clear" w:color="auto" w:fill="FFFFFF"/>
        <w:spacing w:after="240" w:line="300" w:lineRule="atLeast"/>
        <w:rPr>
          <w:rFonts w:ascii="Helvetica" w:hAnsi="Helvetica" w:cs="Helvetica"/>
          <w:sz w:val="20"/>
          <w:szCs w:val="20"/>
          <w:lang w:eastAsia="en-AU"/>
        </w:rPr>
      </w:pPr>
      <w:r w:rsidRPr="008D5412">
        <w:rPr>
          <w:rFonts w:ascii="Helvetica" w:hAnsi="Helvetica" w:cs="Helvetica"/>
          <w:sz w:val="20"/>
          <w:szCs w:val="20"/>
          <w:lang w:eastAsia="en-AU"/>
        </w:rPr>
        <w:t xml:space="preserve">Pathological changes are more anatomically restricted in FFI and </w:t>
      </w:r>
      <w:proofErr w:type="spellStart"/>
      <w:r w:rsidRPr="008D5412">
        <w:rPr>
          <w:rFonts w:ascii="Helvetica" w:hAnsi="Helvetica" w:cs="Helvetica"/>
          <w:sz w:val="20"/>
          <w:szCs w:val="20"/>
          <w:lang w:eastAsia="en-AU"/>
        </w:rPr>
        <w:t>sFI</w:t>
      </w:r>
      <w:proofErr w:type="spellEnd"/>
      <w:r w:rsidRPr="008D5412">
        <w:rPr>
          <w:rFonts w:ascii="Helvetica" w:hAnsi="Helvetica" w:cs="Helvetica"/>
          <w:sz w:val="20"/>
          <w:szCs w:val="20"/>
          <w:lang w:eastAsia="en-AU"/>
        </w:rPr>
        <w:t xml:space="preserve">, with neuronal loss and astrocytic gliosis occurring predominantly in the thalamic nuclei and the inferior olives, with scant </w:t>
      </w:r>
      <w:proofErr w:type="spellStart"/>
      <w:r w:rsidRPr="008D5412">
        <w:rPr>
          <w:rFonts w:ascii="Helvetica" w:hAnsi="Helvetica" w:cs="Helvetica"/>
          <w:sz w:val="20"/>
          <w:szCs w:val="20"/>
          <w:lang w:eastAsia="en-AU"/>
        </w:rPr>
        <w:t>PrP</w:t>
      </w:r>
      <w:proofErr w:type="spellEnd"/>
      <w:r w:rsidRPr="008D5412">
        <w:rPr>
          <w:rFonts w:ascii="Helvetica" w:hAnsi="Helvetica" w:cs="Helvetica"/>
          <w:sz w:val="20"/>
          <w:szCs w:val="20"/>
          <w:lang w:eastAsia="en-AU"/>
        </w:rPr>
        <w:t xml:space="preserve"> deposition</w:t>
      </w:r>
      <w:r w:rsidRPr="008D5412">
        <w:rPr>
          <w:rFonts w:ascii="Helvetica" w:hAnsi="Helvetica" w:cs="Helvetica"/>
          <w:sz w:val="15"/>
          <w:szCs w:val="15"/>
          <w:vertAlign w:val="superscript"/>
          <w:lang w:eastAsia="en-AU"/>
        </w:rPr>
        <w:t>2</w:t>
      </w:r>
      <w:r w:rsidRPr="008D5412">
        <w:rPr>
          <w:rFonts w:ascii="Helvetica" w:hAnsi="Helvetica" w:cs="Helvetica"/>
          <w:sz w:val="20"/>
          <w:szCs w:val="20"/>
          <w:lang w:eastAsia="en-AU"/>
        </w:rPr>
        <w:t>. In general, the neuropathologic features of GSS patients include thalamic degeneration and severe to absent spongiform changes in the cerebrum, with numerous amyloid plaques, neuronal loss, astrocytic microgliosis, and variable neurofibrillary tangles</w:t>
      </w:r>
      <w:r w:rsidRPr="008D5412">
        <w:rPr>
          <w:rFonts w:ascii="Helvetica" w:hAnsi="Helvetica" w:cs="Helvetica"/>
          <w:sz w:val="15"/>
          <w:szCs w:val="15"/>
          <w:vertAlign w:val="superscript"/>
          <w:lang w:eastAsia="en-AU"/>
        </w:rPr>
        <w:t>2,3</w:t>
      </w:r>
      <w:r w:rsidRPr="008D5412">
        <w:rPr>
          <w:rFonts w:ascii="Helvetica" w:hAnsi="Helvetica" w:cs="Helvetica"/>
          <w:sz w:val="20"/>
          <w:szCs w:val="20"/>
          <w:lang w:eastAsia="en-AU"/>
        </w:rPr>
        <w:t xml:space="preserve">. The neuropathological property which distinguishes kuru from </w:t>
      </w:r>
      <w:proofErr w:type="spellStart"/>
      <w:r w:rsidRPr="008D5412">
        <w:rPr>
          <w:rFonts w:ascii="Helvetica" w:hAnsi="Helvetica" w:cs="Helvetica"/>
          <w:sz w:val="20"/>
          <w:szCs w:val="20"/>
          <w:lang w:eastAsia="en-AU"/>
        </w:rPr>
        <w:t>sCJD</w:t>
      </w:r>
      <w:proofErr w:type="spellEnd"/>
      <w:r w:rsidRPr="008D5412">
        <w:rPr>
          <w:rFonts w:ascii="Helvetica" w:hAnsi="Helvetica" w:cs="Helvetica"/>
          <w:sz w:val="20"/>
          <w:szCs w:val="20"/>
          <w:lang w:eastAsia="en-AU"/>
        </w:rPr>
        <w:t xml:space="preserve"> is the presence of numerous kuru plaques: spherical bodies with a rim of radiating filaments.</w:t>
      </w:r>
    </w:p>
    <w:p w14:paraId="38FEC74C" w14:textId="77777777" w:rsidR="008D5412" w:rsidRPr="008D5412" w:rsidRDefault="008D5412" w:rsidP="008D5412">
      <w:pPr>
        <w:shd w:val="clear" w:color="auto" w:fill="FFFFFF"/>
        <w:spacing w:after="240" w:line="300" w:lineRule="atLeast"/>
        <w:rPr>
          <w:rFonts w:ascii="Helvetica" w:hAnsi="Helvetica" w:cs="Helvetica"/>
          <w:sz w:val="20"/>
          <w:szCs w:val="20"/>
          <w:lang w:eastAsia="en-AU"/>
        </w:rPr>
      </w:pPr>
      <w:r w:rsidRPr="008D5412">
        <w:rPr>
          <w:rFonts w:ascii="Helvetica" w:hAnsi="Helvetica" w:cs="Helvetica"/>
          <w:sz w:val="20"/>
          <w:szCs w:val="20"/>
          <w:lang w:eastAsia="en-AU"/>
        </w:rPr>
        <w:t>Specialist neuropathology referral centres are available for examination of histopathological specimens from suspected TSE cases for each Australian state and territory according to Table 1.</w:t>
      </w:r>
    </w:p>
    <w:p w14:paraId="367C497C" w14:textId="77777777" w:rsidR="00356AEF" w:rsidRPr="00356AEF" w:rsidRDefault="00356AEF">
      <w:pPr>
        <w:rPr>
          <w:rFonts w:ascii="Helvetica" w:hAnsi="Helvetica" w:cs="Helvetica"/>
          <w:b/>
          <w:bCs/>
          <w:sz w:val="20"/>
          <w:szCs w:val="20"/>
          <w:lang w:eastAsia="en-AU"/>
        </w:rPr>
      </w:pPr>
      <w:r w:rsidRPr="00356AEF">
        <w:rPr>
          <w:rFonts w:ascii="Helvetica" w:hAnsi="Helvetica" w:cs="Helvetica"/>
          <w:b/>
          <w:bCs/>
          <w:sz w:val="20"/>
          <w:szCs w:val="20"/>
          <w:lang w:eastAsia="en-AU"/>
        </w:rPr>
        <w:br w:type="page"/>
      </w:r>
    </w:p>
    <w:p w14:paraId="21307412" w14:textId="423CEDD1" w:rsidR="008D5412" w:rsidRPr="008D5412" w:rsidRDefault="008D5412" w:rsidP="008D5412">
      <w:pPr>
        <w:shd w:val="clear" w:color="auto" w:fill="FFFFFF"/>
        <w:spacing w:after="240" w:line="300" w:lineRule="atLeast"/>
        <w:rPr>
          <w:rFonts w:ascii="Helvetica" w:hAnsi="Helvetica" w:cs="Helvetica"/>
          <w:sz w:val="20"/>
          <w:szCs w:val="20"/>
          <w:lang w:eastAsia="en-AU"/>
        </w:rPr>
      </w:pPr>
      <w:r w:rsidRPr="008D5412">
        <w:rPr>
          <w:rFonts w:ascii="Helvetica" w:hAnsi="Helvetica" w:cs="Helvetica"/>
          <w:b/>
          <w:bCs/>
          <w:sz w:val="20"/>
          <w:szCs w:val="20"/>
          <w:lang w:eastAsia="en-AU"/>
        </w:rPr>
        <w:lastRenderedPageBreak/>
        <w:t xml:space="preserve">Table 1: Neuropathology Referral Centres for Suspected TSE, including CJD and </w:t>
      </w:r>
      <w:proofErr w:type="spellStart"/>
      <w:r w:rsidRPr="008D5412">
        <w:rPr>
          <w:rFonts w:ascii="Helvetica" w:hAnsi="Helvetica" w:cs="Helvetica"/>
          <w:b/>
          <w:bCs/>
          <w:sz w:val="20"/>
          <w:szCs w:val="20"/>
          <w:lang w:eastAsia="en-AU"/>
        </w:rPr>
        <w:t>vCJD</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Caption w:val="Table displays SNOMED CT concept list"/>
        <w:tblDescription w:val="Table displays SNOMED CT concept list"/>
      </w:tblPr>
      <w:tblGrid>
        <w:gridCol w:w="2408"/>
        <w:gridCol w:w="2691"/>
        <w:gridCol w:w="3961"/>
      </w:tblGrid>
      <w:tr w:rsidR="00356AEF" w:rsidRPr="00356AEF" w14:paraId="44D52538" w14:textId="77777777" w:rsidTr="00860860">
        <w:tc>
          <w:tcPr>
            <w:tcW w:w="1329" w:type="pct"/>
            <w:shd w:val="clear" w:color="auto" w:fill="E8F3FA"/>
            <w:tcMar>
              <w:top w:w="150" w:type="dxa"/>
              <w:left w:w="150" w:type="dxa"/>
              <w:bottom w:w="150" w:type="dxa"/>
              <w:right w:w="150" w:type="dxa"/>
            </w:tcMar>
            <w:hideMark/>
          </w:tcPr>
          <w:p w14:paraId="5AE198A0" w14:textId="77777777" w:rsidR="008D5412" w:rsidRPr="008D5412" w:rsidRDefault="008D5412" w:rsidP="008D5412">
            <w:pPr>
              <w:spacing w:after="300"/>
              <w:jc w:val="center"/>
              <w:rPr>
                <w:rFonts w:ascii="Helvetica" w:hAnsi="Helvetica" w:cs="Helvetica"/>
                <w:b/>
                <w:bCs/>
                <w:sz w:val="20"/>
                <w:szCs w:val="20"/>
                <w:lang w:eastAsia="en-AU"/>
              </w:rPr>
            </w:pPr>
            <w:r w:rsidRPr="008D5412">
              <w:rPr>
                <w:rFonts w:ascii="Helvetica" w:hAnsi="Helvetica" w:cs="Helvetica"/>
                <w:b/>
                <w:bCs/>
                <w:sz w:val="20"/>
                <w:szCs w:val="20"/>
                <w:bdr w:val="none" w:sz="0" w:space="0" w:color="auto" w:frame="1"/>
                <w:lang w:eastAsia="en-AU"/>
              </w:rPr>
              <w:t>State/Territory</w:t>
            </w:r>
          </w:p>
        </w:tc>
        <w:tc>
          <w:tcPr>
            <w:tcW w:w="1485" w:type="pct"/>
            <w:shd w:val="clear" w:color="auto" w:fill="E8F3FA"/>
            <w:tcMar>
              <w:top w:w="150" w:type="dxa"/>
              <w:left w:w="150" w:type="dxa"/>
              <w:bottom w:w="150" w:type="dxa"/>
              <w:right w:w="150" w:type="dxa"/>
            </w:tcMar>
            <w:hideMark/>
          </w:tcPr>
          <w:p w14:paraId="1BA913E9" w14:textId="77777777" w:rsidR="008D5412" w:rsidRPr="008D5412" w:rsidRDefault="008D5412" w:rsidP="008D5412">
            <w:pPr>
              <w:spacing w:after="300"/>
              <w:jc w:val="center"/>
              <w:rPr>
                <w:rFonts w:ascii="Helvetica" w:hAnsi="Helvetica" w:cs="Helvetica"/>
                <w:b/>
                <w:bCs/>
                <w:sz w:val="20"/>
                <w:szCs w:val="20"/>
                <w:lang w:eastAsia="en-AU"/>
              </w:rPr>
            </w:pPr>
            <w:r w:rsidRPr="008D5412">
              <w:rPr>
                <w:rFonts w:ascii="Helvetica" w:hAnsi="Helvetica" w:cs="Helvetica"/>
                <w:b/>
                <w:bCs/>
                <w:sz w:val="20"/>
                <w:szCs w:val="20"/>
                <w:bdr w:val="none" w:sz="0" w:space="0" w:color="auto" w:frame="1"/>
                <w:lang w:eastAsia="en-AU"/>
              </w:rPr>
              <w:t>Autopsy Service</w:t>
            </w:r>
          </w:p>
        </w:tc>
        <w:tc>
          <w:tcPr>
            <w:tcW w:w="2187" w:type="pct"/>
            <w:shd w:val="clear" w:color="auto" w:fill="E8F3FA"/>
            <w:tcMar>
              <w:top w:w="150" w:type="dxa"/>
              <w:left w:w="150" w:type="dxa"/>
              <w:bottom w:w="150" w:type="dxa"/>
              <w:right w:w="150" w:type="dxa"/>
            </w:tcMar>
            <w:hideMark/>
          </w:tcPr>
          <w:p w14:paraId="406D86B2" w14:textId="77777777" w:rsidR="008D5412" w:rsidRPr="008D5412" w:rsidRDefault="008D5412" w:rsidP="008D5412">
            <w:pPr>
              <w:spacing w:after="300"/>
              <w:jc w:val="center"/>
              <w:rPr>
                <w:rFonts w:ascii="Helvetica" w:hAnsi="Helvetica" w:cs="Helvetica"/>
                <w:b/>
                <w:bCs/>
                <w:sz w:val="20"/>
                <w:szCs w:val="20"/>
                <w:lang w:eastAsia="en-AU"/>
              </w:rPr>
            </w:pPr>
            <w:r w:rsidRPr="008D5412">
              <w:rPr>
                <w:rFonts w:ascii="Helvetica" w:hAnsi="Helvetica" w:cs="Helvetica"/>
                <w:b/>
                <w:bCs/>
                <w:sz w:val="20"/>
                <w:szCs w:val="20"/>
                <w:bdr w:val="none" w:sz="0" w:space="0" w:color="auto" w:frame="1"/>
                <w:lang w:eastAsia="en-AU"/>
              </w:rPr>
              <w:t>Histopathology Service</w:t>
            </w:r>
          </w:p>
        </w:tc>
      </w:tr>
      <w:tr w:rsidR="00356AEF" w:rsidRPr="00356AEF" w14:paraId="3AF873BD" w14:textId="77777777" w:rsidTr="00860860">
        <w:tc>
          <w:tcPr>
            <w:tcW w:w="1329" w:type="pct"/>
            <w:shd w:val="clear" w:color="auto" w:fill="FFFFFF"/>
            <w:tcMar>
              <w:top w:w="150" w:type="dxa"/>
              <w:left w:w="150" w:type="dxa"/>
              <w:bottom w:w="150" w:type="dxa"/>
              <w:right w:w="150" w:type="dxa"/>
            </w:tcMar>
            <w:hideMark/>
          </w:tcPr>
          <w:p w14:paraId="4001A4EB" w14:textId="77777777" w:rsidR="008D5412" w:rsidRPr="008D5412" w:rsidRDefault="008D5412" w:rsidP="008D5412">
            <w:pPr>
              <w:spacing w:after="300"/>
              <w:rPr>
                <w:rFonts w:ascii="Helvetica" w:hAnsi="Helvetica" w:cs="Helvetica"/>
                <w:sz w:val="20"/>
                <w:szCs w:val="20"/>
                <w:lang w:eastAsia="en-AU"/>
              </w:rPr>
            </w:pPr>
            <w:r w:rsidRPr="008D5412">
              <w:rPr>
                <w:rFonts w:ascii="Helvetica" w:hAnsi="Helvetica" w:cs="Helvetica"/>
                <w:sz w:val="20"/>
                <w:szCs w:val="20"/>
                <w:lang w:eastAsia="en-AU"/>
              </w:rPr>
              <w:t>VIC/TAS/SA/NT</w:t>
            </w:r>
          </w:p>
        </w:tc>
        <w:tc>
          <w:tcPr>
            <w:tcW w:w="1485" w:type="pct"/>
            <w:shd w:val="clear" w:color="auto" w:fill="FFFFFF"/>
            <w:tcMar>
              <w:top w:w="150" w:type="dxa"/>
              <w:left w:w="150" w:type="dxa"/>
              <w:bottom w:w="150" w:type="dxa"/>
              <w:right w:w="150" w:type="dxa"/>
            </w:tcMar>
            <w:hideMark/>
          </w:tcPr>
          <w:p w14:paraId="1A20A177" w14:textId="77777777" w:rsidR="008D5412" w:rsidRPr="008D5412" w:rsidRDefault="008D5412" w:rsidP="008D5412">
            <w:pPr>
              <w:spacing w:after="300"/>
              <w:rPr>
                <w:rFonts w:ascii="Helvetica" w:hAnsi="Helvetica" w:cs="Helvetica"/>
                <w:sz w:val="20"/>
                <w:szCs w:val="20"/>
                <w:lang w:eastAsia="en-AU"/>
              </w:rPr>
            </w:pPr>
            <w:r w:rsidRPr="008D5412">
              <w:rPr>
                <w:rFonts w:ascii="Helvetica" w:hAnsi="Helvetica" w:cs="Helvetica"/>
                <w:sz w:val="20"/>
                <w:szCs w:val="20"/>
                <w:lang w:eastAsia="en-AU"/>
              </w:rPr>
              <w:t>Alfred Hospital Mortuary</w:t>
            </w:r>
          </w:p>
        </w:tc>
        <w:tc>
          <w:tcPr>
            <w:tcW w:w="2187" w:type="pct"/>
            <w:shd w:val="clear" w:color="auto" w:fill="FFFFFF"/>
            <w:tcMar>
              <w:top w:w="150" w:type="dxa"/>
              <w:left w:w="150" w:type="dxa"/>
              <w:bottom w:w="150" w:type="dxa"/>
              <w:right w:w="150" w:type="dxa"/>
            </w:tcMar>
            <w:hideMark/>
          </w:tcPr>
          <w:p w14:paraId="70DF20C1" w14:textId="77777777" w:rsidR="008D5412" w:rsidRPr="008D5412" w:rsidRDefault="008D5412" w:rsidP="008D5412">
            <w:pPr>
              <w:spacing w:after="300"/>
              <w:rPr>
                <w:rFonts w:ascii="Helvetica" w:hAnsi="Helvetica" w:cs="Helvetica"/>
                <w:sz w:val="20"/>
                <w:szCs w:val="20"/>
                <w:lang w:eastAsia="en-AU"/>
              </w:rPr>
            </w:pPr>
            <w:r w:rsidRPr="008D5412">
              <w:rPr>
                <w:rFonts w:ascii="Helvetica" w:hAnsi="Helvetica" w:cs="Helvetica"/>
                <w:sz w:val="20"/>
                <w:szCs w:val="20"/>
                <w:lang w:eastAsia="en-AU"/>
              </w:rPr>
              <w:t>Neuropathology Histology Laboratory, The Florey Institute of Neuroscience and Mental Health</w:t>
            </w:r>
          </w:p>
        </w:tc>
      </w:tr>
      <w:tr w:rsidR="00356AEF" w:rsidRPr="00356AEF" w14:paraId="158BD300" w14:textId="77777777" w:rsidTr="00860860">
        <w:tc>
          <w:tcPr>
            <w:tcW w:w="1329" w:type="pct"/>
            <w:shd w:val="clear" w:color="auto" w:fill="FFFFFF"/>
            <w:tcMar>
              <w:top w:w="150" w:type="dxa"/>
              <w:left w:w="150" w:type="dxa"/>
              <w:bottom w:w="150" w:type="dxa"/>
              <w:right w:w="150" w:type="dxa"/>
            </w:tcMar>
            <w:hideMark/>
          </w:tcPr>
          <w:p w14:paraId="687CFB97" w14:textId="77777777" w:rsidR="008D5412" w:rsidRPr="008D5412" w:rsidRDefault="008D5412" w:rsidP="008D5412">
            <w:pPr>
              <w:spacing w:after="300"/>
              <w:rPr>
                <w:rFonts w:ascii="Helvetica" w:hAnsi="Helvetica" w:cs="Helvetica"/>
                <w:sz w:val="20"/>
                <w:szCs w:val="20"/>
                <w:lang w:eastAsia="en-AU"/>
              </w:rPr>
            </w:pPr>
            <w:r w:rsidRPr="008D5412">
              <w:rPr>
                <w:rFonts w:ascii="Helvetica" w:hAnsi="Helvetica" w:cs="Helvetica"/>
                <w:sz w:val="20"/>
                <w:szCs w:val="20"/>
                <w:lang w:eastAsia="en-AU"/>
              </w:rPr>
              <w:t>NSW/ACT</w:t>
            </w:r>
          </w:p>
        </w:tc>
        <w:tc>
          <w:tcPr>
            <w:tcW w:w="1485" w:type="pct"/>
            <w:shd w:val="clear" w:color="auto" w:fill="FFFFFF"/>
            <w:tcMar>
              <w:top w:w="150" w:type="dxa"/>
              <w:left w:w="150" w:type="dxa"/>
              <w:bottom w:w="150" w:type="dxa"/>
              <w:right w:w="150" w:type="dxa"/>
            </w:tcMar>
            <w:hideMark/>
          </w:tcPr>
          <w:p w14:paraId="1DCCB935" w14:textId="77777777" w:rsidR="008D5412" w:rsidRPr="008D5412" w:rsidRDefault="008D5412" w:rsidP="008D5412">
            <w:pPr>
              <w:spacing w:after="300"/>
              <w:rPr>
                <w:rFonts w:ascii="Helvetica" w:hAnsi="Helvetica" w:cs="Helvetica"/>
                <w:sz w:val="20"/>
                <w:szCs w:val="20"/>
                <w:lang w:eastAsia="en-AU"/>
              </w:rPr>
            </w:pPr>
            <w:r w:rsidRPr="008D5412">
              <w:rPr>
                <w:rFonts w:ascii="Helvetica" w:hAnsi="Helvetica" w:cs="Helvetica"/>
                <w:sz w:val="20"/>
                <w:szCs w:val="20"/>
                <w:lang w:eastAsia="en-AU"/>
              </w:rPr>
              <w:t>Department of Forensic Medicine, Glebe</w:t>
            </w:r>
          </w:p>
        </w:tc>
        <w:tc>
          <w:tcPr>
            <w:tcW w:w="2187" w:type="pct"/>
            <w:shd w:val="clear" w:color="auto" w:fill="FFFFFF"/>
            <w:tcMar>
              <w:top w:w="150" w:type="dxa"/>
              <w:left w:w="150" w:type="dxa"/>
              <w:bottom w:w="150" w:type="dxa"/>
              <w:right w:w="150" w:type="dxa"/>
            </w:tcMar>
            <w:hideMark/>
          </w:tcPr>
          <w:p w14:paraId="51E9E891" w14:textId="77777777" w:rsidR="008D5412" w:rsidRPr="008D5412" w:rsidRDefault="008D5412" w:rsidP="008D5412">
            <w:pPr>
              <w:spacing w:after="300"/>
              <w:rPr>
                <w:rFonts w:ascii="Helvetica" w:hAnsi="Helvetica" w:cs="Helvetica"/>
                <w:sz w:val="20"/>
                <w:szCs w:val="20"/>
                <w:lang w:eastAsia="en-AU"/>
              </w:rPr>
            </w:pPr>
            <w:r w:rsidRPr="008D5412">
              <w:rPr>
                <w:rFonts w:ascii="Helvetica" w:hAnsi="Helvetica" w:cs="Helvetica"/>
                <w:sz w:val="20"/>
                <w:szCs w:val="20"/>
                <w:lang w:eastAsia="en-AU"/>
              </w:rPr>
              <w:t>Department of Neuropathology, Royal Prince Alfred Hospital</w:t>
            </w:r>
          </w:p>
        </w:tc>
      </w:tr>
      <w:tr w:rsidR="00356AEF" w:rsidRPr="00356AEF" w14:paraId="65F19A99" w14:textId="77777777" w:rsidTr="00860860">
        <w:tc>
          <w:tcPr>
            <w:tcW w:w="1329" w:type="pct"/>
            <w:shd w:val="clear" w:color="auto" w:fill="FFFFFF"/>
            <w:tcMar>
              <w:top w:w="150" w:type="dxa"/>
              <w:left w:w="150" w:type="dxa"/>
              <w:bottom w:w="150" w:type="dxa"/>
              <w:right w:w="150" w:type="dxa"/>
            </w:tcMar>
            <w:hideMark/>
          </w:tcPr>
          <w:p w14:paraId="302A760D" w14:textId="77777777" w:rsidR="008D5412" w:rsidRPr="008D5412" w:rsidRDefault="008D5412" w:rsidP="008D5412">
            <w:pPr>
              <w:spacing w:before="240" w:after="240" w:line="300" w:lineRule="atLeast"/>
              <w:rPr>
                <w:rFonts w:ascii="Helvetica" w:hAnsi="Helvetica" w:cs="Helvetica"/>
                <w:sz w:val="20"/>
                <w:szCs w:val="20"/>
                <w:lang w:eastAsia="en-AU"/>
              </w:rPr>
            </w:pPr>
            <w:r w:rsidRPr="008D5412">
              <w:rPr>
                <w:rFonts w:ascii="Helvetica" w:hAnsi="Helvetica" w:cs="Helvetica"/>
                <w:sz w:val="20"/>
                <w:szCs w:val="20"/>
                <w:lang w:eastAsia="en-AU"/>
              </w:rPr>
              <w:t>QLD</w:t>
            </w:r>
          </w:p>
        </w:tc>
        <w:tc>
          <w:tcPr>
            <w:tcW w:w="1485" w:type="pct"/>
            <w:shd w:val="clear" w:color="auto" w:fill="FFFFFF"/>
            <w:tcMar>
              <w:top w:w="150" w:type="dxa"/>
              <w:left w:w="150" w:type="dxa"/>
              <w:bottom w:w="150" w:type="dxa"/>
              <w:right w:w="150" w:type="dxa"/>
            </w:tcMar>
            <w:hideMark/>
          </w:tcPr>
          <w:p w14:paraId="67FF9C66" w14:textId="77777777" w:rsidR="008D5412" w:rsidRPr="008D5412" w:rsidRDefault="008D5412" w:rsidP="008D5412">
            <w:pPr>
              <w:rPr>
                <w:rFonts w:ascii="Helvetica" w:hAnsi="Helvetica" w:cs="Helvetica"/>
                <w:sz w:val="20"/>
                <w:szCs w:val="20"/>
                <w:lang w:eastAsia="en-AU"/>
              </w:rPr>
            </w:pPr>
            <w:r w:rsidRPr="008D5412">
              <w:rPr>
                <w:rFonts w:ascii="Helvetica" w:hAnsi="Helvetica" w:cs="Helvetica"/>
                <w:sz w:val="20"/>
                <w:szCs w:val="20"/>
                <w:lang w:eastAsia="en-AU"/>
              </w:rPr>
              <w:t>Royal Brisbane &amp; Women’s Hospital Mortuary</w:t>
            </w:r>
          </w:p>
        </w:tc>
        <w:tc>
          <w:tcPr>
            <w:tcW w:w="2187" w:type="pct"/>
            <w:shd w:val="clear" w:color="auto" w:fill="FFFFFF"/>
            <w:tcMar>
              <w:top w:w="150" w:type="dxa"/>
              <w:left w:w="150" w:type="dxa"/>
              <w:bottom w:w="150" w:type="dxa"/>
              <w:right w:w="150" w:type="dxa"/>
            </w:tcMar>
            <w:hideMark/>
          </w:tcPr>
          <w:p w14:paraId="541FE06D" w14:textId="77777777" w:rsidR="008D5412" w:rsidRPr="008D5412" w:rsidRDefault="008D5412" w:rsidP="008D5412">
            <w:pPr>
              <w:rPr>
                <w:rFonts w:ascii="Helvetica" w:hAnsi="Helvetica" w:cs="Helvetica"/>
                <w:sz w:val="20"/>
                <w:szCs w:val="20"/>
                <w:lang w:eastAsia="en-AU"/>
              </w:rPr>
            </w:pPr>
            <w:r w:rsidRPr="008D5412">
              <w:rPr>
                <w:rFonts w:ascii="Helvetica" w:hAnsi="Helvetica" w:cs="Helvetica"/>
                <w:sz w:val="20"/>
                <w:szCs w:val="20"/>
                <w:lang w:eastAsia="en-AU"/>
              </w:rPr>
              <w:t>Anatomical Pathology, Pathology Queensland</w:t>
            </w:r>
            <w:r w:rsidRPr="008D5412">
              <w:rPr>
                <w:rFonts w:ascii="Helvetica" w:hAnsi="Helvetica" w:cs="Helvetica"/>
                <w:sz w:val="20"/>
                <w:szCs w:val="20"/>
                <w:lang w:eastAsia="en-AU"/>
              </w:rPr>
              <w:br/>
              <w:t>Royal Brisbane Hospital Campus</w:t>
            </w:r>
          </w:p>
        </w:tc>
      </w:tr>
      <w:tr w:rsidR="00356AEF" w:rsidRPr="00356AEF" w14:paraId="0CDDDE9F" w14:textId="77777777" w:rsidTr="00860860">
        <w:tc>
          <w:tcPr>
            <w:tcW w:w="1329" w:type="pct"/>
            <w:shd w:val="clear" w:color="auto" w:fill="FFFFFF"/>
            <w:tcMar>
              <w:top w:w="150" w:type="dxa"/>
              <w:left w:w="150" w:type="dxa"/>
              <w:bottom w:w="150" w:type="dxa"/>
              <w:right w:w="150" w:type="dxa"/>
            </w:tcMar>
            <w:hideMark/>
          </w:tcPr>
          <w:p w14:paraId="00C4DA18" w14:textId="77777777" w:rsidR="008D5412" w:rsidRPr="008D5412" w:rsidRDefault="008D5412" w:rsidP="008D5412">
            <w:pPr>
              <w:spacing w:before="240" w:after="240" w:line="300" w:lineRule="atLeast"/>
              <w:rPr>
                <w:rFonts w:ascii="Helvetica" w:hAnsi="Helvetica" w:cs="Helvetica"/>
                <w:sz w:val="20"/>
                <w:szCs w:val="20"/>
                <w:lang w:eastAsia="en-AU"/>
              </w:rPr>
            </w:pPr>
            <w:r w:rsidRPr="008D5412">
              <w:rPr>
                <w:rFonts w:ascii="Helvetica" w:hAnsi="Helvetica" w:cs="Helvetica"/>
                <w:sz w:val="20"/>
                <w:szCs w:val="20"/>
                <w:lang w:eastAsia="en-AU"/>
              </w:rPr>
              <w:t>WA</w:t>
            </w:r>
          </w:p>
        </w:tc>
        <w:tc>
          <w:tcPr>
            <w:tcW w:w="1485" w:type="pct"/>
            <w:shd w:val="clear" w:color="auto" w:fill="FFFFFF"/>
            <w:tcMar>
              <w:top w:w="150" w:type="dxa"/>
              <w:left w:w="150" w:type="dxa"/>
              <w:bottom w:w="150" w:type="dxa"/>
              <w:right w:w="150" w:type="dxa"/>
            </w:tcMar>
            <w:hideMark/>
          </w:tcPr>
          <w:p w14:paraId="1AEF7D86" w14:textId="77777777" w:rsidR="008D5412" w:rsidRPr="008D5412" w:rsidRDefault="008D5412" w:rsidP="008D5412">
            <w:pPr>
              <w:rPr>
                <w:rFonts w:ascii="Helvetica" w:hAnsi="Helvetica" w:cs="Helvetica"/>
                <w:sz w:val="20"/>
                <w:szCs w:val="20"/>
                <w:lang w:eastAsia="en-AU"/>
              </w:rPr>
            </w:pPr>
            <w:proofErr w:type="spellStart"/>
            <w:r w:rsidRPr="008D5412">
              <w:rPr>
                <w:rFonts w:ascii="Helvetica" w:hAnsi="Helvetica" w:cs="Helvetica"/>
                <w:sz w:val="20"/>
                <w:szCs w:val="20"/>
                <w:lang w:eastAsia="en-AU"/>
              </w:rPr>
              <w:t>PathWest</w:t>
            </w:r>
            <w:proofErr w:type="spellEnd"/>
            <w:r w:rsidRPr="008D5412">
              <w:rPr>
                <w:rFonts w:ascii="Helvetica" w:hAnsi="Helvetica" w:cs="Helvetica"/>
                <w:sz w:val="20"/>
                <w:szCs w:val="20"/>
                <w:lang w:eastAsia="en-AU"/>
              </w:rPr>
              <w:t xml:space="preserve"> Laboratory Medicine Royal Perth Hospital</w:t>
            </w:r>
          </w:p>
        </w:tc>
        <w:tc>
          <w:tcPr>
            <w:tcW w:w="2187" w:type="pct"/>
            <w:shd w:val="clear" w:color="auto" w:fill="FFFFFF"/>
            <w:tcMar>
              <w:top w:w="150" w:type="dxa"/>
              <w:left w:w="150" w:type="dxa"/>
              <w:bottom w:w="150" w:type="dxa"/>
              <w:right w:w="150" w:type="dxa"/>
            </w:tcMar>
            <w:hideMark/>
          </w:tcPr>
          <w:p w14:paraId="70AF3700" w14:textId="77777777" w:rsidR="008D5412" w:rsidRPr="008D5412" w:rsidRDefault="008D5412" w:rsidP="008D5412">
            <w:pPr>
              <w:rPr>
                <w:rFonts w:ascii="Helvetica" w:hAnsi="Helvetica" w:cs="Helvetica"/>
                <w:sz w:val="20"/>
                <w:szCs w:val="20"/>
                <w:lang w:eastAsia="en-AU"/>
              </w:rPr>
            </w:pPr>
            <w:r w:rsidRPr="008D5412">
              <w:rPr>
                <w:rFonts w:ascii="Helvetica" w:hAnsi="Helvetica" w:cs="Helvetica"/>
                <w:sz w:val="20"/>
                <w:szCs w:val="20"/>
                <w:lang w:eastAsia="en-AU"/>
              </w:rPr>
              <w:t>Section of Neuropathology,</w:t>
            </w:r>
            <w:r w:rsidRPr="008D5412">
              <w:rPr>
                <w:rFonts w:ascii="Helvetica" w:hAnsi="Helvetica" w:cs="Helvetica"/>
                <w:sz w:val="20"/>
                <w:szCs w:val="20"/>
                <w:lang w:eastAsia="en-AU"/>
              </w:rPr>
              <w:br/>
            </w:r>
            <w:proofErr w:type="spellStart"/>
            <w:r w:rsidRPr="008D5412">
              <w:rPr>
                <w:rFonts w:ascii="Helvetica" w:hAnsi="Helvetica" w:cs="Helvetica"/>
                <w:sz w:val="20"/>
                <w:szCs w:val="20"/>
                <w:lang w:eastAsia="en-AU"/>
              </w:rPr>
              <w:t>PathWest</w:t>
            </w:r>
            <w:proofErr w:type="spellEnd"/>
            <w:r w:rsidRPr="008D5412">
              <w:rPr>
                <w:rFonts w:ascii="Helvetica" w:hAnsi="Helvetica" w:cs="Helvetica"/>
                <w:sz w:val="20"/>
                <w:szCs w:val="20"/>
                <w:lang w:eastAsia="en-AU"/>
              </w:rPr>
              <w:t xml:space="preserve"> Laboratory Medicine</w:t>
            </w:r>
            <w:r w:rsidRPr="008D5412">
              <w:rPr>
                <w:rFonts w:ascii="Helvetica" w:hAnsi="Helvetica" w:cs="Helvetica"/>
                <w:sz w:val="20"/>
                <w:szCs w:val="20"/>
                <w:lang w:eastAsia="en-AU"/>
              </w:rPr>
              <w:br/>
              <w:t>Royal Perth Hospital</w:t>
            </w:r>
          </w:p>
        </w:tc>
      </w:tr>
    </w:tbl>
    <w:p w14:paraId="36B22CF0" w14:textId="77777777" w:rsidR="008D5412" w:rsidRPr="008D5412" w:rsidRDefault="008D5412" w:rsidP="008D5412">
      <w:pPr>
        <w:shd w:val="clear" w:color="auto" w:fill="FFFFFF"/>
        <w:spacing w:before="240" w:after="120"/>
        <w:outlineLvl w:val="3"/>
        <w:rPr>
          <w:rFonts w:ascii="Open Sans" w:hAnsi="Open Sans" w:cs="Open Sans"/>
          <w:sz w:val="24"/>
          <w:lang w:eastAsia="en-AU"/>
        </w:rPr>
      </w:pPr>
      <w:r w:rsidRPr="008D5412">
        <w:rPr>
          <w:rFonts w:ascii="Open Sans" w:hAnsi="Open Sans" w:cs="Open Sans"/>
          <w:sz w:val="24"/>
          <w:lang w:eastAsia="en-AU"/>
        </w:rPr>
        <w:t>3.1.2 Lymphoreticular Tissue Biopsy (</w:t>
      </w:r>
      <w:proofErr w:type="spellStart"/>
      <w:r w:rsidRPr="008D5412">
        <w:rPr>
          <w:rFonts w:ascii="Open Sans" w:hAnsi="Open Sans" w:cs="Open Sans"/>
          <w:sz w:val="24"/>
          <w:lang w:eastAsia="en-AU"/>
        </w:rPr>
        <w:t>vCJD</w:t>
      </w:r>
      <w:proofErr w:type="spellEnd"/>
      <w:r w:rsidRPr="008D5412">
        <w:rPr>
          <w:rFonts w:ascii="Open Sans" w:hAnsi="Open Sans" w:cs="Open Sans"/>
          <w:sz w:val="24"/>
          <w:lang w:eastAsia="en-AU"/>
        </w:rPr>
        <w:t xml:space="preserve"> only)</w:t>
      </w:r>
    </w:p>
    <w:p w14:paraId="6C72CF59" w14:textId="3B6C74B4" w:rsidR="008D5412" w:rsidRPr="008D5412" w:rsidRDefault="008D5412" w:rsidP="008D5412">
      <w:pPr>
        <w:shd w:val="clear" w:color="auto" w:fill="FFFFFF"/>
        <w:spacing w:after="240" w:line="300" w:lineRule="atLeast"/>
        <w:rPr>
          <w:rFonts w:ascii="Helvetica" w:hAnsi="Helvetica" w:cs="Helvetica"/>
          <w:sz w:val="20"/>
          <w:szCs w:val="20"/>
          <w:lang w:eastAsia="en-AU"/>
        </w:rPr>
      </w:pPr>
      <w:proofErr w:type="spellStart"/>
      <w:r w:rsidRPr="008D5412">
        <w:rPr>
          <w:rFonts w:ascii="Helvetica" w:hAnsi="Helvetica" w:cs="Helvetica"/>
          <w:sz w:val="20"/>
          <w:szCs w:val="20"/>
          <w:lang w:eastAsia="en-AU"/>
        </w:rPr>
        <w:t>PrPsc</w:t>
      </w:r>
      <w:proofErr w:type="spellEnd"/>
      <w:r w:rsidRPr="008D5412">
        <w:rPr>
          <w:rFonts w:ascii="Helvetica" w:hAnsi="Helvetica" w:cs="Helvetica"/>
          <w:sz w:val="20"/>
          <w:szCs w:val="20"/>
          <w:lang w:eastAsia="en-AU"/>
        </w:rPr>
        <w:t xml:space="preserve"> deposition in the germinal centres of lymphoid tissues (including tonsils, appendix, </w:t>
      </w:r>
      <w:proofErr w:type="gramStart"/>
      <w:r w:rsidRPr="008D5412">
        <w:rPr>
          <w:rFonts w:ascii="Helvetica" w:hAnsi="Helvetica" w:cs="Helvetica"/>
          <w:sz w:val="20"/>
          <w:szCs w:val="20"/>
          <w:lang w:eastAsia="en-AU"/>
        </w:rPr>
        <w:t>spleen</w:t>
      </w:r>
      <w:proofErr w:type="gramEnd"/>
      <w:r w:rsidRPr="008D5412">
        <w:rPr>
          <w:rFonts w:ascii="Helvetica" w:hAnsi="Helvetica" w:cs="Helvetica"/>
          <w:sz w:val="20"/>
          <w:szCs w:val="20"/>
          <w:lang w:eastAsia="en-AU"/>
        </w:rPr>
        <w:t xml:space="preserve"> and lymph nodes) has been identified in neuropathologically confirmed cases of </w:t>
      </w:r>
      <w:proofErr w:type="spellStart"/>
      <w:r w:rsidRPr="008D5412">
        <w:rPr>
          <w:rFonts w:ascii="Helvetica" w:hAnsi="Helvetica" w:cs="Helvetica"/>
          <w:sz w:val="20"/>
          <w:szCs w:val="20"/>
          <w:lang w:eastAsia="en-AU"/>
        </w:rPr>
        <w:t>vCJD</w:t>
      </w:r>
      <w:proofErr w:type="spellEnd"/>
      <w:r w:rsidRPr="008D5412">
        <w:rPr>
          <w:rFonts w:ascii="Helvetica" w:hAnsi="Helvetica" w:cs="Helvetica"/>
          <w:sz w:val="20"/>
          <w:szCs w:val="20"/>
          <w:lang w:eastAsia="en-AU"/>
        </w:rPr>
        <w:t xml:space="preserve">, but not in small cases series of </w:t>
      </w:r>
      <w:proofErr w:type="spellStart"/>
      <w:r w:rsidRPr="008D5412">
        <w:rPr>
          <w:rFonts w:ascii="Helvetica" w:hAnsi="Helvetica" w:cs="Helvetica"/>
          <w:sz w:val="20"/>
          <w:szCs w:val="20"/>
          <w:lang w:eastAsia="en-AU"/>
        </w:rPr>
        <w:t>sCJD</w:t>
      </w:r>
      <w:proofErr w:type="spellEnd"/>
      <w:r w:rsidRPr="008D5412">
        <w:rPr>
          <w:rFonts w:ascii="Helvetica" w:hAnsi="Helvetica" w:cs="Helvetica"/>
          <w:sz w:val="20"/>
          <w:szCs w:val="20"/>
          <w:lang w:eastAsia="en-AU"/>
        </w:rPr>
        <w:t xml:space="preserve">, </w:t>
      </w:r>
      <w:proofErr w:type="spellStart"/>
      <w:r w:rsidRPr="008D5412">
        <w:rPr>
          <w:rFonts w:ascii="Helvetica" w:hAnsi="Helvetica" w:cs="Helvetica"/>
          <w:sz w:val="20"/>
          <w:szCs w:val="20"/>
          <w:lang w:eastAsia="en-AU"/>
        </w:rPr>
        <w:t>iCJD</w:t>
      </w:r>
      <w:proofErr w:type="spellEnd"/>
      <w:r w:rsidRPr="008D5412">
        <w:rPr>
          <w:rFonts w:ascii="Helvetica" w:hAnsi="Helvetica" w:cs="Helvetica"/>
          <w:sz w:val="20"/>
          <w:szCs w:val="20"/>
          <w:lang w:eastAsia="en-AU"/>
        </w:rPr>
        <w:t xml:space="preserve"> and gCJD</w:t>
      </w:r>
      <w:r w:rsidRPr="008D5412">
        <w:rPr>
          <w:rFonts w:ascii="Helvetica" w:hAnsi="Helvetica" w:cs="Helvetica"/>
          <w:sz w:val="15"/>
          <w:szCs w:val="15"/>
          <w:vertAlign w:val="superscript"/>
          <w:lang w:eastAsia="en-AU"/>
        </w:rPr>
        <w:t>7</w:t>
      </w:r>
      <w:r w:rsidRPr="008D5412">
        <w:rPr>
          <w:rFonts w:ascii="Helvetica" w:hAnsi="Helvetica" w:cs="Helvetica"/>
          <w:sz w:val="20"/>
          <w:szCs w:val="20"/>
          <w:lang w:eastAsia="en-AU"/>
        </w:rPr>
        <w:t>.</w:t>
      </w:r>
    </w:p>
    <w:p w14:paraId="0B897336" w14:textId="293FC957" w:rsidR="008D5412" w:rsidRPr="008D5412" w:rsidRDefault="008D5412" w:rsidP="008D5412">
      <w:pPr>
        <w:shd w:val="clear" w:color="auto" w:fill="FFFFFF"/>
        <w:spacing w:after="240" w:line="300" w:lineRule="atLeast"/>
        <w:rPr>
          <w:rFonts w:ascii="Helvetica" w:hAnsi="Helvetica" w:cs="Helvetica"/>
          <w:sz w:val="20"/>
          <w:szCs w:val="20"/>
          <w:lang w:eastAsia="en-AU"/>
        </w:rPr>
      </w:pPr>
      <w:r w:rsidRPr="008D5412">
        <w:rPr>
          <w:rFonts w:ascii="Helvetica" w:hAnsi="Helvetica" w:cs="Helvetica"/>
          <w:sz w:val="20"/>
          <w:szCs w:val="20"/>
          <w:lang w:eastAsia="en-AU"/>
        </w:rPr>
        <w:t>Various lymphoreticular tissues can be utilized, but tonsils are by far the best candidate due to the large number of germinal centres</w:t>
      </w:r>
      <w:r w:rsidRPr="008D5412">
        <w:rPr>
          <w:rFonts w:ascii="Helvetica" w:hAnsi="Helvetica" w:cs="Helvetica"/>
          <w:sz w:val="15"/>
          <w:szCs w:val="15"/>
          <w:vertAlign w:val="superscript"/>
          <w:lang w:eastAsia="en-AU"/>
        </w:rPr>
        <w:t>1</w:t>
      </w:r>
      <w:r w:rsidRPr="008D5412">
        <w:rPr>
          <w:rFonts w:ascii="Helvetica" w:hAnsi="Helvetica" w:cs="Helvetica"/>
          <w:sz w:val="20"/>
          <w:szCs w:val="20"/>
          <w:lang w:eastAsia="en-AU"/>
        </w:rPr>
        <w:t xml:space="preserve">. If tonsils are not available, the next best candidate is spleen tissue; if spleen is unavailable, then peripheral lymph nodes can be sampled in which case, multiple sampling is necessary </w:t>
      </w:r>
      <w:proofErr w:type="gramStart"/>
      <w:r w:rsidRPr="008D5412">
        <w:rPr>
          <w:rFonts w:ascii="Helvetica" w:hAnsi="Helvetica" w:cs="Helvetica"/>
          <w:sz w:val="20"/>
          <w:szCs w:val="20"/>
          <w:lang w:eastAsia="en-AU"/>
        </w:rPr>
        <w:t>in order to</w:t>
      </w:r>
      <w:proofErr w:type="gramEnd"/>
      <w:r w:rsidRPr="008D5412">
        <w:rPr>
          <w:rFonts w:ascii="Helvetica" w:hAnsi="Helvetica" w:cs="Helvetica"/>
          <w:sz w:val="20"/>
          <w:szCs w:val="20"/>
          <w:lang w:eastAsia="en-AU"/>
        </w:rPr>
        <w:t xml:space="preserve"> increase the chances of detecting </w:t>
      </w:r>
      <w:proofErr w:type="spellStart"/>
      <w:r w:rsidRPr="008D5412">
        <w:rPr>
          <w:rFonts w:ascii="Helvetica" w:hAnsi="Helvetica" w:cs="Helvetica"/>
          <w:sz w:val="20"/>
          <w:szCs w:val="20"/>
          <w:lang w:eastAsia="en-AU"/>
        </w:rPr>
        <w:t>PrPsc</w:t>
      </w:r>
      <w:proofErr w:type="spellEnd"/>
      <w:r w:rsidRPr="008D5412">
        <w:rPr>
          <w:rFonts w:ascii="Helvetica" w:hAnsi="Helvetica" w:cs="Helvetica"/>
          <w:sz w:val="20"/>
          <w:szCs w:val="20"/>
          <w:lang w:eastAsia="en-AU"/>
        </w:rPr>
        <w:t xml:space="preserve">. In this situation an extremely careful examination is required, since the germinal centres of lymph nodes are small. Some additional frozen material should always be saved for immunoblot examination; an immunoblot negative for </w:t>
      </w:r>
      <w:proofErr w:type="spellStart"/>
      <w:r w:rsidRPr="008D5412">
        <w:rPr>
          <w:rFonts w:ascii="Helvetica" w:hAnsi="Helvetica" w:cs="Helvetica"/>
          <w:sz w:val="20"/>
          <w:szCs w:val="20"/>
          <w:lang w:eastAsia="en-AU"/>
        </w:rPr>
        <w:t>PrPsc</w:t>
      </w:r>
      <w:proofErr w:type="spellEnd"/>
      <w:r w:rsidRPr="008D5412">
        <w:rPr>
          <w:rFonts w:ascii="Helvetica" w:hAnsi="Helvetica" w:cs="Helvetica"/>
          <w:sz w:val="20"/>
          <w:szCs w:val="20"/>
          <w:lang w:eastAsia="en-AU"/>
        </w:rPr>
        <w:t xml:space="preserve"> will be useful to confirm a negative immunohistochemistry </w:t>
      </w:r>
      <w:proofErr w:type="gramStart"/>
      <w:r w:rsidRPr="008D5412">
        <w:rPr>
          <w:rFonts w:ascii="Helvetica" w:hAnsi="Helvetica" w:cs="Helvetica"/>
          <w:sz w:val="20"/>
          <w:szCs w:val="20"/>
          <w:lang w:eastAsia="en-AU"/>
        </w:rPr>
        <w:t>finding, and</w:t>
      </w:r>
      <w:proofErr w:type="gramEnd"/>
      <w:r w:rsidRPr="008D5412">
        <w:rPr>
          <w:rFonts w:ascii="Helvetica" w:hAnsi="Helvetica" w:cs="Helvetica"/>
          <w:sz w:val="20"/>
          <w:szCs w:val="20"/>
          <w:lang w:eastAsia="en-AU"/>
        </w:rPr>
        <w:t xml:space="preserve"> can also rule out a false positive due to incomplete removal of </w:t>
      </w:r>
      <w:proofErr w:type="spellStart"/>
      <w:r w:rsidRPr="008D5412">
        <w:rPr>
          <w:rFonts w:ascii="Helvetica" w:hAnsi="Helvetica" w:cs="Helvetica"/>
          <w:sz w:val="20"/>
          <w:szCs w:val="20"/>
          <w:lang w:eastAsia="en-AU"/>
        </w:rPr>
        <w:t>PrPc</w:t>
      </w:r>
      <w:proofErr w:type="spellEnd"/>
      <w:r w:rsidRPr="008D5412">
        <w:rPr>
          <w:rFonts w:ascii="Helvetica" w:hAnsi="Helvetica" w:cs="Helvetica"/>
          <w:sz w:val="20"/>
          <w:szCs w:val="20"/>
          <w:lang w:eastAsia="en-AU"/>
        </w:rPr>
        <w:t>.</w:t>
      </w:r>
    </w:p>
    <w:p w14:paraId="3315850E" w14:textId="6ED87DA4" w:rsidR="008D5412" w:rsidRPr="008D5412" w:rsidRDefault="008D5412" w:rsidP="008D5412">
      <w:pPr>
        <w:shd w:val="clear" w:color="auto" w:fill="FFFFFF"/>
        <w:spacing w:after="240" w:line="300" w:lineRule="atLeast"/>
        <w:rPr>
          <w:rFonts w:ascii="Helvetica" w:hAnsi="Helvetica" w:cs="Helvetica"/>
          <w:sz w:val="20"/>
          <w:szCs w:val="20"/>
          <w:lang w:eastAsia="en-AU"/>
        </w:rPr>
      </w:pPr>
      <w:proofErr w:type="gramStart"/>
      <w:r w:rsidRPr="008D5412">
        <w:rPr>
          <w:rFonts w:ascii="Helvetica" w:hAnsi="Helvetica" w:cs="Helvetica"/>
          <w:sz w:val="20"/>
          <w:szCs w:val="20"/>
          <w:lang w:eastAsia="en-AU"/>
        </w:rPr>
        <w:t>On the basis of</w:t>
      </w:r>
      <w:proofErr w:type="gramEnd"/>
      <w:r w:rsidRPr="008D5412">
        <w:rPr>
          <w:rFonts w:ascii="Helvetica" w:hAnsi="Helvetica" w:cs="Helvetica"/>
          <w:sz w:val="20"/>
          <w:szCs w:val="20"/>
          <w:lang w:eastAsia="en-AU"/>
        </w:rPr>
        <w:t xml:space="preserve"> the published data, tonsil biopsy cannot be recommended as a routine diagnostic procedure in the investigation of </w:t>
      </w:r>
      <w:proofErr w:type="spellStart"/>
      <w:r w:rsidRPr="008D5412">
        <w:rPr>
          <w:rFonts w:ascii="Helvetica" w:hAnsi="Helvetica" w:cs="Helvetica"/>
          <w:sz w:val="20"/>
          <w:szCs w:val="20"/>
          <w:lang w:eastAsia="en-AU"/>
        </w:rPr>
        <w:t>vCJD</w:t>
      </w:r>
      <w:proofErr w:type="spellEnd"/>
      <w:r w:rsidRPr="008D5412">
        <w:rPr>
          <w:rFonts w:ascii="Helvetica" w:hAnsi="Helvetica" w:cs="Helvetica"/>
          <w:sz w:val="20"/>
          <w:szCs w:val="20"/>
          <w:lang w:eastAsia="en-AU"/>
        </w:rPr>
        <w:t xml:space="preserve">. Tonsil biopsy may however have a role in the classification of probable </w:t>
      </w:r>
      <w:proofErr w:type="spellStart"/>
      <w:r w:rsidRPr="008D5412">
        <w:rPr>
          <w:rFonts w:ascii="Helvetica" w:hAnsi="Helvetica" w:cs="Helvetica"/>
          <w:sz w:val="20"/>
          <w:szCs w:val="20"/>
          <w:lang w:eastAsia="en-AU"/>
        </w:rPr>
        <w:t>vCJD</w:t>
      </w:r>
      <w:proofErr w:type="spellEnd"/>
      <w:r w:rsidRPr="008D5412">
        <w:rPr>
          <w:rFonts w:ascii="Helvetica" w:hAnsi="Helvetica" w:cs="Helvetica"/>
          <w:sz w:val="20"/>
          <w:szCs w:val="20"/>
          <w:lang w:eastAsia="en-AU"/>
        </w:rPr>
        <w:t xml:space="preserve"> in suspect cases where clinical features are compatible with </w:t>
      </w:r>
      <w:proofErr w:type="spellStart"/>
      <w:proofErr w:type="gramStart"/>
      <w:r w:rsidRPr="008D5412">
        <w:rPr>
          <w:rFonts w:ascii="Helvetica" w:hAnsi="Helvetica" w:cs="Helvetica"/>
          <w:sz w:val="20"/>
          <w:szCs w:val="20"/>
          <w:lang w:eastAsia="en-AU"/>
        </w:rPr>
        <w:t>vCJD</w:t>
      </w:r>
      <w:proofErr w:type="spellEnd"/>
      <w:proofErr w:type="gramEnd"/>
      <w:r w:rsidRPr="008D5412">
        <w:rPr>
          <w:rFonts w:ascii="Helvetica" w:hAnsi="Helvetica" w:cs="Helvetica"/>
          <w:sz w:val="20"/>
          <w:szCs w:val="20"/>
          <w:lang w:eastAsia="en-AU"/>
        </w:rPr>
        <w:t xml:space="preserve"> but MRI does not show typical changes (bilateral pulvinar high signal)</w:t>
      </w:r>
      <w:r w:rsidRPr="008D5412">
        <w:rPr>
          <w:rFonts w:ascii="Helvetica" w:hAnsi="Helvetica" w:cs="Helvetica"/>
          <w:sz w:val="15"/>
          <w:szCs w:val="15"/>
          <w:vertAlign w:val="superscript"/>
          <w:lang w:eastAsia="en-AU"/>
        </w:rPr>
        <w:t>6,3</w:t>
      </w:r>
      <w:r w:rsidRPr="008D5412">
        <w:rPr>
          <w:rFonts w:ascii="Helvetica" w:hAnsi="Helvetica" w:cs="Helvetica"/>
          <w:sz w:val="20"/>
          <w:szCs w:val="20"/>
          <w:lang w:eastAsia="en-AU"/>
        </w:rPr>
        <w:t>.</w:t>
      </w:r>
    </w:p>
    <w:p w14:paraId="5B9E4AE4" w14:textId="77777777" w:rsidR="008D5412" w:rsidRPr="008D5412" w:rsidRDefault="008D5412" w:rsidP="008D5412">
      <w:pPr>
        <w:shd w:val="clear" w:color="auto" w:fill="FFFFFF"/>
        <w:spacing w:after="240" w:line="300" w:lineRule="atLeast"/>
        <w:rPr>
          <w:rFonts w:ascii="Helvetica" w:hAnsi="Helvetica" w:cs="Helvetica"/>
          <w:sz w:val="20"/>
          <w:szCs w:val="20"/>
          <w:lang w:eastAsia="en-AU"/>
        </w:rPr>
      </w:pPr>
      <w:r w:rsidRPr="008D5412">
        <w:rPr>
          <w:rFonts w:ascii="Helvetica" w:hAnsi="Helvetica" w:cs="Helvetica"/>
          <w:sz w:val="20"/>
          <w:szCs w:val="20"/>
          <w:lang w:eastAsia="en-AU"/>
        </w:rPr>
        <w:t xml:space="preserve">The finding of negative lymphatic tissues cannot exclude the diagnosis of </w:t>
      </w:r>
      <w:proofErr w:type="spellStart"/>
      <w:r w:rsidRPr="008D5412">
        <w:rPr>
          <w:rFonts w:ascii="Helvetica" w:hAnsi="Helvetica" w:cs="Helvetica"/>
          <w:sz w:val="20"/>
          <w:szCs w:val="20"/>
          <w:lang w:eastAsia="en-AU"/>
        </w:rPr>
        <w:t>vCJD</w:t>
      </w:r>
      <w:proofErr w:type="spellEnd"/>
      <w:r w:rsidRPr="008D5412">
        <w:rPr>
          <w:rFonts w:ascii="Helvetica" w:hAnsi="Helvetica" w:cs="Helvetica"/>
          <w:sz w:val="20"/>
          <w:szCs w:val="20"/>
          <w:lang w:eastAsia="en-AU"/>
        </w:rPr>
        <w:t xml:space="preserve">, but if multiple large samples are all negative, then the likelihood of </w:t>
      </w:r>
      <w:proofErr w:type="spellStart"/>
      <w:r w:rsidRPr="008D5412">
        <w:rPr>
          <w:rFonts w:ascii="Helvetica" w:hAnsi="Helvetica" w:cs="Helvetica"/>
          <w:sz w:val="20"/>
          <w:szCs w:val="20"/>
          <w:lang w:eastAsia="en-AU"/>
        </w:rPr>
        <w:t>vCJD</w:t>
      </w:r>
      <w:proofErr w:type="spellEnd"/>
      <w:r w:rsidRPr="008D5412">
        <w:rPr>
          <w:rFonts w:ascii="Helvetica" w:hAnsi="Helvetica" w:cs="Helvetica"/>
          <w:sz w:val="20"/>
          <w:szCs w:val="20"/>
          <w:lang w:eastAsia="en-AU"/>
        </w:rPr>
        <w:t xml:space="preserve"> is considerably reduced.</w:t>
      </w:r>
    </w:p>
    <w:p w14:paraId="2893E252" w14:textId="77777777" w:rsidR="00356AEF" w:rsidRPr="00356AEF" w:rsidRDefault="00356AEF">
      <w:pPr>
        <w:rPr>
          <w:rFonts w:ascii="Open Sans" w:hAnsi="Open Sans" w:cs="Open Sans"/>
          <w:sz w:val="27"/>
          <w:szCs w:val="27"/>
          <w:lang w:eastAsia="en-AU"/>
        </w:rPr>
      </w:pPr>
      <w:r w:rsidRPr="00356AEF">
        <w:rPr>
          <w:rFonts w:ascii="Open Sans" w:hAnsi="Open Sans" w:cs="Open Sans"/>
          <w:sz w:val="27"/>
          <w:szCs w:val="27"/>
          <w:lang w:eastAsia="en-AU"/>
        </w:rPr>
        <w:br w:type="page"/>
      </w:r>
    </w:p>
    <w:p w14:paraId="62AC00BE" w14:textId="24248876" w:rsidR="008D5412" w:rsidRPr="008D5412" w:rsidRDefault="008D5412" w:rsidP="008D5412">
      <w:pPr>
        <w:shd w:val="clear" w:color="auto" w:fill="FFFFFF"/>
        <w:spacing w:after="120"/>
        <w:outlineLvl w:val="2"/>
        <w:rPr>
          <w:rFonts w:ascii="Open Sans" w:hAnsi="Open Sans" w:cs="Open Sans"/>
          <w:sz w:val="27"/>
          <w:szCs w:val="27"/>
          <w:lang w:eastAsia="en-AU"/>
        </w:rPr>
      </w:pPr>
      <w:r w:rsidRPr="008D5412">
        <w:rPr>
          <w:rFonts w:ascii="Open Sans" w:hAnsi="Open Sans" w:cs="Open Sans"/>
          <w:sz w:val="27"/>
          <w:szCs w:val="27"/>
          <w:lang w:eastAsia="en-AU"/>
        </w:rPr>
        <w:lastRenderedPageBreak/>
        <w:t>3.2 CSF examination</w:t>
      </w:r>
    </w:p>
    <w:p w14:paraId="7BA552C9" w14:textId="77777777" w:rsidR="008D5412" w:rsidRPr="008D5412" w:rsidRDefault="008D5412" w:rsidP="008D5412">
      <w:pPr>
        <w:shd w:val="clear" w:color="auto" w:fill="FFFFFF"/>
        <w:spacing w:before="240" w:after="120"/>
        <w:outlineLvl w:val="3"/>
        <w:rPr>
          <w:rFonts w:ascii="Open Sans" w:hAnsi="Open Sans" w:cs="Open Sans"/>
          <w:sz w:val="24"/>
          <w:lang w:eastAsia="en-AU"/>
        </w:rPr>
      </w:pPr>
      <w:r w:rsidRPr="008D5412">
        <w:rPr>
          <w:rFonts w:ascii="Open Sans" w:hAnsi="Open Sans" w:cs="Open Sans"/>
          <w:sz w:val="24"/>
          <w:lang w:eastAsia="en-AU"/>
        </w:rPr>
        <w:t>3.2.1 14-3-3 protein by immunoblot and total Tau protein by ELISA in CSF</w:t>
      </w:r>
    </w:p>
    <w:p w14:paraId="1065DA17" w14:textId="77777777" w:rsidR="008D5412" w:rsidRPr="008D5412" w:rsidRDefault="008D5412" w:rsidP="008D5412">
      <w:pPr>
        <w:shd w:val="clear" w:color="auto" w:fill="FFFFFF"/>
        <w:spacing w:after="240" w:line="300" w:lineRule="atLeast"/>
        <w:rPr>
          <w:rFonts w:ascii="Helvetica" w:hAnsi="Helvetica" w:cs="Helvetica"/>
          <w:sz w:val="20"/>
          <w:szCs w:val="20"/>
          <w:lang w:eastAsia="en-AU"/>
        </w:rPr>
      </w:pPr>
      <w:r w:rsidRPr="008D5412">
        <w:rPr>
          <w:rFonts w:ascii="Helvetica" w:hAnsi="Helvetica" w:cs="Helvetica"/>
          <w:sz w:val="20"/>
          <w:szCs w:val="20"/>
          <w:lang w:eastAsia="en-AU"/>
        </w:rPr>
        <w:t>The cerebrospinal fluid (CSF) of patients with TSE typically contains no inflammatory cells. A slightly elevated protein (0.5-1.0g/L) occurs in about one-third of cases. The presence of oligoclonal bands confined to the CSF has only very rarely been described.</w:t>
      </w:r>
    </w:p>
    <w:p w14:paraId="2E6C5B94" w14:textId="4EF0D4CF" w:rsidR="008D5412" w:rsidRPr="008D5412" w:rsidRDefault="008D5412" w:rsidP="008D5412">
      <w:pPr>
        <w:shd w:val="clear" w:color="auto" w:fill="FFFFFF"/>
        <w:spacing w:after="240" w:line="300" w:lineRule="atLeast"/>
        <w:rPr>
          <w:rFonts w:ascii="Helvetica" w:hAnsi="Helvetica" w:cs="Helvetica"/>
          <w:sz w:val="20"/>
          <w:szCs w:val="20"/>
          <w:lang w:eastAsia="en-AU"/>
        </w:rPr>
      </w:pPr>
      <w:r w:rsidRPr="008D5412">
        <w:rPr>
          <w:rFonts w:ascii="Helvetica" w:hAnsi="Helvetica" w:cs="Helvetica"/>
          <w:sz w:val="20"/>
          <w:szCs w:val="20"/>
          <w:lang w:eastAsia="en-AU"/>
        </w:rPr>
        <w:t xml:space="preserve">The 14-3-3 protein in CSF has been examined as a laboratory marker of CJD. 14-3-3 is a neuronal protein involved in cell </w:t>
      </w:r>
      <w:proofErr w:type="spellStart"/>
      <w:r w:rsidRPr="008D5412">
        <w:rPr>
          <w:rFonts w:ascii="Helvetica" w:hAnsi="Helvetica" w:cs="Helvetica"/>
          <w:sz w:val="20"/>
          <w:szCs w:val="20"/>
          <w:lang w:eastAsia="en-AU"/>
        </w:rPr>
        <w:t>signaling</w:t>
      </w:r>
      <w:proofErr w:type="spellEnd"/>
      <w:r w:rsidRPr="008D5412">
        <w:rPr>
          <w:rFonts w:ascii="Helvetica" w:hAnsi="Helvetica" w:cs="Helvetica"/>
          <w:sz w:val="20"/>
          <w:szCs w:val="20"/>
          <w:lang w:eastAsia="en-AU"/>
        </w:rPr>
        <w:t xml:space="preserve"> and is present in high concentrations within the central nervous system. It may be released into the CSF following neuronal injury or death. Therefore, its presence in the CSF is not specific for CJD. False positives are recognized in various disease processes, including herpes simplex and other viral </w:t>
      </w:r>
      <w:proofErr w:type="spellStart"/>
      <w:r w:rsidRPr="008D5412">
        <w:rPr>
          <w:rFonts w:ascii="Helvetica" w:hAnsi="Helvetica" w:cs="Helvetica"/>
          <w:sz w:val="20"/>
          <w:szCs w:val="20"/>
          <w:lang w:eastAsia="en-AU"/>
        </w:rPr>
        <w:t>encephalitides</w:t>
      </w:r>
      <w:proofErr w:type="spellEnd"/>
      <w:r w:rsidRPr="008D5412">
        <w:rPr>
          <w:rFonts w:ascii="Helvetica" w:hAnsi="Helvetica" w:cs="Helvetica"/>
          <w:sz w:val="20"/>
          <w:szCs w:val="20"/>
          <w:lang w:eastAsia="en-AU"/>
        </w:rPr>
        <w:t xml:space="preserve">, recent stroke, sub-arachnoid haemorrhage, hypoxic brain damage, metabolic encephalopathy after barbiturate intoxication, glioblastoma, carcinomatous meningitis from small-cell lung cancer, paraneoplastic encephalopathy and </w:t>
      </w:r>
      <w:proofErr w:type="spellStart"/>
      <w:r w:rsidRPr="008D5412">
        <w:rPr>
          <w:rFonts w:ascii="Helvetica" w:hAnsi="Helvetica" w:cs="Helvetica"/>
          <w:sz w:val="20"/>
          <w:szCs w:val="20"/>
          <w:lang w:eastAsia="en-AU"/>
        </w:rPr>
        <w:t>corticobasal</w:t>
      </w:r>
      <w:proofErr w:type="spellEnd"/>
      <w:r w:rsidRPr="008D5412">
        <w:rPr>
          <w:rFonts w:ascii="Helvetica" w:hAnsi="Helvetica" w:cs="Helvetica"/>
          <w:sz w:val="20"/>
          <w:szCs w:val="20"/>
          <w:lang w:eastAsia="en-AU"/>
        </w:rPr>
        <w:t xml:space="preserve"> degeneration</w:t>
      </w:r>
      <w:r w:rsidRPr="008D5412">
        <w:rPr>
          <w:rFonts w:ascii="Helvetica" w:hAnsi="Helvetica" w:cs="Helvetica"/>
          <w:sz w:val="15"/>
          <w:szCs w:val="15"/>
          <w:vertAlign w:val="superscript"/>
          <w:lang w:eastAsia="en-AU"/>
        </w:rPr>
        <w:t>4</w:t>
      </w:r>
      <w:r w:rsidRPr="008D5412">
        <w:rPr>
          <w:rFonts w:ascii="Helvetica" w:hAnsi="Helvetica" w:cs="Helvetica"/>
          <w:sz w:val="20"/>
          <w:szCs w:val="20"/>
          <w:lang w:eastAsia="en-AU"/>
        </w:rPr>
        <w:t>. However, in the appropriate clinical context, the detection of 14-3-3 in the cerebrospinal fluid (CSF) has a high degree of sensitivity and specificity for the diagnosis of sCJD</w:t>
      </w:r>
      <w:r w:rsidRPr="008D5412">
        <w:rPr>
          <w:rFonts w:ascii="Helvetica" w:hAnsi="Helvetica" w:cs="Helvetica"/>
          <w:sz w:val="15"/>
          <w:szCs w:val="15"/>
          <w:vertAlign w:val="superscript"/>
          <w:lang w:eastAsia="en-AU"/>
        </w:rPr>
        <w:t>6</w:t>
      </w:r>
      <w:r w:rsidRPr="008D5412">
        <w:rPr>
          <w:rFonts w:ascii="Helvetica" w:hAnsi="Helvetica" w:cs="Helvetica"/>
          <w:sz w:val="20"/>
          <w:szCs w:val="20"/>
          <w:lang w:eastAsia="en-AU"/>
        </w:rPr>
        <w:t>. Results show that this test can be positive even in the early stages of the clinical disease and, in an experimental animal TSE in a primate, in the pre-symptomatic phase as well.</w:t>
      </w:r>
    </w:p>
    <w:p w14:paraId="0E021196" w14:textId="1AC2A888" w:rsidR="008D5412" w:rsidRPr="008D5412" w:rsidRDefault="008D5412" w:rsidP="008D5412">
      <w:pPr>
        <w:shd w:val="clear" w:color="auto" w:fill="FFFFFF"/>
        <w:spacing w:after="240" w:line="300" w:lineRule="atLeast"/>
        <w:rPr>
          <w:rFonts w:ascii="Helvetica" w:hAnsi="Helvetica" w:cs="Helvetica"/>
          <w:sz w:val="20"/>
          <w:szCs w:val="20"/>
          <w:lang w:eastAsia="en-AU"/>
        </w:rPr>
      </w:pPr>
      <w:r w:rsidRPr="008D5412">
        <w:rPr>
          <w:rFonts w:ascii="Helvetica" w:hAnsi="Helvetica" w:cs="Helvetica"/>
          <w:sz w:val="20"/>
          <w:szCs w:val="20"/>
          <w:lang w:eastAsia="en-AU"/>
        </w:rPr>
        <w:t xml:space="preserve">As there is no difference between the electrophoretic pattern of the CSF 14-3-3 found in </w:t>
      </w:r>
      <w:proofErr w:type="spellStart"/>
      <w:r w:rsidRPr="008D5412">
        <w:rPr>
          <w:rFonts w:ascii="Helvetica" w:hAnsi="Helvetica" w:cs="Helvetica"/>
          <w:sz w:val="20"/>
          <w:szCs w:val="20"/>
          <w:lang w:eastAsia="en-AU"/>
        </w:rPr>
        <w:t>vCJD</w:t>
      </w:r>
      <w:proofErr w:type="spellEnd"/>
      <w:r w:rsidRPr="008D5412">
        <w:rPr>
          <w:rFonts w:ascii="Helvetica" w:hAnsi="Helvetica" w:cs="Helvetica"/>
          <w:sz w:val="20"/>
          <w:szCs w:val="20"/>
          <w:lang w:eastAsia="en-AU"/>
        </w:rPr>
        <w:t xml:space="preserve"> and that found in </w:t>
      </w:r>
      <w:proofErr w:type="spellStart"/>
      <w:r w:rsidRPr="008D5412">
        <w:rPr>
          <w:rFonts w:ascii="Helvetica" w:hAnsi="Helvetica" w:cs="Helvetica"/>
          <w:sz w:val="20"/>
          <w:szCs w:val="20"/>
          <w:lang w:eastAsia="en-AU"/>
        </w:rPr>
        <w:t>sCJD</w:t>
      </w:r>
      <w:proofErr w:type="spellEnd"/>
      <w:r w:rsidRPr="008D5412">
        <w:rPr>
          <w:rFonts w:ascii="Helvetica" w:hAnsi="Helvetica" w:cs="Helvetica"/>
          <w:sz w:val="20"/>
          <w:szCs w:val="20"/>
          <w:lang w:eastAsia="en-AU"/>
        </w:rPr>
        <w:t xml:space="preserve"> (although lower concentrations tend to be found in </w:t>
      </w:r>
      <w:proofErr w:type="spellStart"/>
      <w:r w:rsidRPr="008D5412">
        <w:rPr>
          <w:rFonts w:ascii="Helvetica" w:hAnsi="Helvetica" w:cs="Helvetica"/>
          <w:sz w:val="20"/>
          <w:szCs w:val="20"/>
          <w:lang w:eastAsia="en-AU"/>
        </w:rPr>
        <w:t>vCJD</w:t>
      </w:r>
      <w:proofErr w:type="spellEnd"/>
      <w:r w:rsidRPr="008D5412">
        <w:rPr>
          <w:rFonts w:ascii="Helvetica" w:hAnsi="Helvetica" w:cs="Helvetica"/>
          <w:sz w:val="20"/>
          <w:szCs w:val="20"/>
          <w:lang w:eastAsia="en-AU"/>
        </w:rPr>
        <w:t>), CSF 14-3-3 cannot be used to distinguish between the two forms. This is particularly relevant as CJD is the main differential diagnosis of vCJD</w:t>
      </w:r>
      <w:r w:rsidRPr="008D5412">
        <w:rPr>
          <w:rFonts w:ascii="Helvetica" w:hAnsi="Helvetica" w:cs="Helvetica"/>
          <w:sz w:val="15"/>
          <w:szCs w:val="15"/>
          <w:vertAlign w:val="superscript"/>
          <w:lang w:eastAsia="en-AU"/>
        </w:rPr>
        <w:t>4</w:t>
      </w:r>
      <w:r w:rsidRPr="008D5412">
        <w:rPr>
          <w:rFonts w:ascii="Helvetica" w:hAnsi="Helvetica" w:cs="Helvetica"/>
          <w:sz w:val="20"/>
          <w:szCs w:val="20"/>
          <w:lang w:eastAsia="en-AU"/>
        </w:rPr>
        <w:t>.</w:t>
      </w:r>
    </w:p>
    <w:p w14:paraId="006972A6" w14:textId="2DE10D55" w:rsidR="008D5412" w:rsidRPr="008D5412" w:rsidRDefault="008D5412" w:rsidP="008D5412">
      <w:pPr>
        <w:shd w:val="clear" w:color="auto" w:fill="FFFFFF"/>
        <w:spacing w:after="240" w:line="300" w:lineRule="atLeast"/>
        <w:rPr>
          <w:rFonts w:ascii="Helvetica" w:hAnsi="Helvetica" w:cs="Helvetica"/>
          <w:sz w:val="20"/>
          <w:szCs w:val="20"/>
          <w:lang w:eastAsia="en-AU"/>
        </w:rPr>
      </w:pPr>
      <w:proofErr w:type="gramStart"/>
      <w:r w:rsidRPr="008D5412">
        <w:rPr>
          <w:rFonts w:ascii="Helvetica" w:hAnsi="Helvetica" w:cs="Helvetica"/>
          <w:sz w:val="20"/>
          <w:szCs w:val="20"/>
          <w:lang w:eastAsia="en-AU"/>
        </w:rPr>
        <w:t>Similar to</w:t>
      </w:r>
      <w:proofErr w:type="gramEnd"/>
      <w:r w:rsidRPr="008D5412">
        <w:rPr>
          <w:rFonts w:ascii="Helvetica" w:hAnsi="Helvetica" w:cs="Helvetica"/>
          <w:sz w:val="20"/>
          <w:szCs w:val="20"/>
          <w:lang w:eastAsia="en-AU"/>
        </w:rPr>
        <w:t xml:space="preserve"> 14-3-3 protein, total tau protein in CSF is a non-specific marker of neuronal injury which may complement 14-3-3 protein detection for supporting the diagnosis of sporadic CJD</w:t>
      </w:r>
      <w:r w:rsidRPr="008D5412">
        <w:rPr>
          <w:rFonts w:ascii="Helvetica" w:hAnsi="Helvetica" w:cs="Helvetica"/>
          <w:sz w:val="15"/>
          <w:szCs w:val="15"/>
          <w:vertAlign w:val="superscript"/>
          <w:lang w:eastAsia="en-AU"/>
        </w:rPr>
        <w:t>10</w:t>
      </w:r>
      <w:r w:rsidRPr="008D5412">
        <w:rPr>
          <w:rFonts w:ascii="Helvetica" w:hAnsi="Helvetica" w:cs="Helvetica"/>
          <w:sz w:val="20"/>
          <w:szCs w:val="20"/>
          <w:lang w:eastAsia="en-AU"/>
        </w:rPr>
        <w:t>. Total tau is not included in diagnostic criteria and there is no internationally agreed cut-off for positives. It may also occur with encephalitis, encephalopathies and cerebral infarction</w:t>
      </w:r>
      <w:r w:rsidRPr="008D5412">
        <w:rPr>
          <w:rFonts w:ascii="Helvetica" w:hAnsi="Helvetica" w:cs="Helvetica"/>
          <w:sz w:val="15"/>
          <w:szCs w:val="15"/>
          <w:vertAlign w:val="superscript"/>
          <w:lang w:eastAsia="en-AU"/>
        </w:rPr>
        <w:t>9</w:t>
      </w:r>
    </w:p>
    <w:p w14:paraId="686004E5" w14:textId="77777777" w:rsidR="008D5412" w:rsidRPr="008D5412" w:rsidRDefault="008D5412" w:rsidP="008D5412">
      <w:pPr>
        <w:shd w:val="clear" w:color="auto" w:fill="FFFFFF"/>
        <w:spacing w:after="240" w:line="300" w:lineRule="atLeast"/>
        <w:rPr>
          <w:rFonts w:ascii="Helvetica" w:hAnsi="Helvetica" w:cs="Helvetica"/>
          <w:sz w:val="20"/>
          <w:szCs w:val="20"/>
          <w:lang w:eastAsia="en-AU"/>
        </w:rPr>
      </w:pPr>
      <w:r w:rsidRPr="008D5412">
        <w:rPr>
          <w:rFonts w:ascii="Helvetica" w:hAnsi="Helvetica" w:cs="Helvetica"/>
          <w:sz w:val="20"/>
          <w:szCs w:val="20"/>
          <w:lang w:eastAsia="en-AU"/>
        </w:rPr>
        <w:t>Analysis of CSF for 14-3-3 protein and t-tau protein requires specialized technical and interpretative skills. In Australia, diagnostic testing is available at the Australian National CJD Registry, Florey Institute of Neurosciences and Mental Health, The University of Melbourne (ANCJDR).</w:t>
      </w:r>
    </w:p>
    <w:p w14:paraId="46A8C70B" w14:textId="77777777" w:rsidR="008D5412" w:rsidRPr="008D5412" w:rsidRDefault="008D5412" w:rsidP="008D5412">
      <w:pPr>
        <w:shd w:val="clear" w:color="auto" w:fill="FFFFFF"/>
        <w:spacing w:after="120"/>
        <w:outlineLvl w:val="3"/>
        <w:rPr>
          <w:rFonts w:ascii="Open Sans" w:hAnsi="Open Sans" w:cs="Open Sans"/>
          <w:sz w:val="24"/>
          <w:lang w:eastAsia="en-AU"/>
        </w:rPr>
      </w:pPr>
      <w:r w:rsidRPr="008D5412">
        <w:rPr>
          <w:rFonts w:ascii="Open Sans" w:hAnsi="Open Sans" w:cs="Open Sans"/>
          <w:sz w:val="24"/>
          <w:lang w:eastAsia="en-AU"/>
        </w:rPr>
        <w:t xml:space="preserve">3.2.3 Real Time Quaking </w:t>
      </w:r>
      <w:proofErr w:type="spellStart"/>
      <w:r w:rsidRPr="008D5412">
        <w:rPr>
          <w:rFonts w:ascii="Open Sans" w:hAnsi="Open Sans" w:cs="Open Sans"/>
          <w:sz w:val="24"/>
          <w:lang w:eastAsia="en-AU"/>
        </w:rPr>
        <w:t>lnduced</w:t>
      </w:r>
      <w:proofErr w:type="spellEnd"/>
      <w:r w:rsidRPr="008D5412">
        <w:rPr>
          <w:rFonts w:ascii="Open Sans" w:hAnsi="Open Sans" w:cs="Open Sans"/>
          <w:sz w:val="24"/>
          <w:lang w:eastAsia="en-AU"/>
        </w:rPr>
        <w:t xml:space="preserve"> Conversion (RT-</w:t>
      </w:r>
      <w:proofErr w:type="spellStart"/>
      <w:r w:rsidRPr="008D5412">
        <w:rPr>
          <w:rFonts w:ascii="Open Sans" w:hAnsi="Open Sans" w:cs="Open Sans"/>
          <w:sz w:val="24"/>
          <w:lang w:eastAsia="en-AU"/>
        </w:rPr>
        <w:t>QuIC</w:t>
      </w:r>
      <w:proofErr w:type="spellEnd"/>
      <w:r w:rsidRPr="008D5412">
        <w:rPr>
          <w:rFonts w:ascii="Open Sans" w:hAnsi="Open Sans" w:cs="Open Sans"/>
          <w:sz w:val="24"/>
          <w:lang w:eastAsia="en-AU"/>
        </w:rPr>
        <w:t>) in CSF</w:t>
      </w:r>
    </w:p>
    <w:p w14:paraId="53E8D0E7" w14:textId="44C57D3E" w:rsidR="008D5412" w:rsidRPr="008D5412" w:rsidRDefault="008D5412" w:rsidP="008D5412">
      <w:pPr>
        <w:shd w:val="clear" w:color="auto" w:fill="FFFFFF"/>
        <w:spacing w:after="240" w:line="300" w:lineRule="atLeast"/>
        <w:rPr>
          <w:rFonts w:ascii="Helvetica" w:hAnsi="Helvetica" w:cs="Helvetica"/>
          <w:sz w:val="20"/>
          <w:szCs w:val="20"/>
          <w:lang w:eastAsia="en-AU"/>
        </w:rPr>
      </w:pPr>
      <w:r w:rsidRPr="008D5412">
        <w:rPr>
          <w:rFonts w:ascii="Helvetica" w:hAnsi="Helvetica" w:cs="Helvetica"/>
          <w:sz w:val="20"/>
          <w:szCs w:val="20"/>
          <w:lang w:eastAsia="en-AU"/>
        </w:rPr>
        <w:t>RT-</w:t>
      </w:r>
      <w:proofErr w:type="spellStart"/>
      <w:r w:rsidRPr="008D5412">
        <w:rPr>
          <w:rFonts w:ascii="Helvetica" w:hAnsi="Helvetica" w:cs="Helvetica"/>
          <w:sz w:val="20"/>
          <w:szCs w:val="20"/>
          <w:lang w:eastAsia="en-AU"/>
        </w:rPr>
        <w:t>QuIC</w:t>
      </w:r>
      <w:proofErr w:type="spellEnd"/>
      <w:r w:rsidRPr="008D5412">
        <w:rPr>
          <w:rFonts w:ascii="Helvetica" w:hAnsi="Helvetica" w:cs="Helvetica"/>
          <w:sz w:val="20"/>
          <w:szCs w:val="20"/>
          <w:lang w:eastAsia="en-AU"/>
        </w:rPr>
        <w:t xml:space="preserve"> exploits the ability of </w:t>
      </w:r>
      <w:proofErr w:type="spellStart"/>
      <w:r w:rsidRPr="008D5412">
        <w:rPr>
          <w:rFonts w:ascii="Helvetica" w:hAnsi="Helvetica" w:cs="Helvetica"/>
          <w:sz w:val="20"/>
          <w:szCs w:val="20"/>
          <w:lang w:eastAsia="en-AU"/>
        </w:rPr>
        <w:t>PrPsc</w:t>
      </w:r>
      <w:proofErr w:type="spellEnd"/>
      <w:r w:rsidRPr="008D5412">
        <w:rPr>
          <w:rFonts w:ascii="Helvetica" w:hAnsi="Helvetica" w:cs="Helvetica"/>
          <w:sz w:val="20"/>
          <w:szCs w:val="20"/>
          <w:lang w:eastAsia="en-AU"/>
        </w:rPr>
        <w:t xml:space="preserve"> to induce </w:t>
      </w:r>
      <w:proofErr w:type="spellStart"/>
      <w:r w:rsidRPr="008D5412">
        <w:rPr>
          <w:rFonts w:ascii="Helvetica" w:hAnsi="Helvetica" w:cs="Helvetica"/>
          <w:sz w:val="20"/>
          <w:szCs w:val="20"/>
          <w:lang w:eastAsia="en-AU"/>
        </w:rPr>
        <w:t>PrPc</w:t>
      </w:r>
      <w:proofErr w:type="spellEnd"/>
      <w:r w:rsidRPr="008D5412">
        <w:rPr>
          <w:rFonts w:ascii="Helvetica" w:hAnsi="Helvetica" w:cs="Helvetica"/>
          <w:sz w:val="20"/>
          <w:szCs w:val="20"/>
          <w:lang w:eastAsia="en-AU"/>
        </w:rPr>
        <w:t xml:space="preserve"> to misfold.</w:t>
      </w:r>
      <w:r w:rsidRPr="008D5412">
        <w:rPr>
          <w:rFonts w:ascii="Helvetica" w:hAnsi="Helvetica" w:cs="Helvetica"/>
          <w:sz w:val="15"/>
          <w:szCs w:val="15"/>
          <w:vertAlign w:val="superscript"/>
          <w:lang w:eastAsia="en-AU"/>
        </w:rPr>
        <w:t>8,11,12</w:t>
      </w:r>
      <w:r w:rsidRPr="008D5412">
        <w:rPr>
          <w:rFonts w:ascii="Helvetica" w:hAnsi="Helvetica" w:cs="Helvetica"/>
          <w:sz w:val="20"/>
          <w:szCs w:val="20"/>
          <w:lang w:eastAsia="en-AU"/>
        </w:rPr>
        <w:t>. Second generation assays utilize recombinant prion protein (</w:t>
      </w:r>
      <w:proofErr w:type="spellStart"/>
      <w:r w:rsidRPr="008D5412">
        <w:rPr>
          <w:rFonts w:ascii="Helvetica" w:hAnsi="Helvetica" w:cs="Helvetica"/>
          <w:sz w:val="20"/>
          <w:szCs w:val="20"/>
          <w:lang w:eastAsia="en-AU"/>
        </w:rPr>
        <w:t>recPrP</w:t>
      </w:r>
      <w:proofErr w:type="spellEnd"/>
      <w:r w:rsidRPr="008D5412">
        <w:rPr>
          <w:rFonts w:ascii="Helvetica" w:hAnsi="Helvetica" w:cs="Helvetica"/>
          <w:sz w:val="20"/>
          <w:szCs w:val="20"/>
          <w:lang w:eastAsia="en-AU"/>
        </w:rPr>
        <w:t xml:space="preserve">) as substrate to form </w:t>
      </w:r>
      <w:proofErr w:type="spellStart"/>
      <w:r w:rsidRPr="008D5412">
        <w:rPr>
          <w:rFonts w:ascii="Helvetica" w:hAnsi="Helvetica" w:cs="Helvetica"/>
          <w:sz w:val="20"/>
          <w:szCs w:val="20"/>
          <w:lang w:eastAsia="en-AU"/>
        </w:rPr>
        <w:t>PrPsc</w:t>
      </w:r>
      <w:proofErr w:type="spellEnd"/>
      <w:r w:rsidRPr="008D5412">
        <w:rPr>
          <w:rFonts w:ascii="Helvetica" w:hAnsi="Helvetica" w:cs="Helvetica"/>
          <w:sz w:val="20"/>
          <w:szCs w:val="20"/>
          <w:lang w:eastAsia="en-AU"/>
        </w:rPr>
        <w:t xml:space="preserve"> aggregates in the presence of very small amounts of </w:t>
      </w:r>
      <w:proofErr w:type="spellStart"/>
      <w:r w:rsidRPr="008D5412">
        <w:rPr>
          <w:rFonts w:ascii="Helvetica" w:hAnsi="Helvetica" w:cs="Helvetica"/>
          <w:sz w:val="20"/>
          <w:szCs w:val="20"/>
          <w:lang w:eastAsia="en-AU"/>
        </w:rPr>
        <w:t>PrPsc</w:t>
      </w:r>
      <w:proofErr w:type="spellEnd"/>
      <w:r w:rsidRPr="008D5412">
        <w:rPr>
          <w:rFonts w:ascii="Helvetica" w:hAnsi="Helvetica" w:cs="Helvetica"/>
          <w:sz w:val="20"/>
          <w:szCs w:val="20"/>
          <w:lang w:eastAsia="en-AU"/>
        </w:rPr>
        <w:t xml:space="preserve"> in CSF. Detection occurs through binding to a fluorescent dye (thioflavin). Second generation assays typically take &lt;30 hours. RT-</w:t>
      </w:r>
      <w:proofErr w:type="spellStart"/>
      <w:r w:rsidRPr="008D5412">
        <w:rPr>
          <w:rFonts w:ascii="Helvetica" w:hAnsi="Helvetica" w:cs="Helvetica"/>
          <w:sz w:val="20"/>
          <w:szCs w:val="20"/>
          <w:lang w:eastAsia="en-AU"/>
        </w:rPr>
        <w:t>QuIC</w:t>
      </w:r>
      <w:proofErr w:type="spellEnd"/>
      <w:r w:rsidRPr="008D5412">
        <w:rPr>
          <w:rFonts w:ascii="Helvetica" w:hAnsi="Helvetica" w:cs="Helvetica"/>
          <w:sz w:val="20"/>
          <w:szCs w:val="20"/>
          <w:lang w:eastAsia="en-AU"/>
        </w:rPr>
        <w:t xml:space="preserve"> is less useful for detection of </w:t>
      </w:r>
      <w:proofErr w:type="spellStart"/>
      <w:r w:rsidRPr="008D5412">
        <w:rPr>
          <w:rFonts w:ascii="Helvetica" w:hAnsi="Helvetica" w:cs="Helvetica"/>
          <w:sz w:val="20"/>
          <w:szCs w:val="20"/>
          <w:lang w:eastAsia="en-AU"/>
        </w:rPr>
        <w:t>vCJD</w:t>
      </w:r>
      <w:proofErr w:type="spellEnd"/>
      <w:r w:rsidRPr="008D5412">
        <w:rPr>
          <w:rFonts w:ascii="Helvetica" w:hAnsi="Helvetica" w:cs="Helvetica"/>
          <w:sz w:val="20"/>
          <w:szCs w:val="20"/>
          <w:lang w:eastAsia="en-AU"/>
        </w:rPr>
        <w:t>.</w:t>
      </w:r>
    </w:p>
    <w:p w14:paraId="25A31AF1" w14:textId="77777777" w:rsidR="008D5412" w:rsidRPr="008D5412" w:rsidRDefault="008D5412" w:rsidP="008D5412">
      <w:pPr>
        <w:shd w:val="clear" w:color="auto" w:fill="FFFFFF"/>
        <w:spacing w:after="240" w:line="300" w:lineRule="atLeast"/>
        <w:rPr>
          <w:rFonts w:ascii="Helvetica" w:hAnsi="Helvetica" w:cs="Helvetica"/>
          <w:sz w:val="20"/>
          <w:szCs w:val="20"/>
          <w:lang w:eastAsia="en-AU"/>
        </w:rPr>
      </w:pPr>
      <w:r w:rsidRPr="008D5412">
        <w:rPr>
          <w:rFonts w:ascii="Helvetica" w:hAnsi="Helvetica" w:cs="Helvetica"/>
          <w:sz w:val="20"/>
          <w:szCs w:val="20"/>
          <w:lang w:eastAsia="en-AU"/>
        </w:rPr>
        <w:t>There is no reliable blood RT-</w:t>
      </w:r>
      <w:proofErr w:type="spellStart"/>
      <w:r w:rsidRPr="008D5412">
        <w:rPr>
          <w:rFonts w:ascii="Helvetica" w:hAnsi="Helvetica" w:cs="Helvetica"/>
          <w:sz w:val="20"/>
          <w:szCs w:val="20"/>
          <w:lang w:eastAsia="en-AU"/>
        </w:rPr>
        <w:t>QuIC</w:t>
      </w:r>
      <w:proofErr w:type="spellEnd"/>
      <w:r w:rsidRPr="008D5412">
        <w:rPr>
          <w:rFonts w:ascii="Helvetica" w:hAnsi="Helvetica" w:cs="Helvetica"/>
          <w:sz w:val="20"/>
          <w:szCs w:val="20"/>
          <w:lang w:eastAsia="en-AU"/>
        </w:rPr>
        <w:t xml:space="preserve"> assay due to issues with inhibition. Studies have assessed RT-</w:t>
      </w:r>
      <w:proofErr w:type="spellStart"/>
      <w:r w:rsidRPr="008D5412">
        <w:rPr>
          <w:rFonts w:ascii="Helvetica" w:hAnsi="Helvetica" w:cs="Helvetica"/>
          <w:sz w:val="20"/>
          <w:szCs w:val="20"/>
          <w:lang w:eastAsia="en-AU"/>
        </w:rPr>
        <w:t>QuIC</w:t>
      </w:r>
      <w:proofErr w:type="spellEnd"/>
      <w:r w:rsidRPr="008D5412">
        <w:rPr>
          <w:rFonts w:ascii="Helvetica" w:hAnsi="Helvetica" w:cs="Helvetica"/>
          <w:sz w:val="20"/>
          <w:szCs w:val="20"/>
          <w:lang w:eastAsia="en-AU"/>
        </w:rPr>
        <w:t xml:space="preserve"> testing of olfactory neuroepithelium nasal brushes and skin samples, however these are not routinely available.</w:t>
      </w:r>
    </w:p>
    <w:p w14:paraId="7D4D4E0A" w14:textId="113C5C36" w:rsidR="008D5412" w:rsidRPr="008D5412" w:rsidRDefault="008D5412" w:rsidP="008D5412">
      <w:pPr>
        <w:shd w:val="clear" w:color="auto" w:fill="FFFFFF"/>
        <w:spacing w:after="240" w:line="300" w:lineRule="atLeast"/>
        <w:rPr>
          <w:rFonts w:ascii="Helvetica" w:hAnsi="Helvetica" w:cs="Helvetica"/>
          <w:sz w:val="20"/>
          <w:szCs w:val="20"/>
          <w:lang w:eastAsia="en-AU"/>
        </w:rPr>
      </w:pPr>
      <w:r w:rsidRPr="008D5412">
        <w:rPr>
          <w:rFonts w:ascii="Helvetica" w:hAnsi="Helvetica" w:cs="Helvetica"/>
          <w:sz w:val="20"/>
          <w:szCs w:val="20"/>
          <w:lang w:eastAsia="en-AU"/>
        </w:rPr>
        <w:t>RT-</w:t>
      </w:r>
      <w:proofErr w:type="spellStart"/>
      <w:r w:rsidRPr="008D5412">
        <w:rPr>
          <w:rFonts w:ascii="Helvetica" w:hAnsi="Helvetica" w:cs="Helvetica"/>
          <w:sz w:val="20"/>
          <w:szCs w:val="20"/>
          <w:lang w:eastAsia="en-AU"/>
        </w:rPr>
        <w:t>QuIC</w:t>
      </w:r>
      <w:proofErr w:type="spellEnd"/>
      <w:r w:rsidRPr="008D5412">
        <w:rPr>
          <w:rFonts w:ascii="Helvetica" w:hAnsi="Helvetica" w:cs="Helvetica"/>
          <w:sz w:val="20"/>
          <w:szCs w:val="20"/>
          <w:lang w:eastAsia="en-AU"/>
        </w:rPr>
        <w:t xml:space="preserve"> is currently only available at the ANCJDR on a research only basis on discussion with the clinician</w:t>
      </w:r>
      <w:r w:rsidRPr="008D5412">
        <w:rPr>
          <w:rFonts w:ascii="Helvetica" w:hAnsi="Helvetica" w:cs="Helvetica"/>
          <w:sz w:val="15"/>
          <w:szCs w:val="15"/>
          <w:vertAlign w:val="superscript"/>
          <w:lang w:eastAsia="en-AU"/>
        </w:rPr>
        <w:t>12</w:t>
      </w:r>
      <w:r w:rsidRPr="008D5412">
        <w:rPr>
          <w:rFonts w:ascii="Helvetica" w:hAnsi="Helvetica" w:cs="Helvetica"/>
          <w:sz w:val="20"/>
          <w:szCs w:val="20"/>
          <w:lang w:eastAsia="en-AU"/>
        </w:rPr>
        <w:t>.</w:t>
      </w:r>
    </w:p>
    <w:p w14:paraId="19B7C235" w14:textId="77777777" w:rsidR="008D5412" w:rsidRPr="008D5412" w:rsidRDefault="008D5412" w:rsidP="008D5412">
      <w:pPr>
        <w:shd w:val="clear" w:color="auto" w:fill="FFFFFF"/>
        <w:spacing w:after="120"/>
        <w:outlineLvl w:val="2"/>
        <w:rPr>
          <w:rFonts w:ascii="Open Sans" w:hAnsi="Open Sans" w:cs="Open Sans"/>
          <w:sz w:val="27"/>
          <w:szCs w:val="27"/>
          <w:lang w:eastAsia="en-AU"/>
        </w:rPr>
      </w:pPr>
      <w:r w:rsidRPr="008D5412">
        <w:rPr>
          <w:rFonts w:ascii="Open Sans" w:hAnsi="Open Sans" w:cs="Open Sans"/>
          <w:sz w:val="27"/>
          <w:szCs w:val="27"/>
          <w:lang w:eastAsia="en-AU"/>
        </w:rPr>
        <w:lastRenderedPageBreak/>
        <w:t>3.3 Genetic Analysis</w:t>
      </w:r>
    </w:p>
    <w:p w14:paraId="39A2265F" w14:textId="2D9BD1DD" w:rsidR="008D5412" w:rsidRPr="008D5412" w:rsidRDefault="008D5412" w:rsidP="008D5412">
      <w:pPr>
        <w:shd w:val="clear" w:color="auto" w:fill="FFFFFF"/>
        <w:spacing w:after="240" w:line="300" w:lineRule="atLeast"/>
        <w:rPr>
          <w:rFonts w:ascii="Helvetica" w:hAnsi="Helvetica" w:cs="Helvetica"/>
          <w:sz w:val="20"/>
          <w:szCs w:val="20"/>
          <w:lang w:eastAsia="en-AU"/>
        </w:rPr>
      </w:pPr>
      <w:r w:rsidRPr="008D5412">
        <w:rPr>
          <w:rFonts w:ascii="Helvetica" w:hAnsi="Helvetica" w:cs="Helvetica"/>
          <w:sz w:val="20"/>
          <w:szCs w:val="20"/>
          <w:lang w:eastAsia="en-AU"/>
        </w:rPr>
        <w:t>Approximately 10-14% of human TSEs occurs due to an inherited mutation, occurring in one in ten million people</w:t>
      </w:r>
      <w:r w:rsidRPr="008D5412">
        <w:rPr>
          <w:rFonts w:ascii="Helvetica" w:hAnsi="Helvetica" w:cs="Helvetica"/>
          <w:sz w:val="15"/>
          <w:szCs w:val="15"/>
          <w:vertAlign w:val="superscript"/>
          <w:lang w:eastAsia="en-AU"/>
        </w:rPr>
        <w:t>9,13</w:t>
      </w:r>
      <w:r w:rsidRPr="008D5412">
        <w:rPr>
          <w:rFonts w:ascii="Helvetica" w:hAnsi="Helvetica" w:cs="Helvetica"/>
          <w:sz w:val="20"/>
          <w:szCs w:val="20"/>
          <w:lang w:eastAsia="en-AU"/>
        </w:rPr>
        <w:t>.</w:t>
      </w:r>
    </w:p>
    <w:p w14:paraId="1CA6F06B" w14:textId="4FB45335" w:rsidR="008D5412" w:rsidRPr="008D5412" w:rsidRDefault="008D5412" w:rsidP="008D5412">
      <w:pPr>
        <w:shd w:val="clear" w:color="auto" w:fill="FFFFFF"/>
        <w:spacing w:after="240" w:line="300" w:lineRule="atLeast"/>
        <w:rPr>
          <w:rFonts w:ascii="Helvetica" w:hAnsi="Helvetica" w:cs="Helvetica"/>
          <w:sz w:val="20"/>
          <w:szCs w:val="20"/>
          <w:lang w:eastAsia="en-AU"/>
        </w:rPr>
      </w:pPr>
      <w:r w:rsidRPr="008D5412">
        <w:rPr>
          <w:rFonts w:ascii="Helvetica" w:hAnsi="Helvetica" w:cs="Helvetica"/>
          <w:sz w:val="20"/>
          <w:szCs w:val="20"/>
          <w:lang w:eastAsia="en-AU"/>
        </w:rPr>
        <w:t xml:space="preserve">Screening cases of CJD for the mutations associated with the hereditary forms of disease raises significant medical, ethical, psychological, and legal issues for all living blood relatives. Consultation with a specialist clinician or a clinical genetics service is strongly recommended to ensure that the requesting individual/family fully understand/s the test procedure, benefits, </w:t>
      </w:r>
      <w:proofErr w:type="gramStart"/>
      <w:r w:rsidRPr="008D5412">
        <w:rPr>
          <w:rFonts w:ascii="Helvetica" w:hAnsi="Helvetica" w:cs="Helvetica"/>
          <w:sz w:val="20"/>
          <w:szCs w:val="20"/>
          <w:lang w:eastAsia="en-AU"/>
        </w:rPr>
        <w:t>limitations</w:t>
      </w:r>
      <w:proofErr w:type="gramEnd"/>
      <w:r w:rsidRPr="008D5412">
        <w:rPr>
          <w:rFonts w:ascii="Helvetica" w:hAnsi="Helvetica" w:cs="Helvetica"/>
          <w:sz w:val="20"/>
          <w:szCs w:val="20"/>
          <w:lang w:eastAsia="en-AU"/>
        </w:rPr>
        <w:t xml:space="preserve"> and the possible consequence of the test result</w:t>
      </w:r>
      <w:r w:rsidRPr="008D5412">
        <w:rPr>
          <w:rFonts w:ascii="Helvetica" w:hAnsi="Helvetica" w:cs="Helvetica"/>
          <w:sz w:val="15"/>
          <w:szCs w:val="15"/>
          <w:vertAlign w:val="superscript"/>
          <w:lang w:eastAsia="en-AU"/>
        </w:rPr>
        <w:t>9</w:t>
      </w:r>
      <w:r w:rsidRPr="008D5412">
        <w:rPr>
          <w:rFonts w:ascii="Helvetica" w:hAnsi="Helvetica" w:cs="Helvetica"/>
          <w:sz w:val="20"/>
          <w:szCs w:val="20"/>
          <w:lang w:eastAsia="en-AU"/>
        </w:rPr>
        <w:t xml:space="preserve">. Due to the low </w:t>
      </w:r>
      <w:proofErr w:type="spellStart"/>
      <w:r w:rsidRPr="008D5412">
        <w:rPr>
          <w:rFonts w:ascii="Helvetica" w:hAnsi="Helvetica" w:cs="Helvetica"/>
          <w:sz w:val="20"/>
          <w:szCs w:val="20"/>
          <w:lang w:eastAsia="en-AU"/>
        </w:rPr>
        <w:t>PrP</w:t>
      </w:r>
      <w:proofErr w:type="spellEnd"/>
      <w:r w:rsidRPr="008D5412">
        <w:rPr>
          <w:rFonts w:ascii="Helvetica" w:hAnsi="Helvetica" w:cs="Helvetica"/>
          <w:sz w:val="20"/>
          <w:szCs w:val="20"/>
          <w:lang w:eastAsia="en-AU"/>
        </w:rPr>
        <w:t xml:space="preserve"> gene mutation detection rate in ‘sporadic’ CJD PRNP screening is not routinely recommended in those patients without a family history of a TSE</w:t>
      </w:r>
      <w:r w:rsidRPr="008D5412">
        <w:rPr>
          <w:rFonts w:ascii="Helvetica" w:hAnsi="Helvetica" w:cs="Helvetica"/>
          <w:sz w:val="15"/>
          <w:szCs w:val="15"/>
          <w:vertAlign w:val="superscript"/>
          <w:lang w:eastAsia="en-AU"/>
        </w:rPr>
        <w:t>4</w:t>
      </w:r>
      <w:r w:rsidRPr="008D5412">
        <w:rPr>
          <w:rFonts w:ascii="Helvetica" w:hAnsi="Helvetica" w:cs="Helvetica"/>
          <w:sz w:val="20"/>
          <w:szCs w:val="20"/>
          <w:lang w:eastAsia="en-AU"/>
        </w:rPr>
        <w:t>.</w:t>
      </w:r>
    </w:p>
    <w:p w14:paraId="4B61ED8C" w14:textId="77777777" w:rsidR="008D5412" w:rsidRPr="008D5412" w:rsidRDefault="008D5412" w:rsidP="008D5412">
      <w:pPr>
        <w:shd w:val="clear" w:color="auto" w:fill="FFFFFF"/>
        <w:spacing w:after="240" w:line="300" w:lineRule="atLeast"/>
        <w:rPr>
          <w:rFonts w:ascii="Helvetica" w:hAnsi="Helvetica" w:cs="Helvetica"/>
          <w:sz w:val="20"/>
          <w:szCs w:val="20"/>
          <w:lang w:eastAsia="en-AU"/>
        </w:rPr>
      </w:pPr>
      <w:r w:rsidRPr="008D5412">
        <w:rPr>
          <w:rFonts w:ascii="Helvetica" w:hAnsi="Helvetica" w:cs="Helvetica"/>
          <w:sz w:val="20"/>
          <w:szCs w:val="20"/>
          <w:lang w:eastAsia="en-AU"/>
        </w:rPr>
        <w:t>In genetic prion disease, the definitive test is the analysis of </w:t>
      </w:r>
      <w:r w:rsidRPr="008D5412">
        <w:rPr>
          <w:rFonts w:ascii="Helvetica" w:hAnsi="Helvetica" w:cs="Helvetica"/>
          <w:i/>
          <w:iCs/>
          <w:sz w:val="20"/>
          <w:szCs w:val="20"/>
          <w:lang w:eastAsia="en-AU"/>
        </w:rPr>
        <w:t>PRNP </w:t>
      </w:r>
      <w:r w:rsidRPr="008D5412">
        <w:rPr>
          <w:rFonts w:ascii="Helvetica" w:hAnsi="Helvetica" w:cs="Helvetica"/>
          <w:sz w:val="20"/>
          <w:szCs w:val="20"/>
          <w:lang w:eastAsia="en-AU"/>
        </w:rPr>
        <w:t xml:space="preserve">(the prion protein gene) on </w:t>
      </w:r>
      <w:proofErr w:type="spellStart"/>
      <w:r w:rsidRPr="008D5412">
        <w:rPr>
          <w:rFonts w:ascii="Helvetica" w:hAnsi="Helvetica" w:cs="Helvetica"/>
          <w:sz w:val="20"/>
          <w:szCs w:val="20"/>
          <w:lang w:eastAsia="en-AU"/>
        </w:rPr>
        <w:t>chromosone</w:t>
      </w:r>
      <w:proofErr w:type="spellEnd"/>
      <w:r w:rsidRPr="008D5412">
        <w:rPr>
          <w:rFonts w:ascii="Helvetica" w:hAnsi="Helvetica" w:cs="Helvetica"/>
          <w:sz w:val="20"/>
          <w:szCs w:val="20"/>
          <w:lang w:eastAsia="en-AU"/>
        </w:rPr>
        <w:t xml:space="preserve"> 20 for relevant mutations. This test can be performed on blood or unfixed brain tissue.</w:t>
      </w:r>
    </w:p>
    <w:p w14:paraId="06E2E1F0" w14:textId="1538EC90" w:rsidR="008D5412" w:rsidRPr="008D5412" w:rsidRDefault="008D5412" w:rsidP="008D5412">
      <w:pPr>
        <w:shd w:val="clear" w:color="auto" w:fill="FFFFFF"/>
        <w:spacing w:after="240" w:line="300" w:lineRule="atLeast"/>
        <w:rPr>
          <w:rFonts w:ascii="Helvetica" w:hAnsi="Helvetica" w:cs="Helvetica"/>
          <w:sz w:val="20"/>
          <w:szCs w:val="20"/>
          <w:lang w:eastAsia="en-AU"/>
        </w:rPr>
      </w:pPr>
      <w:r w:rsidRPr="008D5412">
        <w:rPr>
          <w:rFonts w:ascii="Helvetica" w:hAnsi="Helvetica" w:cs="Helvetica"/>
          <w:sz w:val="20"/>
          <w:szCs w:val="20"/>
          <w:lang w:eastAsia="en-AU"/>
        </w:rPr>
        <w:t>Genetic analysis also allows for the determination of the </w:t>
      </w:r>
      <w:r w:rsidRPr="008D5412">
        <w:rPr>
          <w:rFonts w:ascii="Helvetica" w:hAnsi="Helvetica" w:cs="Helvetica"/>
          <w:i/>
          <w:iCs/>
          <w:sz w:val="20"/>
          <w:szCs w:val="20"/>
          <w:lang w:eastAsia="en-AU"/>
        </w:rPr>
        <w:t>PRNP </w:t>
      </w:r>
      <w:r w:rsidRPr="008D5412">
        <w:rPr>
          <w:rFonts w:ascii="Helvetica" w:hAnsi="Helvetica" w:cs="Helvetica"/>
          <w:sz w:val="20"/>
          <w:szCs w:val="20"/>
          <w:lang w:eastAsia="en-AU"/>
        </w:rPr>
        <w:t xml:space="preserve">codon 129 </w:t>
      </w:r>
      <w:proofErr w:type="gramStart"/>
      <w:r w:rsidRPr="008D5412">
        <w:rPr>
          <w:rFonts w:ascii="Helvetica" w:hAnsi="Helvetica" w:cs="Helvetica"/>
          <w:sz w:val="20"/>
          <w:szCs w:val="20"/>
          <w:lang w:eastAsia="en-AU"/>
        </w:rPr>
        <w:t>genotype</w:t>
      </w:r>
      <w:proofErr w:type="gramEnd"/>
      <w:r w:rsidRPr="008D5412">
        <w:rPr>
          <w:rFonts w:ascii="Helvetica" w:hAnsi="Helvetica" w:cs="Helvetica"/>
          <w:sz w:val="20"/>
          <w:szCs w:val="20"/>
          <w:lang w:eastAsia="en-AU"/>
        </w:rPr>
        <w:t xml:space="preserve"> (MM, VV or MV). This has potential relevance in the full characterisation of a case of prion disease. Over 70% of cases of </w:t>
      </w:r>
      <w:proofErr w:type="spellStart"/>
      <w:r w:rsidRPr="008D5412">
        <w:rPr>
          <w:rFonts w:ascii="Helvetica" w:hAnsi="Helvetica" w:cs="Helvetica"/>
          <w:sz w:val="20"/>
          <w:szCs w:val="20"/>
          <w:lang w:eastAsia="en-AU"/>
        </w:rPr>
        <w:t>sCJD</w:t>
      </w:r>
      <w:proofErr w:type="spellEnd"/>
      <w:r w:rsidRPr="008D5412">
        <w:rPr>
          <w:rFonts w:ascii="Helvetica" w:hAnsi="Helvetica" w:cs="Helvetica"/>
          <w:sz w:val="20"/>
          <w:szCs w:val="20"/>
          <w:lang w:eastAsia="en-AU"/>
        </w:rPr>
        <w:t xml:space="preserve"> have the MM genotype but the disease does occur in the other two genotypes. Until a recent report of MV genotype</w:t>
      </w:r>
      <w:r w:rsidRPr="008D5412">
        <w:rPr>
          <w:rFonts w:ascii="Helvetica" w:hAnsi="Helvetica" w:cs="Helvetica"/>
          <w:sz w:val="15"/>
          <w:szCs w:val="15"/>
          <w:vertAlign w:val="superscript"/>
          <w:lang w:eastAsia="en-AU"/>
        </w:rPr>
        <w:t>14</w:t>
      </w:r>
      <w:r w:rsidRPr="008D5412">
        <w:rPr>
          <w:rFonts w:ascii="Helvetica" w:hAnsi="Helvetica" w:cs="Helvetica"/>
          <w:sz w:val="20"/>
          <w:szCs w:val="20"/>
          <w:lang w:eastAsia="en-AU"/>
        </w:rPr>
        <w:t xml:space="preserve">, </w:t>
      </w:r>
      <w:proofErr w:type="spellStart"/>
      <w:r w:rsidRPr="008D5412">
        <w:rPr>
          <w:rFonts w:ascii="Helvetica" w:hAnsi="Helvetica" w:cs="Helvetica"/>
          <w:sz w:val="20"/>
          <w:szCs w:val="20"/>
          <w:lang w:eastAsia="en-AU"/>
        </w:rPr>
        <w:t>vCJD</w:t>
      </w:r>
      <w:proofErr w:type="spellEnd"/>
      <w:r w:rsidRPr="008D5412">
        <w:rPr>
          <w:rFonts w:ascii="Helvetica" w:hAnsi="Helvetica" w:cs="Helvetica"/>
          <w:sz w:val="20"/>
          <w:szCs w:val="20"/>
          <w:lang w:eastAsia="en-AU"/>
        </w:rPr>
        <w:t xml:space="preserve"> (defined as definite or probable on the current agreed diagnostic criteria) had only occurred as a MM genotype</w:t>
      </w:r>
      <w:r w:rsidRPr="008D5412">
        <w:rPr>
          <w:rFonts w:ascii="Helvetica" w:hAnsi="Helvetica" w:cs="Helvetica"/>
          <w:sz w:val="15"/>
          <w:szCs w:val="15"/>
          <w:vertAlign w:val="superscript"/>
          <w:lang w:eastAsia="en-AU"/>
        </w:rPr>
        <w:t>6</w:t>
      </w:r>
      <w:r w:rsidRPr="008D5412">
        <w:rPr>
          <w:rFonts w:ascii="Helvetica" w:hAnsi="Helvetica" w:cs="Helvetica"/>
          <w:sz w:val="20"/>
          <w:szCs w:val="20"/>
          <w:lang w:eastAsia="en-AU"/>
        </w:rPr>
        <w:t>.</w:t>
      </w:r>
    </w:p>
    <w:p w14:paraId="49027201" w14:textId="77777777" w:rsidR="008D5412" w:rsidRPr="008D5412" w:rsidRDefault="008D5412" w:rsidP="008D5412">
      <w:pPr>
        <w:shd w:val="clear" w:color="auto" w:fill="FFFFFF"/>
        <w:spacing w:after="240" w:line="300" w:lineRule="atLeast"/>
        <w:rPr>
          <w:rFonts w:ascii="Helvetica" w:hAnsi="Helvetica" w:cs="Helvetica"/>
          <w:sz w:val="20"/>
          <w:szCs w:val="20"/>
          <w:lang w:eastAsia="en-AU"/>
        </w:rPr>
      </w:pPr>
      <w:r w:rsidRPr="008D5412">
        <w:rPr>
          <w:rFonts w:ascii="Helvetica" w:hAnsi="Helvetica" w:cs="Helvetica"/>
          <w:i/>
          <w:iCs/>
          <w:sz w:val="20"/>
          <w:szCs w:val="20"/>
          <w:lang w:eastAsia="en-AU"/>
        </w:rPr>
        <w:t>PRNP</w:t>
      </w:r>
      <w:r w:rsidRPr="008D5412">
        <w:rPr>
          <w:rFonts w:ascii="Helvetica" w:hAnsi="Helvetica" w:cs="Helvetica"/>
          <w:sz w:val="20"/>
          <w:szCs w:val="20"/>
          <w:lang w:eastAsia="en-AU"/>
        </w:rPr>
        <w:t> testing, including codon 129 analysis, on blood and tissue specimens from </w:t>
      </w:r>
      <w:r w:rsidRPr="008D5412">
        <w:rPr>
          <w:rFonts w:ascii="Helvetica" w:hAnsi="Helvetica" w:cs="Helvetica"/>
          <w:i/>
          <w:iCs/>
          <w:sz w:val="20"/>
          <w:szCs w:val="20"/>
          <w:lang w:eastAsia="en-AU"/>
        </w:rPr>
        <w:t>symptomatic</w:t>
      </w:r>
      <w:r w:rsidRPr="008D5412">
        <w:rPr>
          <w:rFonts w:ascii="Helvetica" w:hAnsi="Helvetica" w:cs="Helvetica"/>
          <w:sz w:val="20"/>
          <w:szCs w:val="20"/>
          <w:lang w:eastAsia="en-AU"/>
        </w:rPr>
        <w:t> or </w:t>
      </w:r>
      <w:r w:rsidRPr="008D5412">
        <w:rPr>
          <w:rFonts w:ascii="Helvetica" w:hAnsi="Helvetica" w:cs="Helvetica"/>
          <w:i/>
          <w:iCs/>
          <w:sz w:val="20"/>
          <w:szCs w:val="20"/>
          <w:lang w:eastAsia="en-AU"/>
        </w:rPr>
        <w:t>deceased</w:t>
      </w:r>
      <w:r w:rsidRPr="008D5412">
        <w:rPr>
          <w:rFonts w:ascii="Helvetica" w:hAnsi="Helvetica" w:cs="Helvetica"/>
          <w:sz w:val="20"/>
          <w:szCs w:val="20"/>
          <w:lang w:eastAsia="en-AU"/>
        </w:rPr>
        <w:t xml:space="preserve"> patients is available at the Neurogenetics Unit, Department of Diagnostic Genomics, </w:t>
      </w:r>
      <w:proofErr w:type="spellStart"/>
      <w:r w:rsidRPr="008D5412">
        <w:rPr>
          <w:rFonts w:ascii="Helvetica" w:hAnsi="Helvetica" w:cs="Helvetica"/>
          <w:sz w:val="20"/>
          <w:szCs w:val="20"/>
          <w:lang w:eastAsia="en-AU"/>
        </w:rPr>
        <w:t>PathWest</w:t>
      </w:r>
      <w:proofErr w:type="spellEnd"/>
      <w:r w:rsidRPr="008D5412">
        <w:rPr>
          <w:rFonts w:ascii="Helvetica" w:hAnsi="Helvetica" w:cs="Helvetica"/>
          <w:sz w:val="20"/>
          <w:szCs w:val="20"/>
          <w:lang w:eastAsia="en-AU"/>
        </w:rPr>
        <w:t xml:space="preserve"> Laboratory Medicine WA, Level 2 PP Building, QEII Medical Centre, Hospital Avenue, Nedlands WA 6009, phone 08 6383 4219.</w:t>
      </w:r>
    </w:p>
    <w:p w14:paraId="7DDC6494" w14:textId="77777777" w:rsidR="008D5412" w:rsidRPr="008D5412" w:rsidRDefault="008D5412" w:rsidP="008D5412">
      <w:pPr>
        <w:shd w:val="clear" w:color="auto" w:fill="FFFFFF"/>
        <w:spacing w:after="240" w:line="300" w:lineRule="atLeast"/>
        <w:rPr>
          <w:rFonts w:ascii="Helvetica" w:hAnsi="Helvetica" w:cs="Helvetica"/>
          <w:color w:val="222222"/>
          <w:sz w:val="20"/>
          <w:szCs w:val="20"/>
          <w:lang w:eastAsia="en-AU"/>
        </w:rPr>
      </w:pPr>
      <w:r w:rsidRPr="008D5412">
        <w:rPr>
          <w:rFonts w:ascii="Helvetica" w:hAnsi="Helvetica" w:cs="Helvetica"/>
          <w:color w:val="222222"/>
          <w:sz w:val="20"/>
          <w:szCs w:val="20"/>
          <w:lang w:eastAsia="en-AU"/>
        </w:rPr>
        <w:t>Testing is not provided for individuals who are </w:t>
      </w:r>
      <w:r w:rsidRPr="008D5412">
        <w:rPr>
          <w:rFonts w:ascii="Helvetica" w:hAnsi="Helvetica" w:cs="Helvetica"/>
          <w:b/>
          <w:bCs/>
          <w:color w:val="222222"/>
          <w:sz w:val="20"/>
          <w:szCs w:val="20"/>
          <w:lang w:eastAsia="en-AU"/>
        </w:rPr>
        <w:t>not</w:t>
      </w:r>
      <w:r w:rsidRPr="008D5412">
        <w:rPr>
          <w:rFonts w:ascii="Helvetica" w:hAnsi="Helvetica" w:cs="Helvetica"/>
          <w:color w:val="222222"/>
          <w:sz w:val="20"/>
          <w:szCs w:val="20"/>
          <w:lang w:eastAsia="en-AU"/>
        </w:rPr>
        <w:t xml:space="preserve"> experiencing symptoms of CJD, but who are concerned about their own risk for genetic CJD. In these situations, all individuals </w:t>
      </w:r>
      <w:proofErr w:type="gramStart"/>
      <w:r w:rsidRPr="008D5412">
        <w:rPr>
          <w:rFonts w:ascii="Helvetica" w:hAnsi="Helvetica" w:cs="Helvetica"/>
          <w:color w:val="222222"/>
          <w:sz w:val="20"/>
          <w:szCs w:val="20"/>
          <w:lang w:eastAsia="en-AU"/>
        </w:rPr>
        <w:t>are able to</w:t>
      </w:r>
      <w:proofErr w:type="gramEnd"/>
      <w:r w:rsidRPr="008D5412">
        <w:rPr>
          <w:rFonts w:ascii="Helvetica" w:hAnsi="Helvetica" w:cs="Helvetica"/>
          <w:color w:val="222222"/>
          <w:sz w:val="20"/>
          <w:szCs w:val="20"/>
          <w:lang w:eastAsia="en-AU"/>
        </w:rPr>
        <w:t xml:space="preserve"> access testing through the local genetic counselling services as per </w:t>
      </w:r>
      <w:hyperlink r:id="rId16" w:history="1">
        <w:r w:rsidRPr="008D5412">
          <w:rPr>
            <w:rFonts w:ascii="Helvetica" w:hAnsi="Helvetica" w:cs="Helvetica"/>
            <w:color w:val="1157AD"/>
            <w:sz w:val="20"/>
            <w:szCs w:val="20"/>
            <w:u w:val="single"/>
            <w:lang w:eastAsia="en-AU"/>
          </w:rPr>
          <w:t>HGSA guidelines for Pre-symptomatic and Predictive Testing for Genetic Disorder</w:t>
        </w:r>
      </w:hyperlink>
      <w:r w:rsidRPr="008D5412">
        <w:rPr>
          <w:rFonts w:ascii="Helvetica" w:hAnsi="Helvetica" w:cs="Helvetica"/>
          <w:color w:val="222222"/>
          <w:sz w:val="20"/>
          <w:szCs w:val="20"/>
          <w:lang w:eastAsia="en-AU"/>
        </w:rPr>
        <w:t>s (www.hgsa.org.au/documents/item/1574).</w:t>
      </w:r>
    </w:p>
    <w:p w14:paraId="0B0B8844" w14:textId="77777777" w:rsidR="008D5412" w:rsidRPr="008D5412" w:rsidRDefault="008D5412" w:rsidP="008D5412">
      <w:pPr>
        <w:shd w:val="clear" w:color="auto" w:fill="FFFFFF"/>
        <w:spacing w:after="120"/>
        <w:outlineLvl w:val="2"/>
        <w:rPr>
          <w:rFonts w:ascii="Open Sans" w:hAnsi="Open Sans" w:cs="Open Sans"/>
          <w:sz w:val="27"/>
          <w:szCs w:val="27"/>
          <w:lang w:eastAsia="en-AU"/>
        </w:rPr>
      </w:pPr>
      <w:r w:rsidRPr="008D5412">
        <w:rPr>
          <w:rFonts w:ascii="Open Sans" w:hAnsi="Open Sans" w:cs="Open Sans"/>
          <w:sz w:val="27"/>
          <w:szCs w:val="27"/>
          <w:lang w:eastAsia="en-AU"/>
        </w:rPr>
        <w:t>3.4 Quality Assurance</w:t>
      </w:r>
    </w:p>
    <w:p w14:paraId="54774DFA" w14:textId="77777777" w:rsidR="008D5412" w:rsidRPr="008D5412" w:rsidRDefault="008D5412" w:rsidP="008D5412">
      <w:pPr>
        <w:numPr>
          <w:ilvl w:val="0"/>
          <w:numId w:val="23"/>
        </w:numPr>
        <w:shd w:val="clear" w:color="auto" w:fill="FFFFFF"/>
        <w:spacing w:after="90" w:line="300" w:lineRule="atLeast"/>
        <w:rPr>
          <w:rFonts w:ascii="Helvetica" w:hAnsi="Helvetica" w:cs="Helvetica"/>
          <w:sz w:val="20"/>
          <w:szCs w:val="20"/>
          <w:lang w:eastAsia="en-AU"/>
        </w:rPr>
      </w:pPr>
      <w:r w:rsidRPr="008D5412">
        <w:rPr>
          <w:rFonts w:ascii="Helvetica" w:hAnsi="Helvetica" w:cs="Helvetica"/>
          <w:i/>
          <w:iCs/>
          <w:sz w:val="20"/>
          <w:szCs w:val="20"/>
          <w:lang w:eastAsia="en-AU"/>
        </w:rPr>
        <w:t>Suitable and Unsuitable specimens</w:t>
      </w:r>
    </w:p>
    <w:p w14:paraId="7FF74F46" w14:textId="787E9AD4" w:rsidR="008D5412" w:rsidRPr="008D5412" w:rsidRDefault="008D5412" w:rsidP="008D5412">
      <w:pPr>
        <w:shd w:val="clear" w:color="auto" w:fill="FFFFFF"/>
        <w:spacing w:before="240" w:after="240" w:line="300" w:lineRule="atLeast"/>
        <w:rPr>
          <w:rFonts w:ascii="Helvetica" w:hAnsi="Helvetica" w:cs="Helvetica"/>
          <w:sz w:val="20"/>
          <w:szCs w:val="20"/>
          <w:lang w:eastAsia="en-AU"/>
        </w:rPr>
      </w:pPr>
      <w:r w:rsidRPr="008D5412">
        <w:rPr>
          <w:rFonts w:ascii="Helvetica" w:hAnsi="Helvetica" w:cs="Helvetica"/>
          <w:sz w:val="20"/>
          <w:szCs w:val="20"/>
          <w:lang w:eastAsia="en-AU"/>
        </w:rPr>
        <w:t xml:space="preserve">Autopsy, or at least post-mortem brain biopsy, is strongly encouraged in any suspected case of CJD. Ante-mortem brain biopsy typically involves the removal of a small piece of non-dominant frontal </w:t>
      </w:r>
      <w:proofErr w:type="gramStart"/>
      <w:r w:rsidRPr="008D5412">
        <w:rPr>
          <w:rFonts w:ascii="Helvetica" w:hAnsi="Helvetica" w:cs="Helvetica"/>
          <w:sz w:val="20"/>
          <w:szCs w:val="20"/>
          <w:lang w:eastAsia="en-AU"/>
        </w:rPr>
        <w:t>cortex, and</w:t>
      </w:r>
      <w:proofErr w:type="gramEnd"/>
      <w:r w:rsidRPr="008D5412">
        <w:rPr>
          <w:rFonts w:ascii="Helvetica" w:hAnsi="Helvetica" w:cs="Helvetica"/>
          <w:sz w:val="20"/>
          <w:szCs w:val="20"/>
          <w:lang w:eastAsia="en-AU"/>
        </w:rPr>
        <w:t xml:space="preserve"> is generally only recommended when the clinical features are atypical and the diagnosis of an alternative treatable disease is being sought. </w:t>
      </w:r>
      <w:r w:rsidRPr="008D5412">
        <w:rPr>
          <w:rFonts w:ascii="Helvetica" w:hAnsi="Helvetica" w:cs="Helvetica"/>
          <w:b/>
          <w:bCs/>
          <w:sz w:val="20"/>
          <w:szCs w:val="20"/>
          <w:lang w:eastAsia="en-AU"/>
        </w:rPr>
        <w:t xml:space="preserve">Due to its biophysical properties, including the typical protease resistance, </w:t>
      </w:r>
      <w:proofErr w:type="spellStart"/>
      <w:r w:rsidRPr="008D5412">
        <w:rPr>
          <w:rFonts w:ascii="Helvetica" w:hAnsi="Helvetica" w:cs="Helvetica"/>
          <w:b/>
          <w:bCs/>
          <w:sz w:val="20"/>
          <w:szCs w:val="20"/>
          <w:lang w:eastAsia="en-AU"/>
        </w:rPr>
        <w:t>PrPsc</w:t>
      </w:r>
      <w:proofErr w:type="spellEnd"/>
      <w:r w:rsidRPr="008D5412">
        <w:rPr>
          <w:rFonts w:ascii="Helvetica" w:hAnsi="Helvetica" w:cs="Helvetica"/>
          <w:b/>
          <w:bCs/>
          <w:sz w:val="20"/>
          <w:szCs w:val="20"/>
          <w:lang w:eastAsia="en-AU"/>
        </w:rPr>
        <w:t xml:space="preserve"> resists chemical and physical sterilization; hence, prior to ante-mortem or post-mortem tissue biopsy or autopsy, the local Infection Prevention and Control Unit and pathology service should be notified to ensure appropriate procedures are undertaken in the operating theatre around destruction or quarantining of surgical instruments, with re-processing of surgical instruments only if CJD negative, and within the laboratory and mortuary with regards handling of the specimen and body. </w:t>
      </w:r>
      <w:r w:rsidRPr="008D5412">
        <w:rPr>
          <w:rFonts w:ascii="Helvetica" w:hAnsi="Helvetica" w:cs="Helvetica"/>
          <w:sz w:val="20"/>
          <w:szCs w:val="20"/>
          <w:lang w:eastAsia="en-AU"/>
        </w:rPr>
        <w:t>Reference should be made to local and national guidelines</w:t>
      </w:r>
      <w:r w:rsidRPr="008D5412">
        <w:rPr>
          <w:rFonts w:ascii="Helvetica" w:hAnsi="Helvetica" w:cs="Helvetica"/>
          <w:sz w:val="15"/>
          <w:szCs w:val="15"/>
          <w:vertAlign w:val="superscript"/>
          <w:lang w:eastAsia="en-AU"/>
        </w:rPr>
        <w:t>15</w:t>
      </w:r>
      <w:r w:rsidRPr="008D5412">
        <w:rPr>
          <w:rFonts w:ascii="Helvetica" w:hAnsi="Helvetica" w:cs="Helvetica"/>
          <w:sz w:val="20"/>
          <w:szCs w:val="20"/>
          <w:lang w:eastAsia="en-AU"/>
        </w:rPr>
        <w:t>.</w:t>
      </w:r>
    </w:p>
    <w:p w14:paraId="4DA9405E" w14:textId="6BE7E1D7" w:rsidR="008D5412" w:rsidRPr="008D5412" w:rsidRDefault="008D5412" w:rsidP="008D5412">
      <w:pPr>
        <w:shd w:val="clear" w:color="auto" w:fill="FFFFFF"/>
        <w:spacing w:after="240" w:line="300" w:lineRule="atLeast"/>
        <w:rPr>
          <w:rFonts w:ascii="Helvetica" w:hAnsi="Helvetica" w:cs="Helvetica"/>
          <w:sz w:val="20"/>
          <w:szCs w:val="20"/>
          <w:lang w:eastAsia="en-AU"/>
        </w:rPr>
      </w:pPr>
      <w:r w:rsidRPr="008D5412">
        <w:rPr>
          <w:rFonts w:ascii="Helvetica" w:hAnsi="Helvetica" w:cs="Helvetica"/>
          <w:sz w:val="20"/>
          <w:szCs w:val="20"/>
          <w:lang w:eastAsia="en-AU"/>
        </w:rPr>
        <w:lastRenderedPageBreak/>
        <w:t>For 14-3-3 and t-tau protein analysis, CSF samples of no less than 1mL of UNSPUN CSF should be packaged in polypropylene, sterile tubes without additives and transported frozen on dry ice, along with results of routine cell counts and protein levels. ANCJDR staff should be notified that the sample is being sent</w:t>
      </w:r>
      <w:r w:rsidRPr="008D5412">
        <w:rPr>
          <w:rFonts w:ascii="Helvetica" w:hAnsi="Helvetica" w:cs="Helvetica"/>
          <w:sz w:val="15"/>
          <w:szCs w:val="15"/>
          <w:vertAlign w:val="superscript"/>
          <w:lang w:eastAsia="en-AU"/>
        </w:rPr>
        <w:t>9</w:t>
      </w:r>
      <w:r w:rsidRPr="008D5412">
        <w:rPr>
          <w:rFonts w:ascii="Helvetica" w:hAnsi="Helvetica" w:cs="Helvetica"/>
          <w:sz w:val="20"/>
          <w:szCs w:val="20"/>
          <w:lang w:eastAsia="en-AU"/>
        </w:rPr>
        <w:t xml:space="preserve">. Unsuitable specimens include: (1) macroscopically haemorrhagic samples and those with red blood cell counts &gt; 500 cells per µL, (2) </w:t>
      </w:r>
      <w:proofErr w:type="spellStart"/>
      <w:r w:rsidRPr="008D5412">
        <w:rPr>
          <w:rFonts w:ascii="Helvetica" w:hAnsi="Helvetica" w:cs="Helvetica"/>
          <w:sz w:val="20"/>
          <w:szCs w:val="20"/>
          <w:lang w:eastAsia="en-AU"/>
        </w:rPr>
        <w:t>xanthochromic</w:t>
      </w:r>
      <w:proofErr w:type="spellEnd"/>
      <w:r w:rsidRPr="008D5412">
        <w:rPr>
          <w:rFonts w:ascii="Helvetica" w:hAnsi="Helvetica" w:cs="Helvetica"/>
          <w:sz w:val="20"/>
          <w:szCs w:val="20"/>
          <w:lang w:eastAsia="en-AU"/>
        </w:rPr>
        <w:t xml:space="preserve"> samples, (3) white cell counts &gt;10 cells per µL or (4) spun supernatants. These samples are unsuitable to test due to the 14-3-3 protein existing in erythrocytes, </w:t>
      </w:r>
      <w:proofErr w:type="gramStart"/>
      <w:r w:rsidRPr="008D5412">
        <w:rPr>
          <w:rFonts w:ascii="Helvetica" w:hAnsi="Helvetica" w:cs="Helvetica"/>
          <w:sz w:val="20"/>
          <w:szCs w:val="20"/>
          <w:lang w:eastAsia="en-AU"/>
        </w:rPr>
        <w:t>platelets</w:t>
      </w:r>
      <w:proofErr w:type="gramEnd"/>
      <w:r w:rsidRPr="008D5412">
        <w:rPr>
          <w:rFonts w:ascii="Helvetica" w:hAnsi="Helvetica" w:cs="Helvetica"/>
          <w:sz w:val="20"/>
          <w:szCs w:val="20"/>
          <w:lang w:eastAsia="en-AU"/>
        </w:rPr>
        <w:t xml:space="preserve"> and plasma. Lysis of these cells releases the protein thus contaminating the CSF sample and giving a false positive result.</w:t>
      </w:r>
    </w:p>
    <w:p w14:paraId="71172D70" w14:textId="126ED675" w:rsidR="008D5412" w:rsidRPr="008D5412" w:rsidRDefault="008D5412" w:rsidP="008D5412">
      <w:pPr>
        <w:shd w:val="clear" w:color="auto" w:fill="FFFFFF"/>
        <w:spacing w:after="240" w:line="300" w:lineRule="atLeast"/>
        <w:rPr>
          <w:rFonts w:ascii="Helvetica" w:hAnsi="Helvetica" w:cs="Helvetica"/>
          <w:sz w:val="20"/>
          <w:szCs w:val="20"/>
          <w:lang w:eastAsia="en-AU"/>
        </w:rPr>
      </w:pPr>
      <w:r w:rsidRPr="008D5412">
        <w:rPr>
          <w:rFonts w:ascii="Helvetica" w:hAnsi="Helvetica" w:cs="Helvetica"/>
          <w:sz w:val="20"/>
          <w:szCs w:val="20"/>
          <w:lang w:eastAsia="en-AU"/>
        </w:rPr>
        <w:t xml:space="preserve">Tonsillar biopsy testing for </w:t>
      </w:r>
      <w:proofErr w:type="spellStart"/>
      <w:r w:rsidRPr="008D5412">
        <w:rPr>
          <w:rFonts w:ascii="Helvetica" w:hAnsi="Helvetica" w:cs="Helvetica"/>
          <w:sz w:val="20"/>
          <w:szCs w:val="20"/>
          <w:lang w:eastAsia="en-AU"/>
        </w:rPr>
        <w:t>vCJD</w:t>
      </w:r>
      <w:proofErr w:type="spellEnd"/>
      <w:r w:rsidRPr="008D5412">
        <w:rPr>
          <w:rFonts w:ascii="Helvetica" w:hAnsi="Helvetica" w:cs="Helvetica"/>
          <w:sz w:val="20"/>
          <w:szCs w:val="20"/>
          <w:lang w:eastAsia="en-AU"/>
        </w:rPr>
        <w:t xml:space="preserve"> involves testing a sample of tonsil (fresh and fixed) tissue for evidence of </w:t>
      </w:r>
      <w:proofErr w:type="spellStart"/>
      <w:r w:rsidRPr="008D5412">
        <w:rPr>
          <w:rFonts w:ascii="Helvetica" w:hAnsi="Helvetica" w:cs="Helvetica"/>
          <w:sz w:val="20"/>
          <w:szCs w:val="20"/>
          <w:lang w:eastAsia="en-AU"/>
        </w:rPr>
        <w:t>PrPSc</w:t>
      </w:r>
      <w:proofErr w:type="spellEnd"/>
      <w:r w:rsidRPr="008D5412">
        <w:rPr>
          <w:rFonts w:ascii="Helvetica" w:hAnsi="Helvetica" w:cs="Helvetica"/>
          <w:sz w:val="20"/>
          <w:szCs w:val="20"/>
          <w:lang w:eastAsia="en-AU"/>
        </w:rPr>
        <w:t>. Contact the ANCJDR </w:t>
      </w:r>
      <w:r w:rsidRPr="008D5412">
        <w:rPr>
          <w:rFonts w:ascii="Helvetica" w:hAnsi="Helvetica" w:cs="Helvetica"/>
          <w:b/>
          <w:bCs/>
          <w:sz w:val="20"/>
          <w:szCs w:val="20"/>
          <w:lang w:eastAsia="en-AU"/>
        </w:rPr>
        <w:t>before</w:t>
      </w:r>
      <w:r w:rsidRPr="008D5412">
        <w:rPr>
          <w:rFonts w:ascii="Helvetica" w:hAnsi="Helvetica" w:cs="Helvetica"/>
          <w:sz w:val="20"/>
          <w:szCs w:val="20"/>
          <w:lang w:eastAsia="en-AU"/>
        </w:rPr>
        <w:t> collecting tissue biopsies for instructions and requirements</w:t>
      </w:r>
      <w:r w:rsidRPr="008D5412">
        <w:rPr>
          <w:rFonts w:ascii="Helvetica" w:hAnsi="Helvetica" w:cs="Helvetica"/>
          <w:sz w:val="15"/>
          <w:szCs w:val="15"/>
          <w:vertAlign w:val="superscript"/>
          <w:lang w:eastAsia="en-AU"/>
        </w:rPr>
        <w:t>9</w:t>
      </w:r>
      <w:r w:rsidRPr="008D5412">
        <w:rPr>
          <w:rFonts w:ascii="Helvetica" w:hAnsi="Helvetica" w:cs="Helvetica"/>
          <w:sz w:val="20"/>
          <w:szCs w:val="20"/>
          <w:lang w:eastAsia="en-AU"/>
        </w:rPr>
        <w:t>.</w:t>
      </w:r>
      <w:r w:rsidRPr="008D5412">
        <w:rPr>
          <w:rFonts w:ascii="Helvetica" w:hAnsi="Helvetica" w:cs="Helvetica"/>
          <w:b/>
          <w:bCs/>
          <w:sz w:val="20"/>
          <w:szCs w:val="20"/>
          <w:lang w:eastAsia="en-AU"/>
        </w:rPr>
        <w:t> Due to its biophysical properties, including the typical protease</w:t>
      </w:r>
      <w:r w:rsidRPr="008D5412">
        <w:rPr>
          <w:rFonts w:ascii="Helvetica" w:hAnsi="Helvetica" w:cs="Helvetica"/>
          <w:sz w:val="20"/>
          <w:szCs w:val="20"/>
          <w:lang w:eastAsia="en-AU"/>
        </w:rPr>
        <w:t> </w:t>
      </w:r>
      <w:r w:rsidRPr="008D5412">
        <w:rPr>
          <w:rFonts w:ascii="Helvetica" w:hAnsi="Helvetica" w:cs="Helvetica"/>
          <w:b/>
          <w:bCs/>
          <w:sz w:val="20"/>
          <w:szCs w:val="20"/>
          <w:lang w:eastAsia="en-AU"/>
        </w:rPr>
        <w:t xml:space="preserve">resistance, </w:t>
      </w:r>
      <w:proofErr w:type="spellStart"/>
      <w:r w:rsidRPr="008D5412">
        <w:rPr>
          <w:rFonts w:ascii="Helvetica" w:hAnsi="Helvetica" w:cs="Helvetica"/>
          <w:b/>
          <w:bCs/>
          <w:sz w:val="20"/>
          <w:szCs w:val="20"/>
          <w:lang w:eastAsia="en-AU"/>
        </w:rPr>
        <w:t>PrPsc</w:t>
      </w:r>
      <w:proofErr w:type="spellEnd"/>
      <w:r w:rsidRPr="008D5412">
        <w:rPr>
          <w:rFonts w:ascii="Helvetica" w:hAnsi="Helvetica" w:cs="Helvetica"/>
          <w:b/>
          <w:bCs/>
          <w:sz w:val="20"/>
          <w:szCs w:val="20"/>
          <w:lang w:eastAsia="en-AU"/>
        </w:rPr>
        <w:t xml:space="preserve"> resists chemical and physical sterilization; hence, prior to tissue biopsy, the local Infection Prevention and Control unit and pathology service should be notified to ensure appropriate procedures are undertaken in the operating theatre around destruction or quarantining of surgical instruments, with re-processing of surgical instruments only if CJD negative and within the laboratory with regards handling of the specimen. </w:t>
      </w:r>
      <w:r w:rsidRPr="008D5412">
        <w:rPr>
          <w:rFonts w:ascii="Helvetica" w:hAnsi="Helvetica" w:cs="Helvetica"/>
          <w:sz w:val="20"/>
          <w:szCs w:val="20"/>
          <w:lang w:eastAsia="en-AU"/>
        </w:rPr>
        <w:t>Reference should be made to local and national guidelines</w:t>
      </w:r>
      <w:r w:rsidRPr="008D5412">
        <w:rPr>
          <w:rFonts w:ascii="Helvetica" w:hAnsi="Helvetica" w:cs="Helvetica"/>
          <w:sz w:val="15"/>
          <w:szCs w:val="15"/>
          <w:vertAlign w:val="superscript"/>
          <w:lang w:eastAsia="en-AU"/>
        </w:rPr>
        <w:t>15</w:t>
      </w:r>
      <w:r w:rsidRPr="008D5412">
        <w:rPr>
          <w:rFonts w:ascii="Helvetica" w:hAnsi="Helvetica" w:cs="Helvetica"/>
          <w:sz w:val="20"/>
          <w:szCs w:val="20"/>
          <w:lang w:eastAsia="en-AU"/>
        </w:rPr>
        <w:t>.</w:t>
      </w:r>
    </w:p>
    <w:p w14:paraId="213712FB" w14:textId="77777777" w:rsidR="008D5412" w:rsidRPr="008D5412" w:rsidRDefault="008D5412" w:rsidP="008D5412">
      <w:pPr>
        <w:shd w:val="clear" w:color="auto" w:fill="FFFFFF"/>
        <w:spacing w:after="240" w:line="300" w:lineRule="atLeast"/>
        <w:rPr>
          <w:rFonts w:ascii="Helvetica" w:hAnsi="Helvetica" w:cs="Helvetica"/>
          <w:sz w:val="20"/>
          <w:szCs w:val="20"/>
          <w:lang w:eastAsia="en-AU"/>
        </w:rPr>
      </w:pPr>
      <w:r w:rsidRPr="008D5412">
        <w:rPr>
          <w:rFonts w:ascii="Helvetica" w:hAnsi="Helvetica" w:cs="Helvetica"/>
          <w:sz w:val="20"/>
          <w:szCs w:val="20"/>
          <w:lang w:eastAsia="en-AU"/>
        </w:rPr>
        <w:t xml:space="preserve">Genetic testing for CJD - blood samples can be collected from patients suspected or diagnosed with clinical CJD and stored long-term at the Neurogenetics Unit, Department of Diagnostic Genomics, </w:t>
      </w:r>
      <w:proofErr w:type="spellStart"/>
      <w:r w:rsidRPr="008D5412">
        <w:rPr>
          <w:rFonts w:ascii="Helvetica" w:hAnsi="Helvetica" w:cs="Helvetica"/>
          <w:sz w:val="20"/>
          <w:szCs w:val="20"/>
          <w:lang w:eastAsia="en-AU"/>
        </w:rPr>
        <w:t>PathWest</w:t>
      </w:r>
      <w:proofErr w:type="spellEnd"/>
      <w:r w:rsidRPr="008D5412">
        <w:rPr>
          <w:rFonts w:ascii="Helvetica" w:hAnsi="Helvetica" w:cs="Helvetica"/>
          <w:sz w:val="20"/>
          <w:szCs w:val="20"/>
          <w:lang w:eastAsia="en-AU"/>
        </w:rPr>
        <w:t xml:space="preserve"> Laboratory Medicine WA, Level 2 PP Building, QEII Medical Centre, Hospital Avenue, Nedlands WA 6009, phone 08 6383 4219. Samples from autopsy tissues may also be used for </w:t>
      </w:r>
      <w:r w:rsidRPr="008D5412">
        <w:rPr>
          <w:rFonts w:ascii="Helvetica" w:hAnsi="Helvetica" w:cs="Helvetica"/>
          <w:i/>
          <w:iCs/>
          <w:sz w:val="20"/>
          <w:szCs w:val="20"/>
          <w:lang w:eastAsia="en-AU"/>
        </w:rPr>
        <w:t>PRNP</w:t>
      </w:r>
      <w:r w:rsidRPr="008D5412">
        <w:rPr>
          <w:rFonts w:ascii="Helvetica" w:hAnsi="Helvetica" w:cs="Helvetica"/>
          <w:sz w:val="20"/>
          <w:szCs w:val="20"/>
          <w:lang w:eastAsia="en-AU"/>
        </w:rPr>
        <w:t> testing. </w:t>
      </w:r>
      <w:r w:rsidRPr="008D5412">
        <w:rPr>
          <w:rFonts w:ascii="Helvetica" w:hAnsi="Helvetica" w:cs="Helvetica"/>
          <w:i/>
          <w:iCs/>
          <w:sz w:val="20"/>
          <w:szCs w:val="20"/>
          <w:lang w:eastAsia="en-AU"/>
        </w:rPr>
        <w:t>PRNP</w:t>
      </w:r>
      <w:r w:rsidRPr="008D5412">
        <w:rPr>
          <w:rFonts w:ascii="Helvetica" w:hAnsi="Helvetica" w:cs="Helvetica"/>
          <w:sz w:val="20"/>
          <w:szCs w:val="20"/>
          <w:lang w:eastAsia="en-AU"/>
        </w:rPr>
        <w:t xml:space="preserve"> testing is not undertaken on available samples unless documented consent has been provided, organised by the requesting doctor or Genetic Counselling service. In addition, codon 129 testing from tissue or blood samples can be performed if </w:t>
      </w:r>
      <w:proofErr w:type="spellStart"/>
      <w:r w:rsidRPr="008D5412">
        <w:rPr>
          <w:rFonts w:ascii="Helvetica" w:hAnsi="Helvetica" w:cs="Helvetica"/>
          <w:sz w:val="20"/>
          <w:szCs w:val="20"/>
          <w:lang w:eastAsia="en-AU"/>
        </w:rPr>
        <w:t>vCJD</w:t>
      </w:r>
      <w:proofErr w:type="spellEnd"/>
      <w:r w:rsidRPr="008D5412">
        <w:rPr>
          <w:rFonts w:ascii="Helvetica" w:hAnsi="Helvetica" w:cs="Helvetica"/>
          <w:sz w:val="20"/>
          <w:szCs w:val="20"/>
          <w:lang w:eastAsia="en-AU"/>
        </w:rPr>
        <w:t xml:space="preserve"> is suspected.</w:t>
      </w:r>
    </w:p>
    <w:p w14:paraId="58DFF33C" w14:textId="77777777" w:rsidR="008D5412" w:rsidRPr="008D5412" w:rsidRDefault="008D5412" w:rsidP="008D5412">
      <w:pPr>
        <w:numPr>
          <w:ilvl w:val="0"/>
          <w:numId w:val="24"/>
        </w:numPr>
        <w:shd w:val="clear" w:color="auto" w:fill="FFFFFF"/>
        <w:spacing w:after="90" w:line="300" w:lineRule="atLeast"/>
        <w:rPr>
          <w:rFonts w:ascii="Helvetica" w:hAnsi="Helvetica" w:cs="Helvetica"/>
          <w:sz w:val="20"/>
          <w:szCs w:val="20"/>
          <w:lang w:eastAsia="en-AU"/>
        </w:rPr>
      </w:pPr>
      <w:r w:rsidRPr="008D5412">
        <w:rPr>
          <w:rFonts w:ascii="Helvetica" w:hAnsi="Helvetica" w:cs="Helvetica"/>
          <w:i/>
          <w:iCs/>
          <w:sz w:val="20"/>
          <w:szCs w:val="20"/>
          <w:lang w:eastAsia="en-AU"/>
        </w:rPr>
        <w:t>Test Sensitivity and specificity</w:t>
      </w:r>
    </w:p>
    <w:p w14:paraId="22832CA6" w14:textId="7951B236" w:rsidR="008D5412" w:rsidRPr="008D5412" w:rsidRDefault="008D5412" w:rsidP="008D5412">
      <w:pPr>
        <w:shd w:val="clear" w:color="auto" w:fill="FFFFFF"/>
        <w:spacing w:before="240" w:after="240" w:line="300" w:lineRule="atLeast"/>
        <w:rPr>
          <w:rFonts w:ascii="Helvetica" w:hAnsi="Helvetica" w:cs="Helvetica"/>
          <w:sz w:val="20"/>
          <w:szCs w:val="20"/>
          <w:lang w:eastAsia="en-AU"/>
        </w:rPr>
      </w:pPr>
      <w:r w:rsidRPr="008D5412">
        <w:rPr>
          <w:rFonts w:ascii="Helvetica" w:hAnsi="Helvetica" w:cs="Helvetica"/>
          <w:sz w:val="20"/>
          <w:szCs w:val="20"/>
          <w:lang w:eastAsia="en-AU"/>
        </w:rPr>
        <w:t>Approximately 5% of brain biopsies from subsequently confirmed definite cases of CJD are non-diagnostic, reflecting the variable distribution of neuropathology. The extent and intensity of pathological features increase as the disease progresses and therefore, the pathological characteristics become more marked in patients with a disease of long duration</w:t>
      </w:r>
      <w:r w:rsidRPr="008D5412">
        <w:rPr>
          <w:rFonts w:ascii="Helvetica" w:hAnsi="Helvetica" w:cs="Helvetica"/>
          <w:sz w:val="15"/>
          <w:szCs w:val="15"/>
          <w:vertAlign w:val="superscript"/>
          <w:lang w:eastAsia="en-AU"/>
        </w:rPr>
        <w:t>4</w:t>
      </w:r>
      <w:r w:rsidRPr="008D5412">
        <w:rPr>
          <w:rFonts w:ascii="Helvetica" w:hAnsi="Helvetica" w:cs="Helvetica"/>
          <w:sz w:val="20"/>
          <w:szCs w:val="20"/>
          <w:lang w:eastAsia="en-AU"/>
        </w:rPr>
        <w:t>.</w:t>
      </w:r>
    </w:p>
    <w:p w14:paraId="1D54ACB5" w14:textId="111344EB" w:rsidR="008D5412" w:rsidRPr="008D5412" w:rsidRDefault="008D5412" w:rsidP="008D5412">
      <w:pPr>
        <w:shd w:val="clear" w:color="auto" w:fill="FFFFFF"/>
        <w:spacing w:after="240" w:line="300" w:lineRule="atLeast"/>
        <w:rPr>
          <w:rFonts w:ascii="Helvetica" w:hAnsi="Helvetica" w:cs="Helvetica"/>
          <w:sz w:val="20"/>
          <w:szCs w:val="20"/>
          <w:lang w:eastAsia="en-AU"/>
        </w:rPr>
      </w:pPr>
      <w:r w:rsidRPr="008D5412">
        <w:rPr>
          <w:rFonts w:ascii="Helvetica" w:hAnsi="Helvetica" w:cs="Helvetica"/>
          <w:sz w:val="20"/>
          <w:szCs w:val="20"/>
          <w:lang w:eastAsia="en-AU"/>
        </w:rPr>
        <w:t>An evaluation of all 2002-2008 Australian CSF referrals for 14-3-3 protein analysis, where there was a known clinical outcome, revealed a test sensitivity of 88.5% and specificity of 87.6%. Unselected sampling is less reliable and the 14-3-3 protein CSF test is not recommended as a screen for a possible diagnosis of CJD</w:t>
      </w:r>
      <w:r w:rsidRPr="008D5412">
        <w:rPr>
          <w:rFonts w:ascii="Helvetica" w:hAnsi="Helvetica" w:cs="Helvetica"/>
          <w:sz w:val="15"/>
          <w:szCs w:val="15"/>
          <w:vertAlign w:val="superscript"/>
          <w:lang w:eastAsia="en-AU"/>
        </w:rPr>
        <w:t>9</w:t>
      </w:r>
      <w:r w:rsidRPr="008D5412">
        <w:rPr>
          <w:rFonts w:ascii="Helvetica" w:hAnsi="Helvetica" w:cs="Helvetica"/>
          <w:sz w:val="20"/>
          <w:szCs w:val="20"/>
          <w:lang w:eastAsia="en-AU"/>
        </w:rPr>
        <w:t>.</w:t>
      </w:r>
    </w:p>
    <w:p w14:paraId="54724B68" w14:textId="34C28D58" w:rsidR="008D5412" w:rsidRPr="008D5412" w:rsidRDefault="008D5412" w:rsidP="008D5412">
      <w:pPr>
        <w:shd w:val="clear" w:color="auto" w:fill="FFFFFF"/>
        <w:spacing w:after="240" w:line="300" w:lineRule="atLeast"/>
        <w:rPr>
          <w:rFonts w:ascii="Helvetica" w:hAnsi="Helvetica" w:cs="Helvetica"/>
          <w:sz w:val="20"/>
          <w:szCs w:val="20"/>
          <w:lang w:eastAsia="en-AU"/>
        </w:rPr>
      </w:pPr>
      <w:r w:rsidRPr="008D5412">
        <w:rPr>
          <w:rFonts w:ascii="Helvetica" w:hAnsi="Helvetica" w:cs="Helvetica"/>
          <w:sz w:val="20"/>
          <w:szCs w:val="20"/>
          <w:lang w:eastAsia="en-AU"/>
        </w:rPr>
        <w:t xml:space="preserve">CSF 14-3-3 protein is less sensitive in the diagnosis of </w:t>
      </w:r>
      <w:proofErr w:type="spellStart"/>
      <w:r w:rsidRPr="008D5412">
        <w:rPr>
          <w:rFonts w:ascii="Helvetica" w:hAnsi="Helvetica" w:cs="Helvetica"/>
          <w:sz w:val="20"/>
          <w:szCs w:val="20"/>
          <w:lang w:eastAsia="en-AU"/>
        </w:rPr>
        <w:t>vCJD</w:t>
      </w:r>
      <w:proofErr w:type="spellEnd"/>
      <w:r w:rsidRPr="008D5412">
        <w:rPr>
          <w:rFonts w:ascii="Helvetica" w:hAnsi="Helvetica" w:cs="Helvetica"/>
          <w:sz w:val="20"/>
          <w:szCs w:val="20"/>
          <w:lang w:eastAsia="en-AU"/>
        </w:rPr>
        <w:t xml:space="preserve"> than </w:t>
      </w:r>
      <w:proofErr w:type="spellStart"/>
      <w:r w:rsidRPr="008D5412">
        <w:rPr>
          <w:rFonts w:ascii="Helvetica" w:hAnsi="Helvetica" w:cs="Helvetica"/>
          <w:sz w:val="20"/>
          <w:szCs w:val="20"/>
          <w:lang w:eastAsia="en-AU"/>
        </w:rPr>
        <w:t>sCJD</w:t>
      </w:r>
      <w:proofErr w:type="spellEnd"/>
      <w:r w:rsidRPr="008D5412">
        <w:rPr>
          <w:rFonts w:ascii="Helvetica" w:hAnsi="Helvetica" w:cs="Helvetica"/>
          <w:sz w:val="20"/>
          <w:szCs w:val="20"/>
          <w:lang w:eastAsia="en-AU"/>
        </w:rPr>
        <w:t xml:space="preserve">. For example, in the UK CJD Surveillance Unit, the sensitivity of CSF 14-3-3 detection in the diagnosis of </w:t>
      </w:r>
      <w:proofErr w:type="spellStart"/>
      <w:r w:rsidRPr="008D5412">
        <w:rPr>
          <w:rFonts w:ascii="Helvetica" w:hAnsi="Helvetica" w:cs="Helvetica"/>
          <w:sz w:val="20"/>
          <w:szCs w:val="20"/>
          <w:lang w:eastAsia="en-AU"/>
        </w:rPr>
        <w:t>vCJD</w:t>
      </w:r>
      <w:proofErr w:type="spellEnd"/>
      <w:r w:rsidRPr="008D5412">
        <w:rPr>
          <w:rFonts w:ascii="Helvetica" w:hAnsi="Helvetica" w:cs="Helvetica"/>
          <w:sz w:val="20"/>
          <w:szCs w:val="20"/>
          <w:lang w:eastAsia="en-AU"/>
        </w:rPr>
        <w:t xml:space="preserve"> has been reported to be between 50-60% and its specificity appears to be up to 94%</w:t>
      </w:r>
      <w:r w:rsidRPr="008D5412">
        <w:rPr>
          <w:rFonts w:ascii="Helvetica" w:hAnsi="Helvetica" w:cs="Helvetica"/>
          <w:sz w:val="15"/>
          <w:szCs w:val="15"/>
          <w:vertAlign w:val="superscript"/>
          <w:lang w:eastAsia="en-AU"/>
        </w:rPr>
        <w:t>1</w:t>
      </w:r>
      <w:r w:rsidRPr="008D5412">
        <w:rPr>
          <w:rFonts w:ascii="Helvetica" w:hAnsi="Helvetica" w:cs="Helvetica"/>
          <w:sz w:val="20"/>
          <w:szCs w:val="20"/>
          <w:lang w:eastAsia="en-AU"/>
        </w:rPr>
        <w:t xml:space="preserve">. There is evidence to suggest that a positive CSF 14-3-3 is more likely to be found in the mid-stage of the disease for </w:t>
      </w:r>
      <w:proofErr w:type="spellStart"/>
      <w:r w:rsidRPr="008D5412">
        <w:rPr>
          <w:rFonts w:ascii="Helvetica" w:hAnsi="Helvetica" w:cs="Helvetica"/>
          <w:sz w:val="20"/>
          <w:szCs w:val="20"/>
          <w:lang w:eastAsia="en-AU"/>
        </w:rPr>
        <w:t>vCJD</w:t>
      </w:r>
      <w:proofErr w:type="spellEnd"/>
      <w:r w:rsidRPr="008D5412">
        <w:rPr>
          <w:rFonts w:ascii="Helvetica" w:hAnsi="Helvetica" w:cs="Helvetica"/>
          <w:sz w:val="20"/>
          <w:szCs w:val="20"/>
          <w:lang w:eastAsia="en-AU"/>
        </w:rPr>
        <w:t xml:space="preserve">; </w:t>
      </w:r>
      <w:proofErr w:type="gramStart"/>
      <w:r w:rsidRPr="008D5412">
        <w:rPr>
          <w:rFonts w:ascii="Helvetica" w:hAnsi="Helvetica" w:cs="Helvetica"/>
          <w:sz w:val="20"/>
          <w:szCs w:val="20"/>
          <w:lang w:eastAsia="en-AU"/>
        </w:rPr>
        <w:t>however</w:t>
      </w:r>
      <w:proofErr w:type="gramEnd"/>
      <w:r w:rsidRPr="008D5412">
        <w:rPr>
          <w:rFonts w:ascii="Helvetica" w:hAnsi="Helvetica" w:cs="Helvetica"/>
          <w:sz w:val="20"/>
          <w:szCs w:val="20"/>
          <w:lang w:eastAsia="en-AU"/>
        </w:rPr>
        <w:t xml:space="preserve"> this finding should not be used to determine the timing of lumbar puncture as CSF 14-3-3 has been detected at all points in the disease process. Results from patients with genetic TSE have been somewhat mixed, with a positive CSF 14-3-3 protein result in only 50% of a group of 10 genetic cases </w:t>
      </w:r>
      <w:r w:rsidRPr="008D5412">
        <w:rPr>
          <w:rFonts w:ascii="Helvetica" w:hAnsi="Helvetica" w:cs="Helvetica"/>
          <w:sz w:val="20"/>
          <w:szCs w:val="20"/>
          <w:lang w:eastAsia="en-AU"/>
        </w:rPr>
        <w:lastRenderedPageBreak/>
        <w:t xml:space="preserve">with various point mutations, but </w:t>
      </w:r>
      <w:proofErr w:type="gramStart"/>
      <w:r w:rsidRPr="008D5412">
        <w:rPr>
          <w:rFonts w:ascii="Helvetica" w:hAnsi="Helvetica" w:cs="Helvetica"/>
          <w:sz w:val="20"/>
          <w:szCs w:val="20"/>
          <w:lang w:eastAsia="en-AU"/>
        </w:rPr>
        <w:t>all of</w:t>
      </w:r>
      <w:proofErr w:type="gramEnd"/>
      <w:r w:rsidRPr="008D5412">
        <w:rPr>
          <w:rFonts w:ascii="Helvetica" w:hAnsi="Helvetica" w:cs="Helvetica"/>
          <w:sz w:val="20"/>
          <w:szCs w:val="20"/>
          <w:lang w:eastAsia="en-AU"/>
        </w:rPr>
        <w:t xml:space="preserve"> a series of 16 CJD cases related to the codon 200 (E200K) mutation. Most cases of </w:t>
      </w:r>
      <w:proofErr w:type="spellStart"/>
      <w:r w:rsidRPr="008D5412">
        <w:rPr>
          <w:rFonts w:ascii="Helvetica" w:hAnsi="Helvetica" w:cs="Helvetica"/>
          <w:sz w:val="20"/>
          <w:szCs w:val="20"/>
          <w:lang w:eastAsia="en-AU"/>
        </w:rPr>
        <w:t>iCJD</w:t>
      </w:r>
      <w:proofErr w:type="spellEnd"/>
      <w:r w:rsidRPr="008D5412">
        <w:rPr>
          <w:rFonts w:ascii="Helvetica" w:hAnsi="Helvetica" w:cs="Helvetica"/>
          <w:sz w:val="20"/>
          <w:szCs w:val="20"/>
          <w:lang w:eastAsia="en-AU"/>
        </w:rPr>
        <w:t xml:space="preserve"> test positive for CSF 14-3-3 protein</w:t>
      </w:r>
      <w:r w:rsidRPr="008D5412">
        <w:rPr>
          <w:rFonts w:ascii="Helvetica" w:hAnsi="Helvetica" w:cs="Helvetica"/>
          <w:sz w:val="15"/>
          <w:szCs w:val="15"/>
          <w:vertAlign w:val="superscript"/>
          <w:lang w:eastAsia="en-AU"/>
        </w:rPr>
        <w:t>4</w:t>
      </w:r>
      <w:r w:rsidRPr="008D5412">
        <w:rPr>
          <w:rFonts w:ascii="Helvetica" w:hAnsi="Helvetica" w:cs="Helvetica"/>
          <w:sz w:val="20"/>
          <w:szCs w:val="20"/>
          <w:lang w:eastAsia="en-AU"/>
        </w:rPr>
        <w:t>.</w:t>
      </w:r>
    </w:p>
    <w:p w14:paraId="3FC3C2B4" w14:textId="64FC4374" w:rsidR="008D5412" w:rsidRPr="008D5412" w:rsidRDefault="008D5412" w:rsidP="008D5412">
      <w:pPr>
        <w:shd w:val="clear" w:color="auto" w:fill="FFFFFF"/>
        <w:spacing w:after="240" w:line="300" w:lineRule="atLeast"/>
        <w:rPr>
          <w:rFonts w:ascii="Helvetica" w:hAnsi="Helvetica" w:cs="Helvetica"/>
          <w:sz w:val="20"/>
          <w:szCs w:val="20"/>
          <w:lang w:eastAsia="en-AU"/>
        </w:rPr>
      </w:pPr>
      <w:r w:rsidRPr="008D5412">
        <w:rPr>
          <w:rFonts w:ascii="Helvetica" w:hAnsi="Helvetica" w:cs="Helvetica"/>
          <w:sz w:val="20"/>
          <w:szCs w:val="20"/>
          <w:lang w:eastAsia="en-AU"/>
        </w:rPr>
        <w:t xml:space="preserve">Sensitivity and specificity of t-tau protein for </w:t>
      </w:r>
      <w:proofErr w:type="spellStart"/>
      <w:r w:rsidRPr="008D5412">
        <w:rPr>
          <w:rFonts w:ascii="Helvetica" w:hAnsi="Helvetica" w:cs="Helvetica"/>
          <w:sz w:val="20"/>
          <w:szCs w:val="20"/>
          <w:lang w:eastAsia="en-AU"/>
        </w:rPr>
        <w:t>sCJD</w:t>
      </w:r>
      <w:proofErr w:type="spellEnd"/>
      <w:r w:rsidRPr="008D5412">
        <w:rPr>
          <w:rFonts w:ascii="Helvetica" w:hAnsi="Helvetica" w:cs="Helvetica"/>
          <w:sz w:val="20"/>
          <w:szCs w:val="20"/>
          <w:lang w:eastAsia="en-AU"/>
        </w:rPr>
        <w:t xml:space="preserve"> ranges from 85-89% and 82-88% respectively</w:t>
      </w:r>
      <w:r w:rsidRPr="008D5412">
        <w:rPr>
          <w:rFonts w:ascii="Helvetica" w:hAnsi="Helvetica" w:cs="Helvetica"/>
          <w:sz w:val="15"/>
          <w:szCs w:val="15"/>
          <w:vertAlign w:val="superscript"/>
          <w:lang w:eastAsia="en-AU"/>
        </w:rPr>
        <w:t>9,16,17</w:t>
      </w:r>
      <w:r w:rsidRPr="008D5412">
        <w:rPr>
          <w:rFonts w:ascii="Helvetica" w:hAnsi="Helvetica" w:cs="Helvetica"/>
          <w:sz w:val="20"/>
          <w:szCs w:val="20"/>
          <w:lang w:eastAsia="en-AU"/>
        </w:rPr>
        <w:t>. Sensitivity varies depending on the subtype of sCJD</w:t>
      </w:r>
      <w:r w:rsidRPr="008D5412">
        <w:rPr>
          <w:rFonts w:ascii="Helvetica" w:hAnsi="Helvetica" w:cs="Helvetica"/>
          <w:sz w:val="15"/>
          <w:szCs w:val="15"/>
          <w:vertAlign w:val="superscript"/>
          <w:lang w:eastAsia="en-AU"/>
        </w:rPr>
        <w:t>16</w:t>
      </w:r>
      <w:r w:rsidRPr="008D5412">
        <w:rPr>
          <w:rFonts w:ascii="Helvetica" w:hAnsi="Helvetica" w:cs="Helvetica"/>
          <w:sz w:val="20"/>
          <w:szCs w:val="20"/>
          <w:lang w:eastAsia="en-AU"/>
        </w:rPr>
        <w:t>.</w:t>
      </w:r>
    </w:p>
    <w:p w14:paraId="541138C6" w14:textId="42FA77B6" w:rsidR="008D5412" w:rsidRPr="008D5412" w:rsidRDefault="008D5412" w:rsidP="008D5412">
      <w:pPr>
        <w:shd w:val="clear" w:color="auto" w:fill="FFFFFF"/>
        <w:spacing w:after="240" w:line="300" w:lineRule="atLeast"/>
        <w:rPr>
          <w:rFonts w:ascii="Helvetica" w:hAnsi="Helvetica" w:cs="Helvetica"/>
          <w:sz w:val="20"/>
          <w:szCs w:val="20"/>
          <w:lang w:eastAsia="en-AU"/>
        </w:rPr>
      </w:pPr>
      <w:r w:rsidRPr="008D5412">
        <w:rPr>
          <w:rFonts w:ascii="Helvetica" w:hAnsi="Helvetica" w:cs="Helvetica"/>
          <w:sz w:val="20"/>
          <w:szCs w:val="20"/>
          <w:lang w:eastAsia="en-AU"/>
        </w:rPr>
        <w:t>Sensitivity and specificity of RT-</w:t>
      </w:r>
      <w:proofErr w:type="spellStart"/>
      <w:r w:rsidRPr="008D5412">
        <w:rPr>
          <w:rFonts w:ascii="Helvetica" w:hAnsi="Helvetica" w:cs="Helvetica"/>
          <w:sz w:val="20"/>
          <w:szCs w:val="20"/>
          <w:lang w:eastAsia="en-AU"/>
        </w:rPr>
        <w:t>QuIC</w:t>
      </w:r>
      <w:proofErr w:type="spellEnd"/>
      <w:r w:rsidRPr="008D5412">
        <w:rPr>
          <w:rFonts w:ascii="Helvetica" w:hAnsi="Helvetica" w:cs="Helvetica"/>
          <w:sz w:val="20"/>
          <w:szCs w:val="20"/>
          <w:lang w:eastAsia="en-AU"/>
        </w:rPr>
        <w:t xml:space="preserve"> for </w:t>
      </w:r>
      <w:proofErr w:type="spellStart"/>
      <w:r w:rsidRPr="008D5412">
        <w:rPr>
          <w:rFonts w:ascii="Helvetica" w:hAnsi="Helvetica" w:cs="Helvetica"/>
          <w:sz w:val="20"/>
          <w:szCs w:val="20"/>
          <w:lang w:eastAsia="en-AU"/>
        </w:rPr>
        <w:t>sCJD</w:t>
      </w:r>
      <w:proofErr w:type="spellEnd"/>
      <w:r w:rsidRPr="008D5412">
        <w:rPr>
          <w:rFonts w:ascii="Helvetica" w:hAnsi="Helvetica" w:cs="Helvetica"/>
          <w:sz w:val="20"/>
          <w:szCs w:val="20"/>
          <w:lang w:eastAsia="en-AU"/>
        </w:rPr>
        <w:t xml:space="preserve"> ranges from 70-96% and 98-100% respectively. It has been shown superior in the diagnosis of </w:t>
      </w:r>
      <w:proofErr w:type="spellStart"/>
      <w:r w:rsidRPr="008D5412">
        <w:rPr>
          <w:rFonts w:ascii="Helvetica" w:hAnsi="Helvetica" w:cs="Helvetica"/>
          <w:sz w:val="20"/>
          <w:szCs w:val="20"/>
          <w:lang w:eastAsia="en-AU"/>
        </w:rPr>
        <w:t>sCJD</w:t>
      </w:r>
      <w:proofErr w:type="spellEnd"/>
      <w:r w:rsidRPr="008D5412">
        <w:rPr>
          <w:rFonts w:ascii="Helvetica" w:hAnsi="Helvetica" w:cs="Helvetica"/>
          <w:sz w:val="20"/>
          <w:szCs w:val="20"/>
          <w:lang w:eastAsia="en-AU"/>
        </w:rPr>
        <w:t xml:space="preserve"> when compared to 14-3-3 and t-tau proteins</w:t>
      </w:r>
      <w:r w:rsidRPr="008D5412">
        <w:rPr>
          <w:rFonts w:ascii="Helvetica" w:hAnsi="Helvetica" w:cs="Helvetica"/>
          <w:sz w:val="15"/>
          <w:szCs w:val="15"/>
          <w:vertAlign w:val="superscript"/>
          <w:lang w:eastAsia="en-AU"/>
        </w:rPr>
        <w:t>11,12</w:t>
      </w:r>
      <w:r w:rsidRPr="008D5412">
        <w:rPr>
          <w:rFonts w:ascii="Helvetica" w:hAnsi="Helvetica" w:cs="Helvetica"/>
          <w:sz w:val="20"/>
          <w:szCs w:val="20"/>
          <w:lang w:eastAsia="en-AU"/>
        </w:rPr>
        <w:t>. RT-</w:t>
      </w:r>
      <w:proofErr w:type="spellStart"/>
      <w:r w:rsidRPr="008D5412">
        <w:rPr>
          <w:rFonts w:ascii="Helvetica" w:hAnsi="Helvetica" w:cs="Helvetica"/>
          <w:sz w:val="20"/>
          <w:szCs w:val="20"/>
          <w:lang w:eastAsia="en-AU"/>
        </w:rPr>
        <w:t>QuIC</w:t>
      </w:r>
      <w:proofErr w:type="spellEnd"/>
      <w:r w:rsidRPr="008D5412">
        <w:rPr>
          <w:rFonts w:ascii="Helvetica" w:hAnsi="Helvetica" w:cs="Helvetica"/>
          <w:sz w:val="20"/>
          <w:szCs w:val="20"/>
          <w:lang w:eastAsia="en-AU"/>
        </w:rPr>
        <w:t xml:space="preserve"> responses are inhibited by blood contamination. CSF protein &gt;1g/L and/or elevation in CSF white cell count may result in false positives. There is less information regarding performance for </w:t>
      </w:r>
      <w:proofErr w:type="spellStart"/>
      <w:r w:rsidRPr="008D5412">
        <w:rPr>
          <w:rFonts w:ascii="Helvetica" w:hAnsi="Helvetica" w:cs="Helvetica"/>
          <w:sz w:val="20"/>
          <w:szCs w:val="20"/>
          <w:lang w:eastAsia="en-AU"/>
        </w:rPr>
        <w:t>gCJD</w:t>
      </w:r>
      <w:proofErr w:type="spellEnd"/>
      <w:r w:rsidRPr="008D5412">
        <w:rPr>
          <w:rFonts w:ascii="Helvetica" w:hAnsi="Helvetica" w:cs="Helvetica"/>
          <w:sz w:val="20"/>
          <w:szCs w:val="20"/>
          <w:lang w:eastAsia="en-AU"/>
        </w:rPr>
        <w:t xml:space="preserve">. The sensitivity was 67% for </w:t>
      </w:r>
      <w:proofErr w:type="spellStart"/>
      <w:r w:rsidRPr="008D5412">
        <w:rPr>
          <w:rFonts w:ascii="Helvetica" w:hAnsi="Helvetica" w:cs="Helvetica"/>
          <w:sz w:val="20"/>
          <w:szCs w:val="20"/>
          <w:lang w:eastAsia="en-AU"/>
        </w:rPr>
        <w:t>iCJD</w:t>
      </w:r>
      <w:proofErr w:type="spellEnd"/>
      <w:r w:rsidRPr="008D5412">
        <w:rPr>
          <w:rFonts w:ascii="Helvetica" w:hAnsi="Helvetica" w:cs="Helvetica"/>
          <w:sz w:val="20"/>
          <w:szCs w:val="20"/>
          <w:lang w:eastAsia="en-AU"/>
        </w:rPr>
        <w:t xml:space="preserve"> secondary to use of cadaveric growth hormone</w:t>
      </w:r>
      <w:r w:rsidRPr="008D5412">
        <w:rPr>
          <w:rFonts w:ascii="Helvetica" w:hAnsi="Helvetica" w:cs="Helvetica"/>
          <w:sz w:val="15"/>
          <w:szCs w:val="15"/>
          <w:vertAlign w:val="superscript"/>
          <w:lang w:eastAsia="en-AU"/>
        </w:rPr>
        <w:t>12</w:t>
      </w:r>
      <w:r w:rsidRPr="008D5412">
        <w:rPr>
          <w:rFonts w:ascii="Helvetica" w:hAnsi="Helvetica" w:cs="Helvetica"/>
          <w:sz w:val="20"/>
          <w:szCs w:val="20"/>
          <w:lang w:eastAsia="en-AU"/>
        </w:rPr>
        <w:t>.</w:t>
      </w:r>
    </w:p>
    <w:p w14:paraId="33BBE56A" w14:textId="77777777" w:rsidR="008D5412" w:rsidRPr="008D5412" w:rsidRDefault="008D5412" w:rsidP="008D5412">
      <w:pPr>
        <w:shd w:val="clear" w:color="auto" w:fill="FFFFFF"/>
        <w:spacing w:after="120"/>
        <w:outlineLvl w:val="1"/>
        <w:rPr>
          <w:rFonts w:ascii="Open Sans" w:hAnsi="Open Sans" w:cs="Open Sans"/>
          <w:sz w:val="36"/>
          <w:szCs w:val="36"/>
          <w:lang w:eastAsia="en-AU"/>
        </w:rPr>
      </w:pPr>
      <w:r w:rsidRPr="008D5412">
        <w:rPr>
          <w:rFonts w:ascii="Open Sans" w:hAnsi="Open Sans" w:cs="Open Sans"/>
          <w:sz w:val="36"/>
          <w:szCs w:val="36"/>
          <w:lang w:eastAsia="en-AU"/>
        </w:rPr>
        <w:t>4. Agreed Typing &amp; Subtyping Methods</w:t>
      </w:r>
    </w:p>
    <w:p w14:paraId="4A5CD30C" w14:textId="77777777" w:rsidR="008D5412" w:rsidRPr="008D5412" w:rsidRDefault="008D5412" w:rsidP="008D5412">
      <w:pPr>
        <w:shd w:val="clear" w:color="auto" w:fill="FFFFFF"/>
        <w:spacing w:before="240" w:after="120"/>
        <w:outlineLvl w:val="2"/>
        <w:rPr>
          <w:rFonts w:ascii="Open Sans" w:hAnsi="Open Sans" w:cs="Open Sans"/>
          <w:sz w:val="27"/>
          <w:szCs w:val="27"/>
          <w:lang w:eastAsia="en-AU"/>
        </w:rPr>
      </w:pPr>
      <w:r w:rsidRPr="008D5412">
        <w:rPr>
          <w:rFonts w:ascii="Open Sans" w:hAnsi="Open Sans" w:cs="Open Sans"/>
          <w:sz w:val="27"/>
          <w:szCs w:val="27"/>
          <w:lang w:eastAsia="en-AU"/>
        </w:rPr>
        <w:t>4.1 Laboratory Nomenclature for National Database Dictionary</w:t>
      </w:r>
    </w:p>
    <w:p w14:paraId="66194E65" w14:textId="22E9B381" w:rsidR="008D5412" w:rsidRPr="008D5412" w:rsidRDefault="008D5412" w:rsidP="008D5412">
      <w:pPr>
        <w:shd w:val="clear" w:color="auto" w:fill="FFFFFF"/>
        <w:spacing w:after="240" w:line="300" w:lineRule="atLeast"/>
        <w:rPr>
          <w:rFonts w:ascii="Helvetica" w:hAnsi="Helvetica" w:cs="Helvetica"/>
          <w:sz w:val="20"/>
          <w:szCs w:val="20"/>
          <w:lang w:eastAsia="en-AU"/>
        </w:rPr>
      </w:pPr>
      <w:r w:rsidRPr="008D5412">
        <w:rPr>
          <w:rFonts w:ascii="Helvetica" w:hAnsi="Helvetica" w:cs="Helvetica"/>
          <w:sz w:val="20"/>
          <w:szCs w:val="20"/>
          <w:lang w:eastAsia="en-AU"/>
        </w:rPr>
        <w:t>Molecular typing of sporadic CJD is performed by the ANCJDR. There are at least six major subtypes based on </w:t>
      </w:r>
      <w:r w:rsidRPr="008D5412">
        <w:rPr>
          <w:rFonts w:ascii="Helvetica" w:hAnsi="Helvetica" w:cs="Helvetica"/>
          <w:i/>
          <w:iCs/>
          <w:sz w:val="20"/>
          <w:szCs w:val="20"/>
          <w:lang w:eastAsia="en-AU"/>
        </w:rPr>
        <w:t>PRNP</w:t>
      </w:r>
      <w:r w:rsidRPr="008D5412">
        <w:rPr>
          <w:rFonts w:ascii="Helvetica" w:hAnsi="Helvetica" w:cs="Helvetica"/>
          <w:sz w:val="20"/>
          <w:szCs w:val="20"/>
          <w:lang w:eastAsia="en-AU"/>
        </w:rPr>
        <w:t xml:space="preserve"> codon 129 genotype (homozygous methionine MM, homozygous valine VV and heterozygous MV) and type of </w:t>
      </w:r>
      <w:proofErr w:type="spellStart"/>
      <w:r w:rsidRPr="008D5412">
        <w:rPr>
          <w:rFonts w:ascii="Helvetica" w:hAnsi="Helvetica" w:cs="Helvetica"/>
          <w:sz w:val="20"/>
          <w:szCs w:val="20"/>
          <w:lang w:eastAsia="en-AU"/>
        </w:rPr>
        <w:t>PrPsc</w:t>
      </w:r>
      <w:proofErr w:type="spellEnd"/>
      <w:r w:rsidRPr="008D5412">
        <w:rPr>
          <w:rFonts w:ascii="Helvetica" w:hAnsi="Helvetica" w:cs="Helvetica"/>
          <w:sz w:val="20"/>
          <w:szCs w:val="20"/>
          <w:lang w:eastAsia="en-AU"/>
        </w:rPr>
        <w:t xml:space="preserve"> accumulating in the brain (type 1 or 2) that are significantly related to distinctive clinical-pathological subgroups of disease</w:t>
      </w:r>
      <w:r w:rsidRPr="008D5412">
        <w:rPr>
          <w:rFonts w:ascii="Helvetica" w:hAnsi="Helvetica" w:cs="Helvetica"/>
          <w:sz w:val="15"/>
          <w:szCs w:val="15"/>
          <w:vertAlign w:val="superscript"/>
          <w:lang w:eastAsia="en-AU"/>
        </w:rPr>
        <w:t>11,17</w:t>
      </w:r>
      <w:r w:rsidRPr="008D5412">
        <w:rPr>
          <w:rFonts w:ascii="Helvetica" w:hAnsi="Helvetica" w:cs="Helvetica"/>
          <w:sz w:val="20"/>
          <w:szCs w:val="20"/>
          <w:lang w:eastAsia="en-AU"/>
        </w:rPr>
        <w:t>.</w:t>
      </w:r>
    </w:p>
    <w:p w14:paraId="73E16D21" w14:textId="77777777" w:rsidR="008D5412" w:rsidRPr="008D5412" w:rsidRDefault="008D5412" w:rsidP="008D5412">
      <w:pPr>
        <w:shd w:val="clear" w:color="auto" w:fill="FFFFFF"/>
        <w:spacing w:after="120"/>
        <w:outlineLvl w:val="1"/>
        <w:rPr>
          <w:rFonts w:ascii="Open Sans" w:hAnsi="Open Sans" w:cs="Open Sans"/>
          <w:sz w:val="36"/>
          <w:szCs w:val="36"/>
          <w:lang w:eastAsia="en-AU"/>
        </w:rPr>
      </w:pPr>
      <w:r w:rsidRPr="008D5412">
        <w:rPr>
          <w:rFonts w:ascii="Open Sans" w:hAnsi="Open Sans" w:cs="Open Sans"/>
          <w:sz w:val="36"/>
          <w:szCs w:val="36"/>
          <w:lang w:eastAsia="en-AU"/>
        </w:rPr>
        <w:t xml:space="preserve">5 </w:t>
      </w:r>
      <w:proofErr w:type="spellStart"/>
      <w:r w:rsidRPr="008D5412">
        <w:rPr>
          <w:rFonts w:ascii="Open Sans" w:hAnsi="Open Sans" w:cs="Open Sans"/>
          <w:sz w:val="36"/>
          <w:szCs w:val="36"/>
          <w:lang w:eastAsia="en-AU"/>
        </w:rPr>
        <w:t>Snomed</w:t>
      </w:r>
      <w:proofErr w:type="spellEnd"/>
      <w:r w:rsidRPr="008D5412">
        <w:rPr>
          <w:rFonts w:ascii="Open Sans" w:hAnsi="Open Sans" w:cs="Open Sans"/>
          <w:sz w:val="36"/>
          <w:szCs w:val="36"/>
          <w:lang w:eastAsia="en-AU"/>
        </w:rPr>
        <w:t>-CT Terminology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Caption w:val="Table displays SNOMED CT concept list"/>
        <w:tblDescription w:val="Table displays SNOMED CT concept list"/>
      </w:tblPr>
      <w:tblGrid>
        <w:gridCol w:w="4530"/>
        <w:gridCol w:w="4530"/>
      </w:tblGrid>
      <w:tr w:rsidR="00356AEF" w:rsidRPr="00356AEF" w14:paraId="1AFC301D" w14:textId="77777777" w:rsidTr="00860860">
        <w:tc>
          <w:tcPr>
            <w:tcW w:w="2500" w:type="pct"/>
            <w:shd w:val="clear" w:color="auto" w:fill="E8F3FA"/>
            <w:tcMar>
              <w:top w:w="150" w:type="dxa"/>
              <w:left w:w="150" w:type="dxa"/>
              <w:bottom w:w="150" w:type="dxa"/>
              <w:right w:w="150" w:type="dxa"/>
            </w:tcMar>
            <w:hideMark/>
          </w:tcPr>
          <w:p w14:paraId="2A246F2B" w14:textId="77777777" w:rsidR="008D5412" w:rsidRPr="008D5412" w:rsidRDefault="008D5412" w:rsidP="008D5412">
            <w:pPr>
              <w:spacing w:after="300"/>
              <w:jc w:val="center"/>
              <w:rPr>
                <w:rFonts w:ascii="Helvetica" w:hAnsi="Helvetica" w:cs="Helvetica"/>
                <w:b/>
                <w:bCs/>
                <w:sz w:val="20"/>
                <w:szCs w:val="20"/>
                <w:lang w:eastAsia="en-AU"/>
              </w:rPr>
            </w:pPr>
            <w:r w:rsidRPr="008D5412">
              <w:rPr>
                <w:rFonts w:ascii="Helvetica" w:hAnsi="Helvetica" w:cs="Helvetica"/>
                <w:b/>
                <w:bCs/>
                <w:sz w:val="20"/>
                <w:szCs w:val="20"/>
                <w:bdr w:val="none" w:sz="0" w:space="0" w:color="auto" w:frame="1"/>
                <w:lang w:eastAsia="en-AU"/>
              </w:rPr>
              <w:t>SNOMED CT concept</w:t>
            </w:r>
          </w:p>
        </w:tc>
        <w:tc>
          <w:tcPr>
            <w:tcW w:w="2500" w:type="pct"/>
            <w:shd w:val="clear" w:color="auto" w:fill="E8F3FA"/>
            <w:tcMar>
              <w:top w:w="150" w:type="dxa"/>
              <w:left w:w="150" w:type="dxa"/>
              <w:bottom w:w="150" w:type="dxa"/>
              <w:right w:w="150" w:type="dxa"/>
            </w:tcMar>
            <w:hideMark/>
          </w:tcPr>
          <w:p w14:paraId="52C998EA" w14:textId="77777777" w:rsidR="008D5412" w:rsidRPr="008D5412" w:rsidRDefault="008D5412" w:rsidP="008D5412">
            <w:pPr>
              <w:spacing w:after="300"/>
              <w:jc w:val="center"/>
              <w:rPr>
                <w:rFonts w:ascii="Helvetica" w:hAnsi="Helvetica" w:cs="Helvetica"/>
                <w:b/>
                <w:bCs/>
                <w:sz w:val="20"/>
                <w:szCs w:val="20"/>
                <w:lang w:eastAsia="en-AU"/>
              </w:rPr>
            </w:pPr>
            <w:r w:rsidRPr="008D5412">
              <w:rPr>
                <w:rFonts w:ascii="Helvetica" w:hAnsi="Helvetica" w:cs="Helvetica"/>
                <w:b/>
                <w:bCs/>
                <w:sz w:val="20"/>
                <w:szCs w:val="20"/>
                <w:bdr w:val="none" w:sz="0" w:space="0" w:color="auto" w:frame="1"/>
                <w:lang w:eastAsia="en-AU"/>
              </w:rPr>
              <w:t>Code</w:t>
            </w:r>
          </w:p>
        </w:tc>
      </w:tr>
      <w:tr w:rsidR="00356AEF" w:rsidRPr="00356AEF" w14:paraId="04F1E5BB" w14:textId="77777777" w:rsidTr="00860860">
        <w:tc>
          <w:tcPr>
            <w:tcW w:w="2500" w:type="pct"/>
            <w:shd w:val="clear" w:color="auto" w:fill="FFFFFF"/>
            <w:tcMar>
              <w:top w:w="150" w:type="dxa"/>
              <w:left w:w="150" w:type="dxa"/>
              <w:bottom w:w="150" w:type="dxa"/>
              <w:right w:w="150" w:type="dxa"/>
            </w:tcMar>
            <w:hideMark/>
          </w:tcPr>
          <w:p w14:paraId="57CE799D" w14:textId="77777777" w:rsidR="008D5412" w:rsidRPr="008D5412" w:rsidRDefault="008D5412" w:rsidP="008D5412">
            <w:pPr>
              <w:spacing w:after="300"/>
              <w:rPr>
                <w:rFonts w:ascii="Helvetica" w:hAnsi="Helvetica" w:cs="Helvetica"/>
                <w:sz w:val="20"/>
                <w:szCs w:val="20"/>
                <w:lang w:eastAsia="en-AU"/>
              </w:rPr>
            </w:pPr>
            <w:r w:rsidRPr="008D5412">
              <w:rPr>
                <w:rFonts w:ascii="Helvetica" w:hAnsi="Helvetica" w:cs="Helvetica"/>
                <w:sz w:val="20"/>
                <w:szCs w:val="20"/>
                <w:lang w:eastAsia="en-AU"/>
              </w:rPr>
              <w:t>Creutzfeldt-Jakob agent (organism)</w:t>
            </w:r>
          </w:p>
        </w:tc>
        <w:tc>
          <w:tcPr>
            <w:tcW w:w="2500" w:type="pct"/>
            <w:shd w:val="clear" w:color="auto" w:fill="FFFFFF"/>
            <w:tcMar>
              <w:top w:w="150" w:type="dxa"/>
              <w:left w:w="150" w:type="dxa"/>
              <w:bottom w:w="150" w:type="dxa"/>
              <w:right w:w="150" w:type="dxa"/>
            </w:tcMar>
            <w:hideMark/>
          </w:tcPr>
          <w:p w14:paraId="271C54E7" w14:textId="77777777" w:rsidR="008D5412" w:rsidRPr="008D5412" w:rsidRDefault="008D5412" w:rsidP="008D5412">
            <w:pPr>
              <w:spacing w:after="300"/>
              <w:jc w:val="right"/>
              <w:rPr>
                <w:rFonts w:ascii="Helvetica" w:hAnsi="Helvetica" w:cs="Helvetica"/>
                <w:sz w:val="20"/>
                <w:szCs w:val="20"/>
                <w:lang w:eastAsia="en-AU"/>
              </w:rPr>
            </w:pPr>
            <w:r w:rsidRPr="008D5412">
              <w:rPr>
                <w:rFonts w:ascii="Helvetica" w:hAnsi="Helvetica" w:cs="Helvetica"/>
                <w:sz w:val="20"/>
                <w:szCs w:val="20"/>
                <w:lang w:eastAsia="en-AU"/>
              </w:rPr>
              <w:t>88520007</w:t>
            </w:r>
          </w:p>
        </w:tc>
      </w:tr>
      <w:tr w:rsidR="00356AEF" w:rsidRPr="00356AEF" w14:paraId="4AD89AC7" w14:textId="77777777" w:rsidTr="00860860">
        <w:tc>
          <w:tcPr>
            <w:tcW w:w="2500" w:type="pct"/>
            <w:shd w:val="clear" w:color="auto" w:fill="FFFFFF"/>
            <w:tcMar>
              <w:top w:w="150" w:type="dxa"/>
              <w:left w:w="150" w:type="dxa"/>
              <w:bottom w:w="150" w:type="dxa"/>
              <w:right w:w="150" w:type="dxa"/>
            </w:tcMar>
            <w:hideMark/>
          </w:tcPr>
          <w:p w14:paraId="4F06F92B" w14:textId="77777777" w:rsidR="008D5412" w:rsidRPr="008D5412" w:rsidRDefault="008D5412" w:rsidP="008D5412">
            <w:pPr>
              <w:spacing w:after="300"/>
              <w:rPr>
                <w:rFonts w:ascii="Helvetica" w:hAnsi="Helvetica" w:cs="Helvetica"/>
                <w:sz w:val="20"/>
                <w:szCs w:val="20"/>
                <w:lang w:eastAsia="en-AU"/>
              </w:rPr>
            </w:pPr>
            <w:r w:rsidRPr="008D5412">
              <w:rPr>
                <w:rFonts w:ascii="Helvetica" w:hAnsi="Helvetica" w:cs="Helvetica"/>
                <w:sz w:val="20"/>
                <w:szCs w:val="20"/>
                <w:lang w:eastAsia="en-AU"/>
              </w:rPr>
              <w:t>Prion (organism)</w:t>
            </w:r>
          </w:p>
        </w:tc>
        <w:tc>
          <w:tcPr>
            <w:tcW w:w="2500" w:type="pct"/>
            <w:shd w:val="clear" w:color="auto" w:fill="FFFFFF"/>
            <w:tcMar>
              <w:top w:w="150" w:type="dxa"/>
              <w:left w:w="150" w:type="dxa"/>
              <w:bottom w:w="150" w:type="dxa"/>
              <w:right w:w="150" w:type="dxa"/>
            </w:tcMar>
            <w:hideMark/>
          </w:tcPr>
          <w:p w14:paraId="5991D657" w14:textId="77777777" w:rsidR="008D5412" w:rsidRPr="008D5412" w:rsidRDefault="008D5412" w:rsidP="008D5412">
            <w:pPr>
              <w:spacing w:after="300"/>
              <w:jc w:val="right"/>
              <w:rPr>
                <w:rFonts w:ascii="Helvetica" w:hAnsi="Helvetica" w:cs="Helvetica"/>
                <w:sz w:val="20"/>
                <w:szCs w:val="20"/>
                <w:lang w:eastAsia="en-AU"/>
              </w:rPr>
            </w:pPr>
            <w:r w:rsidRPr="008D5412">
              <w:rPr>
                <w:rFonts w:ascii="Helvetica" w:hAnsi="Helvetica" w:cs="Helvetica"/>
                <w:sz w:val="20"/>
                <w:szCs w:val="20"/>
                <w:lang w:eastAsia="en-AU"/>
              </w:rPr>
              <w:t>84676004</w:t>
            </w:r>
          </w:p>
        </w:tc>
      </w:tr>
      <w:tr w:rsidR="00356AEF" w:rsidRPr="00356AEF" w14:paraId="4DF790C8" w14:textId="77777777" w:rsidTr="00860860">
        <w:tc>
          <w:tcPr>
            <w:tcW w:w="2500" w:type="pct"/>
            <w:shd w:val="clear" w:color="auto" w:fill="FFFFFF"/>
            <w:tcMar>
              <w:top w:w="150" w:type="dxa"/>
              <w:left w:w="150" w:type="dxa"/>
              <w:bottom w:w="150" w:type="dxa"/>
              <w:right w:w="150" w:type="dxa"/>
            </w:tcMar>
            <w:hideMark/>
          </w:tcPr>
          <w:p w14:paraId="72B68F98" w14:textId="77777777" w:rsidR="008D5412" w:rsidRPr="008D5412" w:rsidRDefault="008D5412" w:rsidP="008D5412">
            <w:pPr>
              <w:spacing w:after="300"/>
              <w:rPr>
                <w:rFonts w:ascii="Helvetica" w:hAnsi="Helvetica" w:cs="Helvetica"/>
                <w:sz w:val="20"/>
                <w:szCs w:val="20"/>
                <w:lang w:eastAsia="en-AU"/>
              </w:rPr>
            </w:pPr>
            <w:r w:rsidRPr="008D5412">
              <w:rPr>
                <w:rFonts w:ascii="Helvetica" w:hAnsi="Helvetica" w:cs="Helvetica"/>
                <w:sz w:val="20"/>
                <w:szCs w:val="20"/>
                <w:lang w:eastAsia="en-AU"/>
              </w:rPr>
              <w:t>Creutzfeldt-Jakob disease (disorder)</w:t>
            </w:r>
          </w:p>
        </w:tc>
        <w:tc>
          <w:tcPr>
            <w:tcW w:w="2500" w:type="pct"/>
            <w:shd w:val="clear" w:color="auto" w:fill="FFFFFF"/>
            <w:tcMar>
              <w:top w:w="150" w:type="dxa"/>
              <w:left w:w="150" w:type="dxa"/>
              <w:bottom w:w="150" w:type="dxa"/>
              <w:right w:w="150" w:type="dxa"/>
            </w:tcMar>
            <w:hideMark/>
          </w:tcPr>
          <w:p w14:paraId="60AFA91C" w14:textId="77777777" w:rsidR="008D5412" w:rsidRPr="008D5412" w:rsidRDefault="008D5412" w:rsidP="008D5412">
            <w:pPr>
              <w:spacing w:after="300"/>
              <w:jc w:val="right"/>
              <w:rPr>
                <w:rFonts w:ascii="Helvetica" w:hAnsi="Helvetica" w:cs="Helvetica"/>
                <w:sz w:val="20"/>
                <w:szCs w:val="20"/>
                <w:lang w:eastAsia="en-AU"/>
              </w:rPr>
            </w:pPr>
            <w:r w:rsidRPr="008D5412">
              <w:rPr>
                <w:rFonts w:ascii="Helvetica" w:hAnsi="Helvetica" w:cs="Helvetica"/>
                <w:sz w:val="20"/>
                <w:szCs w:val="20"/>
                <w:lang w:eastAsia="en-AU"/>
              </w:rPr>
              <w:t>792004</w:t>
            </w:r>
          </w:p>
        </w:tc>
      </w:tr>
      <w:tr w:rsidR="00356AEF" w:rsidRPr="00356AEF" w14:paraId="6C2A9EA1" w14:textId="77777777" w:rsidTr="00860860">
        <w:tc>
          <w:tcPr>
            <w:tcW w:w="2500" w:type="pct"/>
            <w:shd w:val="clear" w:color="auto" w:fill="FFFFFF"/>
            <w:tcMar>
              <w:top w:w="150" w:type="dxa"/>
              <w:left w:w="150" w:type="dxa"/>
              <w:bottom w:w="150" w:type="dxa"/>
              <w:right w:w="150" w:type="dxa"/>
            </w:tcMar>
            <w:hideMark/>
          </w:tcPr>
          <w:p w14:paraId="2D7A1AEE" w14:textId="77777777" w:rsidR="008D5412" w:rsidRPr="008D5412" w:rsidRDefault="008D5412" w:rsidP="008D5412">
            <w:pPr>
              <w:spacing w:after="300"/>
              <w:rPr>
                <w:rFonts w:ascii="Helvetica" w:hAnsi="Helvetica" w:cs="Helvetica"/>
                <w:sz w:val="20"/>
                <w:szCs w:val="20"/>
                <w:lang w:eastAsia="en-AU"/>
              </w:rPr>
            </w:pPr>
            <w:r w:rsidRPr="008D5412">
              <w:rPr>
                <w:rFonts w:ascii="Helvetica" w:hAnsi="Helvetica" w:cs="Helvetica"/>
                <w:sz w:val="20"/>
                <w:szCs w:val="20"/>
                <w:lang w:eastAsia="en-AU"/>
              </w:rPr>
              <w:t>Variant Creutzfeldt-Jakob disease (disorder)</w:t>
            </w:r>
          </w:p>
        </w:tc>
        <w:tc>
          <w:tcPr>
            <w:tcW w:w="2500" w:type="pct"/>
            <w:shd w:val="clear" w:color="auto" w:fill="FFFFFF"/>
            <w:tcMar>
              <w:top w:w="150" w:type="dxa"/>
              <w:left w:w="150" w:type="dxa"/>
              <w:bottom w:w="150" w:type="dxa"/>
              <w:right w:w="150" w:type="dxa"/>
            </w:tcMar>
            <w:hideMark/>
          </w:tcPr>
          <w:p w14:paraId="4067E0DF" w14:textId="77777777" w:rsidR="008D5412" w:rsidRPr="008D5412" w:rsidRDefault="008D5412" w:rsidP="008D5412">
            <w:pPr>
              <w:spacing w:after="300"/>
              <w:jc w:val="right"/>
              <w:rPr>
                <w:rFonts w:ascii="Helvetica" w:hAnsi="Helvetica" w:cs="Helvetica"/>
                <w:sz w:val="20"/>
                <w:szCs w:val="20"/>
                <w:lang w:eastAsia="en-AU"/>
              </w:rPr>
            </w:pPr>
            <w:r w:rsidRPr="008D5412">
              <w:rPr>
                <w:rFonts w:ascii="Helvetica" w:hAnsi="Helvetica" w:cs="Helvetica"/>
                <w:sz w:val="20"/>
                <w:szCs w:val="20"/>
                <w:lang w:eastAsia="en-AU"/>
              </w:rPr>
              <w:t>304603007</w:t>
            </w:r>
          </w:p>
        </w:tc>
      </w:tr>
      <w:tr w:rsidR="00356AEF" w:rsidRPr="00356AEF" w14:paraId="49BFA2E6" w14:textId="77777777" w:rsidTr="00860860">
        <w:tc>
          <w:tcPr>
            <w:tcW w:w="0" w:type="auto"/>
            <w:shd w:val="clear" w:color="auto" w:fill="FFFFFF"/>
            <w:tcMar>
              <w:top w:w="150" w:type="dxa"/>
              <w:left w:w="150" w:type="dxa"/>
              <w:bottom w:w="150" w:type="dxa"/>
              <w:right w:w="150" w:type="dxa"/>
            </w:tcMar>
            <w:hideMark/>
          </w:tcPr>
          <w:p w14:paraId="3A147B9A" w14:textId="77777777" w:rsidR="008D5412" w:rsidRPr="008D5412" w:rsidRDefault="008D5412" w:rsidP="008D5412">
            <w:pPr>
              <w:spacing w:after="300"/>
              <w:rPr>
                <w:rFonts w:ascii="Helvetica" w:hAnsi="Helvetica" w:cs="Helvetica"/>
                <w:sz w:val="20"/>
                <w:szCs w:val="20"/>
                <w:lang w:eastAsia="en-AU"/>
              </w:rPr>
            </w:pPr>
            <w:r w:rsidRPr="008D5412">
              <w:rPr>
                <w:rFonts w:ascii="Helvetica" w:hAnsi="Helvetica" w:cs="Helvetica"/>
                <w:sz w:val="20"/>
                <w:szCs w:val="20"/>
                <w:lang w:eastAsia="en-AU"/>
              </w:rPr>
              <w:t>14-3-3 protein (substance)</w:t>
            </w:r>
          </w:p>
        </w:tc>
        <w:tc>
          <w:tcPr>
            <w:tcW w:w="0" w:type="auto"/>
            <w:shd w:val="clear" w:color="auto" w:fill="FFFFFF"/>
            <w:tcMar>
              <w:top w:w="150" w:type="dxa"/>
              <w:left w:w="150" w:type="dxa"/>
              <w:bottom w:w="150" w:type="dxa"/>
              <w:right w:w="150" w:type="dxa"/>
            </w:tcMar>
            <w:hideMark/>
          </w:tcPr>
          <w:p w14:paraId="3ED69930" w14:textId="77777777" w:rsidR="008D5412" w:rsidRPr="008D5412" w:rsidRDefault="008D5412" w:rsidP="008D5412">
            <w:pPr>
              <w:spacing w:after="300"/>
              <w:jc w:val="right"/>
              <w:rPr>
                <w:rFonts w:ascii="Helvetica" w:hAnsi="Helvetica" w:cs="Helvetica"/>
                <w:sz w:val="20"/>
                <w:szCs w:val="20"/>
                <w:lang w:eastAsia="en-AU"/>
              </w:rPr>
            </w:pPr>
            <w:r w:rsidRPr="008D5412">
              <w:rPr>
                <w:rFonts w:ascii="Helvetica" w:hAnsi="Helvetica" w:cs="Helvetica"/>
                <w:sz w:val="20"/>
                <w:szCs w:val="20"/>
                <w:lang w:eastAsia="en-AU"/>
              </w:rPr>
              <w:t>430834001</w:t>
            </w:r>
          </w:p>
        </w:tc>
      </w:tr>
      <w:tr w:rsidR="00356AEF" w:rsidRPr="00356AEF" w14:paraId="5E16CC15" w14:textId="77777777" w:rsidTr="00860860">
        <w:tc>
          <w:tcPr>
            <w:tcW w:w="2500" w:type="pct"/>
            <w:shd w:val="clear" w:color="auto" w:fill="FFFFFF"/>
            <w:tcMar>
              <w:top w:w="150" w:type="dxa"/>
              <w:left w:w="150" w:type="dxa"/>
              <w:bottom w:w="150" w:type="dxa"/>
              <w:right w:w="150" w:type="dxa"/>
            </w:tcMar>
            <w:hideMark/>
          </w:tcPr>
          <w:p w14:paraId="57D930F0" w14:textId="77777777" w:rsidR="008D5412" w:rsidRPr="008D5412" w:rsidRDefault="008D5412" w:rsidP="008D5412">
            <w:pPr>
              <w:spacing w:after="300"/>
              <w:rPr>
                <w:rFonts w:ascii="Helvetica" w:hAnsi="Helvetica" w:cs="Helvetica"/>
                <w:sz w:val="20"/>
                <w:szCs w:val="20"/>
                <w:lang w:eastAsia="en-AU"/>
              </w:rPr>
            </w:pPr>
            <w:r w:rsidRPr="008D5412">
              <w:rPr>
                <w:rFonts w:ascii="Helvetica" w:hAnsi="Helvetica" w:cs="Helvetica"/>
                <w:sz w:val="20"/>
                <w:szCs w:val="20"/>
                <w:lang w:eastAsia="en-AU"/>
              </w:rPr>
              <w:t>Measurement of 14-3-3 protein concentration in cerebrospinal fluid (procedure)</w:t>
            </w:r>
          </w:p>
        </w:tc>
        <w:tc>
          <w:tcPr>
            <w:tcW w:w="2500" w:type="pct"/>
            <w:shd w:val="clear" w:color="auto" w:fill="FFFFFF"/>
            <w:tcMar>
              <w:top w:w="150" w:type="dxa"/>
              <w:left w:w="150" w:type="dxa"/>
              <w:bottom w:w="150" w:type="dxa"/>
              <w:right w:w="150" w:type="dxa"/>
            </w:tcMar>
            <w:hideMark/>
          </w:tcPr>
          <w:p w14:paraId="423749CB" w14:textId="77777777" w:rsidR="008D5412" w:rsidRPr="008D5412" w:rsidRDefault="008D5412" w:rsidP="008D5412">
            <w:pPr>
              <w:spacing w:after="300"/>
              <w:jc w:val="right"/>
              <w:rPr>
                <w:rFonts w:ascii="Helvetica" w:hAnsi="Helvetica" w:cs="Helvetica"/>
                <w:sz w:val="20"/>
                <w:szCs w:val="20"/>
                <w:lang w:eastAsia="en-AU"/>
              </w:rPr>
            </w:pPr>
            <w:r w:rsidRPr="008D5412">
              <w:rPr>
                <w:rFonts w:ascii="Helvetica" w:hAnsi="Helvetica" w:cs="Helvetica"/>
                <w:sz w:val="20"/>
                <w:szCs w:val="20"/>
                <w:lang w:eastAsia="en-AU"/>
              </w:rPr>
              <w:t>430834001</w:t>
            </w:r>
          </w:p>
        </w:tc>
      </w:tr>
    </w:tbl>
    <w:p w14:paraId="032982CB" w14:textId="77777777" w:rsidR="00356AEF" w:rsidRPr="00356AEF" w:rsidRDefault="00356AEF" w:rsidP="00356AEF">
      <w:pPr>
        <w:pStyle w:val="IntroPara"/>
        <w:rPr>
          <w:lang w:eastAsia="en-AU"/>
        </w:rPr>
      </w:pPr>
    </w:p>
    <w:p w14:paraId="2BA02B94" w14:textId="3B493957" w:rsidR="008D5412" w:rsidRPr="008D5412" w:rsidRDefault="008D5412" w:rsidP="008D5412">
      <w:pPr>
        <w:shd w:val="clear" w:color="auto" w:fill="FFFFFF"/>
        <w:spacing w:before="240" w:after="120"/>
        <w:outlineLvl w:val="1"/>
        <w:rPr>
          <w:rFonts w:ascii="Open Sans" w:hAnsi="Open Sans" w:cs="Open Sans"/>
          <w:sz w:val="36"/>
          <w:szCs w:val="36"/>
          <w:lang w:eastAsia="en-AU"/>
        </w:rPr>
      </w:pPr>
      <w:r w:rsidRPr="008D5412">
        <w:rPr>
          <w:rFonts w:ascii="Open Sans" w:hAnsi="Open Sans" w:cs="Open Sans"/>
          <w:sz w:val="36"/>
          <w:szCs w:val="36"/>
          <w:lang w:eastAsia="en-AU"/>
        </w:rPr>
        <w:lastRenderedPageBreak/>
        <w:t>6 References</w:t>
      </w:r>
    </w:p>
    <w:p w14:paraId="3AB4A076" w14:textId="77777777" w:rsidR="008D5412" w:rsidRPr="008D5412" w:rsidRDefault="008D5412" w:rsidP="008D5412">
      <w:pPr>
        <w:numPr>
          <w:ilvl w:val="0"/>
          <w:numId w:val="25"/>
        </w:numPr>
        <w:shd w:val="clear" w:color="auto" w:fill="FFFFFF"/>
        <w:spacing w:after="90" w:line="300" w:lineRule="atLeast"/>
        <w:rPr>
          <w:rFonts w:ascii="Helvetica" w:hAnsi="Helvetica" w:cs="Helvetica"/>
          <w:color w:val="222222"/>
          <w:sz w:val="20"/>
          <w:szCs w:val="20"/>
          <w:lang w:eastAsia="en-AU"/>
        </w:rPr>
      </w:pPr>
      <w:r w:rsidRPr="008D5412">
        <w:rPr>
          <w:rFonts w:ascii="Helvetica" w:hAnsi="Helvetica" w:cs="Helvetica"/>
          <w:color w:val="222222"/>
          <w:sz w:val="20"/>
          <w:szCs w:val="20"/>
          <w:lang w:eastAsia="en-AU"/>
        </w:rPr>
        <w:t>The Revision of the Surveillance Case Definition for Variant Creutzfeldt-Jakob Disease (</w:t>
      </w:r>
      <w:proofErr w:type="spellStart"/>
      <w:r w:rsidRPr="008D5412">
        <w:rPr>
          <w:rFonts w:ascii="Helvetica" w:hAnsi="Helvetica" w:cs="Helvetica"/>
          <w:color w:val="222222"/>
          <w:sz w:val="20"/>
          <w:szCs w:val="20"/>
          <w:lang w:eastAsia="en-AU"/>
        </w:rPr>
        <w:t>vCJD</w:t>
      </w:r>
      <w:proofErr w:type="spellEnd"/>
      <w:r w:rsidRPr="008D5412">
        <w:rPr>
          <w:rFonts w:ascii="Helvetica" w:hAnsi="Helvetica" w:cs="Helvetica"/>
          <w:color w:val="222222"/>
          <w:sz w:val="20"/>
          <w:szCs w:val="20"/>
          <w:lang w:eastAsia="en-AU"/>
        </w:rPr>
        <w:t>); Report of a WHO consultation, Edinburgh, United Kingdom 17 May 001. World Health Organization. Department of Communicable Disease, Surveillance and Response. Accessed on 12 August 2015. (libdoc.who.int/</w:t>
      </w:r>
      <w:proofErr w:type="spellStart"/>
      <w:r w:rsidRPr="008D5412">
        <w:rPr>
          <w:rFonts w:ascii="Helvetica" w:hAnsi="Helvetica" w:cs="Helvetica"/>
          <w:color w:val="222222"/>
          <w:sz w:val="20"/>
          <w:szCs w:val="20"/>
          <w:lang w:eastAsia="en-AU"/>
        </w:rPr>
        <w:t>hq</w:t>
      </w:r>
      <w:proofErr w:type="spellEnd"/>
      <w:r w:rsidRPr="008D5412">
        <w:rPr>
          <w:rFonts w:ascii="Helvetica" w:hAnsi="Helvetica" w:cs="Helvetica"/>
          <w:color w:val="222222"/>
          <w:sz w:val="20"/>
          <w:szCs w:val="20"/>
          <w:lang w:eastAsia="en-AU"/>
        </w:rPr>
        <w:t>/2002/WHO_CDS_CSR_EPH_2001.5.pdf).</w:t>
      </w:r>
    </w:p>
    <w:p w14:paraId="3E7CA496" w14:textId="77777777" w:rsidR="008D5412" w:rsidRPr="008D5412" w:rsidRDefault="008D5412" w:rsidP="008D5412">
      <w:pPr>
        <w:numPr>
          <w:ilvl w:val="0"/>
          <w:numId w:val="25"/>
        </w:numPr>
        <w:shd w:val="clear" w:color="auto" w:fill="FFFFFF"/>
        <w:spacing w:after="90" w:line="300" w:lineRule="atLeast"/>
        <w:rPr>
          <w:rFonts w:ascii="Helvetica" w:hAnsi="Helvetica" w:cs="Helvetica"/>
          <w:color w:val="222222"/>
          <w:sz w:val="20"/>
          <w:szCs w:val="20"/>
          <w:lang w:eastAsia="en-AU"/>
        </w:rPr>
      </w:pPr>
      <w:r w:rsidRPr="008D5412">
        <w:rPr>
          <w:rFonts w:ascii="Helvetica" w:hAnsi="Helvetica" w:cs="Helvetica"/>
          <w:color w:val="222222"/>
          <w:sz w:val="20"/>
          <w:szCs w:val="20"/>
          <w:lang w:eastAsia="en-AU"/>
        </w:rPr>
        <w:t xml:space="preserve">Imran M, Mahmood S. An overview of human prion diseases. Virology Journal. </w:t>
      </w:r>
      <w:proofErr w:type="gramStart"/>
      <w:r w:rsidRPr="008D5412">
        <w:rPr>
          <w:rFonts w:ascii="Helvetica" w:hAnsi="Helvetica" w:cs="Helvetica"/>
          <w:color w:val="222222"/>
          <w:sz w:val="20"/>
          <w:szCs w:val="20"/>
          <w:lang w:eastAsia="en-AU"/>
        </w:rPr>
        <w:t>2011;8:559</w:t>
      </w:r>
      <w:proofErr w:type="gramEnd"/>
      <w:r w:rsidRPr="008D5412">
        <w:rPr>
          <w:rFonts w:ascii="Helvetica" w:hAnsi="Helvetica" w:cs="Helvetica"/>
          <w:color w:val="222222"/>
          <w:sz w:val="20"/>
          <w:szCs w:val="20"/>
          <w:lang w:eastAsia="en-AU"/>
        </w:rPr>
        <w:t>.</w:t>
      </w:r>
    </w:p>
    <w:p w14:paraId="4EC2E08A" w14:textId="77777777" w:rsidR="008D5412" w:rsidRPr="008D5412" w:rsidRDefault="008D5412" w:rsidP="008D5412">
      <w:pPr>
        <w:numPr>
          <w:ilvl w:val="0"/>
          <w:numId w:val="25"/>
        </w:numPr>
        <w:shd w:val="clear" w:color="auto" w:fill="FFFFFF"/>
        <w:spacing w:after="90" w:line="300" w:lineRule="atLeast"/>
        <w:rPr>
          <w:rFonts w:ascii="Helvetica" w:hAnsi="Helvetica" w:cs="Helvetica"/>
          <w:color w:val="222222"/>
          <w:sz w:val="20"/>
          <w:szCs w:val="20"/>
          <w:lang w:eastAsia="en-AU"/>
        </w:rPr>
      </w:pPr>
      <w:r w:rsidRPr="008D5412">
        <w:rPr>
          <w:rFonts w:ascii="Helvetica" w:hAnsi="Helvetica" w:cs="Helvetica"/>
          <w:color w:val="222222"/>
          <w:sz w:val="20"/>
          <w:szCs w:val="20"/>
          <w:lang w:eastAsia="en-AU"/>
        </w:rPr>
        <w:t>WHO manual for surveillance of human transmissible spongiform encephalopathies including variant Creutzfeldt-Jakob disease. 2003. World Health Organization. Department of Communicable Disease, Surveillance and Response. Accessed 12 August 2015. (whqlibdoc.who.int/publications/2003/9241545887.pdf).</w:t>
      </w:r>
    </w:p>
    <w:p w14:paraId="252CE401" w14:textId="77777777" w:rsidR="008D5412" w:rsidRPr="008D5412" w:rsidRDefault="00860860" w:rsidP="008D5412">
      <w:pPr>
        <w:numPr>
          <w:ilvl w:val="0"/>
          <w:numId w:val="25"/>
        </w:numPr>
        <w:shd w:val="clear" w:color="auto" w:fill="FFFFFF"/>
        <w:spacing w:after="90" w:line="300" w:lineRule="atLeast"/>
        <w:rPr>
          <w:rFonts w:ascii="Helvetica" w:hAnsi="Helvetica" w:cs="Helvetica"/>
          <w:color w:val="222222"/>
          <w:sz w:val="20"/>
          <w:szCs w:val="20"/>
          <w:lang w:eastAsia="en-AU"/>
        </w:rPr>
      </w:pPr>
      <w:hyperlink r:id="rId17" w:history="1">
        <w:r w:rsidR="008D5412" w:rsidRPr="008D5412">
          <w:rPr>
            <w:rFonts w:ascii="Helvetica" w:hAnsi="Helvetica" w:cs="Helvetica"/>
            <w:color w:val="1157AD"/>
            <w:sz w:val="20"/>
            <w:szCs w:val="20"/>
            <w:u w:val="single"/>
            <w:lang w:eastAsia="en-AU"/>
          </w:rPr>
          <w:t>Global Surveillance, Diagnosis and Therapy of Human Transmissible Spongiform Encephalopathies: Report of a WHO Consultation, Geneva, Switzerland, 9-11 February 1998. World Health Organization, Department of Emerging and other Communicable Diseases, Surveillance and Control</w:t>
        </w:r>
      </w:hyperlink>
      <w:r w:rsidR="008D5412" w:rsidRPr="008D5412">
        <w:rPr>
          <w:rFonts w:ascii="Helvetica" w:hAnsi="Helvetica" w:cs="Helvetica"/>
          <w:color w:val="222222"/>
          <w:sz w:val="20"/>
          <w:szCs w:val="20"/>
          <w:lang w:eastAsia="en-AU"/>
        </w:rPr>
        <w:t>. Accessed on 12 August 2015. (www.who.int/csr/resources/publications/bse/WHO_EMC_ZDI_98_9/en/).</w:t>
      </w:r>
    </w:p>
    <w:p w14:paraId="4633B3FC" w14:textId="77777777" w:rsidR="008D5412" w:rsidRPr="008D5412" w:rsidRDefault="008D5412" w:rsidP="008D5412">
      <w:pPr>
        <w:numPr>
          <w:ilvl w:val="0"/>
          <w:numId w:val="25"/>
        </w:numPr>
        <w:shd w:val="clear" w:color="auto" w:fill="FFFFFF"/>
        <w:spacing w:after="90" w:line="300" w:lineRule="atLeast"/>
        <w:rPr>
          <w:rFonts w:ascii="Helvetica" w:hAnsi="Helvetica" w:cs="Helvetica"/>
          <w:color w:val="222222"/>
          <w:sz w:val="20"/>
          <w:szCs w:val="20"/>
          <w:lang w:eastAsia="en-AU"/>
        </w:rPr>
      </w:pPr>
      <w:r w:rsidRPr="008D5412">
        <w:rPr>
          <w:rFonts w:ascii="Helvetica" w:hAnsi="Helvetica" w:cs="Helvetica"/>
          <w:color w:val="222222"/>
          <w:sz w:val="20"/>
          <w:szCs w:val="20"/>
          <w:lang w:eastAsia="en-AU"/>
        </w:rPr>
        <w:t>Gill ON, Spencer Y, Richard-</w:t>
      </w:r>
      <w:proofErr w:type="spellStart"/>
      <w:r w:rsidRPr="008D5412">
        <w:rPr>
          <w:rFonts w:ascii="Helvetica" w:hAnsi="Helvetica" w:cs="Helvetica"/>
          <w:color w:val="222222"/>
          <w:sz w:val="20"/>
          <w:szCs w:val="20"/>
          <w:lang w:eastAsia="en-AU"/>
        </w:rPr>
        <w:t>Leondt</w:t>
      </w:r>
      <w:proofErr w:type="spellEnd"/>
      <w:r w:rsidRPr="008D5412">
        <w:rPr>
          <w:rFonts w:ascii="Helvetica" w:hAnsi="Helvetica" w:cs="Helvetica"/>
          <w:color w:val="222222"/>
          <w:sz w:val="20"/>
          <w:szCs w:val="20"/>
          <w:lang w:eastAsia="en-AU"/>
        </w:rPr>
        <w:t xml:space="preserve"> A et al. Prevalent abnormal prion protein in human appendixes after bovine spongiform encephalopathy epizootic: large scale survey. BMJ 2013;</w:t>
      </w:r>
      <w:proofErr w:type="gramStart"/>
      <w:r w:rsidRPr="008D5412">
        <w:rPr>
          <w:rFonts w:ascii="Helvetica" w:hAnsi="Helvetica" w:cs="Helvetica"/>
          <w:color w:val="222222"/>
          <w:sz w:val="20"/>
          <w:szCs w:val="20"/>
          <w:lang w:eastAsia="en-AU"/>
        </w:rPr>
        <w:t>347:f</w:t>
      </w:r>
      <w:proofErr w:type="gramEnd"/>
      <w:r w:rsidRPr="008D5412">
        <w:rPr>
          <w:rFonts w:ascii="Helvetica" w:hAnsi="Helvetica" w:cs="Helvetica"/>
          <w:color w:val="222222"/>
          <w:sz w:val="20"/>
          <w:szCs w:val="20"/>
          <w:lang w:eastAsia="en-AU"/>
        </w:rPr>
        <w:t>5675.</w:t>
      </w:r>
    </w:p>
    <w:p w14:paraId="488C982C" w14:textId="77777777" w:rsidR="008D5412" w:rsidRPr="008D5412" w:rsidRDefault="008D5412" w:rsidP="008D5412">
      <w:pPr>
        <w:numPr>
          <w:ilvl w:val="0"/>
          <w:numId w:val="25"/>
        </w:numPr>
        <w:shd w:val="clear" w:color="auto" w:fill="FFFFFF"/>
        <w:spacing w:after="90" w:line="300" w:lineRule="atLeast"/>
        <w:rPr>
          <w:rFonts w:ascii="Helvetica" w:hAnsi="Helvetica" w:cs="Helvetica"/>
          <w:color w:val="222222"/>
          <w:sz w:val="20"/>
          <w:szCs w:val="20"/>
          <w:lang w:eastAsia="en-AU"/>
        </w:rPr>
      </w:pPr>
      <w:r w:rsidRPr="008D5412">
        <w:rPr>
          <w:rFonts w:ascii="Helvetica" w:hAnsi="Helvetica" w:cs="Helvetica"/>
          <w:color w:val="222222"/>
          <w:sz w:val="20"/>
          <w:szCs w:val="20"/>
          <w:lang w:eastAsia="en-AU"/>
        </w:rPr>
        <w:t>Investigations undertaken in possible cases of human prion disease. 2012. The National CJD Research and Surveillance Unit, University of Edinburgh. Accessed on 12 August 2015. (www.cjd.ed.ac.uk/diagnosis).</w:t>
      </w:r>
    </w:p>
    <w:p w14:paraId="54B6B0B7" w14:textId="77777777" w:rsidR="008D5412" w:rsidRPr="008D5412" w:rsidRDefault="008D5412" w:rsidP="008D5412">
      <w:pPr>
        <w:numPr>
          <w:ilvl w:val="0"/>
          <w:numId w:val="25"/>
        </w:numPr>
        <w:shd w:val="clear" w:color="auto" w:fill="FFFFFF"/>
        <w:spacing w:after="90" w:line="300" w:lineRule="atLeast"/>
        <w:rPr>
          <w:rFonts w:ascii="Helvetica" w:hAnsi="Helvetica" w:cs="Helvetica"/>
          <w:color w:val="222222"/>
          <w:sz w:val="20"/>
          <w:szCs w:val="20"/>
          <w:lang w:eastAsia="en-AU"/>
        </w:rPr>
      </w:pPr>
      <w:r w:rsidRPr="008D5412">
        <w:rPr>
          <w:rFonts w:ascii="Helvetica" w:hAnsi="Helvetica" w:cs="Helvetica"/>
          <w:color w:val="222222"/>
          <w:sz w:val="20"/>
          <w:szCs w:val="20"/>
          <w:lang w:eastAsia="en-AU"/>
        </w:rPr>
        <w:t xml:space="preserve">Will RG, </w:t>
      </w:r>
      <w:proofErr w:type="spellStart"/>
      <w:r w:rsidRPr="008D5412">
        <w:rPr>
          <w:rFonts w:ascii="Helvetica" w:hAnsi="Helvetica" w:cs="Helvetica"/>
          <w:color w:val="222222"/>
          <w:sz w:val="20"/>
          <w:szCs w:val="20"/>
          <w:lang w:eastAsia="en-AU"/>
        </w:rPr>
        <w:t>Zeidler</w:t>
      </w:r>
      <w:proofErr w:type="spellEnd"/>
      <w:r w:rsidRPr="008D5412">
        <w:rPr>
          <w:rFonts w:ascii="Helvetica" w:hAnsi="Helvetica" w:cs="Helvetica"/>
          <w:color w:val="222222"/>
          <w:sz w:val="20"/>
          <w:szCs w:val="20"/>
          <w:lang w:eastAsia="en-AU"/>
        </w:rPr>
        <w:t xml:space="preserve"> M, Stewart GE, Macleod MA, Ironside JW, Cousens SN, Mackenzie J, </w:t>
      </w:r>
      <w:proofErr w:type="spellStart"/>
      <w:r w:rsidRPr="008D5412">
        <w:rPr>
          <w:rFonts w:ascii="Helvetica" w:hAnsi="Helvetica" w:cs="Helvetica"/>
          <w:color w:val="222222"/>
          <w:sz w:val="20"/>
          <w:szCs w:val="20"/>
          <w:lang w:eastAsia="en-AU"/>
        </w:rPr>
        <w:t>Estibeiro</w:t>
      </w:r>
      <w:proofErr w:type="spellEnd"/>
      <w:r w:rsidRPr="008D5412">
        <w:rPr>
          <w:rFonts w:ascii="Helvetica" w:hAnsi="Helvetica" w:cs="Helvetica"/>
          <w:color w:val="222222"/>
          <w:sz w:val="20"/>
          <w:szCs w:val="20"/>
          <w:lang w:eastAsia="en-AU"/>
        </w:rPr>
        <w:t xml:space="preserve"> K, Green AJ, Knight RS. Diagnosis of new variant Creutzfeldt-Jakob disease. Ann Neurol. </w:t>
      </w:r>
      <w:proofErr w:type="gramStart"/>
      <w:r w:rsidRPr="008D5412">
        <w:rPr>
          <w:rFonts w:ascii="Helvetica" w:hAnsi="Helvetica" w:cs="Helvetica"/>
          <w:color w:val="222222"/>
          <w:sz w:val="20"/>
          <w:szCs w:val="20"/>
          <w:lang w:eastAsia="en-AU"/>
        </w:rPr>
        <w:t>2000;47:575</w:t>
      </w:r>
      <w:proofErr w:type="gramEnd"/>
      <w:r w:rsidRPr="008D5412">
        <w:rPr>
          <w:rFonts w:ascii="Helvetica" w:hAnsi="Helvetica" w:cs="Helvetica"/>
          <w:color w:val="222222"/>
          <w:sz w:val="20"/>
          <w:szCs w:val="20"/>
          <w:lang w:eastAsia="en-AU"/>
        </w:rPr>
        <w:t>-82.</w:t>
      </w:r>
    </w:p>
    <w:p w14:paraId="7FA6496C" w14:textId="77777777" w:rsidR="008D5412" w:rsidRPr="008D5412" w:rsidRDefault="008D5412" w:rsidP="008D5412">
      <w:pPr>
        <w:numPr>
          <w:ilvl w:val="0"/>
          <w:numId w:val="25"/>
        </w:numPr>
        <w:shd w:val="clear" w:color="auto" w:fill="FFFFFF"/>
        <w:spacing w:after="90" w:line="300" w:lineRule="atLeast"/>
        <w:rPr>
          <w:rFonts w:ascii="Helvetica" w:hAnsi="Helvetica" w:cs="Helvetica"/>
          <w:color w:val="222222"/>
          <w:sz w:val="20"/>
          <w:szCs w:val="20"/>
          <w:lang w:eastAsia="en-AU"/>
        </w:rPr>
      </w:pPr>
      <w:proofErr w:type="spellStart"/>
      <w:r w:rsidRPr="008D5412">
        <w:rPr>
          <w:rFonts w:ascii="Helvetica" w:hAnsi="Helvetica" w:cs="Helvetica"/>
          <w:color w:val="222222"/>
          <w:sz w:val="20"/>
          <w:szCs w:val="20"/>
          <w:lang w:eastAsia="en-AU"/>
        </w:rPr>
        <w:t>Atarashi</w:t>
      </w:r>
      <w:proofErr w:type="spellEnd"/>
      <w:r w:rsidRPr="008D5412">
        <w:rPr>
          <w:rFonts w:ascii="Helvetica" w:hAnsi="Helvetica" w:cs="Helvetica"/>
          <w:color w:val="222222"/>
          <w:sz w:val="20"/>
          <w:szCs w:val="20"/>
          <w:lang w:eastAsia="en-AU"/>
        </w:rPr>
        <w:t xml:space="preserve"> R, Satoh K, Sano K, Fuse T, et al. Ultrasensitive human prion detection in cerebrospinal fluid by real-time quaking-induced conversion. Nature Medicine. </w:t>
      </w:r>
      <w:proofErr w:type="gramStart"/>
      <w:r w:rsidRPr="008D5412">
        <w:rPr>
          <w:rFonts w:ascii="Helvetica" w:hAnsi="Helvetica" w:cs="Helvetica"/>
          <w:color w:val="222222"/>
          <w:sz w:val="20"/>
          <w:szCs w:val="20"/>
          <w:lang w:eastAsia="en-AU"/>
        </w:rPr>
        <w:t>2011;17:175</w:t>
      </w:r>
      <w:proofErr w:type="gramEnd"/>
      <w:r w:rsidRPr="008D5412">
        <w:rPr>
          <w:rFonts w:ascii="Helvetica" w:hAnsi="Helvetica" w:cs="Helvetica"/>
          <w:color w:val="222222"/>
          <w:sz w:val="20"/>
          <w:szCs w:val="20"/>
          <w:lang w:eastAsia="en-AU"/>
        </w:rPr>
        <w:t>-178.</w:t>
      </w:r>
    </w:p>
    <w:p w14:paraId="295BB87C" w14:textId="77777777" w:rsidR="008D5412" w:rsidRPr="008D5412" w:rsidRDefault="00860860" w:rsidP="008D5412">
      <w:pPr>
        <w:numPr>
          <w:ilvl w:val="0"/>
          <w:numId w:val="25"/>
        </w:numPr>
        <w:shd w:val="clear" w:color="auto" w:fill="FFFFFF"/>
        <w:spacing w:after="90" w:line="300" w:lineRule="atLeast"/>
        <w:rPr>
          <w:rFonts w:ascii="Helvetica" w:hAnsi="Helvetica" w:cs="Helvetica"/>
          <w:color w:val="222222"/>
          <w:sz w:val="20"/>
          <w:szCs w:val="20"/>
          <w:lang w:eastAsia="en-AU"/>
        </w:rPr>
      </w:pPr>
      <w:hyperlink r:id="rId18" w:history="1">
        <w:r w:rsidR="008D5412" w:rsidRPr="008D5412">
          <w:rPr>
            <w:rFonts w:ascii="Helvetica" w:hAnsi="Helvetica" w:cs="Helvetica"/>
            <w:color w:val="1157AD"/>
            <w:sz w:val="20"/>
            <w:szCs w:val="20"/>
            <w:u w:val="single"/>
            <w:lang w:eastAsia="en-AU"/>
          </w:rPr>
          <w:t>Australian National Creutzfeldt-Jakob Disease Registry (ANCJDR), Florey Institute</w:t>
        </w:r>
      </w:hyperlink>
      <w:r w:rsidR="008D5412" w:rsidRPr="008D5412">
        <w:rPr>
          <w:rFonts w:ascii="Helvetica" w:hAnsi="Helvetica" w:cs="Helvetica"/>
          <w:color w:val="222222"/>
          <w:sz w:val="20"/>
          <w:szCs w:val="20"/>
          <w:lang w:eastAsia="en-AU"/>
        </w:rPr>
        <w:t>. Accessed 8 February 2020. (www.florey.edu.au/science-research/scientific-services-facilities/australian-national-cjd-registry).</w:t>
      </w:r>
    </w:p>
    <w:p w14:paraId="3EC13773" w14:textId="77777777" w:rsidR="008D5412" w:rsidRPr="008D5412" w:rsidRDefault="008D5412" w:rsidP="008D5412">
      <w:pPr>
        <w:numPr>
          <w:ilvl w:val="0"/>
          <w:numId w:val="25"/>
        </w:numPr>
        <w:shd w:val="clear" w:color="auto" w:fill="FFFFFF"/>
        <w:spacing w:after="90" w:line="300" w:lineRule="atLeast"/>
        <w:rPr>
          <w:rFonts w:ascii="Helvetica" w:hAnsi="Helvetica" w:cs="Helvetica"/>
          <w:color w:val="222222"/>
          <w:sz w:val="20"/>
          <w:szCs w:val="20"/>
          <w:lang w:eastAsia="en-AU"/>
        </w:rPr>
      </w:pPr>
      <w:r w:rsidRPr="008D5412">
        <w:rPr>
          <w:rFonts w:ascii="Helvetica" w:hAnsi="Helvetica" w:cs="Helvetica"/>
          <w:color w:val="222222"/>
          <w:sz w:val="20"/>
          <w:szCs w:val="20"/>
          <w:lang w:eastAsia="en-AU"/>
        </w:rPr>
        <w:t xml:space="preserve">Li Q-X, Varghese S, </w:t>
      </w:r>
      <w:proofErr w:type="spellStart"/>
      <w:r w:rsidRPr="008D5412">
        <w:rPr>
          <w:rFonts w:ascii="Helvetica" w:hAnsi="Helvetica" w:cs="Helvetica"/>
          <w:color w:val="222222"/>
          <w:sz w:val="20"/>
          <w:szCs w:val="20"/>
          <w:lang w:eastAsia="en-AU"/>
        </w:rPr>
        <w:t>Savios</w:t>
      </w:r>
      <w:proofErr w:type="spellEnd"/>
      <w:r w:rsidRPr="008D5412">
        <w:rPr>
          <w:rFonts w:ascii="Helvetica" w:hAnsi="Helvetica" w:cs="Helvetica"/>
          <w:color w:val="222222"/>
          <w:sz w:val="20"/>
          <w:szCs w:val="20"/>
          <w:lang w:eastAsia="en-AU"/>
        </w:rPr>
        <w:t xml:space="preserve"> S et al. CSF tau supplements 14-3-3 protein detection for sporadic CJD diagnosis while transitioning to next generation diagnosis. J Clin Neuroscience. </w:t>
      </w:r>
      <w:proofErr w:type="gramStart"/>
      <w:r w:rsidRPr="008D5412">
        <w:rPr>
          <w:rFonts w:ascii="Helvetica" w:hAnsi="Helvetica" w:cs="Helvetica"/>
          <w:color w:val="222222"/>
          <w:sz w:val="20"/>
          <w:szCs w:val="20"/>
          <w:lang w:eastAsia="en-AU"/>
        </w:rPr>
        <w:t>2018;50:292</w:t>
      </w:r>
      <w:proofErr w:type="gramEnd"/>
      <w:r w:rsidRPr="008D5412">
        <w:rPr>
          <w:rFonts w:ascii="Helvetica" w:hAnsi="Helvetica" w:cs="Helvetica"/>
          <w:color w:val="222222"/>
          <w:sz w:val="20"/>
          <w:szCs w:val="20"/>
          <w:lang w:eastAsia="en-AU"/>
        </w:rPr>
        <w:t>-293.</w:t>
      </w:r>
    </w:p>
    <w:p w14:paraId="15791EC8" w14:textId="77777777" w:rsidR="008D5412" w:rsidRPr="008D5412" w:rsidRDefault="008D5412" w:rsidP="008D5412">
      <w:pPr>
        <w:numPr>
          <w:ilvl w:val="0"/>
          <w:numId w:val="25"/>
        </w:numPr>
        <w:shd w:val="clear" w:color="auto" w:fill="FFFFFF"/>
        <w:spacing w:after="90" w:line="300" w:lineRule="atLeast"/>
        <w:rPr>
          <w:rFonts w:ascii="Helvetica" w:hAnsi="Helvetica" w:cs="Helvetica"/>
          <w:color w:val="222222"/>
          <w:sz w:val="20"/>
          <w:szCs w:val="20"/>
          <w:lang w:eastAsia="en-AU"/>
        </w:rPr>
      </w:pPr>
      <w:proofErr w:type="spellStart"/>
      <w:r w:rsidRPr="008D5412">
        <w:rPr>
          <w:rFonts w:ascii="Helvetica" w:hAnsi="Helvetica" w:cs="Helvetica"/>
          <w:color w:val="222222"/>
          <w:sz w:val="20"/>
          <w:szCs w:val="20"/>
          <w:lang w:eastAsia="en-AU"/>
        </w:rPr>
        <w:t>Foutz</w:t>
      </w:r>
      <w:proofErr w:type="spellEnd"/>
      <w:r w:rsidRPr="008D5412">
        <w:rPr>
          <w:rFonts w:ascii="Helvetica" w:hAnsi="Helvetica" w:cs="Helvetica"/>
          <w:color w:val="222222"/>
          <w:sz w:val="20"/>
          <w:szCs w:val="20"/>
          <w:lang w:eastAsia="en-AU"/>
        </w:rPr>
        <w:t xml:space="preserve"> A, Appleby BS, Hamlin C, Liu X et al. Diagnostic and prognostic value of human prion detection in cerebrospinal fluid. Ann Neurol </w:t>
      </w:r>
      <w:proofErr w:type="gramStart"/>
      <w:r w:rsidRPr="008D5412">
        <w:rPr>
          <w:rFonts w:ascii="Helvetica" w:hAnsi="Helvetica" w:cs="Helvetica"/>
          <w:color w:val="222222"/>
          <w:sz w:val="20"/>
          <w:szCs w:val="20"/>
          <w:lang w:eastAsia="en-AU"/>
        </w:rPr>
        <w:t>2017;81:79</w:t>
      </w:r>
      <w:proofErr w:type="gramEnd"/>
      <w:r w:rsidRPr="008D5412">
        <w:rPr>
          <w:rFonts w:ascii="Helvetica" w:hAnsi="Helvetica" w:cs="Helvetica"/>
          <w:color w:val="222222"/>
          <w:sz w:val="20"/>
          <w:szCs w:val="20"/>
          <w:lang w:eastAsia="en-AU"/>
        </w:rPr>
        <w:t>-92.</w:t>
      </w:r>
    </w:p>
    <w:p w14:paraId="629E96A0" w14:textId="77777777" w:rsidR="008D5412" w:rsidRPr="008D5412" w:rsidRDefault="008D5412" w:rsidP="008D5412">
      <w:pPr>
        <w:numPr>
          <w:ilvl w:val="0"/>
          <w:numId w:val="25"/>
        </w:numPr>
        <w:shd w:val="clear" w:color="auto" w:fill="FFFFFF"/>
        <w:spacing w:after="90" w:line="300" w:lineRule="atLeast"/>
        <w:rPr>
          <w:rFonts w:ascii="Helvetica" w:hAnsi="Helvetica" w:cs="Helvetica"/>
          <w:color w:val="222222"/>
          <w:sz w:val="20"/>
          <w:szCs w:val="20"/>
          <w:lang w:eastAsia="en-AU"/>
        </w:rPr>
      </w:pPr>
      <w:r w:rsidRPr="008D5412">
        <w:rPr>
          <w:rFonts w:ascii="Helvetica" w:hAnsi="Helvetica" w:cs="Helvetica"/>
          <w:color w:val="222222"/>
          <w:sz w:val="20"/>
          <w:szCs w:val="20"/>
          <w:lang w:eastAsia="en-AU"/>
        </w:rPr>
        <w:t>Green AJE. RT-</w:t>
      </w:r>
      <w:proofErr w:type="spellStart"/>
      <w:r w:rsidRPr="008D5412">
        <w:rPr>
          <w:rFonts w:ascii="Helvetica" w:hAnsi="Helvetica" w:cs="Helvetica"/>
          <w:color w:val="222222"/>
          <w:sz w:val="20"/>
          <w:szCs w:val="20"/>
          <w:lang w:eastAsia="en-AU"/>
        </w:rPr>
        <w:t>QuIC</w:t>
      </w:r>
      <w:proofErr w:type="spellEnd"/>
      <w:r w:rsidRPr="008D5412">
        <w:rPr>
          <w:rFonts w:ascii="Helvetica" w:hAnsi="Helvetica" w:cs="Helvetica"/>
          <w:color w:val="222222"/>
          <w:sz w:val="20"/>
          <w:szCs w:val="20"/>
          <w:lang w:eastAsia="en-AU"/>
        </w:rPr>
        <w:t xml:space="preserve">: a new test for sporadic CJD. </w:t>
      </w:r>
      <w:proofErr w:type="spellStart"/>
      <w:r w:rsidRPr="008D5412">
        <w:rPr>
          <w:rFonts w:ascii="Helvetica" w:hAnsi="Helvetica" w:cs="Helvetica"/>
          <w:color w:val="222222"/>
          <w:sz w:val="20"/>
          <w:szCs w:val="20"/>
          <w:lang w:eastAsia="en-AU"/>
        </w:rPr>
        <w:t>Pract</w:t>
      </w:r>
      <w:proofErr w:type="spellEnd"/>
      <w:r w:rsidRPr="008D5412">
        <w:rPr>
          <w:rFonts w:ascii="Helvetica" w:hAnsi="Helvetica" w:cs="Helvetica"/>
          <w:color w:val="222222"/>
          <w:sz w:val="20"/>
          <w:szCs w:val="20"/>
          <w:lang w:eastAsia="en-AU"/>
        </w:rPr>
        <w:t xml:space="preserve"> Neurol </w:t>
      </w:r>
      <w:proofErr w:type="gramStart"/>
      <w:r w:rsidRPr="008D5412">
        <w:rPr>
          <w:rFonts w:ascii="Helvetica" w:hAnsi="Helvetica" w:cs="Helvetica"/>
          <w:color w:val="222222"/>
          <w:sz w:val="20"/>
          <w:szCs w:val="20"/>
          <w:lang w:eastAsia="en-AU"/>
        </w:rPr>
        <w:t>2019;19:49</w:t>
      </w:r>
      <w:proofErr w:type="gramEnd"/>
      <w:r w:rsidRPr="008D5412">
        <w:rPr>
          <w:rFonts w:ascii="Helvetica" w:hAnsi="Helvetica" w:cs="Helvetica"/>
          <w:color w:val="222222"/>
          <w:sz w:val="20"/>
          <w:szCs w:val="20"/>
          <w:lang w:eastAsia="en-AU"/>
        </w:rPr>
        <w:t>-55.</w:t>
      </w:r>
    </w:p>
    <w:p w14:paraId="79056C43" w14:textId="77777777" w:rsidR="008D5412" w:rsidRPr="008D5412" w:rsidRDefault="008D5412" w:rsidP="008D5412">
      <w:pPr>
        <w:numPr>
          <w:ilvl w:val="0"/>
          <w:numId w:val="25"/>
        </w:numPr>
        <w:shd w:val="clear" w:color="auto" w:fill="FFFFFF"/>
        <w:spacing w:after="90" w:line="300" w:lineRule="atLeast"/>
        <w:rPr>
          <w:rFonts w:ascii="Helvetica" w:hAnsi="Helvetica" w:cs="Helvetica"/>
          <w:color w:val="222222"/>
          <w:sz w:val="20"/>
          <w:szCs w:val="20"/>
          <w:lang w:eastAsia="en-AU"/>
        </w:rPr>
      </w:pPr>
      <w:proofErr w:type="spellStart"/>
      <w:r w:rsidRPr="008D5412">
        <w:rPr>
          <w:rFonts w:ascii="Helvetica" w:hAnsi="Helvetica" w:cs="Helvetica"/>
          <w:color w:val="222222"/>
          <w:sz w:val="20"/>
          <w:szCs w:val="20"/>
          <w:lang w:eastAsia="en-AU"/>
        </w:rPr>
        <w:t>Minikel</w:t>
      </w:r>
      <w:proofErr w:type="spellEnd"/>
      <w:r w:rsidRPr="008D5412">
        <w:rPr>
          <w:rFonts w:ascii="Helvetica" w:hAnsi="Helvetica" w:cs="Helvetica"/>
          <w:color w:val="222222"/>
          <w:sz w:val="20"/>
          <w:szCs w:val="20"/>
          <w:lang w:eastAsia="en-AU"/>
        </w:rPr>
        <w:t xml:space="preserve"> EV, Vallabh SM, </w:t>
      </w:r>
      <w:proofErr w:type="spellStart"/>
      <w:r w:rsidRPr="008D5412">
        <w:rPr>
          <w:rFonts w:ascii="Helvetica" w:hAnsi="Helvetica" w:cs="Helvetica"/>
          <w:color w:val="222222"/>
          <w:sz w:val="20"/>
          <w:szCs w:val="20"/>
          <w:lang w:eastAsia="en-AU"/>
        </w:rPr>
        <w:t>Leli</w:t>
      </w:r>
      <w:proofErr w:type="spellEnd"/>
      <w:r w:rsidRPr="008D5412">
        <w:rPr>
          <w:rFonts w:ascii="Helvetica" w:hAnsi="Helvetica" w:cs="Helvetica"/>
          <w:color w:val="222222"/>
          <w:sz w:val="20"/>
          <w:szCs w:val="20"/>
          <w:lang w:eastAsia="en-AU"/>
        </w:rPr>
        <w:t xml:space="preserve"> M, Estrada K el al. Quantifying prion disease penetrance using large population control cohorts. Science Translational Med. 2016;8(322):322ra9</w:t>
      </w:r>
    </w:p>
    <w:p w14:paraId="60173502" w14:textId="77777777" w:rsidR="008D5412" w:rsidRPr="008D5412" w:rsidRDefault="008D5412" w:rsidP="008D5412">
      <w:pPr>
        <w:numPr>
          <w:ilvl w:val="0"/>
          <w:numId w:val="25"/>
        </w:numPr>
        <w:shd w:val="clear" w:color="auto" w:fill="FFFFFF"/>
        <w:spacing w:after="90" w:line="300" w:lineRule="atLeast"/>
        <w:rPr>
          <w:rFonts w:ascii="Helvetica" w:hAnsi="Helvetica" w:cs="Helvetica"/>
          <w:color w:val="222222"/>
          <w:sz w:val="20"/>
          <w:szCs w:val="20"/>
          <w:lang w:eastAsia="en-AU"/>
        </w:rPr>
      </w:pPr>
      <w:proofErr w:type="spellStart"/>
      <w:r w:rsidRPr="008D5412">
        <w:rPr>
          <w:rFonts w:ascii="Helvetica" w:hAnsi="Helvetica" w:cs="Helvetica"/>
          <w:color w:val="222222"/>
          <w:sz w:val="20"/>
          <w:szCs w:val="20"/>
          <w:lang w:eastAsia="en-AU"/>
        </w:rPr>
        <w:t>Mok</w:t>
      </w:r>
      <w:proofErr w:type="spellEnd"/>
      <w:r w:rsidRPr="008D5412">
        <w:rPr>
          <w:rFonts w:ascii="Helvetica" w:hAnsi="Helvetica" w:cs="Helvetica"/>
          <w:color w:val="222222"/>
          <w:sz w:val="20"/>
          <w:szCs w:val="20"/>
          <w:lang w:eastAsia="en-AU"/>
        </w:rPr>
        <w:t xml:space="preserve"> T, </w:t>
      </w:r>
      <w:proofErr w:type="spellStart"/>
      <w:r w:rsidRPr="008D5412">
        <w:rPr>
          <w:rFonts w:ascii="Helvetica" w:hAnsi="Helvetica" w:cs="Helvetica"/>
          <w:color w:val="222222"/>
          <w:sz w:val="20"/>
          <w:szCs w:val="20"/>
          <w:lang w:eastAsia="en-AU"/>
        </w:rPr>
        <w:t>Jaunmuktane</w:t>
      </w:r>
      <w:proofErr w:type="spellEnd"/>
      <w:r w:rsidRPr="008D5412">
        <w:rPr>
          <w:rFonts w:ascii="Helvetica" w:hAnsi="Helvetica" w:cs="Helvetica"/>
          <w:color w:val="222222"/>
          <w:sz w:val="20"/>
          <w:szCs w:val="20"/>
          <w:lang w:eastAsia="en-AU"/>
        </w:rPr>
        <w:t xml:space="preserve"> Z, </w:t>
      </w:r>
      <w:proofErr w:type="spellStart"/>
      <w:r w:rsidRPr="008D5412">
        <w:rPr>
          <w:rFonts w:ascii="Helvetica" w:hAnsi="Helvetica" w:cs="Helvetica"/>
          <w:color w:val="222222"/>
          <w:sz w:val="20"/>
          <w:szCs w:val="20"/>
          <w:lang w:eastAsia="en-AU"/>
        </w:rPr>
        <w:t>Jorner</w:t>
      </w:r>
      <w:proofErr w:type="spellEnd"/>
      <w:r w:rsidRPr="008D5412">
        <w:rPr>
          <w:rFonts w:ascii="Helvetica" w:hAnsi="Helvetica" w:cs="Helvetica"/>
          <w:color w:val="222222"/>
          <w:sz w:val="20"/>
          <w:szCs w:val="20"/>
          <w:lang w:eastAsia="en-AU"/>
        </w:rPr>
        <w:t xml:space="preserve"> S et al. Variant Creutzfeldt-Jakob disease in a patient with heterozygosity at </w:t>
      </w:r>
      <w:r w:rsidRPr="008D5412">
        <w:rPr>
          <w:rFonts w:ascii="Helvetica" w:hAnsi="Helvetica" w:cs="Helvetica"/>
          <w:i/>
          <w:iCs/>
          <w:color w:val="222222"/>
          <w:sz w:val="20"/>
          <w:szCs w:val="20"/>
          <w:lang w:eastAsia="en-AU"/>
        </w:rPr>
        <w:t>PRNP</w:t>
      </w:r>
      <w:r w:rsidRPr="008D5412">
        <w:rPr>
          <w:rFonts w:ascii="Helvetica" w:hAnsi="Helvetica" w:cs="Helvetica"/>
          <w:color w:val="222222"/>
          <w:sz w:val="20"/>
          <w:szCs w:val="20"/>
          <w:lang w:eastAsia="en-AU"/>
        </w:rPr>
        <w:t> codon 129. NEJM. 2017;376.</w:t>
      </w:r>
    </w:p>
    <w:p w14:paraId="75597281" w14:textId="77777777" w:rsidR="008D5412" w:rsidRPr="008D5412" w:rsidRDefault="00860860" w:rsidP="008D5412">
      <w:pPr>
        <w:numPr>
          <w:ilvl w:val="0"/>
          <w:numId w:val="25"/>
        </w:numPr>
        <w:shd w:val="clear" w:color="auto" w:fill="FFFFFF"/>
        <w:spacing w:after="90" w:line="300" w:lineRule="atLeast"/>
        <w:rPr>
          <w:rFonts w:ascii="Helvetica" w:hAnsi="Helvetica" w:cs="Helvetica"/>
          <w:color w:val="222222"/>
          <w:sz w:val="20"/>
          <w:szCs w:val="20"/>
          <w:lang w:eastAsia="en-AU"/>
        </w:rPr>
      </w:pPr>
      <w:hyperlink r:id="rId19" w:history="1">
        <w:r w:rsidR="008D5412" w:rsidRPr="008D5412">
          <w:rPr>
            <w:rFonts w:ascii="Helvetica" w:hAnsi="Helvetica" w:cs="Helvetica"/>
            <w:color w:val="1157AD"/>
            <w:sz w:val="20"/>
            <w:szCs w:val="20"/>
            <w:u w:val="single"/>
            <w:lang w:eastAsia="en-AU"/>
          </w:rPr>
          <w:t>The Creutzfeldt-Jakob Disease. January 2013. Infection Control Guidelines. Australian Government. Department of Health</w:t>
        </w:r>
      </w:hyperlink>
      <w:r w:rsidR="008D5412" w:rsidRPr="008D5412">
        <w:rPr>
          <w:rFonts w:ascii="Helvetica" w:hAnsi="Helvetica" w:cs="Helvetica"/>
          <w:color w:val="222222"/>
          <w:sz w:val="20"/>
          <w:szCs w:val="20"/>
          <w:lang w:eastAsia="en-AU"/>
        </w:rPr>
        <w:t>. Accessed on 8 February 2020. (www.health.gov.au/internet/main/publishing.nsf/Content/icg-guidelines-index.htm).</w:t>
      </w:r>
    </w:p>
    <w:p w14:paraId="038AA478" w14:textId="77777777" w:rsidR="008D5412" w:rsidRPr="008D5412" w:rsidRDefault="008D5412" w:rsidP="008D5412">
      <w:pPr>
        <w:numPr>
          <w:ilvl w:val="0"/>
          <w:numId w:val="25"/>
        </w:numPr>
        <w:shd w:val="clear" w:color="auto" w:fill="FFFFFF"/>
        <w:spacing w:after="90" w:line="300" w:lineRule="atLeast"/>
        <w:rPr>
          <w:rFonts w:ascii="Helvetica" w:hAnsi="Helvetica" w:cs="Helvetica"/>
          <w:color w:val="222222"/>
          <w:sz w:val="20"/>
          <w:szCs w:val="20"/>
          <w:lang w:eastAsia="en-AU"/>
        </w:rPr>
      </w:pPr>
      <w:proofErr w:type="spellStart"/>
      <w:r w:rsidRPr="008D5412">
        <w:rPr>
          <w:rFonts w:ascii="Helvetica" w:hAnsi="Helvetica" w:cs="Helvetica"/>
          <w:color w:val="222222"/>
          <w:sz w:val="20"/>
          <w:szCs w:val="20"/>
          <w:lang w:eastAsia="en-AU"/>
        </w:rPr>
        <w:t>Lattanzio</w:t>
      </w:r>
      <w:proofErr w:type="spellEnd"/>
      <w:r w:rsidRPr="008D5412">
        <w:rPr>
          <w:rFonts w:ascii="Helvetica" w:hAnsi="Helvetica" w:cs="Helvetica"/>
          <w:color w:val="222222"/>
          <w:sz w:val="20"/>
          <w:szCs w:val="20"/>
          <w:lang w:eastAsia="en-AU"/>
        </w:rPr>
        <w:t xml:space="preserve"> F, Abu-</w:t>
      </w:r>
      <w:proofErr w:type="spellStart"/>
      <w:r w:rsidRPr="008D5412">
        <w:rPr>
          <w:rFonts w:ascii="Helvetica" w:hAnsi="Helvetica" w:cs="Helvetica"/>
          <w:color w:val="222222"/>
          <w:sz w:val="20"/>
          <w:szCs w:val="20"/>
          <w:lang w:eastAsia="en-AU"/>
        </w:rPr>
        <w:t>Rumeileh</w:t>
      </w:r>
      <w:proofErr w:type="spellEnd"/>
      <w:r w:rsidRPr="008D5412">
        <w:rPr>
          <w:rFonts w:ascii="Helvetica" w:hAnsi="Helvetica" w:cs="Helvetica"/>
          <w:color w:val="222222"/>
          <w:sz w:val="20"/>
          <w:szCs w:val="20"/>
          <w:lang w:eastAsia="en-AU"/>
        </w:rPr>
        <w:t xml:space="preserve"> S, </w:t>
      </w:r>
      <w:proofErr w:type="spellStart"/>
      <w:r w:rsidRPr="008D5412">
        <w:rPr>
          <w:rFonts w:ascii="Helvetica" w:hAnsi="Helvetica" w:cs="Helvetica"/>
          <w:color w:val="222222"/>
          <w:sz w:val="20"/>
          <w:szCs w:val="20"/>
          <w:lang w:eastAsia="en-AU"/>
        </w:rPr>
        <w:t>Franceschini</w:t>
      </w:r>
      <w:proofErr w:type="spellEnd"/>
      <w:r w:rsidRPr="008D5412">
        <w:rPr>
          <w:rFonts w:ascii="Helvetica" w:hAnsi="Helvetica" w:cs="Helvetica"/>
          <w:color w:val="222222"/>
          <w:sz w:val="20"/>
          <w:szCs w:val="20"/>
          <w:lang w:eastAsia="en-AU"/>
        </w:rPr>
        <w:t xml:space="preserve"> A, Kai H et al. Prion-specific and surrogate CSF biomarkers in Creutzfeldt-Jakob disease: diagnostic accuracy in relation to molecular subtypes and analysis of neuropathological correlates of p-tau and AßB42 levels. Acta </w:t>
      </w:r>
      <w:proofErr w:type="spellStart"/>
      <w:r w:rsidRPr="008D5412">
        <w:rPr>
          <w:rFonts w:ascii="Helvetica" w:hAnsi="Helvetica" w:cs="Helvetica"/>
          <w:color w:val="222222"/>
          <w:sz w:val="20"/>
          <w:szCs w:val="20"/>
          <w:lang w:eastAsia="en-AU"/>
        </w:rPr>
        <w:t>Neuropathol</w:t>
      </w:r>
      <w:proofErr w:type="spellEnd"/>
      <w:r w:rsidRPr="008D5412">
        <w:rPr>
          <w:rFonts w:ascii="Helvetica" w:hAnsi="Helvetica" w:cs="Helvetica"/>
          <w:color w:val="222222"/>
          <w:sz w:val="20"/>
          <w:szCs w:val="20"/>
          <w:lang w:eastAsia="en-AU"/>
        </w:rPr>
        <w:t xml:space="preserve"> </w:t>
      </w:r>
      <w:proofErr w:type="gramStart"/>
      <w:r w:rsidRPr="008D5412">
        <w:rPr>
          <w:rFonts w:ascii="Helvetica" w:hAnsi="Helvetica" w:cs="Helvetica"/>
          <w:color w:val="222222"/>
          <w:sz w:val="20"/>
          <w:szCs w:val="20"/>
          <w:lang w:eastAsia="en-AU"/>
        </w:rPr>
        <w:t>2017;133:559</w:t>
      </w:r>
      <w:proofErr w:type="gramEnd"/>
      <w:r w:rsidRPr="008D5412">
        <w:rPr>
          <w:rFonts w:ascii="Helvetica" w:hAnsi="Helvetica" w:cs="Helvetica"/>
          <w:color w:val="222222"/>
          <w:sz w:val="20"/>
          <w:szCs w:val="20"/>
          <w:lang w:eastAsia="en-AU"/>
        </w:rPr>
        <w:t>-578.</w:t>
      </w:r>
    </w:p>
    <w:p w14:paraId="0BEEBBEF" w14:textId="56E0A056" w:rsidR="009E0B84" w:rsidRPr="00356AEF" w:rsidRDefault="008D5412" w:rsidP="00F42019">
      <w:pPr>
        <w:numPr>
          <w:ilvl w:val="0"/>
          <w:numId w:val="25"/>
        </w:numPr>
        <w:shd w:val="clear" w:color="auto" w:fill="FFFFFF"/>
        <w:spacing w:after="90" w:line="300" w:lineRule="atLeast"/>
        <w:rPr>
          <w:rFonts w:ascii="Helvetica" w:hAnsi="Helvetica" w:cs="Helvetica"/>
          <w:color w:val="222222"/>
          <w:sz w:val="20"/>
          <w:szCs w:val="20"/>
          <w:lang w:eastAsia="en-AU"/>
        </w:rPr>
      </w:pPr>
      <w:proofErr w:type="spellStart"/>
      <w:r w:rsidRPr="008D5412">
        <w:rPr>
          <w:rFonts w:ascii="Helvetica" w:hAnsi="Helvetica" w:cs="Helvetica"/>
          <w:color w:val="222222"/>
          <w:sz w:val="20"/>
          <w:szCs w:val="20"/>
          <w:lang w:eastAsia="en-AU"/>
        </w:rPr>
        <w:t>Parchi</w:t>
      </w:r>
      <w:proofErr w:type="spellEnd"/>
      <w:r w:rsidRPr="008D5412">
        <w:rPr>
          <w:rFonts w:ascii="Helvetica" w:hAnsi="Helvetica" w:cs="Helvetica"/>
          <w:color w:val="222222"/>
          <w:sz w:val="20"/>
          <w:szCs w:val="20"/>
          <w:lang w:eastAsia="en-AU"/>
        </w:rPr>
        <w:t xml:space="preserve"> P, </w:t>
      </w:r>
      <w:proofErr w:type="spellStart"/>
      <w:r w:rsidRPr="008D5412">
        <w:rPr>
          <w:rFonts w:ascii="Helvetica" w:hAnsi="Helvetica" w:cs="Helvetica"/>
          <w:color w:val="222222"/>
          <w:sz w:val="20"/>
          <w:szCs w:val="20"/>
          <w:lang w:eastAsia="en-AU"/>
        </w:rPr>
        <w:t>Strammiello</w:t>
      </w:r>
      <w:proofErr w:type="spellEnd"/>
      <w:r w:rsidRPr="008D5412">
        <w:rPr>
          <w:rFonts w:ascii="Helvetica" w:hAnsi="Helvetica" w:cs="Helvetica"/>
          <w:color w:val="222222"/>
          <w:sz w:val="20"/>
          <w:szCs w:val="20"/>
          <w:lang w:eastAsia="en-AU"/>
        </w:rPr>
        <w:t xml:space="preserve"> R, Giese A, Kretzschmar H. Phenotypic variability of sporadic human prion disease and its molecular basis: past, present, and future. Acta </w:t>
      </w:r>
      <w:proofErr w:type="spellStart"/>
      <w:r w:rsidRPr="008D5412">
        <w:rPr>
          <w:rFonts w:ascii="Helvetica" w:hAnsi="Helvetica" w:cs="Helvetica"/>
          <w:color w:val="222222"/>
          <w:sz w:val="20"/>
          <w:szCs w:val="20"/>
          <w:lang w:eastAsia="en-AU"/>
        </w:rPr>
        <w:t>Neuropathologica</w:t>
      </w:r>
      <w:proofErr w:type="spellEnd"/>
      <w:r w:rsidRPr="008D5412">
        <w:rPr>
          <w:rFonts w:ascii="Helvetica" w:hAnsi="Helvetica" w:cs="Helvetica"/>
          <w:color w:val="222222"/>
          <w:sz w:val="20"/>
          <w:szCs w:val="20"/>
          <w:lang w:eastAsia="en-AU"/>
        </w:rPr>
        <w:t xml:space="preserve"> </w:t>
      </w:r>
      <w:proofErr w:type="gramStart"/>
      <w:r w:rsidRPr="008D5412">
        <w:rPr>
          <w:rFonts w:ascii="Helvetica" w:hAnsi="Helvetica" w:cs="Helvetica"/>
          <w:color w:val="222222"/>
          <w:sz w:val="20"/>
          <w:szCs w:val="20"/>
          <w:lang w:eastAsia="en-AU"/>
        </w:rPr>
        <w:t>2011;121:91</w:t>
      </w:r>
      <w:proofErr w:type="gramEnd"/>
      <w:r w:rsidRPr="008D5412">
        <w:rPr>
          <w:rFonts w:ascii="Helvetica" w:hAnsi="Helvetica" w:cs="Helvetica"/>
          <w:color w:val="222222"/>
          <w:sz w:val="20"/>
          <w:szCs w:val="20"/>
          <w:lang w:eastAsia="en-AU"/>
        </w:rPr>
        <w:t>-112.</w:t>
      </w:r>
    </w:p>
    <w:sectPr w:rsidR="009E0B84" w:rsidRPr="00356AEF" w:rsidSect="00F42019">
      <w:headerReference w:type="default" r:id="rId20"/>
      <w:footerReference w:type="default" r:id="rId21"/>
      <w:headerReference w:type="first" r:id="rId22"/>
      <w:footerReference w:type="first" r:id="rId23"/>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3C2AFF" w14:textId="77777777" w:rsidR="008D5412" w:rsidRDefault="008D5412" w:rsidP="006B56BB">
      <w:r>
        <w:separator/>
      </w:r>
    </w:p>
    <w:p w14:paraId="224A5447" w14:textId="77777777" w:rsidR="008D5412" w:rsidRDefault="008D5412"/>
  </w:endnote>
  <w:endnote w:type="continuationSeparator" w:id="0">
    <w:p w14:paraId="62B34E09" w14:textId="77777777" w:rsidR="008D5412" w:rsidRDefault="008D5412" w:rsidP="006B56BB">
      <w:r>
        <w:continuationSeparator/>
      </w:r>
    </w:p>
    <w:p w14:paraId="13C5ACDA" w14:textId="77777777" w:rsidR="008D5412" w:rsidRDefault="008D5412"/>
  </w:endnote>
  <w:endnote w:type="continuationNotice" w:id="1">
    <w:p w14:paraId="033E2DB5" w14:textId="77777777" w:rsidR="008D5412" w:rsidRDefault="008D54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14:paraId="05506059" w14:textId="03979B3F" w:rsidR="00CD407A" w:rsidRDefault="008D5412" w:rsidP="008D5412">
            <w:pPr>
              <w:pStyle w:val="Footer"/>
              <w:jc w:val="right"/>
            </w:pPr>
            <w:r w:rsidRPr="008D5412">
              <w:t xml:space="preserve">Human transmissible spongiform encephalopathies </w:t>
            </w:r>
            <w:r w:rsidR="00076AD6">
              <w:t xml:space="preserve">– Laboratory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2701320"/>
      <w:docPartObj>
        <w:docPartGallery w:val="Page Numbers (Bottom of Page)"/>
        <w:docPartUnique/>
      </w:docPartObj>
    </w:sdtPr>
    <w:sdtEndPr/>
    <w:sdtContent>
      <w:sdt>
        <w:sdtPr>
          <w:id w:val="304826466"/>
          <w:docPartObj>
            <w:docPartGallery w:val="Page Numbers (Top of Page)"/>
            <w:docPartUnique/>
          </w:docPartObj>
        </w:sdtPr>
        <w:sdtEndPr/>
        <w:sdtContent>
          <w:p w14:paraId="338BEFE0" w14:textId="5BC69C9E" w:rsidR="005E40AE" w:rsidRDefault="008D5412" w:rsidP="008D5412">
            <w:pPr>
              <w:pStyle w:val="Footer"/>
              <w:jc w:val="right"/>
            </w:pPr>
            <w:r w:rsidRPr="008D5412">
              <w:t xml:space="preserve">Human transmissible spongiform encephalopathies </w:t>
            </w:r>
            <w:r w:rsidR="005E40AE">
              <w:t xml:space="preserve">– Laboratory case definition </w:t>
            </w:r>
            <w:r w:rsidR="005E40AE">
              <w:tab/>
            </w:r>
            <w:r w:rsidR="005E40AE">
              <w:tab/>
              <w:t xml:space="preserve">Page </w:t>
            </w:r>
            <w:r w:rsidR="005E40AE">
              <w:rPr>
                <w:b/>
                <w:bCs/>
                <w:sz w:val="24"/>
              </w:rPr>
              <w:fldChar w:fldCharType="begin"/>
            </w:r>
            <w:r w:rsidR="005E40AE">
              <w:rPr>
                <w:b/>
                <w:bCs/>
              </w:rPr>
              <w:instrText xml:space="preserve"> PAGE </w:instrText>
            </w:r>
            <w:r w:rsidR="005E40AE">
              <w:rPr>
                <w:b/>
                <w:bCs/>
                <w:sz w:val="24"/>
              </w:rPr>
              <w:fldChar w:fldCharType="separate"/>
            </w:r>
            <w:r w:rsidR="005E40AE">
              <w:rPr>
                <w:b/>
                <w:bCs/>
                <w:sz w:val="24"/>
              </w:rPr>
              <w:t>2</w:t>
            </w:r>
            <w:r w:rsidR="005E40AE">
              <w:rPr>
                <w:b/>
                <w:bCs/>
                <w:sz w:val="24"/>
              </w:rPr>
              <w:fldChar w:fldCharType="end"/>
            </w:r>
            <w:r w:rsidR="005E40AE">
              <w:t xml:space="preserve"> of </w:t>
            </w:r>
            <w:r w:rsidR="005E40AE">
              <w:rPr>
                <w:b/>
                <w:bCs/>
                <w:sz w:val="24"/>
              </w:rPr>
              <w:fldChar w:fldCharType="begin"/>
            </w:r>
            <w:r w:rsidR="005E40AE">
              <w:rPr>
                <w:b/>
                <w:bCs/>
              </w:rPr>
              <w:instrText xml:space="preserve"> NUMPAGES  </w:instrText>
            </w:r>
            <w:r w:rsidR="005E40AE">
              <w:rPr>
                <w:b/>
                <w:bCs/>
                <w:sz w:val="24"/>
              </w:rPr>
              <w:fldChar w:fldCharType="separate"/>
            </w:r>
            <w:r w:rsidR="005E40AE">
              <w:rPr>
                <w:b/>
                <w:bCs/>
                <w:sz w:val="24"/>
              </w:rPr>
              <w:t>2</w:t>
            </w:r>
            <w:r w:rsidR="005E40AE">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B6BEA" w14:textId="77777777" w:rsidR="008D5412" w:rsidRDefault="008D5412" w:rsidP="006B56BB">
      <w:r>
        <w:separator/>
      </w:r>
    </w:p>
    <w:p w14:paraId="06E7C880" w14:textId="77777777" w:rsidR="008D5412" w:rsidRDefault="008D5412"/>
  </w:footnote>
  <w:footnote w:type="continuationSeparator" w:id="0">
    <w:p w14:paraId="76CACB38" w14:textId="77777777" w:rsidR="008D5412" w:rsidRDefault="008D5412" w:rsidP="006B56BB">
      <w:r>
        <w:continuationSeparator/>
      </w:r>
    </w:p>
    <w:p w14:paraId="5CE31130" w14:textId="77777777" w:rsidR="008D5412" w:rsidRDefault="008D5412"/>
  </w:footnote>
  <w:footnote w:type="continuationNotice" w:id="1">
    <w:p w14:paraId="2D803A53" w14:textId="77777777" w:rsidR="008D5412" w:rsidRDefault="008D54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4CD91" w14:textId="77777777" w:rsidR="008E0C77" w:rsidRDefault="008E0C77" w:rsidP="008E0C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5BD29" w14:textId="77777777" w:rsidR="00F42019" w:rsidRDefault="00F42019">
    <w:pPr>
      <w:pStyle w:val="Header"/>
    </w:pPr>
    <w:r>
      <w:rPr>
        <w:noProof/>
      </w:rPr>
      <w:drawing>
        <wp:inline distT="0" distB="0" distL="0" distR="0" wp14:anchorId="4B2A5286" wp14:editId="31ACC09D">
          <wp:extent cx="2943580" cy="1200150"/>
          <wp:effectExtent l="0" t="0" r="9525" b="0"/>
          <wp:docPr id="2" name="Picture 2" descr="Public Health Laborator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blic Health Laboratory Network logo"/>
                  <pic:cNvPicPr/>
                </pic:nvPicPr>
                <pic:blipFill>
                  <a:blip r:embed="rId1">
                    <a:extLst>
                      <a:ext uri="{28A0092B-C50C-407E-A947-70E740481C1C}">
                        <a14:useLocalDpi xmlns:a14="http://schemas.microsoft.com/office/drawing/2010/main" val="0"/>
                      </a:ext>
                    </a:extLst>
                  </a:blip>
                  <a:stretch>
                    <a:fillRect/>
                  </a:stretch>
                </pic:blipFill>
                <pic:spPr>
                  <a:xfrm>
                    <a:off x="0" y="0"/>
                    <a:ext cx="2997886" cy="1222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7AC0704"/>
    <w:multiLevelType w:val="multilevel"/>
    <w:tmpl w:val="CFA4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C55CFE62"/>
    <w:lvl w:ilvl="0" w:tplc="B722292C">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4DA16489"/>
    <w:multiLevelType w:val="multilevel"/>
    <w:tmpl w:val="7576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2915317"/>
    <w:multiLevelType w:val="multilevel"/>
    <w:tmpl w:val="DDC0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89760B"/>
    <w:multiLevelType w:val="multilevel"/>
    <w:tmpl w:val="C652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F34373"/>
    <w:multiLevelType w:val="multilevel"/>
    <w:tmpl w:val="97B6B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AF50AE0"/>
    <w:multiLevelType w:val="multilevel"/>
    <w:tmpl w:val="DC8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6"/>
  </w:num>
  <w:num w:numId="3">
    <w:abstractNumId w:val="22"/>
  </w:num>
  <w:num w:numId="4">
    <w:abstractNumId w:val="8"/>
  </w:num>
  <w:num w:numId="5">
    <w:abstractNumId w:val="8"/>
    <w:lvlOverride w:ilvl="0">
      <w:startOverride w:val="1"/>
    </w:lvlOverride>
  </w:num>
  <w:num w:numId="6">
    <w:abstractNumId w:val="10"/>
  </w:num>
  <w:num w:numId="7">
    <w:abstractNumId w:val="14"/>
  </w:num>
  <w:num w:numId="8">
    <w:abstractNumId w:val="20"/>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3"/>
  </w:num>
  <w:num w:numId="17">
    <w:abstractNumId w:val="11"/>
  </w:num>
  <w:num w:numId="18">
    <w:abstractNumId w:val="12"/>
  </w:num>
  <w:num w:numId="19">
    <w:abstractNumId w:val="13"/>
  </w:num>
  <w:num w:numId="20">
    <w:abstractNumId w:val="9"/>
  </w:num>
  <w:num w:numId="21">
    <w:abstractNumId w:val="15"/>
  </w:num>
  <w:num w:numId="22">
    <w:abstractNumId w:val="18"/>
  </w:num>
  <w:num w:numId="23">
    <w:abstractNumId w:val="21"/>
  </w:num>
  <w:num w:numId="24">
    <w:abstractNumId w:val="17"/>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hideSpellingErrors/>
  <w:hideGrammaticalErrors/>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412"/>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8564F"/>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6AEF"/>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32E1B"/>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D75EA"/>
    <w:rsid w:val="005E0A3F"/>
    <w:rsid w:val="005E40AE"/>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B194E"/>
    <w:rsid w:val="007C1FDC"/>
    <w:rsid w:val="007C6D9C"/>
    <w:rsid w:val="007C7DDB"/>
    <w:rsid w:val="007D2CC7"/>
    <w:rsid w:val="007D673D"/>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0860"/>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5412"/>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363C7"/>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A26D0"/>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6A51"/>
    <w:rsid w:val="00B32222"/>
    <w:rsid w:val="00B3618D"/>
    <w:rsid w:val="00B36233"/>
    <w:rsid w:val="00B42851"/>
    <w:rsid w:val="00B45AC7"/>
    <w:rsid w:val="00B5372F"/>
    <w:rsid w:val="00B61129"/>
    <w:rsid w:val="00B67E7F"/>
    <w:rsid w:val="00B839B2"/>
    <w:rsid w:val="00B86E28"/>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2019"/>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9B4A7E"/>
  <w15:docId w15:val="{0D6759E2-33AD-4A9F-853A-0144F1BF4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uiPriority="9" w:qFormat="1"/>
    <w:lsdException w:name="heading 4" w:uiPriority="9"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link w:val="Heading2Char"/>
    <w:uiPriority w:val="9"/>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link w:val="Heading3Char"/>
    <w:uiPriority w:val="9"/>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link w:val="Heading4Char"/>
    <w:uiPriority w:val="9"/>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qFormat/>
    <w:rsid w:val="003100AE"/>
    <w:pPr>
      <w:numPr>
        <w:ilvl w:val="1"/>
      </w:numPr>
      <w:spacing w:before="120" w:after="60"/>
    </w:pPr>
    <w:rPr>
      <w:rFonts w:ascii="Arial" w:eastAsiaTheme="majorEastAsia" w:hAnsi="Arial" w:cstheme="majorBidi"/>
      <w:iCs/>
      <w:color w:val="000000" w:themeColor="text1"/>
      <w:spacing w:val="15"/>
      <w:sz w:val="40"/>
      <w:szCs w:val="24"/>
      <w:lang w:eastAsia="en-US"/>
    </w:rPr>
  </w:style>
  <w:style w:type="character" w:customStyle="1" w:styleId="SubtitleChar">
    <w:name w:val="Subtitle Char"/>
    <w:basedOn w:val="DefaultParagraphFont"/>
    <w:link w:val="Subtitle"/>
    <w:rsid w:val="003100AE"/>
    <w:rPr>
      <w:rFonts w:ascii="Arial" w:eastAsiaTheme="majorEastAsia" w:hAnsi="Arial"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customStyle="1" w:styleId="TitleChar">
    <w:name w:val="Title Char"/>
    <w:basedOn w:val="DefaultParagraphFont"/>
    <w:link w:val="Title"/>
    <w:rsid w:val="00EC5E9A"/>
    <w:rPr>
      <w:rFonts w:ascii="Arial" w:eastAsiaTheme="majorEastAsia" w:hAnsi="Arial" w:cstheme="majorBidi"/>
      <w:b/>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110478"/>
    <w:pPr>
      <w:numPr>
        <w:numId w:val="3"/>
      </w:numPr>
      <w:ind w:left="284" w:hanging="284"/>
    </w:pPr>
    <w:rPr>
      <w:szCs w:val="20"/>
    </w:rPr>
  </w:style>
  <w:style w:type="paragraph" w:customStyle="1" w:styleId="Tablelistnumber">
    <w:name w:val="Table list number"/>
    <w:basedOn w:val="TableText"/>
    <w:qFormat/>
    <w:rsid w:val="00DD2061"/>
    <w:pPr>
      <w:numPr>
        <w:numId w:val="4"/>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Title"/>
    <w:qFormat/>
    <w:rsid w:val="00EC5E9A"/>
    <w:pPr>
      <w:spacing w:after="240" w:line="360" w:lineRule="auto"/>
    </w:pPr>
    <w:rPr>
      <w:b w:val="0"/>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after="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character" w:customStyle="1" w:styleId="Heading2Char">
    <w:name w:val="Heading 2 Char"/>
    <w:basedOn w:val="DefaultParagraphFont"/>
    <w:link w:val="Heading2"/>
    <w:uiPriority w:val="9"/>
    <w:rsid w:val="008D5412"/>
    <w:rPr>
      <w:rFonts w:ascii="Arial" w:hAnsi="Arial" w:cs="Arial"/>
      <w:bCs/>
      <w:iCs/>
      <w:color w:val="358189"/>
      <w:sz w:val="32"/>
      <w:szCs w:val="28"/>
      <w:lang w:eastAsia="en-US"/>
    </w:rPr>
  </w:style>
  <w:style w:type="character" w:customStyle="1" w:styleId="Heading3Char">
    <w:name w:val="Heading 3 Char"/>
    <w:basedOn w:val="DefaultParagraphFont"/>
    <w:link w:val="Heading3"/>
    <w:uiPriority w:val="9"/>
    <w:rsid w:val="008D5412"/>
    <w:rPr>
      <w:rFonts w:ascii="Arial" w:hAnsi="Arial" w:cs="Arial"/>
      <w:bCs/>
      <w:color w:val="358189"/>
      <w:sz w:val="24"/>
      <w:szCs w:val="26"/>
      <w:lang w:eastAsia="en-US"/>
    </w:rPr>
  </w:style>
  <w:style w:type="character" w:customStyle="1" w:styleId="Heading4Char">
    <w:name w:val="Heading 4 Char"/>
    <w:basedOn w:val="DefaultParagraphFont"/>
    <w:link w:val="Heading4"/>
    <w:uiPriority w:val="9"/>
    <w:rsid w:val="008D5412"/>
    <w:rPr>
      <w:rFonts w:ascii="Arial" w:hAnsi="Arial"/>
      <w:b/>
      <w:bCs/>
      <w:i/>
      <w:color w:val="414141"/>
      <w:sz w:val="24"/>
      <w:szCs w:val="28"/>
      <w:lang w:eastAsia="en-US"/>
    </w:rPr>
  </w:style>
  <w:style w:type="paragraph" w:styleId="NormalWeb">
    <w:name w:val="Normal (Web)"/>
    <w:basedOn w:val="Normal"/>
    <w:uiPriority w:val="99"/>
    <w:semiHidden/>
    <w:unhideWhenUsed/>
    <w:rsid w:val="008D5412"/>
    <w:pPr>
      <w:spacing w:before="100" w:beforeAutospacing="1" w:after="100" w:afterAutospacing="1"/>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43153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9789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1.health.gov.au/internet/main/publishing.nsf/Content/icg-guidelines-index.htm" TargetMode="External"/><Relationship Id="rId18" Type="http://schemas.openxmlformats.org/officeDocument/2006/relationships/hyperlink" Target="https://www.florey.edu.au/science-research/scientific-services-facilities/australian-national-cjd-registr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1.health.gov.au/internet/main/publishing.nsf/Content/cda-nndss-casedef-vcjd.htm" TargetMode="External"/><Relationship Id="rId17" Type="http://schemas.openxmlformats.org/officeDocument/2006/relationships/hyperlink" Target="http://www.who.int/csr/resources/publications/bse/WHO_EMC_ZDI_98_9/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gsa.org.au/documents/item/157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1.health.gov.au/internet/main/publishing.nsf/Content/cda-surveil-nndss-casedefs-cd_cjd.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1.health.gov.au/internet/main/publishing.nsf/Content/health-pubhlth-strateg-bse-index.ht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1.health.gov.au/internet/main/publishing.nsf/Content/icg-guidelines-index.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1.health.gov.au/internet/main/publishing.nsf/Content/health-pubhlth-strateg-phi-index.htm"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ARNOMA\Documents\Laboratory%20Case%20Definitions\Templates%20and%20Instructions\PHLN%20laboratory%20case%20definition%20template%20v2.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Props1.xml><?xml version="1.0" encoding="utf-8"?>
<ds:datastoreItem xmlns:ds="http://schemas.openxmlformats.org/officeDocument/2006/customXml" ds:itemID="{795108E3-16B3-48A4-9F77-12A3BFEA6A3B}"/>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customXml/itemProps4.xml><?xml version="1.0" encoding="utf-8"?>
<ds:datastoreItem xmlns:ds="http://schemas.openxmlformats.org/officeDocument/2006/customXml" ds:itemID="{D20C6417-ADBB-487B-9091-DC3471F064B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236487dd-ec90-4f99-8970-1318e5f29791"/>
    <ds:schemaRef ds:uri="dcf7b372-aaaa-46d8-9da6-ade9aab953d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PHLN laboratory case definition template v2.dotx</Template>
  <TotalTime>15</TotalTime>
  <Pages>12</Pages>
  <Words>4401</Words>
  <Characters>27641</Characters>
  <DocSecurity>0</DocSecurity>
  <Lines>230</Lines>
  <Paragraphs>63</Paragraphs>
  <ScaleCrop>false</ScaleCrop>
  <HeadingPairs>
    <vt:vector size="2" baseType="variant">
      <vt:variant>
        <vt:lpstr>Title</vt:lpstr>
      </vt:variant>
      <vt:variant>
        <vt:i4>1</vt:i4>
      </vt:variant>
    </vt:vector>
  </HeadingPairs>
  <TitlesOfParts>
    <vt:vector size="1" baseType="lpstr">
      <vt:lpstr>Human transmissible spongiform encephalopathies – Laboratory case</vt:lpstr>
    </vt:vector>
  </TitlesOfParts>
  <LinksUpToDate>false</LinksUpToDate>
  <CharactersWithSpaces>31979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transmissible spongiform encephalopathies – Laboratory case</dc:title>
  <dc:creator>Public Health Laboratory Network</dc:creator>
  <cp:keywords>Communicable diseases</cp:keywords>
  <dcterms:created xsi:type="dcterms:W3CDTF">2022-06-06T00:30:00Z</dcterms:created>
  <dcterms:modified xsi:type="dcterms:W3CDTF">2022-06-06T06:31:00Z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ies>
</file>