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39688190" w14:textId="77777777" w:rsidTr="00800DEB">
        <w:tc>
          <w:tcPr>
            <w:tcW w:w="2547" w:type="dxa"/>
          </w:tcPr>
          <w:p w14:paraId="73A23777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22845D1C" wp14:editId="4AF4C0B4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3136C7AB" w14:textId="1DDBF595" w:rsidR="00800DEB" w:rsidRDefault="0045469F" w:rsidP="00800DEB">
            <w:pPr>
              <w:pStyle w:val="Title"/>
            </w:pPr>
            <w:r w:rsidRPr="0045469F">
              <w:t>Invasive meningococcal disease</w:t>
            </w:r>
          </w:p>
          <w:p w14:paraId="1D96B348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793F31D3" w14:textId="6135D3E9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45469F">
        <w:t>i</w:t>
      </w:r>
      <w:r w:rsidR="0045469F" w:rsidRPr="0045469F">
        <w:t>nvasive meningococcal disease</w:t>
      </w:r>
      <w:r w:rsidR="0045469F">
        <w:t xml:space="preserve">,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582"/>
        <w:gridCol w:w="1540"/>
        <w:gridCol w:w="1925"/>
      </w:tblGrid>
      <w:tr w:rsidR="00800DEB" w:rsidRPr="00872414" w14:paraId="7CA89579" w14:textId="77777777" w:rsidTr="0C55D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67548E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7F238A72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118346D4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7440FFF7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FE5E74" w:rsidRPr="00872414" w14:paraId="5E7AD585" w14:textId="77777777" w:rsidTr="0C55D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16C916" w14:textId="6D62506D" w:rsidR="00FE5E74" w:rsidRPr="007025E8" w:rsidRDefault="00FE5E74" w:rsidP="00650561">
            <w:pPr>
              <w:pStyle w:val="TableHeader"/>
              <w:rPr>
                <w:b w:val="0"/>
                <w:bCs/>
                <w:color w:val="auto"/>
                <w:lang w:eastAsia="en-AU"/>
              </w:rPr>
            </w:pPr>
            <w:r w:rsidRPr="007025E8">
              <w:rPr>
                <w:b w:val="0"/>
                <w:bCs/>
                <w:color w:val="auto"/>
                <w:lang w:eastAsia="en-AU"/>
              </w:rPr>
              <w:t>1.5</w:t>
            </w:r>
          </w:p>
        </w:tc>
        <w:tc>
          <w:tcPr>
            <w:tcW w:w="0" w:type="auto"/>
          </w:tcPr>
          <w:p w14:paraId="742D1792" w14:textId="5ED637AB" w:rsidR="00FE5E74" w:rsidRPr="007025E8" w:rsidRDefault="00396DA0" w:rsidP="00650561">
            <w:pPr>
              <w:pStyle w:val="Table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auto"/>
                <w:lang w:eastAsia="en-AU"/>
              </w:rPr>
            </w:pPr>
            <w:r>
              <w:rPr>
                <w:b w:val="0"/>
                <w:bCs/>
                <w:color w:val="auto"/>
                <w:lang w:eastAsia="en-AU"/>
              </w:rPr>
              <w:t xml:space="preserve">Under Laboratory suggestive evidence delete following text “OR 2. </w:t>
            </w:r>
            <w:r w:rsidRPr="00396DA0">
              <w:rPr>
                <w:b w:val="0"/>
                <w:bCs/>
                <w:color w:val="auto"/>
                <w:lang w:eastAsia="en-AU"/>
              </w:rPr>
              <w:t xml:space="preserve">High </w:t>
            </w:r>
            <w:proofErr w:type="spellStart"/>
            <w:r w:rsidRPr="00396DA0">
              <w:rPr>
                <w:b w:val="0"/>
                <w:bCs/>
                <w:color w:val="auto"/>
                <w:lang w:eastAsia="en-AU"/>
              </w:rPr>
              <w:t>titre</w:t>
            </w:r>
            <w:proofErr w:type="spellEnd"/>
            <w:r w:rsidRPr="00396DA0">
              <w:rPr>
                <w:b w:val="0"/>
                <w:bCs/>
                <w:color w:val="auto"/>
                <w:lang w:eastAsia="en-AU"/>
              </w:rPr>
              <w:t xml:space="preserve"> IgM or significant rise in IgM or IgG </w:t>
            </w:r>
            <w:proofErr w:type="spellStart"/>
            <w:r w:rsidRPr="00396DA0">
              <w:rPr>
                <w:b w:val="0"/>
                <w:bCs/>
                <w:color w:val="auto"/>
                <w:lang w:eastAsia="en-AU"/>
              </w:rPr>
              <w:t>titres</w:t>
            </w:r>
            <w:proofErr w:type="spellEnd"/>
            <w:r w:rsidRPr="00396DA0">
              <w:rPr>
                <w:b w:val="0"/>
                <w:bCs/>
                <w:color w:val="auto"/>
                <w:lang w:eastAsia="en-AU"/>
              </w:rPr>
              <w:t xml:space="preserve"> to outer membrane protein antigens of </w:t>
            </w:r>
            <w:r w:rsidRPr="007025E8">
              <w:rPr>
                <w:b w:val="0"/>
                <w:bCs/>
                <w:i/>
                <w:iCs/>
                <w:color w:val="auto"/>
                <w:lang w:eastAsia="en-AU"/>
              </w:rPr>
              <w:t>N. meningitidis</w:t>
            </w:r>
            <w:r>
              <w:rPr>
                <w:b w:val="0"/>
                <w:bCs/>
                <w:color w:val="auto"/>
                <w:lang w:eastAsia="en-AU"/>
              </w:rPr>
              <w:t>.”</w:t>
            </w:r>
          </w:p>
        </w:tc>
        <w:tc>
          <w:tcPr>
            <w:tcW w:w="0" w:type="auto"/>
          </w:tcPr>
          <w:p w14:paraId="00EE404B" w14:textId="79C446EE" w:rsidR="00FE5E74" w:rsidRPr="007025E8" w:rsidRDefault="505C3543" w:rsidP="43C1D346">
            <w:pPr>
              <w:pStyle w:val="Table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auto"/>
                <w:lang w:eastAsia="en-AU"/>
              </w:rPr>
            </w:pPr>
            <w:r w:rsidRPr="43C1D346">
              <w:rPr>
                <w:b w:val="0"/>
                <w:color w:val="auto"/>
                <w:lang w:eastAsia="en-AU"/>
              </w:rPr>
              <w:t>May</w:t>
            </w:r>
            <w:r w:rsidR="00396DA0" w:rsidRPr="43C1D346">
              <w:rPr>
                <w:b w:val="0"/>
                <w:color w:val="auto"/>
                <w:lang w:eastAsia="en-AU"/>
              </w:rPr>
              <w:t xml:space="preserve"> 2024</w:t>
            </w:r>
          </w:p>
        </w:tc>
        <w:tc>
          <w:tcPr>
            <w:tcW w:w="0" w:type="auto"/>
          </w:tcPr>
          <w:p w14:paraId="4F252149" w14:textId="057832EF" w:rsidR="00FE5E74" w:rsidRPr="007025E8" w:rsidRDefault="1A4508BB" w:rsidP="43C1D346">
            <w:pPr>
              <w:pStyle w:val="Table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auto"/>
                <w:lang w:eastAsia="en-AU"/>
              </w:rPr>
            </w:pPr>
            <w:r w:rsidRPr="0C55D5B1">
              <w:rPr>
                <w:b w:val="0"/>
                <w:color w:val="auto"/>
                <w:lang w:eastAsia="en-AU"/>
              </w:rPr>
              <w:t>1 Ju</w:t>
            </w:r>
            <w:r w:rsidR="068632AF" w:rsidRPr="0C55D5B1">
              <w:rPr>
                <w:b w:val="0"/>
                <w:color w:val="auto"/>
                <w:lang w:eastAsia="en-AU"/>
              </w:rPr>
              <w:t>ly</w:t>
            </w:r>
            <w:r w:rsidR="00396DA0" w:rsidRPr="0C55D5B1">
              <w:rPr>
                <w:b w:val="0"/>
                <w:color w:val="auto"/>
                <w:lang w:eastAsia="en-AU"/>
              </w:rPr>
              <w:t xml:space="preserve"> 2024</w:t>
            </w:r>
          </w:p>
        </w:tc>
      </w:tr>
      <w:tr w:rsidR="00800DEB" w:rsidRPr="00872414" w14:paraId="71031E01" w14:textId="77777777" w:rsidTr="0C55D5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7B2EC7" w14:textId="753CE89F" w:rsidR="00800DEB" w:rsidRPr="00872414" w:rsidRDefault="0045469F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1.4</w:t>
            </w:r>
          </w:p>
        </w:tc>
        <w:tc>
          <w:tcPr>
            <w:tcW w:w="0" w:type="auto"/>
          </w:tcPr>
          <w:p w14:paraId="12BE70D2" w14:textId="7111F976" w:rsidR="00800DEB" w:rsidRPr="00872414" w:rsidRDefault="0045469F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5469F">
              <w:rPr>
                <w:lang w:eastAsia="en-AU"/>
              </w:rPr>
              <w:t>Re-examined differences between Meningococcal Guidelines October 2007 case definition and the surveillance case definition and adopted the Guidelines version.</w:t>
            </w:r>
          </w:p>
        </w:tc>
        <w:tc>
          <w:tcPr>
            <w:tcW w:w="0" w:type="auto"/>
          </w:tcPr>
          <w:p w14:paraId="2EFAEAAD" w14:textId="400A5F0A" w:rsidR="00800DEB" w:rsidRPr="00872414" w:rsidRDefault="0045469F" w:rsidP="0045469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5469F">
              <w:rPr>
                <w:lang w:eastAsia="en-AU"/>
              </w:rPr>
              <w:t>CDNA 30 September 2009</w:t>
            </w:r>
          </w:p>
        </w:tc>
        <w:tc>
          <w:tcPr>
            <w:tcW w:w="0" w:type="auto"/>
          </w:tcPr>
          <w:p w14:paraId="6B09C623" w14:textId="61D8EDF9" w:rsidR="00800DEB" w:rsidRPr="00872414" w:rsidRDefault="0045469F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5469F">
              <w:rPr>
                <w:lang w:eastAsia="en-AU"/>
              </w:rPr>
              <w:t>1 July 201</w:t>
            </w:r>
            <w:r>
              <w:rPr>
                <w:lang w:eastAsia="en-AU"/>
              </w:rPr>
              <w:t>0</w:t>
            </w:r>
          </w:p>
        </w:tc>
      </w:tr>
      <w:tr w:rsidR="00800DEB" w:rsidRPr="00872414" w14:paraId="40D16C76" w14:textId="77777777" w:rsidTr="0C55D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A2FEC8" w14:textId="6BAD68DE" w:rsidR="00800DEB" w:rsidRPr="00872414" w:rsidRDefault="0045469F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1.3</w:t>
            </w:r>
          </w:p>
        </w:tc>
        <w:tc>
          <w:tcPr>
            <w:tcW w:w="0" w:type="auto"/>
          </w:tcPr>
          <w:p w14:paraId="4B150038" w14:textId="642C4A4F" w:rsidR="00800DEB" w:rsidRPr="00872414" w:rsidRDefault="0045469F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5469F">
              <w:rPr>
                <w:lang w:eastAsia="en-AU"/>
              </w:rPr>
              <w:t>No Change</w:t>
            </w:r>
          </w:p>
        </w:tc>
        <w:tc>
          <w:tcPr>
            <w:tcW w:w="0" w:type="auto"/>
          </w:tcPr>
          <w:p w14:paraId="7FB63BB5" w14:textId="0E6FC0A9" w:rsidR="00800DEB" w:rsidRPr="00872414" w:rsidRDefault="0045469F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5469F">
              <w:rPr>
                <w:lang w:eastAsia="en-AU"/>
              </w:rPr>
              <w:t>CDWG 14 August 200</w:t>
            </w:r>
            <w:r>
              <w:rPr>
                <w:lang w:eastAsia="en-AU"/>
              </w:rPr>
              <w:t>8</w:t>
            </w:r>
          </w:p>
        </w:tc>
        <w:tc>
          <w:tcPr>
            <w:tcW w:w="0" w:type="auto"/>
          </w:tcPr>
          <w:p w14:paraId="0D1D8704" w14:textId="0BBE6AEA" w:rsidR="00800DEB" w:rsidRPr="00872414" w:rsidRDefault="00800DEB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</w:tr>
      <w:tr w:rsidR="0045469F" w:rsidRPr="00872414" w14:paraId="66ACC2DB" w14:textId="77777777" w:rsidTr="0C55D5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D6377D" w14:textId="5C3A2DE2" w:rsidR="0045469F" w:rsidRPr="00872414" w:rsidRDefault="0045469F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1.2</w:t>
            </w:r>
          </w:p>
        </w:tc>
        <w:tc>
          <w:tcPr>
            <w:tcW w:w="0" w:type="auto"/>
          </w:tcPr>
          <w:p w14:paraId="56CBAF9A" w14:textId="77777777" w:rsidR="0045469F" w:rsidRDefault="0045469F" w:rsidP="0045469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Under Laboratory suggestive evidence delete following text “Positive polysaccharide antigen test in cerebrospinal fluid with other laboratory parameters consistent with meningitis.”</w:t>
            </w:r>
          </w:p>
          <w:p w14:paraId="5F1C9B15" w14:textId="77777777" w:rsidR="0045469F" w:rsidRDefault="0045469F" w:rsidP="0045469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  <w:p w14:paraId="6776634C" w14:textId="77777777" w:rsidR="0045469F" w:rsidRDefault="0045469F" w:rsidP="0045469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Under Laboratory definitive evidence, add text in bold and italics “Detection of specific meningococcal DNA sequences in a specimen from a normally sterile site by nucleic acid amplification testing.”</w:t>
            </w:r>
          </w:p>
          <w:p w14:paraId="43CC3F50" w14:textId="77777777" w:rsidR="0045469F" w:rsidRDefault="0045469F" w:rsidP="0045469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  <w:p w14:paraId="771B74F9" w14:textId="419B3B32" w:rsidR="0045469F" w:rsidRPr="00872414" w:rsidRDefault="0045469F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>Move ‘detection of meningococcus in a specimen from a normally sterile site by nucleic acid testing’ from laboratory suggestive evidence to laboratory definitive evidence.</w:t>
            </w:r>
          </w:p>
        </w:tc>
        <w:tc>
          <w:tcPr>
            <w:tcW w:w="0" w:type="auto"/>
          </w:tcPr>
          <w:p w14:paraId="736367FE" w14:textId="2BE44E3F" w:rsidR="0045469F" w:rsidRPr="00872414" w:rsidRDefault="0045469F" w:rsidP="004546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5469F">
              <w:rPr>
                <w:lang w:eastAsia="en-AU"/>
              </w:rPr>
              <w:lastRenderedPageBreak/>
              <w:t>April 2007</w:t>
            </w:r>
          </w:p>
        </w:tc>
        <w:tc>
          <w:tcPr>
            <w:tcW w:w="0" w:type="auto"/>
          </w:tcPr>
          <w:p w14:paraId="47997F12" w14:textId="23184A62" w:rsidR="0045469F" w:rsidRPr="00872414" w:rsidRDefault="0045469F" w:rsidP="004546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</w:tr>
      <w:tr w:rsidR="0045469F" w:rsidRPr="00872414" w14:paraId="6EB83AA5" w14:textId="77777777" w:rsidTr="0C55D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CF817C" w14:textId="4FC06BB7" w:rsidR="0045469F" w:rsidRPr="00872414" w:rsidRDefault="0045469F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6BA720E0" w14:textId="550610B1" w:rsidR="0045469F" w:rsidRPr="00872414" w:rsidRDefault="0045469F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5469F">
              <w:rPr>
                <w:lang w:eastAsia="en-AU"/>
              </w:rPr>
              <w:t>Inclusion of PCR testing in laboratory definitive evidence.</w:t>
            </w:r>
          </w:p>
        </w:tc>
        <w:tc>
          <w:tcPr>
            <w:tcW w:w="0" w:type="auto"/>
          </w:tcPr>
          <w:p w14:paraId="05A51F60" w14:textId="40A20C45" w:rsidR="0045469F" w:rsidRPr="00872414" w:rsidRDefault="0045469F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5469F">
              <w:rPr>
                <w:lang w:eastAsia="en-AU"/>
              </w:rPr>
              <w:t>June 200</w:t>
            </w:r>
            <w:r>
              <w:rPr>
                <w:lang w:eastAsia="en-AU"/>
              </w:rPr>
              <w:t>5</w:t>
            </w:r>
          </w:p>
        </w:tc>
        <w:tc>
          <w:tcPr>
            <w:tcW w:w="0" w:type="auto"/>
          </w:tcPr>
          <w:p w14:paraId="2AB14BDE" w14:textId="75EA4DFE" w:rsidR="0045469F" w:rsidRPr="00872414" w:rsidRDefault="0045469F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</w:tr>
      <w:tr w:rsidR="0045469F" w:rsidRPr="00872414" w14:paraId="7B26FE86" w14:textId="77777777" w:rsidTr="0C55D5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21D925" w14:textId="58A0B6F0" w:rsidR="0045469F" w:rsidRDefault="0045469F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34942274" w14:textId="46EA8E13" w:rsidR="0045469F" w:rsidRPr="00872414" w:rsidRDefault="0045469F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5469F"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</w:tcPr>
          <w:p w14:paraId="31FA96F4" w14:textId="1E9D81FF" w:rsidR="0045469F" w:rsidRPr="00872414" w:rsidRDefault="0045469F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757DEE2C" w14:textId="3320BB05" w:rsidR="0045469F" w:rsidRPr="00872414" w:rsidRDefault="0045469F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026ACC71" w14:textId="77777777" w:rsidR="0045469F" w:rsidRPr="0045469F" w:rsidRDefault="0045469F" w:rsidP="0045469F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5469F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5631C69E" w14:textId="77777777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45469F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cases</w:t>
      </w: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45469F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</w:t>
      </w: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 should be notified.</w:t>
      </w:r>
    </w:p>
    <w:p w14:paraId="4E9D84C0" w14:textId="77777777" w:rsidR="0045469F" w:rsidRPr="0045469F" w:rsidRDefault="0045469F" w:rsidP="0045469F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5469F">
        <w:rPr>
          <w:rFonts w:ascii="Open Sans" w:hAnsi="Open Sans" w:cs="Open Sans"/>
          <w:color w:val="000000"/>
          <w:sz w:val="27"/>
          <w:szCs w:val="27"/>
          <w:lang w:eastAsia="en-AU"/>
        </w:rPr>
        <w:t xml:space="preserve">Confirmed </w:t>
      </w:r>
      <w:proofErr w:type="gramStart"/>
      <w:r w:rsidRPr="0045469F">
        <w:rPr>
          <w:rFonts w:ascii="Open Sans" w:hAnsi="Open Sans" w:cs="Open Sans"/>
          <w:color w:val="000000"/>
          <w:sz w:val="27"/>
          <w:szCs w:val="27"/>
          <w:lang w:eastAsia="en-AU"/>
        </w:rPr>
        <w:t>case</w:t>
      </w:r>
      <w:proofErr w:type="gramEnd"/>
    </w:p>
    <w:p w14:paraId="0BFA9311" w14:textId="77777777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 either:</w:t>
      </w:r>
    </w:p>
    <w:p w14:paraId="26E8BA6F" w14:textId="77777777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1.    </w:t>
      </w:r>
      <w:r w:rsidRPr="0045469F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</w:p>
    <w:p w14:paraId="49450433" w14:textId="77777777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7BEE420" w14:textId="77777777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2.    </w:t>
      </w:r>
      <w:r w:rsidRPr="0045469F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</w:t>
      </w: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45469F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.</w:t>
      </w:r>
    </w:p>
    <w:p w14:paraId="7142AA64" w14:textId="77777777" w:rsidR="0045469F" w:rsidRPr="0045469F" w:rsidRDefault="0045469F" w:rsidP="0045469F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5469F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258FA774" w14:textId="77777777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1. Isolation of </w:t>
      </w:r>
      <w:r w:rsidRPr="0045469F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Neisseria meningitidis</w:t>
      </w: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 from a normally sterile site</w:t>
      </w:r>
    </w:p>
    <w:p w14:paraId="1317E0FD" w14:textId="77777777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161F0734" w14:textId="77777777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2. Detection of specific meningococcal DNA sequences in a specimen from a normally sterile site by nucleic acid amplification testing.</w:t>
      </w:r>
    </w:p>
    <w:p w14:paraId="3F641FB2" w14:textId="77777777" w:rsidR="0045469F" w:rsidRPr="0045469F" w:rsidRDefault="0045469F" w:rsidP="0045469F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5469F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7F20C647" w14:textId="768DC5C5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Detection of Gram-negative diplococci in Gram stain of specimen from a normally sterile site or from a suspicious skin lesion</w:t>
      </w:r>
    </w:p>
    <w:p w14:paraId="02C25A47" w14:textId="77777777" w:rsidR="0045469F" w:rsidRPr="0045469F" w:rsidRDefault="0045469F" w:rsidP="0045469F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5469F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 (for a confirmed case)</w:t>
      </w:r>
    </w:p>
    <w:p w14:paraId="750DF509" w14:textId="77777777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Disease which in the opinion of the treating clinician is compatible with invasive meningococcal disease.</w:t>
      </w:r>
    </w:p>
    <w:p w14:paraId="337E50A9" w14:textId="77777777" w:rsidR="0045469F" w:rsidRPr="0045469F" w:rsidRDefault="0045469F" w:rsidP="0045469F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5469F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0FE92DA7" w14:textId="77777777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 </w:t>
      </w:r>
      <w:r w:rsidRPr="0045469F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 only.</w:t>
      </w:r>
    </w:p>
    <w:p w14:paraId="7F89135D" w14:textId="77777777" w:rsidR="0045469F" w:rsidRPr="0045469F" w:rsidRDefault="0045469F" w:rsidP="0045469F">
      <w:pPr>
        <w:keepNext/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5469F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 (for a probable case)</w:t>
      </w:r>
    </w:p>
    <w:p w14:paraId="48B8E3BA" w14:textId="77777777" w:rsidR="0045469F" w:rsidRPr="0045469F" w:rsidRDefault="0045469F" w:rsidP="0045469F">
      <w:pPr>
        <w:keepNext/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requires:</w:t>
      </w:r>
    </w:p>
    <w:p w14:paraId="780523AB" w14:textId="77777777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1.    The absence of evidence for other causes of clinical symptoms</w:t>
      </w:r>
    </w:p>
    <w:p w14:paraId="783653CC" w14:textId="77777777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AND EITHER</w:t>
      </w:r>
    </w:p>
    <w:p w14:paraId="5739C2E7" w14:textId="77777777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2.    Clinically compatible disease including haemorrhagic rash</w:t>
      </w:r>
    </w:p>
    <w:p w14:paraId="5DF6F341" w14:textId="77777777" w:rsidR="0045469F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4FCDBACE" w14:textId="35231857" w:rsidR="009E0B84" w:rsidRPr="0045469F" w:rsidRDefault="0045469F" w:rsidP="0045469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469F">
        <w:rPr>
          <w:rFonts w:ascii="Helvetica" w:hAnsi="Helvetica" w:cs="Helvetica"/>
          <w:color w:val="222222"/>
          <w:sz w:val="20"/>
          <w:szCs w:val="20"/>
          <w:lang w:eastAsia="en-AU"/>
        </w:rPr>
        <w:t>3.    Clinically compatible disease AND close contact with a confirmed case within the previous 60 days.</w:t>
      </w:r>
    </w:p>
    <w:sectPr w:rsidR="009E0B84" w:rsidRPr="0045469F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6833" w14:textId="77777777" w:rsidR="009600A8" w:rsidRDefault="009600A8" w:rsidP="006B56BB">
      <w:r>
        <w:separator/>
      </w:r>
    </w:p>
    <w:p w14:paraId="120C17E0" w14:textId="77777777" w:rsidR="009600A8" w:rsidRDefault="009600A8"/>
  </w:endnote>
  <w:endnote w:type="continuationSeparator" w:id="0">
    <w:p w14:paraId="1DE18986" w14:textId="77777777" w:rsidR="009600A8" w:rsidRDefault="009600A8" w:rsidP="006B56BB">
      <w:r>
        <w:continuationSeparator/>
      </w:r>
    </w:p>
    <w:p w14:paraId="7065A5BB" w14:textId="77777777" w:rsidR="009600A8" w:rsidRDefault="009600A8"/>
  </w:endnote>
  <w:endnote w:type="continuationNotice" w:id="1">
    <w:p w14:paraId="71D69591" w14:textId="77777777" w:rsidR="009600A8" w:rsidRDefault="00960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469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86FABB" w14:textId="319CA042" w:rsidR="00CD407A" w:rsidRDefault="0045469F" w:rsidP="0045469F">
            <w:pPr>
              <w:pStyle w:val="Footer"/>
              <w:jc w:val="right"/>
            </w:pPr>
            <w:r w:rsidRPr="0045469F">
              <w:t>Invasive meningococcal disease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515F" w14:textId="77777777" w:rsidR="009600A8" w:rsidRDefault="009600A8" w:rsidP="006B56BB">
      <w:r>
        <w:separator/>
      </w:r>
    </w:p>
    <w:p w14:paraId="5E8F8D51" w14:textId="77777777" w:rsidR="009600A8" w:rsidRDefault="009600A8"/>
  </w:footnote>
  <w:footnote w:type="continuationSeparator" w:id="0">
    <w:p w14:paraId="16EEF036" w14:textId="77777777" w:rsidR="009600A8" w:rsidRDefault="009600A8" w:rsidP="006B56BB">
      <w:r>
        <w:continuationSeparator/>
      </w:r>
    </w:p>
    <w:p w14:paraId="67821098" w14:textId="77777777" w:rsidR="009600A8" w:rsidRDefault="009600A8"/>
  </w:footnote>
  <w:footnote w:type="continuationNotice" w:id="1">
    <w:p w14:paraId="011C2158" w14:textId="77777777" w:rsidR="009600A8" w:rsidRDefault="009600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97594536">
    <w:abstractNumId w:val="7"/>
  </w:num>
  <w:num w:numId="2" w16cid:durableId="529148721">
    <w:abstractNumId w:val="14"/>
  </w:num>
  <w:num w:numId="3" w16cid:durableId="1769734536">
    <w:abstractNumId w:val="16"/>
  </w:num>
  <w:num w:numId="4" w16cid:durableId="742027584">
    <w:abstractNumId w:val="8"/>
  </w:num>
  <w:num w:numId="5" w16cid:durableId="1841966237">
    <w:abstractNumId w:val="8"/>
    <w:lvlOverride w:ilvl="0">
      <w:startOverride w:val="1"/>
    </w:lvlOverride>
  </w:num>
  <w:num w:numId="6" w16cid:durableId="1075782064">
    <w:abstractNumId w:val="9"/>
  </w:num>
  <w:num w:numId="7" w16cid:durableId="1063989112">
    <w:abstractNumId w:val="13"/>
  </w:num>
  <w:num w:numId="8" w16cid:durableId="2069375389">
    <w:abstractNumId w:val="15"/>
  </w:num>
  <w:num w:numId="9" w16cid:durableId="1298072191">
    <w:abstractNumId w:val="5"/>
  </w:num>
  <w:num w:numId="10" w16cid:durableId="164051620">
    <w:abstractNumId w:val="4"/>
  </w:num>
  <w:num w:numId="11" w16cid:durableId="379331909">
    <w:abstractNumId w:val="3"/>
  </w:num>
  <w:num w:numId="12" w16cid:durableId="257494823">
    <w:abstractNumId w:val="2"/>
  </w:num>
  <w:num w:numId="13" w16cid:durableId="2065060629">
    <w:abstractNumId w:val="6"/>
  </w:num>
  <w:num w:numId="14" w16cid:durableId="967009298">
    <w:abstractNumId w:val="1"/>
  </w:num>
  <w:num w:numId="15" w16cid:durableId="1765224476">
    <w:abstractNumId w:val="0"/>
  </w:num>
  <w:num w:numId="16" w16cid:durableId="534655961">
    <w:abstractNumId w:val="17"/>
  </w:num>
  <w:num w:numId="17" w16cid:durableId="1749688191">
    <w:abstractNumId w:val="10"/>
  </w:num>
  <w:num w:numId="18" w16cid:durableId="597754516">
    <w:abstractNumId w:val="11"/>
  </w:num>
  <w:num w:numId="19" w16cid:durableId="16478555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9F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5881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96DA0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69F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25E8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0A8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27DC0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85190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756F8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E5E74"/>
    <w:rsid w:val="00FF0AB0"/>
    <w:rsid w:val="00FF28AC"/>
    <w:rsid w:val="00FF7F62"/>
    <w:rsid w:val="068632AF"/>
    <w:rsid w:val="0C55D5B1"/>
    <w:rsid w:val="1A4508BB"/>
    <w:rsid w:val="36D9776C"/>
    <w:rsid w:val="3C878B37"/>
    <w:rsid w:val="43C1D346"/>
    <w:rsid w:val="505C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7B7EA"/>
  <w15:docId w15:val="{27740B72-67F5-433E-BD2A-BB5C283B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45469F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5469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Revision">
    <w:name w:val="Revision"/>
    <w:hidden/>
    <w:uiPriority w:val="99"/>
    <w:semiHidden/>
    <w:rsid w:val="00FE5E74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05DE2F02CD64C92B085DFF1AD0A76" ma:contentTypeVersion="6" ma:contentTypeDescription="Create a new document." ma:contentTypeScope="" ma:versionID="660951c38200c3af6d3844bab42912e6">
  <xsd:schema xmlns:xsd="http://www.w3.org/2001/XMLSchema" xmlns:xs="http://www.w3.org/2001/XMLSchema" xmlns:p="http://schemas.microsoft.com/office/2006/metadata/properties" xmlns:ns2="084bd9a4-dbe0-4063-a88e-1c6349fef22d" xmlns:ns3="1daaf13a-c818-4716-b286-c47a851e75e8" targetNamespace="http://schemas.microsoft.com/office/2006/metadata/properties" ma:root="true" ma:fieldsID="99abbbc39d052c29908ffa506feb3943" ns2:_="" ns3:_="">
    <xsd:import namespace="084bd9a4-dbe0-4063-a88e-1c6349fef22d"/>
    <xsd:import namespace="1daaf13a-c818-4716-b286-c47a851e7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d9a4-dbe0-4063-a88e-1c6349fef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af13a-c818-4716-b286-c47a851e7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A400C-6DE8-49FD-9C05-7FBE3D5B3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d9a4-dbe0-4063-a88e-1c6349fef22d"/>
    <ds:schemaRef ds:uri="1daaf13a-c818-4716-b286-c47a851e7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Invasive meningococcal disease – Surveillance case definition</vt:lpstr>
    </vt:vector>
  </TitlesOfParts>
  <Company>Australian Centre for Disease Control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meningococcal disease – Surveillance case definition</dc:title>
  <dc:creator>Communicable Diseases Network Australia</dc:creator>
  <cp:keywords>Communicable diseases</cp:keywords>
  <dcterms:created xsi:type="dcterms:W3CDTF">2024-05-02T05:28:00Z</dcterms:created>
  <dcterms:modified xsi:type="dcterms:W3CDTF">2024-06-25T00:07:00Z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0x010100DE605DE2F02CD64C92B085DFF1AD0A76</vt:lpwstr>
  </property>
</Properties>
</file>