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5A98F04" w14:textId="77777777" w:rsidTr="00800DEB">
        <w:tc>
          <w:tcPr>
            <w:tcW w:w="2547" w:type="dxa"/>
          </w:tcPr>
          <w:p w14:paraId="4449F5DE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10979453" wp14:editId="222200BB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46A1F7C" w14:textId="2DED983C" w:rsidR="00800DEB" w:rsidRDefault="00DA74AB" w:rsidP="00800DEB">
            <w:pPr>
              <w:pStyle w:val="Title"/>
            </w:pPr>
            <w:r w:rsidRPr="00DA74AB">
              <w:t>Leprosy</w:t>
            </w:r>
          </w:p>
          <w:p w14:paraId="5646D015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04E0810C" w14:textId="3AC2C0FD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DA74AB">
        <w:t>l</w:t>
      </w:r>
      <w:r w:rsidR="00DA74AB" w:rsidRPr="00DA74AB">
        <w:t>eprosy</w:t>
      </w:r>
      <w:r w:rsidR="00DA74AB">
        <w:t>,</w:t>
      </w:r>
      <w:r w:rsidR="00DA74AB" w:rsidRPr="00DA74AB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765933" w14:paraId="611149BC" w14:textId="77777777" w:rsidTr="0076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5620A" w14:textId="77777777" w:rsidR="00765933" w:rsidRDefault="00765933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ED7AC" w14:textId="77777777" w:rsidR="00765933" w:rsidRDefault="00765933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4CA9B" w14:textId="77777777" w:rsidR="00765933" w:rsidRDefault="00765933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D9671" w14:textId="77777777" w:rsidR="00765933" w:rsidRDefault="00765933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765933" w14:paraId="2AD65E6B" w14:textId="77777777" w:rsidTr="0076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6A595" w14:textId="77777777" w:rsidR="00765933" w:rsidRDefault="0076593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B41BD" w14:textId="77777777" w:rsidR="00765933" w:rsidRDefault="0076593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5A5D5" w14:textId="77777777" w:rsidR="00765933" w:rsidRDefault="0076593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7C2BA" w14:textId="77777777" w:rsidR="00765933" w:rsidRDefault="0076593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06E78C6A" w14:textId="77777777" w:rsidR="009E0B84" w:rsidRDefault="009E0B84" w:rsidP="00800DEB"/>
    <w:p w14:paraId="57FF1C1B" w14:textId="77777777" w:rsidR="00DA74AB" w:rsidRPr="00DA74AB" w:rsidRDefault="00DA74AB" w:rsidP="00DA74AB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DA74AB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70E612C5" w14:textId="26B97C91" w:rsidR="00DA74AB" w:rsidRPr="00DA74AB" w:rsidRDefault="00DA74AB" w:rsidP="00DA74AB">
      <w:pPr>
        <w:rPr>
          <w:rFonts w:ascii="Times New Roman" w:hAnsi="Times New Roman"/>
          <w:sz w:val="24"/>
          <w:lang w:eastAsia="en-AU"/>
        </w:rPr>
      </w:pP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 a </w:t>
      </w:r>
      <w:r w:rsidRPr="00DA74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conﬁrmed case</w:t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notiﬁed.</w:t>
      </w:r>
    </w:p>
    <w:p w14:paraId="456AFD09" w14:textId="77777777" w:rsidR="00DA74AB" w:rsidRPr="00DA74AB" w:rsidRDefault="00DA74AB" w:rsidP="00DA74A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A74A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347A2AA5" w14:textId="34EC96A0" w:rsidR="00DA74AB" w:rsidRPr="00DA74AB" w:rsidRDefault="00DA74AB" w:rsidP="00DA74AB">
      <w:pPr>
        <w:rPr>
          <w:rFonts w:ascii="Times New Roman" w:hAnsi="Times New Roman"/>
          <w:sz w:val="24"/>
          <w:lang w:eastAsia="en-AU"/>
        </w:rPr>
      </w:pP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 </w:t>
      </w:r>
      <w:r w:rsidRPr="00DA74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conﬁrmed case</w:t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requires either </w:t>
      </w:r>
      <w:r w:rsidRPr="00DA74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deﬁnitive evidence</w:t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OR </w:t>
      </w:r>
      <w:r w:rsidRPr="00DA74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suggestive evidence</w:t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DA74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p w14:paraId="4DC2D6C1" w14:textId="77777777" w:rsidR="00DA74AB" w:rsidRPr="00DA74AB" w:rsidRDefault="00DA74AB" w:rsidP="00DA74AB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DA74AB">
        <w:rPr>
          <w:rFonts w:ascii="Open Sans" w:hAnsi="Open Sans" w:cs="Open Sans"/>
          <w:color w:val="000000"/>
          <w:sz w:val="24"/>
          <w:lang w:eastAsia="en-AU"/>
        </w:rPr>
        <w:t>Laboratory definitive evidence</w:t>
      </w:r>
    </w:p>
    <w:p w14:paraId="46B589A6" w14:textId="735B4AB1" w:rsidR="00DA74AB" w:rsidRPr="00DA74AB" w:rsidRDefault="00DA74AB" w:rsidP="00DA74AB">
      <w:pPr>
        <w:rPr>
          <w:rFonts w:ascii="Times New Roman" w:hAnsi="Times New Roman"/>
          <w:sz w:val="24"/>
          <w:lang w:eastAsia="en-AU"/>
        </w:rPr>
      </w:pP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 </w:t>
      </w:r>
      <w:r w:rsidRPr="00DA74AB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Mycobacterium</w:t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leprae by nucleic acid testing from the ear lobe or other relevant specimens.</w:t>
      </w:r>
    </w:p>
    <w:p w14:paraId="3D6E6F7C" w14:textId="77777777" w:rsidR="00DA74AB" w:rsidRPr="00DA74AB" w:rsidRDefault="00DA74AB" w:rsidP="00DA74AB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DA74AB">
        <w:rPr>
          <w:rFonts w:ascii="Open Sans" w:hAnsi="Open Sans" w:cs="Open Sans"/>
          <w:color w:val="000000"/>
          <w:sz w:val="24"/>
          <w:lang w:eastAsia="en-AU"/>
        </w:rPr>
        <w:t>Laboratory suggestive evidence</w:t>
      </w:r>
    </w:p>
    <w:p w14:paraId="404F4D38" w14:textId="77777777" w:rsidR="00DA74AB" w:rsidRDefault="00DA74AB" w:rsidP="00DA74AB">
      <w:pPr>
        <w:rPr>
          <w:rFonts w:ascii="Times New Roman" w:hAnsi="Times New Roman"/>
          <w:sz w:val="24"/>
          <w:lang w:eastAsia="en-AU"/>
        </w:rPr>
      </w:pP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Demonstration of characteristic </w:t>
      </w:r>
      <w:proofErr w:type="gramStart"/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acid fast</w:t>
      </w:r>
      <w:proofErr w:type="gramEnd"/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bacilli in slit skin smears and biopsies prepared from the ear lobe or other relevant sites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Histopathological report from skin or nerve biopsy compatible with leprosy (Hansen’s disease) examined by an anatomical pathologist or specialist microbiologist experienced in leprosy diagnosis.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16A181B3" w14:textId="77777777" w:rsidR="00DA74AB" w:rsidRDefault="00DA74AB">
      <w:pPr>
        <w:rPr>
          <w:rFonts w:ascii="Times New Roman" w:hAnsi="Times New Roman"/>
          <w:sz w:val="24"/>
          <w:lang w:eastAsia="en-AU"/>
        </w:rPr>
      </w:pPr>
      <w:r>
        <w:rPr>
          <w:rFonts w:ascii="Times New Roman" w:hAnsi="Times New Roman"/>
          <w:sz w:val="24"/>
          <w:lang w:eastAsia="en-AU"/>
        </w:rPr>
        <w:br w:type="page"/>
      </w:r>
    </w:p>
    <w:p w14:paraId="33933EC7" w14:textId="3D523AAB" w:rsidR="00DA74AB" w:rsidRPr="00DA74AB" w:rsidRDefault="00DA74AB" w:rsidP="00DA74AB">
      <w:pPr>
        <w:rPr>
          <w:rFonts w:ascii="Times New Roman" w:hAnsi="Times New Roman"/>
          <w:sz w:val="24"/>
          <w:lang w:eastAsia="en-AU"/>
        </w:rPr>
      </w:pPr>
      <w:r w:rsidRPr="00DA74AB">
        <w:rPr>
          <w:rFonts w:ascii="Open Sans" w:hAnsi="Open Sans" w:cs="Open Sans"/>
          <w:color w:val="000000"/>
          <w:sz w:val="24"/>
          <w:lang w:eastAsia="en-AU"/>
        </w:rPr>
        <w:lastRenderedPageBreak/>
        <w:t>Clinical evidence</w:t>
      </w:r>
    </w:p>
    <w:p w14:paraId="04998532" w14:textId="32DC24F2" w:rsidR="009E0B84" w:rsidRDefault="00DA74AB" w:rsidP="00DA74AB">
      <w:pPr>
        <w:pStyle w:val="Paragraphtext"/>
      </w:pP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Compatible nerve conduction studies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Peripheral nerve enlargement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Loss of neurological function not attributable to trauma or other disease process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DA74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Hypopigmented or reddish skin lesions with deﬁnite loss of sensation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C465A" w14:textId="77777777" w:rsidR="00DA74AB" w:rsidRDefault="00DA74AB" w:rsidP="006B56BB">
      <w:r>
        <w:separator/>
      </w:r>
    </w:p>
    <w:p w14:paraId="7493A85C" w14:textId="77777777" w:rsidR="00DA74AB" w:rsidRDefault="00DA74AB"/>
  </w:endnote>
  <w:endnote w:type="continuationSeparator" w:id="0">
    <w:p w14:paraId="4DBE7AB3" w14:textId="77777777" w:rsidR="00DA74AB" w:rsidRDefault="00DA74AB" w:rsidP="006B56BB">
      <w:r>
        <w:continuationSeparator/>
      </w:r>
    </w:p>
    <w:p w14:paraId="1F760DC8" w14:textId="77777777" w:rsidR="00DA74AB" w:rsidRDefault="00DA74AB"/>
  </w:endnote>
  <w:endnote w:type="continuationNotice" w:id="1">
    <w:p w14:paraId="5D01DF6B" w14:textId="77777777" w:rsidR="00DA74AB" w:rsidRDefault="00DA7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FC1E60" w14:textId="2FD2D576" w:rsidR="00CD407A" w:rsidRDefault="00DA74AB">
            <w:pPr>
              <w:pStyle w:val="Footer"/>
              <w:jc w:val="right"/>
            </w:pPr>
            <w:r w:rsidRPr="00DA74AB">
              <w:t xml:space="preserve">Leprosy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525F2EA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2D1D7" w14:textId="77777777" w:rsidR="00DA74AB" w:rsidRDefault="00DA74AB" w:rsidP="006B56BB">
      <w:r>
        <w:separator/>
      </w:r>
    </w:p>
    <w:p w14:paraId="6EB8D8A7" w14:textId="77777777" w:rsidR="00DA74AB" w:rsidRDefault="00DA74AB"/>
  </w:footnote>
  <w:footnote w:type="continuationSeparator" w:id="0">
    <w:p w14:paraId="2B4E04D4" w14:textId="77777777" w:rsidR="00DA74AB" w:rsidRDefault="00DA74AB" w:rsidP="006B56BB">
      <w:r>
        <w:continuationSeparator/>
      </w:r>
    </w:p>
    <w:p w14:paraId="6B1C0E95" w14:textId="77777777" w:rsidR="00DA74AB" w:rsidRDefault="00DA74AB"/>
  </w:footnote>
  <w:footnote w:type="continuationNotice" w:id="1">
    <w:p w14:paraId="73827621" w14:textId="77777777" w:rsidR="00DA74AB" w:rsidRDefault="00DA7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A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5933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A74AB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F589AF"/>
  <w15:docId w15:val="{C59884B0-CB3C-43F6-907D-1B6CF46C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DA74AB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A74AB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A74AB"/>
    <w:rPr>
      <w:rFonts w:ascii="Arial" w:hAnsi="Arial"/>
      <w:b/>
      <w:bCs/>
      <w:i/>
      <w:color w:val="41414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6F942-ED95-4AE6-AB26-AD55DB26AD11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7</TotalTime>
  <Pages>2</Pages>
  <Words>187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 – Surveillance case definition</dc:title>
  <dc:creator>Communicable Diseases Network Australia</dc:creator>
  <cp:keywords>Communicable diseases</cp:keywords>
  <dcterms:created xsi:type="dcterms:W3CDTF">2022-06-07T04:26:00Z</dcterms:created>
  <dcterms:modified xsi:type="dcterms:W3CDTF">2022-06-09T05:46:00Z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