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6E439B13" w14:textId="77777777" w:rsidTr="00800DEB">
        <w:tc>
          <w:tcPr>
            <w:tcW w:w="2547" w:type="dxa"/>
          </w:tcPr>
          <w:p w14:paraId="5CD1F039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2FC5D4F" wp14:editId="56948407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CF99717" w14:textId="4E6ACA51" w:rsidR="00800DEB" w:rsidRDefault="00B97325" w:rsidP="00800DEB">
            <w:pPr>
              <w:pStyle w:val="Title"/>
            </w:pPr>
            <w:r w:rsidRPr="00B97325">
              <w:t>Leptospirosis</w:t>
            </w:r>
          </w:p>
          <w:p w14:paraId="0E264C23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32A1293B" w14:textId="7D6AFCA7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B97325">
        <w:t>l</w:t>
      </w:r>
      <w:r w:rsidR="00B97325" w:rsidRPr="00B97325">
        <w:t>eptospirosis</w:t>
      </w:r>
      <w:r w:rsidR="00B97325">
        <w:t>,</w:t>
      </w:r>
      <w:r w:rsidR="00B97325" w:rsidRPr="00B97325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4"/>
        <w:gridCol w:w="4476"/>
        <w:gridCol w:w="1488"/>
        <w:gridCol w:w="2082"/>
      </w:tblGrid>
      <w:tr w:rsidR="00800DEB" w:rsidRPr="00872414" w14:paraId="5B2B37FC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B783B0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7A43ED2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1AEEA31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FF3E87F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5BC448F4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0FB54F" w14:textId="32EBEE7A" w:rsidR="00800DEB" w:rsidRPr="00872414" w:rsidRDefault="00B9732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2.0</w:t>
            </w:r>
          </w:p>
        </w:tc>
        <w:tc>
          <w:tcPr>
            <w:tcW w:w="0" w:type="auto"/>
          </w:tcPr>
          <w:p w14:paraId="09AB6DB8" w14:textId="728FA7B9" w:rsidR="00800DEB" w:rsidRPr="00872414" w:rsidRDefault="00B9732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97325">
              <w:rPr>
                <w:lang w:eastAsia="en-AU"/>
              </w:rPr>
              <w:t>Inclusion of a probable category for cases with laboratory suggestive evidence.</w:t>
            </w:r>
            <w:r w:rsidRPr="00B97325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109CF367" w14:textId="7416855E" w:rsidR="00800DEB" w:rsidRPr="00872414" w:rsidRDefault="00B9732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97325">
              <w:rPr>
                <w:lang w:eastAsia="en-AU"/>
              </w:rPr>
              <w:t>November 2021</w:t>
            </w:r>
          </w:p>
        </w:tc>
        <w:tc>
          <w:tcPr>
            <w:tcW w:w="0" w:type="auto"/>
          </w:tcPr>
          <w:p w14:paraId="70327BCD" w14:textId="26AF5D3E" w:rsidR="00800DEB" w:rsidRPr="00872414" w:rsidRDefault="00B9732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B97325">
              <w:rPr>
                <w:lang w:eastAsia="en-AU"/>
              </w:rPr>
              <w:t>01 January 2022</w:t>
            </w:r>
          </w:p>
        </w:tc>
      </w:tr>
      <w:tr w:rsidR="00800DEB" w:rsidRPr="00872414" w14:paraId="05C2C2E6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2F9E9F" w14:textId="5618D493" w:rsidR="00800DEB" w:rsidRPr="00872414" w:rsidRDefault="00B9732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01E4F569" w14:textId="7531B2B3" w:rsidR="00800DEB" w:rsidRPr="00872414" w:rsidRDefault="00B97325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B97325">
              <w:rPr>
                <w:lang w:eastAsia="en-AU"/>
              </w:rPr>
              <w:t>Initial case definition</w:t>
            </w:r>
            <w:r w:rsidRPr="00B97325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47A760BC" w14:textId="68C011C5" w:rsidR="00800DEB" w:rsidRPr="00872414" w:rsidRDefault="00B97325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7B36F0DA" w14:textId="65F09066" w:rsidR="00800DEB" w:rsidRPr="00872414" w:rsidRDefault="00B97325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4A383A2B" w14:textId="77777777" w:rsidR="00B97325" w:rsidRPr="00B97325" w:rsidRDefault="00B97325" w:rsidP="00B9732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97325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6A1C5A89" w14:textId="77777777" w:rsidR="00B97325" w:rsidRPr="00B97325" w:rsidRDefault="00B97325" w:rsidP="00B9732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B9732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and </w:t>
      </w:r>
      <w:r w:rsidRPr="00B9732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should be notified.</w:t>
      </w:r>
    </w:p>
    <w:p w14:paraId="5CCA2E95" w14:textId="77777777" w:rsidR="00B97325" w:rsidRPr="00B97325" w:rsidRDefault="00B97325" w:rsidP="00B9732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9732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5369EAC9" w14:textId="77777777" w:rsidR="00B97325" w:rsidRPr="00B97325" w:rsidRDefault="00B97325" w:rsidP="00B9732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B9732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only.</w:t>
      </w:r>
    </w:p>
    <w:p w14:paraId="21610700" w14:textId="77777777" w:rsidR="00B97325" w:rsidRPr="00B97325" w:rsidRDefault="00B97325" w:rsidP="00B9732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97325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25646A5" w14:textId="77777777" w:rsidR="00B97325" w:rsidRPr="00B97325" w:rsidRDefault="00B97325" w:rsidP="00B97325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1. Isolation of pathogenic </w:t>
      </w:r>
      <w:r w:rsidRPr="00B9732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Leptospira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species</w:t>
      </w:r>
    </w:p>
    <w:p w14:paraId="62E0F1E5" w14:textId="77777777" w:rsidR="00B97325" w:rsidRPr="00B97325" w:rsidRDefault="00B97325" w:rsidP="00B9732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AACC2BE" w14:textId="77777777" w:rsidR="00B97325" w:rsidRPr="00B97325" w:rsidRDefault="00B97325" w:rsidP="00B97325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 fourfold or greater rise in </w:t>
      </w:r>
      <w:r w:rsidRPr="00B9732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Leptospira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agglutination titre between acute and convalescent phase sera obtained at least two weeks apart and preferably conducted at the same laboratory</w:t>
      </w:r>
    </w:p>
    <w:p w14:paraId="00B7EA17" w14:textId="77777777" w:rsidR="00B97325" w:rsidRPr="00B97325" w:rsidRDefault="00B97325" w:rsidP="00B9732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A9C1986" w14:textId="77777777" w:rsidR="00B97325" w:rsidRPr="00B97325" w:rsidRDefault="00B97325" w:rsidP="00B97325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 single </w:t>
      </w:r>
      <w:r w:rsidRPr="00B9732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Leptospira 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micro agglutination titre greater than or equal to 400 supported by a positive enzyme-linked immunosorbent assay IgM result.</w:t>
      </w:r>
    </w:p>
    <w:p w14:paraId="418BE0C1" w14:textId="77777777" w:rsidR="00B97325" w:rsidRPr="00B97325" w:rsidRDefault="00B97325" w:rsidP="00B97325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97325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Probable case</w:t>
      </w:r>
    </w:p>
    <w:p w14:paraId="2E3A1E80" w14:textId="77777777" w:rsidR="00B97325" w:rsidRPr="00B97325" w:rsidRDefault="00B97325" w:rsidP="00B9732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B9732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evidence.</w:t>
      </w:r>
    </w:p>
    <w:p w14:paraId="06B0D026" w14:textId="77777777" w:rsidR="00B97325" w:rsidRPr="00B97325" w:rsidRDefault="00B97325" w:rsidP="00B9732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97325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14FAC24A" w14:textId="54931D0D" w:rsidR="009E0B84" w:rsidRPr="00B97325" w:rsidRDefault="00B97325" w:rsidP="00B9732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Detection of pathogenic </w:t>
      </w:r>
      <w:r w:rsidRPr="00B9732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Leptospira</w:t>
      </w:r>
      <w:r w:rsidRPr="00B97325">
        <w:rPr>
          <w:rFonts w:ascii="Helvetica" w:hAnsi="Helvetica" w:cs="Helvetica"/>
          <w:color w:val="222222"/>
          <w:sz w:val="20"/>
          <w:szCs w:val="20"/>
          <w:lang w:eastAsia="en-AU"/>
        </w:rPr>
        <w:t> species by nucleic acid testing.</w:t>
      </w:r>
    </w:p>
    <w:sectPr w:rsidR="009E0B84" w:rsidRPr="00B97325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93548" w14:textId="77777777" w:rsidR="00B97325" w:rsidRDefault="00B97325" w:rsidP="006B56BB">
      <w:r>
        <w:separator/>
      </w:r>
    </w:p>
    <w:p w14:paraId="210E05AB" w14:textId="77777777" w:rsidR="00B97325" w:rsidRDefault="00B97325"/>
  </w:endnote>
  <w:endnote w:type="continuationSeparator" w:id="0">
    <w:p w14:paraId="30FDD44A" w14:textId="77777777" w:rsidR="00B97325" w:rsidRDefault="00B97325" w:rsidP="006B56BB">
      <w:r>
        <w:continuationSeparator/>
      </w:r>
    </w:p>
    <w:p w14:paraId="14C5EEE1" w14:textId="77777777" w:rsidR="00B97325" w:rsidRDefault="00B97325"/>
  </w:endnote>
  <w:endnote w:type="continuationNotice" w:id="1">
    <w:p w14:paraId="648103A7" w14:textId="77777777" w:rsidR="00B97325" w:rsidRDefault="00B97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05E9F5" w14:textId="2523C294" w:rsidR="00CD407A" w:rsidRDefault="00B97325">
            <w:pPr>
              <w:pStyle w:val="Footer"/>
              <w:jc w:val="right"/>
            </w:pPr>
            <w:r w:rsidRPr="00B97325">
              <w:t xml:space="preserve">Leptospirosis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7ECFD93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9E2C7" w14:textId="77777777" w:rsidR="00B97325" w:rsidRDefault="00B97325" w:rsidP="006B56BB">
      <w:r>
        <w:separator/>
      </w:r>
    </w:p>
    <w:p w14:paraId="1C9DA4CB" w14:textId="77777777" w:rsidR="00B97325" w:rsidRDefault="00B97325"/>
  </w:footnote>
  <w:footnote w:type="continuationSeparator" w:id="0">
    <w:p w14:paraId="15F4263A" w14:textId="77777777" w:rsidR="00B97325" w:rsidRDefault="00B97325" w:rsidP="006B56BB">
      <w:r>
        <w:continuationSeparator/>
      </w:r>
    </w:p>
    <w:p w14:paraId="526B4008" w14:textId="77777777" w:rsidR="00B97325" w:rsidRDefault="00B97325"/>
  </w:footnote>
  <w:footnote w:type="continuationNotice" w:id="1">
    <w:p w14:paraId="2C470D1E" w14:textId="77777777" w:rsidR="00B97325" w:rsidRDefault="00B973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B6AF7"/>
    <w:multiLevelType w:val="multilevel"/>
    <w:tmpl w:val="90E66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E24E0"/>
    <w:multiLevelType w:val="multilevel"/>
    <w:tmpl w:val="B77E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B596D"/>
    <w:multiLevelType w:val="multilevel"/>
    <w:tmpl w:val="CA1AC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5"/>
  </w:num>
  <w:num w:numId="8">
    <w:abstractNumId w:val="17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0"/>
  </w:num>
  <w:num w:numId="17">
    <w:abstractNumId w:val="11"/>
  </w:num>
  <w:num w:numId="18">
    <w:abstractNumId w:val="13"/>
  </w:num>
  <w:num w:numId="19">
    <w:abstractNumId w:val="14"/>
  </w:num>
  <w:num w:numId="20">
    <w:abstractNumId w:val="1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2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97325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05A5B"/>
  <w15:docId w15:val="{C493E738-4973-41BE-B59A-8CB6537C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B97325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9732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B680D131-B257-4968-B39C-DA63AA3AFC1E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2</Pages>
  <Words>180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Leptospirosis – Surveillance case definition</dc:title>
  <dc:creator>Communicable Diseases Network Australia</dc:creator>
  <cp:keywords>Communicable diseases</cp:keywords>
  <dcterms:created xsi:type="dcterms:W3CDTF">2022-06-07T04:29:00Z</dcterms:created>
  <dcterms:modified xsi:type="dcterms:W3CDTF">2022-06-07T04:32:00Z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