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EB10" w14:textId="335D9813" w:rsidR="001A7B7E" w:rsidRDefault="001A7B7E" w:rsidP="001A7B7E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8FBCC" wp14:editId="4C42C1B8">
            <wp:simplePos x="1631852" y="576775"/>
            <wp:positionH relativeFrom="margin">
              <wp:align>left</wp:align>
            </wp:positionH>
            <wp:positionV relativeFrom="margin">
              <wp:align>top</wp:align>
            </wp:positionV>
            <wp:extent cx="949325" cy="1389380"/>
            <wp:effectExtent l="0" t="0" r="3175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06" cy="140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Monkeypox</w:t>
      </w:r>
      <w:r w:rsidRPr="00F41DA3">
        <w:t xml:space="preserve"> virus infection</w:t>
      </w:r>
    </w:p>
    <w:p w14:paraId="7CD36C72" w14:textId="1A704786" w:rsidR="001A7B7E" w:rsidRDefault="001A7B7E" w:rsidP="001A7B7E">
      <w:pPr>
        <w:pStyle w:val="Subtitle"/>
      </w:pPr>
      <w:r w:rsidRPr="00800DEB">
        <w:t>Australian national notifiable diseases case definition</w:t>
      </w:r>
    </w:p>
    <w:p w14:paraId="3CC65433" w14:textId="5961179B" w:rsidR="004516E8" w:rsidRPr="008C3888" w:rsidRDefault="00800DEB" w:rsidP="008C3888">
      <w:r w:rsidRPr="008C3888">
        <w:t xml:space="preserve">This document contains the surveillance case definition for </w:t>
      </w:r>
      <w:r w:rsidR="00664F9D" w:rsidRPr="008C3888">
        <w:t>monkeypox</w:t>
      </w:r>
      <w:r w:rsidR="00F41DA3" w:rsidRPr="008C3888">
        <w:t xml:space="preserve"> virus infection</w:t>
      </w:r>
      <w:r w:rsidRPr="008C3888">
        <w:t>, which is nationally notifiable within Australia.</w:t>
      </w:r>
    </w:p>
    <w:tbl>
      <w:tblPr>
        <w:tblStyle w:val="DepartmentofHealthtable"/>
        <w:tblW w:w="5000" w:type="pct"/>
        <w:tblLayout w:type="fixed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34"/>
        <w:gridCol w:w="4395"/>
        <w:gridCol w:w="1559"/>
        <w:gridCol w:w="1982"/>
      </w:tblGrid>
      <w:tr w:rsidR="00527A4E" w14:paraId="401E6B1D" w14:textId="77777777" w:rsidTr="00775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42389C3" w14:textId="77777777" w:rsidR="00243E1B" w:rsidRDefault="00243E1B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4395" w:type="dxa"/>
            <w:hideMark/>
          </w:tcPr>
          <w:p w14:paraId="0268B4FE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1559" w:type="dxa"/>
            <w:hideMark/>
          </w:tcPr>
          <w:p w14:paraId="05F41BC4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1982" w:type="dxa"/>
            <w:hideMark/>
          </w:tcPr>
          <w:p w14:paraId="00D9D71F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FD2236" w14:paraId="7F1D69DE" w14:textId="77777777" w:rsidTr="0077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2616257" w14:textId="6900B8DE" w:rsidR="00535B01" w:rsidRPr="00C62FA6" w:rsidRDefault="00535B01" w:rsidP="001C3B95">
            <w:pPr>
              <w:pStyle w:val="TableText"/>
            </w:pPr>
            <w:r w:rsidRPr="00C62FA6">
              <w:t>1.1</w:t>
            </w:r>
          </w:p>
        </w:tc>
        <w:tc>
          <w:tcPr>
            <w:tcW w:w="4395" w:type="dxa"/>
          </w:tcPr>
          <w:p w14:paraId="6E3FD30B" w14:textId="77777777" w:rsidR="00535B01" w:rsidRPr="001C3B95" w:rsidRDefault="00535B01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B95">
              <w:t>Clinical evidence:</w:t>
            </w:r>
          </w:p>
          <w:p w14:paraId="3B55B6A9" w14:textId="240DD298" w:rsidR="001C3B95" w:rsidRPr="001C3B95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C3B95">
              <w:rPr>
                <w:b w:val="0"/>
                <w:bCs w:val="0"/>
              </w:rPr>
              <w:t>Removed ‘A clinically compatible illness with rash’ and replaced with ‘A clinically compatible rash or lesion(s)’.</w:t>
            </w:r>
          </w:p>
          <w:p w14:paraId="54D59965" w14:textId="2A1BF235" w:rsidR="001C3B95" w:rsidRPr="001C3B95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C3B95">
              <w:rPr>
                <w:b w:val="0"/>
                <w:bCs w:val="0"/>
              </w:rPr>
              <w:t>Removed ‘classical symptom</w:t>
            </w:r>
            <w:r w:rsidR="00894E8D">
              <w:rPr>
                <w:b w:val="0"/>
                <w:bCs w:val="0"/>
              </w:rPr>
              <w:t>(</w:t>
            </w:r>
            <w:r w:rsidRPr="001C3B95">
              <w:rPr>
                <w:b w:val="0"/>
                <w:bCs w:val="0"/>
              </w:rPr>
              <w:t>s</w:t>
            </w:r>
            <w:r w:rsidR="00894E8D">
              <w:rPr>
                <w:b w:val="0"/>
                <w:bCs w:val="0"/>
              </w:rPr>
              <w:t>)</w:t>
            </w:r>
            <w:r w:rsidRPr="001C3B95">
              <w:rPr>
                <w:b w:val="0"/>
                <w:bCs w:val="0"/>
              </w:rPr>
              <w:t>’ and replaced with ‘clinical feature</w:t>
            </w:r>
            <w:r w:rsidR="00894E8D">
              <w:rPr>
                <w:b w:val="0"/>
                <w:bCs w:val="0"/>
              </w:rPr>
              <w:t>(</w:t>
            </w:r>
            <w:r w:rsidRPr="001C3B95">
              <w:rPr>
                <w:b w:val="0"/>
                <w:bCs w:val="0"/>
              </w:rPr>
              <w:t>s</w:t>
            </w:r>
            <w:r w:rsidR="00894E8D">
              <w:rPr>
                <w:b w:val="0"/>
                <w:bCs w:val="0"/>
              </w:rPr>
              <w:t>)</w:t>
            </w:r>
            <w:r w:rsidRPr="001C3B95">
              <w:rPr>
                <w:b w:val="0"/>
                <w:bCs w:val="0"/>
              </w:rPr>
              <w:t>’.</w:t>
            </w:r>
          </w:p>
          <w:p w14:paraId="61454707" w14:textId="68ED895B" w:rsidR="00535B01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C3B95">
              <w:rPr>
                <w:b w:val="0"/>
                <w:bCs w:val="0"/>
              </w:rPr>
              <w:t>Addition of fatigue to list of clinical evidence.</w:t>
            </w:r>
          </w:p>
          <w:p w14:paraId="7BBB5719" w14:textId="12ED11CB" w:rsidR="001C3B95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Footnote 3 </w:t>
            </w:r>
            <w:r w:rsidRPr="001C3B95">
              <w:rPr>
                <w:b w:val="0"/>
                <w:bCs w:val="0"/>
              </w:rPr>
              <w:t>added regarding proctitis</w:t>
            </w:r>
            <w:r>
              <w:rPr>
                <w:b w:val="0"/>
                <w:bCs w:val="0"/>
              </w:rPr>
              <w:t>.</w:t>
            </w:r>
          </w:p>
          <w:p w14:paraId="2BD04B66" w14:textId="39C27992" w:rsidR="00FD2236" w:rsidRDefault="00FD2236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Footnote 5 amended to remove reference to ‘symptoms of a clinically compatible illness’ and replace with ‘clinical feature(s)’.</w:t>
            </w:r>
          </w:p>
          <w:p w14:paraId="6DB45674" w14:textId="77777777" w:rsidR="001C3B95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Epidemiological evidence:</w:t>
            </w:r>
          </w:p>
          <w:p w14:paraId="2999B5C7" w14:textId="37D19C46" w:rsidR="001C3B95" w:rsidRPr="00FD2236" w:rsidRDefault="001C3B95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 w:rsidRPr="00FD2236">
              <w:rPr>
                <w:b w:val="0"/>
              </w:rPr>
              <w:t>Point 4 added regarding social events</w:t>
            </w:r>
            <w:r w:rsidR="00FD2236">
              <w:rPr>
                <w:b w:val="0"/>
              </w:rPr>
              <w:t>.</w:t>
            </w:r>
          </w:p>
          <w:p w14:paraId="1D069F17" w14:textId="2EAB25BE" w:rsidR="00FD2236" w:rsidRPr="00C62FA6" w:rsidRDefault="00FD2236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2236">
              <w:rPr>
                <w:b w:val="0"/>
              </w:rPr>
              <w:t xml:space="preserve">Footnote 6 added regarding examples of </w:t>
            </w:r>
            <w:r>
              <w:rPr>
                <w:b w:val="0"/>
              </w:rPr>
              <w:t xml:space="preserve">relevant </w:t>
            </w:r>
            <w:r w:rsidRPr="00FD2236">
              <w:rPr>
                <w:b w:val="0"/>
              </w:rPr>
              <w:t>social events.</w:t>
            </w:r>
          </w:p>
        </w:tc>
        <w:tc>
          <w:tcPr>
            <w:tcW w:w="1559" w:type="dxa"/>
          </w:tcPr>
          <w:p w14:paraId="2211F605" w14:textId="25E96008" w:rsidR="00535B01" w:rsidRPr="00C62FA6" w:rsidRDefault="00535B01" w:rsidP="00527A4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FA6">
              <w:t>29 July 2022</w:t>
            </w:r>
          </w:p>
        </w:tc>
        <w:tc>
          <w:tcPr>
            <w:tcW w:w="1982" w:type="dxa"/>
          </w:tcPr>
          <w:p w14:paraId="2617EE4B" w14:textId="54F1CEAF" w:rsidR="00535B01" w:rsidRPr="00C62FA6" w:rsidRDefault="00535B01" w:rsidP="001C3B9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FA6">
              <w:t>1 August 2022</w:t>
            </w:r>
          </w:p>
        </w:tc>
      </w:tr>
      <w:tr w:rsidR="00FD2236" w14:paraId="580A896C" w14:textId="77777777" w:rsidTr="007758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69FFFE38" w14:textId="3CD68B0A" w:rsidR="00535B01" w:rsidRPr="00C62FA6" w:rsidRDefault="00535B01" w:rsidP="001C3B95">
            <w:pPr>
              <w:pStyle w:val="TableText"/>
            </w:pPr>
            <w:r w:rsidRPr="00C62FA6">
              <w:t>1.</w:t>
            </w:r>
            <w:r>
              <w:t>0</w:t>
            </w:r>
          </w:p>
        </w:tc>
        <w:tc>
          <w:tcPr>
            <w:tcW w:w="4395" w:type="dxa"/>
            <w:hideMark/>
          </w:tcPr>
          <w:p w14:paraId="1CC8A215" w14:textId="6B5BD122" w:rsidR="00535B01" w:rsidRPr="00C62FA6" w:rsidRDefault="00535B01" w:rsidP="001C3B9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2FA6">
              <w:t>Initial CDNA case definition</w:t>
            </w:r>
          </w:p>
        </w:tc>
        <w:tc>
          <w:tcPr>
            <w:tcW w:w="1559" w:type="dxa"/>
            <w:hideMark/>
          </w:tcPr>
          <w:p w14:paraId="57FEBD25" w14:textId="1EB8233D" w:rsidR="00535B01" w:rsidRPr="00C62FA6" w:rsidRDefault="00535B01" w:rsidP="001C3B9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June</w:t>
            </w:r>
            <w:r w:rsidRPr="00C62FA6">
              <w:t xml:space="preserve"> 2022</w:t>
            </w:r>
          </w:p>
        </w:tc>
        <w:tc>
          <w:tcPr>
            <w:tcW w:w="1982" w:type="dxa"/>
            <w:hideMark/>
          </w:tcPr>
          <w:p w14:paraId="62AB1326" w14:textId="5FE9D80C" w:rsidR="00535B01" w:rsidRPr="00C62FA6" w:rsidRDefault="00535B01" w:rsidP="001C3B9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2FA6">
              <w:t xml:space="preserve">1 </w:t>
            </w:r>
            <w:r>
              <w:t>June</w:t>
            </w:r>
            <w:r w:rsidRPr="00C62FA6">
              <w:t xml:space="preserve"> 2022</w:t>
            </w:r>
          </w:p>
        </w:tc>
      </w:tr>
    </w:tbl>
    <w:p w14:paraId="1885947B" w14:textId="77777777" w:rsidR="00F41DA3" w:rsidRPr="008C3888" w:rsidRDefault="00F41DA3" w:rsidP="008C3888">
      <w:pPr>
        <w:pStyle w:val="Heading1"/>
      </w:pPr>
      <w:r w:rsidRPr="004D35FC">
        <w:rPr>
          <w:lang w:eastAsia="en-AU"/>
        </w:rPr>
        <w:t>Reporting</w:t>
      </w:r>
    </w:p>
    <w:p w14:paraId="43CDB01E" w14:textId="7E55B563" w:rsidR="00FC3572" w:rsidRPr="001A7B7E" w:rsidRDefault="00664F9D" w:rsidP="001A7B7E">
      <w:r w:rsidRPr="001A7B7E">
        <w:t>Both </w:t>
      </w:r>
      <w:r w:rsidRPr="001A7B7E">
        <w:rPr>
          <w:rStyle w:val="Strong"/>
        </w:rPr>
        <w:t>confirmed cases</w:t>
      </w:r>
      <w:r w:rsidRPr="001A7B7E">
        <w:t> and </w:t>
      </w:r>
      <w:r w:rsidRPr="001A7B7E">
        <w:rPr>
          <w:rStyle w:val="Strong"/>
        </w:rPr>
        <w:t>probable cases</w:t>
      </w:r>
      <w:r w:rsidRPr="001A7B7E">
        <w:t xml:space="preserve"> should be notified. A suspected case definition has been developed in response to the current multi-country outbreak of monkeypox virus infection in non-endemic countries and may be discontinued as the outbreak evolves. Suspected cases should not be notified to the </w:t>
      </w:r>
      <w:r w:rsidR="00713553" w:rsidRPr="001A7B7E">
        <w:t>National Notifiable Disease Surveillance System (</w:t>
      </w:r>
      <w:r w:rsidRPr="001A7B7E">
        <w:t>NNDSS</w:t>
      </w:r>
      <w:r w:rsidR="00713553" w:rsidRPr="001A7B7E">
        <w:t>)</w:t>
      </w:r>
      <w:r w:rsidRPr="001A7B7E">
        <w:t xml:space="preserve"> but should be reported to state and territory public health units.</w:t>
      </w:r>
    </w:p>
    <w:p w14:paraId="6287828D" w14:textId="678EE575" w:rsidR="00F41DA3" w:rsidRPr="008C3888" w:rsidRDefault="00F41DA3" w:rsidP="008C3888">
      <w:pPr>
        <w:pStyle w:val="Heading1"/>
      </w:pPr>
      <w:r w:rsidRPr="008C3888">
        <w:t>Confirmed case</w:t>
      </w:r>
    </w:p>
    <w:p w14:paraId="03A85150" w14:textId="017ADA2F" w:rsidR="00F41DA3" w:rsidRPr="001A7B7E" w:rsidRDefault="00F41DA3" w:rsidP="001A7B7E">
      <w:r w:rsidRPr="001A7B7E">
        <w:t>A confirmed case requires</w:t>
      </w:r>
      <w:r w:rsidR="00664F9D" w:rsidRPr="001A7B7E">
        <w:t xml:space="preserve"> </w:t>
      </w:r>
      <w:r w:rsidR="00664F9D" w:rsidRPr="00402640">
        <w:rPr>
          <w:rStyle w:val="Strong"/>
        </w:rPr>
        <w:t>laboratory definitive evidence</w:t>
      </w:r>
      <w:r w:rsidR="00664F9D" w:rsidRPr="001A7B7E">
        <w:t xml:space="preserve"> only</w:t>
      </w:r>
    </w:p>
    <w:p w14:paraId="30B4F738" w14:textId="44EA400C" w:rsidR="00F41DA3" w:rsidRPr="008C3888" w:rsidRDefault="00F41DA3" w:rsidP="008C3888">
      <w:pPr>
        <w:pStyle w:val="Heading2"/>
      </w:pPr>
      <w:r w:rsidRPr="008C3888">
        <w:t>Laboratory definitive evidence</w:t>
      </w:r>
    </w:p>
    <w:p w14:paraId="297CE182" w14:textId="3E6FD6F6" w:rsidR="00F41DA3" w:rsidRPr="001A7B7E" w:rsidRDefault="00664F9D" w:rsidP="001A7B7E">
      <w:pPr>
        <w:pStyle w:val="ListNumber"/>
      </w:pPr>
      <w:r w:rsidRPr="001A7B7E">
        <w:t>Detection of monkeypox virus by nucleic acid amplification testing in clinical specimens</w:t>
      </w:r>
    </w:p>
    <w:p w14:paraId="1CFE5939" w14:textId="64B1A4A4" w:rsidR="00713553" w:rsidRPr="00754991" w:rsidRDefault="00F41DA3" w:rsidP="00754991">
      <w:r w:rsidRPr="00754991">
        <w:t>OR</w:t>
      </w:r>
    </w:p>
    <w:p w14:paraId="1C9CF521" w14:textId="77777777" w:rsidR="00664F9D" w:rsidRPr="001A7B7E" w:rsidRDefault="00664F9D" w:rsidP="001A7B7E">
      <w:pPr>
        <w:pStyle w:val="ListNumber"/>
      </w:pPr>
      <w:r w:rsidRPr="001A7B7E">
        <w:t>Detection of monkeypox virus-specific sequences using next generation sequencing for clinical specimens</w:t>
      </w:r>
    </w:p>
    <w:p w14:paraId="7BC49314" w14:textId="142F3B83" w:rsidR="00F41DA3" w:rsidRPr="00754991" w:rsidRDefault="00F41DA3" w:rsidP="00754991">
      <w:r w:rsidRPr="00754991">
        <w:t>OR</w:t>
      </w:r>
    </w:p>
    <w:p w14:paraId="4B58DEE6" w14:textId="6758E242" w:rsidR="00FC3572" w:rsidRPr="001A7B7E" w:rsidRDefault="00FC3572" w:rsidP="001A7B7E">
      <w:pPr>
        <w:pStyle w:val="ListNumber"/>
      </w:pPr>
      <w:r w:rsidRPr="001A7B7E">
        <w:t>Isolation of monkeypox virus by culture from clinical specimens</w:t>
      </w:r>
    </w:p>
    <w:p w14:paraId="5745DB41" w14:textId="77777777" w:rsidR="00F41DA3" w:rsidRPr="008C3888" w:rsidRDefault="00F41DA3" w:rsidP="008C3888">
      <w:pPr>
        <w:pStyle w:val="Heading1"/>
      </w:pPr>
      <w:r w:rsidRPr="008C3888">
        <w:lastRenderedPageBreak/>
        <w:t>Probable case</w:t>
      </w:r>
    </w:p>
    <w:p w14:paraId="541C2532" w14:textId="107D1BCE" w:rsidR="00FC3572" w:rsidRPr="001A7B7E" w:rsidRDefault="00FC3572" w:rsidP="001A7B7E">
      <w:r w:rsidRPr="001A7B7E">
        <w:t>A probable case require</w:t>
      </w:r>
      <w:r w:rsidR="00B85484" w:rsidRPr="001A7B7E">
        <w:t>s</w:t>
      </w:r>
      <w:r w:rsidRPr="001A7B7E">
        <w:t xml:space="preserve"> </w:t>
      </w:r>
      <w:r w:rsidRPr="00402640">
        <w:rPr>
          <w:rStyle w:val="Strong"/>
        </w:rPr>
        <w:t>laboratory suggestive evidence</w:t>
      </w:r>
      <w:r w:rsidRPr="001A7B7E">
        <w:t xml:space="preserve"> AND </w:t>
      </w:r>
      <w:r w:rsidRPr="00402640">
        <w:rPr>
          <w:rStyle w:val="Strong"/>
        </w:rPr>
        <w:t>clinical evidence</w:t>
      </w:r>
    </w:p>
    <w:p w14:paraId="6650CC0B" w14:textId="339FC377" w:rsidR="00FC3572" w:rsidRPr="008C3888" w:rsidRDefault="00FC3572" w:rsidP="008C3888">
      <w:pPr>
        <w:pStyle w:val="Heading2"/>
      </w:pPr>
      <w:r w:rsidRPr="008C3888">
        <w:t xml:space="preserve">Laboratory </w:t>
      </w:r>
      <w:r w:rsidR="00713553" w:rsidRPr="008C3888">
        <w:t>suggestive</w:t>
      </w:r>
      <w:r w:rsidRPr="008C3888">
        <w:t xml:space="preserve"> evidence</w:t>
      </w:r>
    </w:p>
    <w:p w14:paraId="1433F9D4" w14:textId="4063DA33" w:rsidR="00FC3572" w:rsidRPr="001A7B7E" w:rsidRDefault="00FC3572" w:rsidP="00EF0B01">
      <w:pPr>
        <w:pStyle w:val="ListNumber"/>
        <w:numPr>
          <w:ilvl w:val="0"/>
          <w:numId w:val="12"/>
        </w:numPr>
      </w:pPr>
      <w:r w:rsidRPr="001A7B7E">
        <w:t xml:space="preserve">Detection of </w:t>
      </w:r>
      <w:proofErr w:type="spellStart"/>
      <w:r w:rsidRPr="001A7B7E">
        <w:t>Orthopoxvirus</w:t>
      </w:r>
      <w:proofErr w:type="spellEnd"/>
      <w:r w:rsidRPr="001A7B7E">
        <w:t xml:space="preserve"> by nucleic acid amplification testing in clinical specimens </w:t>
      </w:r>
    </w:p>
    <w:p w14:paraId="6D2DD10B" w14:textId="488AE9B1" w:rsidR="00FC3572" w:rsidRPr="00754991" w:rsidRDefault="00FC3572" w:rsidP="00754991">
      <w:r w:rsidRPr="00754991">
        <w:t>OR</w:t>
      </w:r>
    </w:p>
    <w:p w14:paraId="40F34254" w14:textId="41651177" w:rsidR="00FC3572" w:rsidRPr="001A7B7E" w:rsidRDefault="00FC3572" w:rsidP="001A7B7E">
      <w:pPr>
        <w:pStyle w:val="ListNumber"/>
      </w:pPr>
      <w:r w:rsidRPr="001A7B7E">
        <w:t xml:space="preserve">Detection of </w:t>
      </w:r>
      <w:proofErr w:type="spellStart"/>
      <w:r w:rsidRPr="001A7B7E">
        <w:t>Orthopoxvirus</w:t>
      </w:r>
      <w:proofErr w:type="spellEnd"/>
      <w:r w:rsidRPr="001A7B7E">
        <w:t xml:space="preserve"> by electron microscopy from clinical specimens in the absence of exposure to another </w:t>
      </w:r>
      <w:proofErr w:type="spellStart"/>
      <w:r w:rsidRPr="001A7B7E">
        <w:t>orthopoxvirus</w:t>
      </w:r>
      <w:proofErr w:type="spellEnd"/>
    </w:p>
    <w:p w14:paraId="262BF0A7" w14:textId="5F73168B" w:rsidR="00F41DA3" w:rsidRPr="008C3888" w:rsidRDefault="00FC3572" w:rsidP="008C3888">
      <w:pPr>
        <w:pStyle w:val="Heading2"/>
      </w:pPr>
      <w:r w:rsidRPr="008C3888">
        <w:t>Clinical evidence</w:t>
      </w:r>
    </w:p>
    <w:p w14:paraId="48A49256" w14:textId="4154E92F" w:rsidR="00FC3572" w:rsidRPr="001A7B7E" w:rsidRDefault="00FC3572" w:rsidP="001A7B7E">
      <w:r w:rsidRPr="001A7B7E">
        <w:t>A clinically compatible rash</w:t>
      </w:r>
      <w:r w:rsidR="00DE3A88">
        <w:t xml:space="preserve"> or lesion(s)</w:t>
      </w:r>
      <w:r w:rsidR="002328D5" w:rsidRPr="002328D5">
        <w:rPr>
          <w:rStyle w:val="SubtleReference"/>
        </w:rPr>
        <w:fldChar w:fldCharType="begin"/>
      </w:r>
      <w:r w:rsidR="002328D5" w:rsidRPr="002328D5">
        <w:rPr>
          <w:rStyle w:val="SubtleReference"/>
        </w:rPr>
        <w:instrText xml:space="preserve"> REF _Ref109717723 \r \h </w:instrText>
      </w:r>
      <w:r w:rsidR="002328D5">
        <w:rPr>
          <w:rStyle w:val="SubtleReference"/>
        </w:rPr>
        <w:instrText xml:space="preserve"> \* MERGEFORMAT </w:instrText>
      </w:r>
      <w:r w:rsidR="002328D5" w:rsidRPr="002328D5">
        <w:rPr>
          <w:rStyle w:val="SubtleReference"/>
        </w:rPr>
      </w:r>
      <w:r w:rsidR="002328D5" w:rsidRPr="002328D5">
        <w:rPr>
          <w:rStyle w:val="SubtleReference"/>
        </w:rPr>
        <w:fldChar w:fldCharType="separate"/>
      </w:r>
      <w:r w:rsidR="002328D5" w:rsidRPr="002328D5">
        <w:rPr>
          <w:rStyle w:val="SubtleReference"/>
        </w:rPr>
        <w:t>1</w:t>
      </w:r>
      <w:r w:rsidR="002328D5" w:rsidRPr="002328D5">
        <w:rPr>
          <w:rStyle w:val="SubtleReference"/>
        </w:rPr>
        <w:fldChar w:fldCharType="end"/>
      </w:r>
      <w:r w:rsidRPr="00754991">
        <w:rPr>
          <w:rStyle w:val="SubtleReference"/>
        </w:rPr>
        <w:t>,</w:t>
      </w:r>
      <w:r w:rsidR="002328D5">
        <w:rPr>
          <w:rStyle w:val="SubtleReference"/>
        </w:rPr>
        <w:fldChar w:fldCharType="begin"/>
      </w:r>
      <w:r w:rsidR="002328D5">
        <w:rPr>
          <w:rStyle w:val="SubtleReference"/>
        </w:rPr>
        <w:instrText xml:space="preserve"> REF _Ref109717767 \r \h </w:instrText>
      </w:r>
      <w:r w:rsidR="002328D5">
        <w:rPr>
          <w:rStyle w:val="SubtleReference"/>
        </w:rPr>
      </w:r>
      <w:r w:rsidR="002328D5">
        <w:rPr>
          <w:rStyle w:val="SubtleReference"/>
        </w:rPr>
        <w:fldChar w:fldCharType="separate"/>
      </w:r>
      <w:r w:rsidR="002328D5">
        <w:rPr>
          <w:rStyle w:val="SubtleReference"/>
        </w:rPr>
        <w:t>2</w:t>
      </w:r>
      <w:r w:rsidR="002328D5">
        <w:rPr>
          <w:rStyle w:val="SubtleReference"/>
        </w:rPr>
        <w:fldChar w:fldCharType="end"/>
      </w:r>
      <w:r w:rsidR="00F66444" w:rsidRPr="00754991">
        <w:rPr>
          <w:rStyle w:val="SubtleReference"/>
        </w:rPr>
        <w:t>,</w:t>
      </w:r>
      <w:r w:rsidR="002328D5">
        <w:rPr>
          <w:rStyle w:val="SubtleReference"/>
        </w:rPr>
        <w:fldChar w:fldCharType="begin"/>
      </w:r>
      <w:r w:rsidR="002328D5">
        <w:rPr>
          <w:rStyle w:val="SubtleReference"/>
        </w:rPr>
        <w:instrText xml:space="preserve"> REF _Ref109717775 \r \h </w:instrText>
      </w:r>
      <w:r w:rsidR="002328D5">
        <w:rPr>
          <w:rStyle w:val="SubtleReference"/>
        </w:rPr>
      </w:r>
      <w:r w:rsidR="002328D5">
        <w:rPr>
          <w:rStyle w:val="SubtleReference"/>
        </w:rPr>
        <w:fldChar w:fldCharType="separate"/>
      </w:r>
      <w:r w:rsidR="002328D5">
        <w:rPr>
          <w:rStyle w:val="SubtleReference"/>
        </w:rPr>
        <w:t>3</w:t>
      </w:r>
      <w:r w:rsidR="002328D5">
        <w:rPr>
          <w:rStyle w:val="SubtleReference"/>
        </w:rPr>
        <w:fldChar w:fldCharType="end"/>
      </w:r>
      <w:r w:rsidR="00DE3A88">
        <w:rPr>
          <w:rStyle w:val="SubtleReference"/>
        </w:rPr>
        <w:t>,4</w:t>
      </w:r>
      <w:r w:rsidRPr="00754991">
        <w:rPr>
          <w:rStyle w:val="SubtleReference"/>
        </w:rPr>
        <w:t xml:space="preserve"> </w:t>
      </w:r>
      <w:r w:rsidRPr="001A7B7E">
        <w:t xml:space="preserve">on any part of the body with or without one or more </w:t>
      </w:r>
      <w:r w:rsidR="00894E8D">
        <w:t xml:space="preserve">clinical feature(s) </w:t>
      </w:r>
      <w:r w:rsidRPr="001A7B7E">
        <w:t>of monkeypox virus infection:</w:t>
      </w:r>
    </w:p>
    <w:p w14:paraId="6C8ECD99" w14:textId="68AE3404" w:rsidR="00FC3572" w:rsidRPr="001A7B7E" w:rsidRDefault="00FC3572" w:rsidP="001A7B7E">
      <w:pPr>
        <w:pStyle w:val="ListBullet"/>
      </w:pPr>
      <w:r w:rsidRPr="001A7B7E">
        <w:t>lymphadenopathy</w:t>
      </w:r>
    </w:p>
    <w:p w14:paraId="3D72570D" w14:textId="77777777" w:rsidR="00FC3572" w:rsidRPr="001A7B7E" w:rsidRDefault="00FC3572" w:rsidP="001A7B7E">
      <w:pPr>
        <w:pStyle w:val="ListBullet"/>
      </w:pPr>
      <w:r w:rsidRPr="001A7B7E">
        <w:t>fever (&gt;38°C) or history of fever</w:t>
      </w:r>
    </w:p>
    <w:p w14:paraId="668259EC" w14:textId="77777777" w:rsidR="00FC3572" w:rsidRPr="001A7B7E" w:rsidRDefault="00FC3572" w:rsidP="001A7B7E">
      <w:pPr>
        <w:pStyle w:val="ListBullet"/>
      </w:pPr>
      <w:r w:rsidRPr="001A7B7E">
        <w:t>headache</w:t>
      </w:r>
    </w:p>
    <w:p w14:paraId="31C0A886" w14:textId="77777777" w:rsidR="00FC3572" w:rsidRPr="001A7B7E" w:rsidRDefault="00FC3572" w:rsidP="001A7B7E">
      <w:pPr>
        <w:pStyle w:val="ListBullet"/>
      </w:pPr>
      <w:r w:rsidRPr="001A7B7E">
        <w:t>myalgia</w:t>
      </w:r>
    </w:p>
    <w:p w14:paraId="470DE4D6" w14:textId="77777777" w:rsidR="00FC3572" w:rsidRPr="001A7B7E" w:rsidRDefault="00FC3572" w:rsidP="001A7B7E">
      <w:pPr>
        <w:pStyle w:val="ListBullet"/>
      </w:pPr>
      <w:r w:rsidRPr="001A7B7E">
        <w:t>arthralgia</w:t>
      </w:r>
    </w:p>
    <w:p w14:paraId="7B10BC82" w14:textId="4D758181" w:rsidR="00FC3572" w:rsidRDefault="00FC3572" w:rsidP="001A7B7E">
      <w:pPr>
        <w:pStyle w:val="ListBullet"/>
      </w:pPr>
      <w:r w:rsidRPr="001A7B7E">
        <w:t>back pain</w:t>
      </w:r>
    </w:p>
    <w:p w14:paraId="2FF61D16" w14:textId="6AF62512" w:rsidR="00DE3A88" w:rsidRPr="001A7B7E" w:rsidRDefault="00DE3A88" w:rsidP="001A7B7E">
      <w:pPr>
        <w:pStyle w:val="ListBullet"/>
      </w:pPr>
      <w:r>
        <w:t>fatigue</w:t>
      </w:r>
    </w:p>
    <w:p w14:paraId="6C385724" w14:textId="1325FCA8" w:rsidR="004D35FC" w:rsidRPr="008C3888" w:rsidRDefault="004D35FC" w:rsidP="008C3888">
      <w:pPr>
        <w:pStyle w:val="Heading1"/>
      </w:pPr>
      <w:r w:rsidRPr="008C3888">
        <w:t>Suspected case</w:t>
      </w:r>
      <w:r w:rsidR="00DE3A88">
        <w:rPr>
          <w:rStyle w:val="SubtleReference"/>
        </w:rPr>
        <w:t>4</w:t>
      </w:r>
    </w:p>
    <w:p w14:paraId="091E5B3B" w14:textId="11BADA58" w:rsidR="004D35FC" w:rsidRPr="001A7B7E" w:rsidRDefault="004D35FC" w:rsidP="001A7B7E">
      <w:r w:rsidRPr="001A7B7E">
        <w:t xml:space="preserve">A suspected case requires </w:t>
      </w:r>
      <w:r w:rsidRPr="00754991">
        <w:rPr>
          <w:rStyle w:val="Strong"/>
        </w:rPr>
        <w:t>clinical evidence</w:t>
      </w:r>
      <w:r w:rsidR="00DE3A88">
        <w:rPr>
          <w:rStyle w:val="SubtleReference"/>
        </w:rPr>
        <w:t>5</w:t>
      </w:r>
      <w:r w:rsidRPr="001A7B7E">
        <w:t xml:space="preserve"> AND </w:t>
      </w:r>
      <w:r w:rsidRPr="00754991">
        <w:rPr>
          <w:rStyle w:val="Strong"/>
        </w:rPr>
        <w:t>epidemiological evidence</w:t>
      </w:r>
    </w:p>
    <w:p w14:paraId="0E50EE3B" w14:textId="77777777" w:rsidR="00F41DA3" w:rsidRPr="008C3888" w:rsidRDefault="00F41DA3" w:rsidP="008C3888">
      <w:pPr>
        <w:pStyle w:val="Heading2"/>
      </w:pPr>
      <w:r w:rsidRPr="008C3888">
        <w:t>Clinical evidence</w:t>
      </w:r>
    </w:p>
    <w:p w14:paraId="51D00F98" w14:textId="4E463270" w:rsidR="00F41DA3" w:rsidRPr="00754991" w:rsidRDefault="00F41DA3" w:rsidP="00754991">
      <w:r w:rsidRPr="00754991">
        <w:t xml:space="preserve">As for </w:t>
      </w:r>
      <w:r w:rsidR="00663DF4" w:rsidRPr="00754991">
        <w:t>probable</w:t>
      </w:r>
      <w:r w:rsidRPr="00754991">
        <w:t xml:space="preserve"> case</w:t>
      </w:r>
    </w:p>
    <w:p w14:paraId="35F322F8" w14:textId="77777777" w:rsidR="00F41DA3" w:rsidRPr="008C3888" w:rsidRDefault="00F41DA3" w:rsidP="008C3888">
      <w:pPr>
        <w:pStyle w:val="Heading2"/>
      </w:pPr>
      <w:r w:rsidRPr="008C3888">
        <w:t>Epidemiological evidence</w:t>
      </w:r>
    </w:p>
    <w:p w14:paraId="2F12610B" w14:textId="15AABCFF" w:rsidR="00663DF4" w:rsidRPr="001A7B7E" w:rsidRDefault="00F66444" w:rsidP="00DE3A88">
      <w:pPr>
        <w:pStyle w:val="ListNumber"/>
        <w:numPr>
          <w:ilvl w:val="0"/>
          <w:numId w:val="10"/>
        </w:numPr>
      </w:pPr>
      <w:r w:rsidRPr="001A7B7E">
        <w:t>A</w:t>
      </w:r>
      <w:r w:rsidR="00663DF4" w:rsidRPr="001A7B7E">
        <w:t>n epidemiological link to a confirmed or probable case of monkeypox virus infection in the 21 days before symptom onset</w:t>
      </w:r>
    </w:p>
    <w:p w14:paraId="7EC48D99" w14:textId="77777777" w:rsidR="00C6327E" w:rsidRPr="00754991" w:rsidRDefault="00C6327E" w:rsidP="00754991">
      <w:r w:rsidRPr="00754991">
        <w:t>OR</w:t>
      </w:r>
    </w:p>
    <w:p w14:paraId="60DBD2AD" w14:textId="55D598DA" w:rsidR="00C6327E" w:rsidRPr="001A7B7E" w:rsidRDefault="00F66444" w:rsidP="001A7B7E">
      <w:pPr>
        <w:pStyle w:val="ListNumber"/>
      </w:pPr>
      <w:r w:rsidRPr="001A7B7E">
        <w:t>O</w:t>
      </w:r>
      <w:r w:rsidR="00663DF4" w:rsidRPr="001A7B7E">
        <w:t>verseas travel in the 21 days before symptom onset</w:t>
      </w:r>
    </w:p>
    <w:p w14:paraId="5646263D" w14:textId="2AECFE12" w:rsidR="00663DF4" w:rsidRPr="00754991" w:rsidRDefault="00663DF4" w:rsidP="00754991">
      <w:r w:rsidRPr="00754991">
        <w:t>OR</w:t>
      </w:r>
    </w:p>
    <w:p w14:paraId="5C35D0CB" w14:textId="5C50A024" w:rsidR="00663DF4" w:rsidRDefault="00F66444" w:rsidP="001A7B7E">
      <w:pPr>
        <w:pStyle w:val="ListNumber"/>
      </w:pPr>
      <w:r w:rsidRPr="001A7B7E">
        <w:t>S</w:t>
      </w:r>
      <w:r w:rsidR="00663DF4" w:rsidRPr="001A7B7E">
        <w:t xml:space="preserve">exual contact and/or other physical intimate contact with a gay, </w:t>
      </w:r>
      <w:proofErr w:type="gramStart"/>
      <w:r w:rsidR="00663DF4" w:rsidRPr="001A7B7E">
        <w:t>bisexual</w:t>
      </w:r>
      <w:proofErr w:type="gramEnd"/>
      <w:r w:rsidR="00663DF4" w:rsidRPr="001A7B7E">
        <w:t xml:space="preserve"> or other man who has sex with men in the 21 days before symptom onset</w:t>
      </w:r>
    </w:p>
    <w:p w14:paraId="1C1C6EBB" w14:textId="4DBA8FB1" w:rsidR="00DE3A88" w:rsidRPr="00963EEF" w:rsidRDefault="00DE3A88" w:rsidP="00963EEF">
      <w:r w:rsidRPr="00963EEF">
        <w:t>OR</w:t>
      </w:r>
    </w:p>
    <w:p w14:paraId="246D1341" w14:textId="77777777" w:rsidR="00DE3A88" w:rsidRPr="00810C56" w:rsidRDefault="00DE3A88" w:rsidP="00DE3A88">
      <w:pPr>
        <w:pStyle w:val="ListNumber"/>
      </w:pPr>
      <w:r w:rsidRPr="007910A8">
        <w:t xml:space="preserve">Sexual </w:t>
      </w:r>
      <w:r>
        <w:t>contact and/</w:t>
      </w:r>
      <w:r w:rsidRPr="007910A8">
        <w:t>or</w:t>
      </w:r>
      <w:r>
        <w:t xml:space="preserve"> other</w:t>
      </w:r>
      <w:r w:rsidRPr="007910A8">
        <w:t xml:space="preserve"> physical intimate contact with individuals </w:t>
      </w:r>
      <w:r>
        <w:t>at social events</w:t>
      </w:r>
      <w:r w:rsidRPr="007910A8">
        <w:t xml:space="preserve"> </w:t>
      </w:r>
      <w:r>
        <w:t>associated with</w:t>
      </w:r>
      <w:r w:rsidRPr="007910A8">
        <w:t xml:space="preserve"> monkeypox activity</w:t>
      </w:r>
      <w:r w:rsidRPr="00B60E94">
        <w:rPr>
          <w:vertAlign w:val="superscript"/>
        </w:rPr>
        <w:t>6</w:t>
      </w:r>
      <w:r>
        <w:t xml:space="preserve"> in the 21 days before symptom onset</w:t>
      </w:r>
    </w:p>
    <w:p w14:paraId="3340024D" w14:textId="4B180344" w:rsidR="006826DE" w:rsidRPr="001A7B7E" w:rsidRDefault="006826DE" w:rsidP="001A7B7E">
      <w:bookmarkStart w:id="0" w:name="ref01"/>
      <w:bookmarkEnd w:id="0"/>
      <w:r w:rsidRPr="001A7B7E">
        <w:t>Notes</w:t>
      </w:r>
    </w:p>
    <w:p w14:paraId="28904C89" w14:textId="06275F13" w:rsidR="006826DE" w:rsidRPr="001A7B7E" w:rsidRDefault="006826DE" w:rsidP="00DE3A88">
      <w:pPr>
        <w:pStyle w:val="ListNumber"/>
        <w:numPr>
          <w:ilvl w:val="0"/>
          <w:numId w:val="9"/>
        </w:numPr>
      </w:pPr>
      <w:bookmarkStart w:id="1" w:name="_Ref109717723"/>
      <w:r w:rsidRPr="001A7B7E">
        <w:t xml:space="preserve">Lesions typically begin to develop simultaneously and evolve together on any given part of the body, and may be generalised or localised, </w:t>
      </w:r>
      <w:proofErr w:type="gramStart"/>
      <w:r w:rsidRPr="001A7B7E">
        <w:t>discrete</w:t>
      </w:r>
      <w:proofErr w:type="gramEnd"/>
      <w:r w:rsidRPr="001A7B7E">
        <w:t xml:space="preserve"> or confluent. The evolution of lesions progress through four stages – macular, </w:t>
      </w:r>
      <w:proofErr w:type="spellStart"/>
      <w:r w:rsidRPr="001A7B7E">
        <w:t>papular</w:t>
      </w:r>
      <w:proofErr w:type="spellEnd"/>
      <w:r w:rsidRPr="001A7B7E">
        <w:t>, vesicular, to pustular – before scabbing over.</w:t>
      </w:r>
      <w:bookmarkEnd w:id="1"/>
    </w:p>
    <w:p w14:paraId="1EB4CDF8" w14:textId="77777777" w:rsidR="00DE3A88" w:rsidRDefault="006826DE" w:rsidP="00DE3A88">
      <w:pPr>
        <w:pStyle w:val="ListNumber"/>
      </w:pPr>
      <w:bookmarkStart w:id="2" w:name="_Ref109717767"/>
      <w:r w:rsidRPr="001A7B7E">
        <w:t xml:space="preserve">For which the following causes of acute rash do not explain the clinical </w:t>
      </w:r>
      <w:r w:rsidR="00DE3A88">
        <w:t>features</w:t>
      </w:r>
      <w:r w:rsidRPr="001A7B7E">
        <w:t>: chickenpox, shingles, measles, herpes simplex, or bacterial skin infections.</w:t>
      </w:r>
      <w:bookmarkEnd w:id="2"/>
    </w:p>
    <w:p w14:paraId="0CAC0589" w14:textId="00DC4E4F" w:rsidR="00DE3A88" w:rsidRPr="00DE3A88" w:rsidRDefault="00DE3A88" w:rsidP="00DE3A88">
      <w:pPr>
        <w:pStyle w:val="ListNumber"/>
      </w:pPr>
      <w:r w:rsidRPr="00DE3A88">
        <w:t>Some cases may present with proctitis (painful inflammation of the rectum) in the absence of an externally visible rash or lesion(s).</w:t>
      </w:r>
    </w:p>
    <w:p w14:paraId="3B45F727" w14:textId="78F31859" w:rsidR="006826DE" w:rsidRPr="001A7B7E" w:rsidRDefault="006826DE" w:rsidP="001A7B7E">
      <w:pPr>
        <w:pStyle w:val="ListNumber"/>
      </w:pPr>
      <w:bookmarkStart w:id="3" w:name="_Ref109717775"/>
      <w:r w:rsidRPr="001A7B7E">
        <w:lastRenderedPageBreak/>
        <w:t>Public health units should seek advice from the responsible authorising pathologist and the clinician regarding testing for monkeypox virus and other alternative causes.</w:t>
      </w:r>
      <w:bookmarkEnd w:id="3"/>
    </w:p>
    <w:p w14:paraId="7CB57432" w14:textId="472BCDE0" w:rsidR="009E0B84" w:rsidRDefault="006826DE" w:rsidP="001A7B7E">
      <w:pPr>
        <w:pStyle w:val="ListNumber"/>
      </w:pPr>
      <w:bookmarkStart w:id="4" w:name="_Ref109717798"/>
      <w:r w:rsidRPr="001A7B7E">
        <w:t xml:space="preserve">A high or medium risk contact of a confirmed or probable case only requires one or more </w:t>
      </w:r>
      <w:r w:rsidR="00DE3A88">
        <w:t>clinical feature(s)</w:t>
      </w:r>
      <w:r w:rsidRPr="001A7B7E">
        <w:t xml:space="preserve"> (</w:t>
      </w:r>
      <w:proofErr w:type="gramStart"/>
      <w:r w:rsidRPr="001A7B7E">
        <w:t>i.e.</w:t>
      </w:r>
      <w:proofErr w:type="gramEnd"/>
      <w:r w:rsidRPr="001A7B7E">
        <w:t xml:space="preserve"> does not require rash</w:t>
      </w:r>
      <w:r w:rsidR="00DE3A88">
        <w:t xml:space="preserve"> or lesion(s)</w:t>
      </w:r>
      <w:r w:rsidRPr="001A7B7E">
        <w:t>, if another symptom present) to be a suspected case.</w:t>
      </w:r>
      <w:bookmarkEnd w:id="4"/>
    </w:p>
    <w:p w14:paraId="7685DE24" w14:textId="122FA227" w:rsidR="00DE3A88" w:rsidRPr="001A7B7E" w:rsidRDefault="00DE3A88" w:rsidP="00DE3A88">
      <w:pPr>
        <w:pStyle w:val="ListNumber"/>
      </w:pPr>
      <w:r w:rsidRPr="00DE3A88">
        <w:t xml:space="preserve">This includes events previously associated with monkeypox activity internationally such as sex-on-premises venues, raves, festivals and other mass gatherings where there is likely to be prolonged close </w:t>
      </w:r>
      <w:proofErr w:type="gramStart"/>
      <w:r w:rsidRPr="00DE3A88">
        <w:t>contact, or</w:t>
      </w:r>
      <w:proofErr w:type="gramEnd"/>
      <w:r w:rsidRPr="00DE3A88">
        <w:t xml:space="preserve"> meeting new sexual partners through a dating or hook-up “app”.</w:t>
      </w:r>
    </w:p>
    <w:sectPr w:rsidR="00DE3A88" w:rsidRPr="001A7B7E" w:rsidSect="001A7B7E">
      <w:footerReference w:type="default" r:id="rId12"/>
      <w:type w:val="continuous"/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41E2" w14:textId="77777777" w:rsidR="00F41DA3" w:rsidRDefault="00F41DA3" w:rsidP="006B56BB">
      <w:r>
        <w:separator/>
      </w:r>
    </w:p>
    <w:p w14:paraId="23F2479B" w14:textId="77777777" w:rsidR="00F41DA3" w:rsidRDefault="00F41DA3"/>
  </w:endnote>
  <w:endnote w:type="continuationSeparator" w:id="0">
    <w:p w14:paraId="5FA88A8F" w14:textId="77777777" w:rsidR="00F41DA3" w:rsidRDefault="00F41DA3" w:rsidP="006B56BB">
      <w:r>
        <w:continuationSeparator/>
      </w:r>
    </w:p>
    <w:p w14:paraId="5FD86837" w14:textId="77777777" w:rsidR="00F41DA3" w:rsidRDefault="00F41DA3"/>
  </w:endnote>
  <w:endnote w:type="continuationNotice" w:id="1">
    <w:p w14:paraId="30C90EC6" w14:textId="77777777" w:rsidR="00F41DA3" w:rsidRDefault="00F41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4EBFFA" w14:textId="029F1C70" w:rsidR="00CD407A" w:rsidRDefault="00B85484" w:rsidP="00F41DA3">
            <w:pPr>
              <w:pStyle w:val="Footer"/>
              <w:jc w:val="right"/>
            </w:pPr>
            <w:r>
              <w:t>Monkeypox</w:t>
            </w:r>
            <w:r w:rsidR="00F41DA3" w:rsidRPr="00F41DA3">
              <w:t xml:space="preserve"> virus infection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19C0" w14:textId="77777777" w:rsidR="00F41DA3" w:rsidRDefault="00F41DA3" w:rsidP="006B56BB">
      <w:r>
        <w:separator/>
      </w:r>
    </w:p>
    <w:p w14:paraId="2FD8D69C" w14:textId="77777777" w:rsidR="00F41DA3" w:rsidRDefault="00F41DA3"/>
  </w:footnote>
  <w:footnote w:type="continuationSeparator" w:id="0">
    <w:p w14:paraId="24D69CCC" w14:textId="77777777" w:rsidR="00F41DA3" w:rsidRDefault="00F41DA3" w:rsidP="006B56BB">
      <w:r>
        <w:continuationSeparator/>
      </w:r>
    </w:p>
    <w:p w14:paraId="5849F69B" w14:textId="77777777" w:rsidR="00F41DA3" w:rsidRDefault="00F41DA3"/>
  </w:footnote>
  <w:footnote w:type="continuationNotice" w:id="1">
    <w:p w14:paraId="4896B052" w14:textId="77777777" w:rsidR="00F41DA3" w:rsidRDefault="00F41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7AC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A2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9F7E1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1EE3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AF815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74835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A3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7B7E"/>
    <w:rsid w:val="001B15D3"/>
    <w:rsid w:val="001B3443"/>
    <w:rsid w:val="001C0326"/>
    <w:rsid w:val="001C192F"/>
    <w:rsid w:val="001C3B95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28D5"/>
    <w:rsid w:val="00233809"/>
    <w:rsid w:val="00240046"/>
    <w:rsid w:val="00243E1B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264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09D"/>
    <w:rsid w:val="0048593C"/>
    <w:rsid w:val="004867E2"/>
    <w:rsid w:val="004929A9"/>
    <w:rsid w:val="004A78D9"/>
    <w:rsid w:val="004C6BCF"/>
    <w:rsid w:val="004D35FC"/>
    <w:rsid w:val="004D58BF"/>
    <w:rsid w:val="004E4335"/>
    <w:rsid w:val="004F13EE"/>
    <w:rsid w:val="004F2022"/>
    <w:rsid w:val="004F7C05"/>
    <w:rsid w:val="00501C94"/>
    <w:rsid w:val="00506432"/>
    <w:rsid w:val="0052051D"/>
    <w:rsid w:val="00527A4E"/>
    <w:rsid w:val="00535B01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977BC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63DF4"/>
    <w:rsid w:val="00664F9D"/>
    <w:rsid w:val="00670D99"/>
    <w:rsid w:val="00670E2B"/>
    <w:rsid w:val="006734BB"/>
    <w:rsid w:val="0067697A"/>
    <w:rsid w:val="006821EB"/>
    <w:rsid w:val="006826DE"/>
    <w:rsid w:val="006B2286"/>
    <w:rsid w:val="006B3388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3"/>
    <w:rsid w:val="00713558"/>
    <w:rsid w:val="00720D08"/>
    <w:rsid w:val="007263B9"/>
    <w:rsid w:val="007334F8"/>
    <w:rsid w:val="007339CD"/>
    <w:rsid w:val="007359D8"/>
    <w:rsid w:val="007362D4"/>
    <w:rsid w:val="00754991"/>
    <w:rsid w:val="0076672A"/>
    <w:rsid w:val="0077581A"/>
    <w:rsid w:val="00775E45"/>
    <w:rsid w:val="00776E74"/>
    <w:rsid w:val="00785169"/>
    <w:rsid w:val="007954AB"/>
    <w:rsid w:val="007A14C5"/>
    <w:rsid w:val="007A4A10"/>
    <w:rsid w:val="007B1760"/>
    <w:rsid w:val="007C1FDC"/>
    <w:rsid w:val="007C21E1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042E"/>
    <w:rsid w:val="00831E8A"/>
    <w:rsid w:val="00835C76"/>
    <w:rsid w:val="008376E2"/>
    <w:rsid w:val="0084027B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1787"/>
    <w:rsid w:val="00873D90"/>
    <w:rsid w:val="00873FC8"/>
    <w:rsid w:val="00884C63"/>
    <w:rsid w:val="00885908"/>
    <w:rsid w:val="008864B7"/>
    <w:rsid w:val="00894E8D"/>
    <w:rsid w:val="0089677E"/>
    <w:rsid w:val="008A7438"/>
    <w:rsid w:val="008B1334"/>
    <w:rsid w:val="008B25C7"/>
    <w:rsid w:val="008C0278"/>
    <w:rsid w:val="008C24E9"/>
    <w:rsid w:val="008C3888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63EEF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44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C95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85484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72A0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62FA6"/>
    <w:rsid w:val="00C6327E"/>
    <w:rsid w:val="00C82EEB"/>
    <w:rsid w:val="00C971DC"/>
    <w:rsid w:val="00CA16B7"/>
    <w:rsid w:val="00CA62AE"/>
    <w:rsid w:val="00CA7D72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3862"/>
    <w:rsid w:val="00CF7D3C"/>
    <w:rsid w:val="00D01F09"/>
    <w:rsid w:val="00D147EB"/>
    <w:rsid w:val="00D161B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3A88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0B01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1DA3"/>
    <w:rsid w:val="00F47DA2"/>
    <w:rsid w:val="00F519FC"/>
    <w:rsid w:val="00F6239D"/>
    <w:rsid w:val="00F66444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3572"/>
    <w:rsid w:val="00FC5124"/>
    <w:rsid w:val="00FD2236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90C7687"/>
  <w15:docId w15:val="{D9217F78-FE91-4732-9F1D-513D0C1C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A7B7E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8C3888"/>
    <w:pPr>
      <w:keepNext/>
      <w:spacing w:before="240" w:after="60"/>
      <w:outlineLvl w:val="0"/>
    </w:pPr>
    <w:rPr>
      <w:rFonts w:ascii="Arial" w:hAnsi="Arial" w:cs="Arial"/>
      <w:bCs/>
      <w:kern w:val="28"/>
      <w:sz w:val="36"/>
      <w:szCs w:val="36"/>
      <w:lang w:eastAsia="en-US"/>
    </w:rPr>
  </w:style>
  <w:style w:type="paragraph" w:styleId="Heading2">
    <w:name w:val="heading 2"/>
    <w:basedOn w:val="Heading1"/>
    <w:next w:val="Paragraphtext"/>
    <w:link w:val="Heading2Char"/>
    <w:uiPriority w:val="9"/>
    <w:qFormat/>
    <w:rsid w:val="00754991"/>
    <w:pPr>
      <w:spacing w:after="120"/>
      <w:outlineLvl w:val="1"/>
    </w:pPr>
    <w:rPr>
      <w:b/>
      <w:bCs w:val="0"/>
      <w:iCs/>
      <w:sz w:val="24"/>
      <w:szCs w:val="28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aliases w:val="Contact Heading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1A7B7E"/>
    <w:pPr>
      <w:numPr>
        <w:ilvl w:val="1"/>
      </w:numPr>
      <w:spacing w:before="240" w:after="12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A7B7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1A7B7E"/>
    <w:pPr>
      <w:spacing w:before="480" w:after="240"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1A7B7E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754991"/>
    <w:rPr>
      <w:caps w:val="0"/>
      <w:smallCaps w:val="0"/>
      <w:color w:val="auto"/>
      <w:u w:val="none"/>
      <w:vertAlign w:val="superscript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5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7"/>
      </w:numPr>
    </w:pPr>
  </w:style>
  <w:style w:type="paragraph" w:styleId="ListBullet">
    <w:name w:val="List Bullet"/>
    <w:basedOn w:val="Normal"/>
    <w:qFormat/>
    <w:rsid w:val="0048593C"/>
    <w:pPr>
      <w:numPr>
        <w:numId w:val="6"/>
      </w:numPr>
      <w:spacing w:before="60" w:after="60"/>
    </w:pPr>
    <w:rPr>
      <w:color w:val="000000" w:themeColor="text1"/>
      <w:sz w:val="21"/>
    </w:r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1C3B95"/>
    <w:pPr>
      <w:spacing w:before="60" w:after="60"/>
    </w:pPr>
    <w:rPr>
      <w:rFonts w:ascii="Arial" w:hAnsi="Arial"/>
      <w:b/>
      <w:bCs/>
      <w:color w:val="000000" w:themeColor="text1"/>
      <w:sz w:val="22"/>
      <w:szCs w:val="24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2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3"/>
      </w:numPr>
    </w:pPr>
    <w:rPr>
      <w:bCs w:val="0"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uiPriority w:val="99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754991"/>
    <w:rPr>
      <w:rFonts w:ascii="Arial" w:hAnsi="Arial" w:cs="Arial"/>
      <w:b/>
      <w:iCs/>
      <w:kern w:val="28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41DA3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DA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Appendix2Char">
    <w:name w:val="Appendix2 Char"/>
    <w:link w:val="Appendix2"/>
    <w:locked/>
    <w:rsid w:val="00664F9D"/>
    <w:rPr>
      <w:rFonts w:ascii="Verdana" w:eastAsia="Calibri" w:hAnsi="Verdana"/>
    </w:rPr>
  </w:style>
  <w:style w:type="paragraph" w:customStyle="1" w:styleId="Appendix2">
    <w:name w:val="Appendix2"/>
    <w:basedOn w:val="Normal"/>
    <w:link w:val="Appendix2Char"/>
    <w:qFormat/>
    <w:rsid w:val="00664F9D"/>
    <w:rPr>
      <w:rFonts w:ascii="Verdana" w:eastAsia="Calibri" w:hAnsi="Verdana"/>
      <w:sz w:val="20"/>
      <w:szCs w:val="20"/>
      <w:lang w:eastAsia="en-AU"/>
    </w:rPr>
  </w:style>
  <w:style w:type="paragraph" w:customStyle="1" w:styleId="Default">
    <w:name w:val="Default"/>
    <w:rsid w:val="00FC357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8C38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">
    <w:name w:val="List Number"/>
    <w:basedOn w:val="Normal"/>
    <w:rsid w:val="00402640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CF38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3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386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3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386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267033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7335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401438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4319751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8979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93230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885000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576938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36487dd-ec90-4f99-8970-1318e5f29791"/>
    <ds:schemaRef ds:uri="http://schemas.microsoft.com/office/2006/metadata/properties"/>
    <ds:schemaRef ds:uri="dcf7b372-aaaa-46d8-9da6-ade9aab953df"/>
    <ds:schemaRef ds:uri="http://www.w3.org/XML/1998/namespace"/>
    <ds:schemaRef ds:uri="http://purl.org/dc/dcmitype/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682FDBA-5F36-4CA1-B0CE-AD57CC20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Monkeypox virus infection – Surveillance case definition</vt:lpstr>
    </vt:vector>
  </TitlesOfParts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Monkeypox virus infection – Australian national notifiable diseases case definition</dc:title>
  <dc:subject>Communicable diseases</dc:subject>
  <dc:creator>Communicable Diseases Network Australia</dc:creator>
  <cp:keywords>Communicable diseases</cp:keywords>
  <dcterms:created xsi:type="dcterms:W3CDTF">2022-08-03T21:42:00Z</dcterms:created>
  <dcterms:modified xsi:type="dcterms:W3CDTF">2022-08-03T21:43:00Z</dcterms:modified>
</cp:coreProperties>
</file>