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14B3F0B2" w:rsidRDefault="00413318" w14:paraId="7689B00C" w14:textId="5C2AEF51" w14:noSpellErr="1">
      <w:pPr>
        <w:pStyle w:val="Subtitle"/>
        <w:numPr>
          <w:numId w:val="0"/>
        </w:numPr>
        <w:rPr>
          <w:b w:val="1"/>
          <w:bCs w:val="1"/>
          <w:color w:val="auto"/>
          <w:spacing w:val="0"/>
          <w:kern w:val="28"/>
          <w:sz w:val="48"/>
          <w:szCs w:val="48"/>
        </w:rPr>
      </w:pPr>
      <w:r w:rsidRPr="14B3F0B2" w:rsidR="00413318">
        <w:rPr>
          <w:b w:val="1"/>
          <w:bCs w:val="1"/>
          <w:color w:val="auto"/>
          <w:spacing w:val="0"/>
          <w:kern w:val="28"/>
          <w:sz w:val="48"/>
          <w:szCs w:val="48"/>
        </w:rPr>
        <w:t>Mumps (</w:t>
      </w:r>
      <w:r w:rsidRPr="14B3F0B2" w:rsidR="00413318">
        <w:rPr>
          <w:b w:val="1"/>
          <w:bCs w:val="1"/>
          <w:i w:val="1"/>
          <w:iCs w:val="1"/>
          <w:color w:val="auto"/>
          <w:spacing w:val="0"/>
          <w:kern w:val="28"/>
          <w:sz w:val="48"/>
          <w:szCs w:val="48"/>
        </w:rPr>
        <w:t>Mumps</w:t>
      </w:r>
      <w:r w:rsidRPr="14B3F0B2" w:rsidR="00413318">
        <w:rPr>
          <w:b w:val="1"/>
          <w:bCs w:val="1"/>
          <w:i w:val="1"/>
          <w:iCs w:val="1"/>
          <w:color w:val="auto"/>
          <w:spacing w:val="0"/>
          <w:kern w:val="28"/>
          <w:sz w:val="48"/>
          <w:szCs w:val="48"/>
        </w:rPr>
        <w:t xml:space="preserve"> virus</w:t>
      </w:r>
      <w:r w:rsidRPr="14B3F0B2" w:rsidR="00413318">
        <w:rPr>
          <w:b w:val="1"/>
          <w:bCs w:val="1"/>
          <w:color w:val="auto"/>
          <w:spacing w:val="0"/>
          <w:kern w:val="28"/>
          <w:sz w:val="48"/>
          <w:szCs w:val="48"/>
        </w:rPr>
        <w:t xml:space="preserve">)</w:t>
      </w:r>
    </w:p>
    <w:p w:rsidR="00177AD2" w:rsidP="009E0B84" w:rsidRDefault="009E0B84" w14:paraId="1B33B6DF" w14:textId="77777777">
      <w:pPr>
        <w:pStyle w:val="Subtitle"/>
      </w:pPr>
      <w:r>
        <w:t>Laboratory case definition</w:t>
      </w:r>
    </w:p>
    <w:p w:rsidR="009E0B84" w:rsidP="009E0B84" w:rsidRDefault="009E0B84" w14:paraId="29FB3BE4" w14:textId="7BC282B4">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14B3F0B2" w:rsidR="00413318">
        <w:rPr>
          <w:i w:val="1"/>
          <w:iCs w:val="1"/>
        </w:rPr>
        <w:t>m</w:t>
      </w:r>
      <w:r w:rsidRPr="14B3F0B2" w:rsidR="00413318">
        <w:rPr>
          <w:i w:val="1"/>
          <w:iCs w:val="1"/>
        </w:rPr>
        <w:t>umps virus</w:t>
      </w:r>
      <w:r w:rsidR="00413318">
        <w:rPr/>
        <w:t>.</w:t>
      </w:r>
    </w:p>
    <w:p w:rsidR="00AA26D0" w:rsidP="009E0B84" w:rsidRDefault="00AA26D0" w14:paraId="26355A1E" w14:textId="09F775C8">
      <w:pPr>
        <w:spacing w:after="120"/>
        <w:rPr>
          <w:b/>
          <w:bCs/>
        </w:rPr>
      </w:pPr>
      <w:r>
        <w:rPr>
          <w:b/>
          <w:bCs/>
        </w:rPr>
        <w:t>Version:</w:t>
      </w:r>
      <w:r>
        <w:rPr>
          <w:b/>
          <w:bCs/>
        </w:rPr>
        <w:tab/>
      </w:r>
      <w:r>
        <w:rPr>
          <w:b/>
          <w:bCs/>
        </w:rPr>
        <w:tab/>
      </w:r>
      <w:r w:rsidR="00413318">
        <w:t>1</w:t>
      </w:r>
      <w:r w:rsidRPr="00AA26D0">
        <w:t>.0</w:t>
      </w:r>
    </w:p>
    <w:p w:rsidRPr="009E0B84" w:rsidR="009E0B84" w:rsidP="009E0B84" w:rsidRDefault="009E0B84" w14:paraId="67CF04E4" w14:textId="77777777">
      <w:pPr>
        <w:spacing w:after="120"/>
      </w:pPr>
      <w:r w:rsidRPr="009E0B84">
        <w:rPr>
          <w:b/>
          <w:bCs/>
        </w:rPr>
        <w:t>Authorisation:</w:t>
      </w:r>
      <w:r w:rsidRPr="009E0B84">
        <w:t> </w:t>
      </w:r>
      <w:r w:rsidRPr="009E0B84">
        <w:tab/>
      </w:r>
      <w:r w:rsidRPr="009E0B84">
        <w:t>PHLN</w:t>
      </w:r>
    </w:p>
    <w:p w:rsidR="009E0B84" w:rsidP="00413318" w:rsidRDefault="009E0B84" w14:paraId="0BFB906C" w14:textId="69675473">
      <w:r w:rsidRPr="009E0B84">
        <w:rPr>
          <w:b/>
          <w:bCs/>
        </w:rPr>
        <w:t>Consensus date:</w:t>
      </w:r>
      <w:r w:rsidRPr="009E0B84">
        <w:t> </w:t>
      </w:r>
      <w:r w:rsidRPr="009E0B84">
        <w:tab/>
      </w:r>
      <w:r w:rsidRPr="00413318" w:rsidR="00413318">
        <w:t>October 2015</w:t>
      </w:r>
    </w:p>
    <w:p w:rsidRPr="009E0B84" w:rsidR="009E0B84" w:rsidP="009E0B84" w:rsidRDefault="009E0B84" w14:paraId="4CE040CC" w14:textId="77777777">
      <w:pPr>
        <w:pBdr>
          <w:bottom w:val="single" w:color="auto" w:sz="6" w:space="1"/>
        </w:pBdr>
      </w:pPr>
    </w:p>
    <w:p w:rsidR="009E0B84" w:rsidP="009E0B84" w:rsidRDefault="009E0B84" w14:paraId="5222A97A" w14:textId="77777777">
      <w:pPr>
        <w:pStyle w:val="Paragraphtext"/>
      </w:pPr>
    </w:p>
    <w:p w:rsidRPr="00413318" w:rsidR="00413318" w:rsidP="00413318" w:rsidRDefault="00413318" w14:paraId="1E87399A" w14:textId="77777777">
      <w:pPr>
        <w:shd w:val="clear" w:color="auto" w:fill="FFFFFF"/>
        <w:spacing w:before="240" w:after="120"/>
        <w:outlineLvl w:val="1"/>
        <w:rPr>
          <w:rFonts w:ascii="Open Sans" w:hAnsi="Open Sans" w:cs="Open Sans"/>
          <w:sz w:val="36"/>
          <w:szCs w:val="36"/>
          <w:lang w:eastAsia="en-AU"/>
        </w:rPr>
      </w:pPr>
      <w:r w:rsidRPr="00413318">
        <w:rPr>
          <w:rFonts w:ascii="Open Sans" w:hAnsi="Open Sans" w:cs="Open Sans"/>
          <w:sz w:val="36"/>
          <w:szCs w:val="36"/>
          <w:lang w:eastAsia="en-AU"/>
        </w:rPr>
        <w:t>1 PHLN Summary Laboratory Definition</w:t>
      </w:r>
    </w:p>
    <w:p w:rsidRPr="00413318" w:rsidR="00413318" w:rsidP="00413318" w:rsidRDefault="00413318" w14:paraId="44B98D34" w14:textId="77777777">
      <w:pPr>
        <w:shd w:val="clear" w:color="auto" w:fill="FFFFFF"/>
        <w:spacing w:before="240" w:after="120"/>
        <w:outlineLvl w:val="2"/>
        <w:rPr>
          <w:rFonts w:ascii="Open Sans" w:hAnsi="Open Sans" w:cs="Open Sans"/>
          <w:sz w:val="27"/>
          <w:szCs w:val="27"/>
          <w:lang w:eastAsia="en-AU"/>
        </w:rPr>
      </w:pPr>
      <w:r w:rsidRPr="00413318">
        <w:rPr>
          <w:rFonts w:ascii="Open Sans" w:hAnsi="Open Sans" w:cs="Open Sans"/>
          <w:sz w:val="27"/>
          <w:szCs w:val="27"/>
          <w:lang w:eastAsia="en-AU"/>
        </w:rPr>
        <w:t>1.1 Condition:</w:t>
      </w:r>
    </w:p>
    <w:p w:rsidRPr="00413318" w:rsidR="00413318" w:rsidP="00413318" w:rsidRDefault="00413318" w14:paraId="1D6AEFF1"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Mumps</w:t>
      </w:r>
    </w:p>
    <w:p w:rsidRPr="00413318" w:rsidR="00413318" w:rsidP="00413318" w:rsidRDefault="00413318" w14:paraId="2A83A12E"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1.1.1 Definitive criteria</w:t>
      </w:r>
    </w:p>
    <w:p w:rsidRPr="00413318" w:rsidR="00413318" w:rsidP="14B3F0B2" w:rsidRDefault="00413318" w14:paraId="16CB3722" w14:textId="77777777" w14:noSpellErr="1">
      <w:pPr>
        <w:numPr>
          <w:ilvl w:val="0"/>
          <w:numId w:val="20"/>
        </w:numPr>
        <w:shd w:val="clear" w:color="auto" w:fill="FFFFFF" w:themeFill="background1"/>
        <w:spacing w:after="9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Isolation of </w:t>
      </w:r>
      <w:r w:rsidRPr="14B3F0B2" w:rsidR="00413318">
        <w:rPr>
          <w:rFonts w:ascii="Helvetica" w:hAnsi="Helvetica" w:cs="Helvetica"/>
          <w:i w:val="1"/>
          <w:iCs w:val="1"/>
          <w:sz w:val="20"/>
          <w:szCs w:val="20"/>
          <w:lang w:eastAsia="en-AU"/>
        </w:rPr>
        <w:t>mumps virus</w:t>
      </w:r>
      <w:r w:rsidRPr="14B3F0B2" w:rsidR="00413318">
        <w:rPr>
          <w:rFonts w:ascii="Helvetica" w:hAnsi="Helvetica" w:cs="Helvetica"/>
          <w:sz w:val="20"/>
          <w:szCs w:val="20"/>
          <w:lang w:eastAsia="en-AU"/>
        </w:rPr>
        <w:t xml:space="preserve"> from clinical </w:t>
      </w:r>
      <w:r w:rsidRPr="14B3F0B2" w:rsidR="00413318">
        <w:rPr>
          <w:rFonts w:ascii="Helvetica" w:hAnsi="Helvetica" w:cs="Helvetica"/>
          <w:sz w:val="20"/>
          <w:szCs w:val="20"/>
          <w:lang w:eastAsia="en-AU"/>
        </w:rPr>
        <w:t>material;</w:t>
      </w:r>
    </w:p>
    <w:p w:rsidRPr="00413318" w:rsidR="00413318" w:rsidP="14B3F0B2" w:rsidRDefault="00413318" w14:paraId="0D0EC987" w14:textId="11FBFDA6">
      <w:pPr>
        <w:numPr>
          <w:ilvl w:val="0"/>
          <w:numId w:val="20"/>
        </w:numPr>
        <w:shd w:val="clear" w:color="auto" w:fill="FFFFFF" w:themeFill="background1"/>
        <w:spacing w:after="9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Detection of </w:t>
      </w:r>
      <w:r w:rsidRPr="14B3F0B2" w:rsidR="00413318">
        <w:rPr>
          <w:rFonts w:ascii="Helvetica" w:hAnsi="Helvetica" w:cs="Helvetica"/>
          <w:i w:val="1"/>
          <w:iCs w:val="1"/>
          <w:sz w:val="20"/>
          <w:szCs w:val="20"/>
          <w:lang w:eastAsia="en-AU"/>
        </w:rPr>
        <w:t xml:space="preserve">mumps </w:t>
      </w:r>
      <w:r w:rsidRPr="14B3F0B2" w:rsidR="00413318">
        <w:rPr>
          <w:rFonts w:ascii="Helvetica" w:hAnsi="Helvetica" w:cs="Helvetica"/>
          <w:i w:val="1"/>
          <w:iCs w:val="1"/>
          <w:sz w:val="20"/>
          <w:szCs w:val="20"/>
          <w:lang w:eastAsia="en-AU"/>
        </w:rPr>
        <w:t>virus</w:t>
      </w:r>
      <w:r w:rsidRPr="14B3F0B2" w:rsidR="14B3F0B2">
        <w:rPr>
          <w:rFonts w:ascii="Helvetica" w:hAnsi="Helvetica" w:cs="Helvetica"/>
          <w:sz w:val="20"/>
          <w:szCs w:val="20"/>
          <w:lang w:eastAsia="en-AU"/>
        </w:rPr>
        <w:t xml:space="preserve"> </w:t>
      </w:r>
      <w:r w:rsidRPr="14B3F0B2" w:rsidR="00413318">
        <w:rPr>
          <w:rFonts w:ascii="Helvetica" w:hAnsi="Helvetica" w:cs="Helvetica"/>
          <w:sz w:val="20"/>
          <w:szCs w:val="20"/>
          <w:lang w:eastAsia="en-AU"/>
        </w:rPr>
        <w:t>RNA in clinical material; or</w:t>
      </w:r>
    </w:p>
    <w:p w:rsidRPr="00413318" w:rsidR="00413318" w:rsidP="00413318" w:rsidRDefault="00413318" w14:paraId="0B560009" w14:textId="77777777">
      <w:pPr>
        <w:numPr>
          <w:ilvl w:val="0"/>
          <w:numId w:val="20"/>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IgG seroconversion or significant rise in IgG level (</w:t>
      </w:r>
      <w:proofErr w:type="gramStart"/>
      <w:r w:rsidRPr="00413318">
        <w:rPr>
          <w:rFonts w:ascii="Helvetica" w:hAnsi="Helvetica" w:cs="Helvetica"/>
          <w:sz w:val="20"/>
          <w:szCs w:val="20"/>
          <w:lang w:eastAsia="en-AU"/>
        </w:rPr>
        <w:t>e.g.</w:t>
      </w:r>
      <w:proofErr w:type="gramEnd"/>
      <w:r w:rsidRPr="00413318">
        <w:rPr>
          <w:rFonts w:ascii="Helvetica" w:hAnsi="Helvetica" w:cs="Helvetica"/>
          <w:sz w:val="20"/>
          <w:szCs w:val="20"/>
          <w:lang w:eastAsia="en-AU"/>
        </w:rPr>
        <w:t xml:space="preserve"> four-fold or greater rise in titre)</w:t>
      </w:r>
    </w:p>
    <w:p w:rsidRPr="00413318" w:rsidR="00413318" w:rsidP="00413318" w:rsidRDefault="00413318" w14:paraId="7D4C1163"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1.1.2 Suggestive Criteria</w:t>
      </w:r>
    </w:p>
    <w:p w:rsidRPr="00413318" w:rsidR="00413318" w:rsidP="14B3F0B2" w:rsidRDefault="00413318" w14:paraId="6A44050A" w14:textId="55693E95">
      <w:pPr>
        <w:numPr>
          <w:ilvl w:val="0"/>
          <w:numId w:val="21"/>
        </w:numPr>
        <w:shd w:val="clear" w:color="auto" w:fill="FFFFFF" w:themeFill="background1"/>
        <w:spacing w:after="9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Detection of IgM antibody to </w:t>
      </w:r>
      <w:r w:rsidRPr="14B3F0B2" w:rsidR="00413318">
        <w:rPr>
          <w:rFonts w:ascii="Helvetica" w:hAnsi="Helvetica" w:cs="Helvetica"/>
          <w:i w:val="1"/>
          <w:iCs w:val="1"/>
          <w:sz w:val="20"/>
          <w:szCs w:val="20"/>
          <w:lang w:eastAsia="en-AU"/>
        </w:rPr>
        <w:t>mumps virus</w:t>
      </w:r>
    </w:p>
    <w:p w:rsidRPr="00413318" w:rsidR="00413318" w:rsidP="00413318" w:rsidRDefault="00413318" w14:paraId="4E82370F" w14:textId="77777777">
      <w:pPr>
        <w:shd w:val="clear" w:color="auto" w:fill="FFFFFF"/>
        <w:spacing w:after="120"/>
        <w:outlineLvl w:val="1"/>
        <w:rPr>
          <w:rFonts w:ascii="Open Sans" w:hAnsi="Open Sans" w:cs="Open Sans"/>
          <w:sz w:val="36"/>
          <w:szCs w:val="36"/>
          <w:lang w:eastAsia="en-AU"/>
        </w:rPr>
      </w:pPr>
      <w:r w:rsidRPr="00413318">
        <w:rPr>
          <w:rFonts w:ascii="Open Sans" w:hAnsi="Open Sans" w:cs="Open Sans"/>
          <w:sz w:val="36"/>
          <w:szCs w:val="36"/>
          <w:lang w:eastAsia="en-AU"/>
        </w:rPr>
        <w:t>2 Introduction</w:t>
      </w:r>
    </w:p>
    <w:p w:rsidRPr="00413318" w:rsidR="00413318" w:rsidP="14B3F0B2" w:rsidRDefault="00413318" w14:paraId="74871FE6" w14:textId="77777777">
      <w:pPr>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i w:val="1"/>
          <w:iCs w:val="1"/>
          <w:sz w:val="20"/>
          <w:szCs w:val="20"/>
          <w:lang w:eastAsia="en-AU"/>
        </w:rPr>
        <w:t>Mumps</w:t>
      </w:r>
      <w:r w:rsidRPr="14B3F0B2" w:rsidR="00413318">
        <w:rPr>
          <w:rFonts w:ascii="Helvetica" w:hAnsi="Helvetica" w:cs="Helvetica"/>
          <w:i w:val="1"/>
          <w:iCs w:val="1"/>
          <w:sz w:val="20"/>
          <w:szCs w:val="20"/>
          <w:lang w:eastAsia="en-AU"/>
        </w:rPr>
        <w:t xml:space="preserve"> virus</w:t>
      </w:r>
      <w:r w:rsidRPr="14B3F0B2" w:rsidR="00413318">
        <w:rPr>
          <w:rFonts w:ascii="Helvetica" w:hAnsi="Helvetica" w:cs="Helvetica"/>
          <w:sz w:val="20"/>
          <w:szCs w:val="20"/>
          <w:lang w:eastAsia="en-AU"/>
        </w:rPr>
        <w:t xml:space="preserve"> is a non-segmented, negative sense, enveloped RNA virus that is a member of the </w:t>
      </w:r>
      <w:proofErr w:type="spellStart"/>
      <w:r w:rsidRPr="14B3F0B2" w:rsidR="00413318">
        <w:rPr>
          <w:rFonts w:ascii="Helvetica" w:hAnsi="Helvetica" w:cs="Helvetica"/>
          <w:i w:val="1"/>
          <w:iCs w:val="1"/>
          <w:sz w:val="20"/>
          <w:szCs w:val="20"/>
          <w:lang w:eastAsia="en-AU"/>
        </w:rPr>
        <w:t>Rubulavirus</w:t>
      </w:r>
      <w:proofErr w:type="spellEnd"/>
      <w:r w:rsidRPr="14B3F0B2" w:rsidR="00413318">
        <w:rPr>
          <w:rFonts w:ascii="Helvetica" w:hAnsi="Helvetica" w:cs="Helvetica"/>
          <w:i w:val="1"/>
          <w:iCs w:val="1"/>
          <w:sz w:val="20"/>
          <w:szCs w:val="20"/>
          <w:lang w:eastAsia="en-AU"/>
        </w:rPr>
        <w:t xml:space="preserve"> </w:t>
      </w:r>
      <w:r w:rsidRPr="14B3F0B2" w:rsidR="00413318">
        <w:rPr>
          <w:rFonts w:ascii="Helvetica" w:hAnsi="Helvetica" w:cs="Helvetica"/>
          <w:sz w:val="20"/>
          <w:szCs w:val="20"/>
          <w:lang w:eastAsia="en-AU"/>
        </w:rPr>
        <w:t xml:space="preserve">genus of the family </w:t>
      </w:r>
      <w:proofErr w:type="spellStart"/>
      <w:r w:rsidRPr="14B3F0B2" w:rsidR="00413318">
        <w:rPr>
          <w:rFonts w:ascii="Helvetica" w:hAnsi="Helvetica" w:cs="Helvetica"/>
          <w:i w:val="1"/>
          <w:iCs w:val="1"/>
          <w:sz w:val="20"/>
          <w:szCs w:val="20"/>
          <w:lang w:eastAsia="en-AU"/>
        </w:rPr>
        <w:t>Paramyxoviridæ</w:t>
      </w:r>
      <w:proofErr w:type="spellEnd"/>
      <w:r w:rsidRPr="14B3F0B2" w:rsidR="00413318">
        <w:rPr>
          <w:rFonts w:ascii="Helvetica" w:hAnsi="Helvetica" w:cs="Helvetica"/>
          <w:sz w:val="20"/>
          <w:szCs w:val="20"/>
          <w:lang w:eastAsia="en-AU"/>
        </w:rPr>
        <w:t xml:space="preserve">. </w:t>
      </w:r>
      <w:r w:rsidRPr="14B3F0B2" w:rsidR="00413318">
        <w:rPr>
          <w:rFonts w:ascii="Helvetica" w:hAnsi="Helvetica" w:cs="Helvetica"/>
          <w:i w:val="1"/>
          <w:iCs w:val="1"/>
          <w:sz w:val="20"/>
          <w:szCs w:val="20"/>
          <w:lang w:eastAsia="en-AU"/>
        </w:rPr>
        <w:t>Mumps</w:t>
      </w:r>
      <w:r w:rsidRPr="14B3F0B2" w:rsidR="00413318">
        <w:rPr>
          <w:rFonts w:ascii="Helvetica" w:hAnsi="Helvetica" w:cs="Helvetica"/>
          <w:i w:val="1"/>
          <w:iCs w:val="1"/>
          <w:sz w:val="20"/>
          <w:szCs w:val="20"/>
          <w:lang w:eastAsia="en-AU"/>
        </w:rPr>
        <w:t xml:space="preserve"> virus</w:t>
      </w:r>
      <w:r w:rsidRPr="14B3F0B2" w:rsidR="00413318">
        <w:rPr>
          <w:rFonts w:ascii="Helvetica" w:hAnsi="Helvetica" w:cs="Helvetica"/>
          <w:sz w:val="20"/>
          <w:szCs w:val="20"/>
          <w:lang w:eastAsia="en-AU"/>
        </w:rPr>
        <w:t xml:space="preserve"> strains can be classified into 12 genotypes, from A to N (excluding E and M), based on the sequence diversity of the SH gene that encodes the small hydrophobic protein.</w:t>
      </w:r>
    </w:p>
    <w:p w:rsidRPr="00413318" w:rsidR="00413318" w:rsidP="00413318" w:rsidRDefault="00413318" w14:paraId="7EDFB881" w14:textId="1B3E4886">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Mumps is a highly contagious infection with an R0 of 10–12 in a susceptible population. Prior to the introduction of routine mumps vaccination, 95% of adults had serological evidence of infection, and regular seasonal outbreaks occurred every 2-5 years, mainly affecting children</w:t>
      </w:r>
      <w:r w:rsidRPr="00413318">
        <w:rPr>
          <w:rFonts w:ascii="Helvetica" w:hAnsi="Helvetica" w:cs="Helvetica"/>
          <w:sz w:val="15"/>
          <w:szCs w:val="15"/>
          <w:vertAlign w:val="superscript"/>
          <w:lang w:eastAsia="en-AU"/>
        </w:rPr>
        <w:t>1</w:t>
      </w:r>
      <w:r w:rsidRPr="00413318">
        <w:rPr>
          <w:rFonts w:ascii="Helvetica" w:hAnsi="Helvetica" w:cs="Helvetica"/>
          <w:sz w:val="20"/>
          <w:szCs w:val="20"/>
          <w:lang w:eastAsia="en-AU"/>
        </w:rPr>
        <w:t xml:space="preserve">. Transmission is by respiratory secretions, direct contact with saliva, contaminated fomites and possibly urine. The mean </w:t>
      </w:r>
      <w:r w:rsidRPr="00413318">
        <w:rPr>
          <w:rFonts w:ascii="Helvetica" w:hAnsi="Helvetica" w:cs="Helvetica"/>
          <w:sz w:val="20"/>
          <w:szCs w:val="20"/>
          <w:lang w:eastAsia="en-AU"/>
        </w:rPr>
        <w:lastRenderedPageBreak/>
        <w:t>incubation period is 18 days (range 14–25) days</w:t>
      </w:r>
      <w:r w:rsidRPr="00413318">
        <w:rPr>
          <w:rFonts w:ascii="Helvetica" w:hAnsi="Helvetica" w:cs="Helvetica"/>
          <w:sz w:val="15"/>
          <w:szCs w:val="15"/>
          <w:vertAlign w:val="superscript"/>
          <w:lang w:eastAsia="en-AU"/>
        </w:rPr>
        <w:t>2</w:t>
      </w:r>
      <w:r w:rsidRPr="00413318">
        <w:rPr>
          <w:rFonts w:ascii="Helvetica" w:hAnsi="Helvetica" w:cs="Helvetica"/>
          <w:sz w:val="20"/>
          <w:szCs w:val="20"/>
          <w:lang w:eastAsia="en-AU"/>
        </w:rPr>
        <w:t>. The virus can be isolated from saliva of infected people 7 days before onset of parotitis and the disease is most contagious 1 to 2 days before the onset of symptoms. Infected individuals may remain infectious for up to nine days after onset</w:t>
      </w:r>
      <w:r w:rsidRPr="00413318">
        <w:rPr>
          <w:rFonts w:ascii="Helvetica" w:hAnsi="Helvetica" w:cs="Helvetica"/>
          <w:sz w:val="15"/>
          <w:szCs w:val="15"/>
          <w:vertAlign w:val="superscript"/>
          <w:lang w:eastAsia="en-AU"/>
        </w:rPr>
        <w:t>3</w:t>
      </w:r>
      <w:r w:rsidRPr="00413318">
        <w:rPr>
          <w:rFonts w:ascii="Helvetica" w:hAnsi="Helvetica" w:cs="Helvetica"/>
          <w:sz w:val="20"/>
          <w:szCs w:val="20"/>
          <w:lang w:eastAsia="en-AU"/>
        </w:rPr>
        <w:t>.</w:t>
      </w:r>
    </w:p>
    <w:p w:rsidRPr="00413318" w:rsidR="00413318" w:rsidP="00413318" w:rsidRDefault="00413318" w14:paraId="67B63A1A"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Approximately 30% of infections are asymptomatic. Clinically apparent infections are often preceded by a short prodrome of </w:t>
      </w:r>
      <w:proofErr w:type="gramStart"/>
      <w:r w:rsidRPr="00413318">
        <w:rPr>
          <w:rFonts w:ascii="Helvetica" w:hAnsi="Helvetica" w:cs="Helvetica"/>
          <w:sz w:val="20"/>
          <w:szCs w:val="20"/>
          <w:lang w:eastAsia="en-AU"/>
        </w:rPr>
        <w:t>low grade</w:t>
      </w:r>
      <w:proofErr w:type="gramEnd"/>
      <w:r w:rsidRPr="00413318">
        <w:rPr>
          <w:rFonts w:ascii="Helvetica" w:hAnsi="Helvetica" w:cs="Helvetica"/>
          <w:sz w:val="20"/>
          <w:szCs w:val="20"/>
          <w:lang w:eastAsia="en-AU"/>
        </w:rPr>
        <w:t xml:space="preserve"> fever, anorexia, malaise and headache. Over 95% of symptomatic cases will have the pathognomonic features of bilateral, swollen, painful salivary glands, most often involving the parotid glands. </w:t>
      </w:r>
      <w:proofErr w:type="spellStart"/>
      <w:r w:rsidRPr="00413318">
        <w:rPr>
          <w:rFonts w:ascii="Helvetica" w:hAnsi="Helvetica" w:cs="Helvetica"/>
          <w:sz w:val="20"/>
          <w:szCs w:val="20"/>
          <w:lang w:eastAsia="en-AU"/>
        </w:rPr>
        <w:t>Epididymo</w:t>
      </w:r>
      <w:proofErr w:type="spellEnd"/>
      <w:r w:rsidRPr="00413318">
        <w:rPr>
          <w:rFonts w:ascii="Helvetica" w:hAnsi="Helvetica" w:cs="Helvetica"/>
          <w:sz w:val="20"/>
          <w:szCs w:val="20"/>
          <w:lang w:eastAsia="en-AU"/>
        </w:rPr>
        <w:t xml:space="preserve">-orchitis may occur in 15–30% of adult males, however it is rare in pre-pubertal boys. </w:t>
      </w:r>
      <w:proofErr w:type="gramStart"/>
      <w:r w:rsidRPr="00413318">
        <w:rPr>
          <w:rFonts w:ascii="Helvetica" w:hAnsi="Helvetica" w:cs="Helvetica"/>
          <w:sz w:val="20"/>
          <w:szCs w:val="20"/>
          <w:lang w:eastAsia="en-AU"/>
        </w:rPr>
        <w:t>Mumps</w:t>
      </w:r>
      <w:proofErr w:type="gramEnd"/>
      <w:r w:rsidRPr="00413318">
        <w:rPr>
          <w:rFonts w:ascii="Helvetica" w:hAnsi="Helvetica" w:cs="Helvetica"/>
          <w:sz w:val="20"/>
          <w:szCs w:val="20"/>
          <w:lang w:eastAsia="en-AU"/>
        </w:rPr>
        <w:t xml:space="preserve"> infection may result in a number of neurological complications, including meningitis (1–10% of mumps infections), encephalitis (less than 0.1%), that may result in hearing loss in up to 4% of cases, and permanent sensorineural hearing loss (1 in 20 000 cases). Oophoritis, mastitis, pancreatitis, thyroiditis, myocarditis, migratory </w:t>
      </w:r>
      <w:proofErr w:type="spellStart"/>
      <w:r w:rsidRPr="00413318">
        <w:rPr>
          <w:rFonts w:ascii="Helvetica" w:hAnsi="Helvetica" w:cs="Helvetica"/>
          <w:sz w:val="20"/>
          <w:szCs w:val="20"/>
          <w:lang w:eastAsia="en-AU"/>
        </w:rPr>
        <w:t>polyarthropathy</w:t>
      </w:r>
      <w:proofErr w:type="spellEnd"/>
      <w:r w:rsidRPr="00413318">
        <w:rPr>
          <w:rFonts w:ascii="Helvetica" w:hAnsi="Helvetica" w:cs="Helvetica"/>
          <w:sz w:val="20"/>
          <w:szCs w:val="20"/>
          <w:lang w:eastAsia="en-AU"/>
        </w:rPr>
        <w:t xml:space="preserve"> and spontaneous abortion have all been reported following mumps infection4.</w:t>
      </w:r>
    </w:p>
    <w:p w:rsidRPr="00413318" w:rsidR="00413318" w:rsidP="00413318" w:rsidRDefault="00413318" w14:paraId="54DFE06B" w14:textId="109824BC">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Mumps is now an uncommon infection within Australia, particularly following the introduction of vaccination in 1981. Annual reported cases declined in Australia to a low of 60 in </w:t>
      </w:r>
      <w:proofErr w:type="gramStart"/>
      <w:r w:rsidRPr="00413318">
        <w:rPr>
          <w:rFonts w:ascii="Helvetica" w:hAnsi="Helvetica" w:cs="Helvetica"/>
          <w:sz w:val="20"/>
          <w:szCs w:val="20"/>
          <w:lang w:eastAsia="en-AU"/>
        </w:rPr>
        <w:t>2002, but</w:t>
      </w:r>
      <w:proofErr w:type="gramEnd"/>
      <w:r w:rsidRPr="00413318">
        <w:rPr>
          <w:rFonts w:ascii="Helvetica" w:hAnsi="Helvetica" w:cs="Helvetica"/>
          <w:sz w:val="20"/>
          <w:szCs w:val="20"/>
          <w:lang w:eastAsia="en-AU"/>
        </w:rPr>
        <w:t xml:space="preserve"> have risen thereafter</w:t>
      </w:r>
      <w:r w:rsidRPr="00413318">
        <w:rPr>
          <w:rFonts w:ascii="Helvetica" w:hAnsi="Helvetica" w:cs="Helvetica"/>
          <w:sz w:val="15"/>
          <w:szCs w:val="15"/>
          <w:vertAlign w:val="superscript"/>
          <w:lang w:eastAsia="en-AU"/>
        </w:rPr>
        <w:t>1</w:t>
      </w:r>
      <w:r w:rsidRPr="00413318">
        <w:rPr>
          <w:rFonts w:ascii="Helvetica" w:hAnsi="Helvetica" w:cs="Helvetica"/>
          <w:sz w:val="20"/>
          <w:szCs w:val="20"/>
          <w:lang w:eastAsia="en-AU"/>
        </w:rPr>
        <w:t>. Several large outbreaks of disease have occurred in developed countries during the past decade, predominately involving young adults. Many of these cases were in partially or fully vaccinated individuals. In Australia, serological data, notification rates and hospitalization rates have identified the birth cohort of late 1978-1982 as most susceptible1.</w:t>
      </w:r>
    </w:p>
    <w:p w:rsidRPr="00413318" w:rsidR="00413318" w:rsidP="00413318" w:rsidRDefault="00413318" w14:paraId="4D19521B" w14:textId="3A757351">
      <w:pPr>
        <w:shd w:val="clear" w:color="auto" w:fill="FFFFFF"/>
        <w:spacing w:after="240" w:line="300" w:lineRule="atLeast"/>
        <w:rPr>
          <w:rFonts w:ascii="Helvetica" w:hAnsi="Helvetica" w:cs="Helvetica"/>
          <w:sz w:val="20"/>
          <w:szCs w:val="20"/>
          <w:lang w:eastAsia="en-AU"/>
        </w:rPr>
      </w:pPr>
      <w:proofErr w:type="gramStart"/>
      <w:r w:rsidRPr="00413318">
        <w:rPr>
          <w:rFonts w:ascii="Helvetica" w:hAnsi="Helvetica" w:cs="Helvetica"/>
          <w:sz w:val="20"/>
          <w:szCs w:val="20"/>
          <w:lang w:eastAsia="en-AU"/>
        </w:rPr>
        <w:t>Mumps</w:t>
      </w:r>
      <w:proofErr w:type="gramEnd"/>
      <w:r w:rsidRPr="00413318">
        <w:rPr>
          <w:rFonts w:ascii="Helvetica" w:hAnsi="Helvetica" w:cs="Helvetica"/>
          <w:sz w:val="20"/>
          <w:szCs w:val="20"/>
          <w:lang w:eastAsia="en-AU"/>
        </w:rPr>
        <w:t xml:space="preserve"> vaccination has been delivered in combination as measles-mumps vaccine from 1983, and from 1989 as measles-mumps-rubella vaccine. </w:t>
      </w:r>
      <w:proofErr w:type="gramStart"/>
      <w:r w:rsidRPr="00413318">
        <w:rPr>
          <w:rFonts w:ascii="Helvetica" w:hAnsi="Helvetica" w:cs="Helvetica"/>
          <w:sz w:val="20"/>
          <w:szCs w:val="20"/>
          <w:lang w:eastAsia="en-AU"/>
        </w:rPr>
        <w:t>Mumps</w:t>
      </w:r>
      <w:proofErr w:type="gramEnd"/>
      <w:r w:rsidRPr="00413318">
        <w:rPr>
          <w:rFonts w:ascii="Helvetica" w:hAnsi="Helvetica" w:cs="Helvetica"/>
          <w:sz w:val="20"/>
          <w:szCs w:val="20"/>
          <w:lang w:eastAsia="en-AU"/>
        </w:rPr>
        <w:t xml:space="preserve"> vaccines are live attenuated viruses which can vary in effectiveness and degree of attenuation. Vaccines currently available in Australia all contain the Jeryl-Lynn strain. Post-licensure studies of two doses of MMR (Jeryl-Lynn strain)5 found a median vaccine effectiveness (VE) estimate of 88% (79-95%). A report on a mumps epidemic in the Netherlands found a VE of 82% for preventing hospitalisation, 76% for preventing all complications and 74% for preventing orchitis.</w:t>
      </w:r>
    </w:p>
    <w:p w:rsidRPr="00413318" w:rsidR="00413318" w:rsidP="00413318" w:rsidRDefault="00413318" w14:paraId="5F6FA2FC" w14:textId="77777777">
      <w:pPr>
        <w:shd w:val="clear" w:color="auto" w:fill="FFFFFF"/>
        <w:spacing w:before="240" w:after="120"/>
        <w:outlineLvl w:val="1"/>
        <w:rPr>
          <w:rFonts w:ascii="Open Sans" w:hAnsi="Open Sans" w:cs="Open Sans"/>
          <w:sz w:val="36"/>
          <w:szCs w:val="36"/>
          <w:lang w:eastAsia="en-AU"/>
        </w:rPr>
      </w:pPr>
      <w:r w:rsidRPr="00413318">
        <w:rPr>
          <w:rFonts w:ascii="Open Sans" w:hAnsi="Open Sans" w:cs="Open Sans"/>
          <w:sz w:val="36"/>
          <w:szCs w:val="36"/>
          <w:lang w:eastAsia="en-AU"/>
        </w:rPr>
        <w:t>3 Tests</w:t>
      </w:r>
    </w:p>
    <w:p w:rsidRPr="00413318" w:rsidR="00413318" w:rsidP="00413318" w:rsidRDefault="00413318" w14:paraId="58CC7AD5" w14:textId="77777777">
      <w:pPr>
        <w:shd w:val="clear" w:color="auto" w:fill="FFFFFF"/>
        <w:spacing w:before="240" w:after="120"/>
        <w:outlineLvl w:val="2"/>
        <w:rPr>
          <w:rFonts w:ascii="Open Sans" w:hAnsi="Open Sans" w:cs="Open Sans"/>
          <w:sz w:val="27"/>
          <w:szCs w:val="27"/>
          <w:lang w:eastAsia="en-AU"/>
        </w:rPr>
      </w:pPr>
      <w:r w:rsidRPr="00413318">
        <w:rPr>
          <w:rFonts w:ascii="Open Sans" w:hAnsi="Open Sans" w:cs="Open Sans"/>
          <w:sz w:val="27"/>
          <w:szCs w:val="27"/>
          <w:lang w:eastAsia="en-AU"/>
        </w:rPr>
        <w:t>3.1 Serological diagnosis</w:t>
      </w:r>
    </w:p>
    <w:p w:rsidRPr="00413318" w:rsidR="00413318" w:rsidP="00413318" w:rsidRDefault="00413318" w14:paraId="37911CB0"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Serological diagnosis of mumps infection requires the identification of specific IgM antibody or demonstration of a rising titre of IgG antibodies. However, in vaccinated populations such as Australia, most cases occur in vaccinated individuals and IgM detection is of limited value (refer below).</w:t>
      </w:r>
    </w:p>
    <w:p w:rsidRPr="00413318" w:rsidR="00413318" w:rsidP="00413318" w:rsidRDefault="00413318" w14:paraId="55066793" w14:textId="541367BB">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The optimal time of serum collection is 7–10 days following symptom onset. IgM antibodies are present in approximately 70% of individuals at the onset of illness (when glands are swollen)</w:t>
      </w:r>
      <w:proofErr w:type="gramStart"/>
      <w:r w:rsidRPr="00413318">
        <w:rPr>
          <w:rFonts w:ascii="Helvetica" w:hAnsi="Helvetica" w:cs="Helvetica"/>
          <w:sz w:val="15"/>
          <w:szCs w:val="15"/>
          <w:vertAlign w:val="superscript"/>
          <w:lang w:eastAsia="en-AU"/>
        </w:rPr>
        <w:t>10</w:t>
      </w:r>
      <w:r w:rsidRPr="00413318">
        <w:rPr>
          <w:rFonts w:ascii="Helvetica" w:hAnsi="Helvetica" w:cs="Helvetica"/>
          <w:sz w:val="20"/>
          <w:szCs w:val="20"/>
          <w:lang w:eastAsia="en-AU"/>
        </w:rPr>
        <w:t>, and</w:t>
      </w:r>
      <w:proofErr w:type="gramEnd"/>
      <w:r w:rsidRPr="00413318">
        <w:rPr>
          <w:rFonts w:ascii="Helvetica" w:hAnsi="Helvetica" w:cs="Helvetica"/>
          <w:sz w:val="20"/>
          <w:szCs w:val="20"/>
          <w:lang w:eastAsia="en-AU"/>
        </w:rPr>
        <w:t> may be present for several weeks or months following the illness, declining within four to eight weeks. Importantly, an IgM ELISA may give a false negative result if collected before day four of clinical presentation.</w:t>
      </w:r>
    </w:p>
    <w:p w:rsidRPr="00413318" w:rsidR="00413318" w:rsidP="14B3F0B2" w:rsidRDefault="00413318" w14:paraId="71C051DC" w14:textId="65ED7AF9">
      <w:pPr>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IgM-ELISA has been shown to be superior to IgM immunofluorescence, </w:t>
      </w:r>
      <w:proofErr w:type="spellStart"/>
      <w:r w:rsidRPr="14B3F0B2" w:rsidR="00413318">
        <w:rPr>
          <w:rFonts w:ascii="Helvetica" w:hAnsi="Helvetica" w:cs="Helvetica"/>
          <w:sz w:val="20"/>
          <w:szCs w:val="20"/>
          <w:lang w:eastAsia="en-AU"/>
        </w:rPr>
        <w:t>hæmagglutination</w:t>
      </w:r>
      <w:proofErr w:type="spellEnd"/>
      <w:r w:rsidRPr="14B3F0B2" w:rsidR="00413318">
        <w:rPr>
          <w:rFonts w:ascii="Helvetica" w:hAnsi="Helvetica" w:cs="Helvetica"/>
          <w:sz w:val="20"/>
          <w:szCs w:val="20"/>
          <w:lang w:eastAsia="en-AU"/>
        </w:rPr>
        <w:t xml:space="preserve"> inhibition and complement fixation tests in diagnosing recent infection. A comparison of five commercial IgM-ELISAs during a recent outbreak in Scotland found a sensitivity of 24- 51% for samples collected in </w:t>
      </w:r>
      <w:r w:rsidRPr="14B3F0B2" w:rsidR="00413318">
        <w:rPr>
          <w:rFonts w:ascii="Helvetica" w:hAnsi="Helvetica" w:cs="Helvetica"/>
          <w:sz w:val="20"/>
          <w:szCs w:val="20"/>
          <w:lang w:eastAsia="en-AU"/>
        </w:rPr>
        <w:t>the first ten days after onset of symptoms</w:t>
      </w:r>
      <w:r w:rsidRPr="14B3F0B2" w:rsidR="00413318">
        <w:rPr>
          <w:rFonts w:ascii="Helvetica" w:hAnsi="Helvetica" w:cs="Helvetica"/>
          <w:sz w:val="15"/>
          <w:szCs w:val="15"/>
          <w:vertAlign w:val="superscript"/>
          <w:lang w:eastAsia="en-AU"/>
        </w:rPr>
        <w:t>6</w:t>
      </w:r>
      <w:r w:rsidRPr="14B3F0B2" w:rsidR="00413318">
        <w:rPr>
          <w:rFonts w:ascii="Helvetica" w:hAnsi="Helvetica" w:cs="Helvetica"/>
          <w:sz w:val="20"/>
          <w:szCs w:val="20"/>
          <w:lang w:eastAsia="en-AU"/>
        </w:rPr>
        <w:t xml:space="preserve">. Specimens collected after ten days had the highest positivity rates, with sensitivity of 80–100%. Specificity was around 82% for most assays. Equivocal or positive results were obtained in sera from patients with </w:t>
      </w:r>
      <w:r w:rsidRPr="14B3F0B2" w:rsidR="00413318">
        <w:rPr>
          <w:rFonts w:ascii="Helvetica" w:hAnsi="Helvetica" w:cs="Helvetica"/>
          <w:i w:val="1"/>
          <w:iCs w:val="1"/>
          <w:sz w:val="20"/>
          <w:szCs w:val="20"/>
          <w:lang w:eastAsia="en-AU"/>
        </w:rPr>
        <w:t>parainfluenza</w:t>
      </w:r>
      <w:r w:rsidRPr="14B3F0B2" w:rsidR="00413318">
        <w:rPr>
          <w:rFonts w:ascii="Helvetica" w:hAnsi="Helvetica" w:cs="Helvetica"/>
          <w:sz w:val="20"/>
          <w:szCs w:val="20"/>
          <w:lang w:eastAsia="en-AU"/>
        </w:rPr>
        <w:t xml:space="preserve">, </w:t>
      </w:r>
      <w:r w:rsidRPr="14B3F0B2" w:rsidR="00413318">
        <w:rPr>
          <w:rFonts w:ascii="Helvetica" w:hAnsi="Helvetica" w:cs="Helvetica"/>
          <w:i w:val="1"/>
          <w:iCs w:val="1"/>
          <w:sz w:val="20"/>
          <w:szCs w:val="20"/>
          <w:lang w:eastAsia="en-AU"/>
        </w:rPr>
        <w:t xml:space="preserve">Epstein-Barr </w:t>
      </w:r>
      <w:r w:rsidRPr="14B3F0B2" w:rsidR="00413318">
        <w:rPr>
          <w:rFonts w:ascii="Helvetica" w:hAnsi="Helvetica" w:cs="Helvetica"/>
          <w:i w:val="1"/>
          <w:iCs w:val="1"/>
          <w:sz w:val="20"/>
          <w:szCs w:val="20"/>
          <w:lang w:eastAsia="en-AU"/>
        </w:rPr>
        <w:t>virus</w:t>
      </w:r>
      <w:r w:rsidRPr="14B3F0B2" w:rsidR="00413318">
        <w:rPr>
          <w:rFonts w:ascii="Helvetica" w:hAnsi="Helvetica" w:cs="Helvetica"/>
          <w:i w:val="1"/>
          <w:iCs w:val="1"/>
          <w:sz w:val="20"/>
          <w:szCs w:val="20"/>
          <w:lang w:eastAsia="en-AU"/>
        </w:rPr>
        <w:t xml:space="preserve"> </w:t>
      </w:r>
      <w:r w:rsidRPr="14B3F0B2" w:rsidR="00413318">
        <w:rPr>
          <w:rFonts w:ascii="Helvetica" w:hAnsi="Helvetica" w:cs="Helvetica"/>
          <w:sz w:val="20"/>
          <w:szCs w:val="20"/>
          <w:lang w:eastAsia="en-AU"/>
        </w:rPr>
        <w:t xml:space="preserve">and </w:t>
      </w:r>
      <w:r w:rsidRPr="14B3F0B2" w:rsidR="00413318">
        <w:rPr>
          <w:rFonts w:ascii="Helvetica" w:hAnsi="Helvetica" w:cs="Helvetica"/>
          <w:i w:val="1"/>
          <w:iCs w:val="1"/>
          <w:sz w:val="20"/>
          <w:szCs w:val="20"/>
          <w:lang w:eastAsia="en-AU"/>
        </w:rPr>
        <w:t xml:space="preserve">Parvovirus </w:t>
      </w:r>
      <w:r w:rsidRPr="14B3F0B2" w:rsidR="00413318">
        <w:rPr>
          <w:rFonts w:ascii="Helvetica" w:hAnsi="Helvetica" w:cs="Helvetica"/>
          <w:sz w:val="20"/>
          <w:szCs w:val="20"/>
          <w:lang w:eastAsia="en-AU"/>
        </w:rPr>
        <w:t>B19.</w:t>
      </w:r>
    </w:p>
    <w:p w:rsidRPr="00413318" w:rsidR="00413318" w:rsidP="00413318" w:rsidRDefault="00413318" w14:paraId="7A114E7E" w14:textId="5E2522EE">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IgM is often not detectable in previously infected or immunised individuals. During an outbreak in </w:t>
      </w:r>
      <w:proofErr w:type="spellStart"/>
      <w:r w:rsidRPr="00413318">
        <w:rPr>
          <w:rFonts w:ascii="Helvetica" w:hAnsi="Helvetica" w:cs="Helvetica"/>
          <w:sz w:val="20"/>
          <w:szCs w:val="20"/>
          <w:lang w:eastAsia="en-AU"/>
        </w:rPr>
        <w:t>Novia</w:t>
      </w:r>
      <w:proofErr w:type="spellEnd"/>
      <w:r w:rsidRPr="00413318">
        <w:rPr>
          <w:rFonts w:ascii="Helvetica" w:hAnsi="Helvetica" w:cs="Helvetica"/>
          <w:sz w:val="20"/>
          <w:szCs w:val="20"/>
          <w:lang w:eastAsia="en-AU"/>
        </w:rPr>
        <w:t xml:space="preserve"> Scotia the sensitivity of IgM was found to be 23% in cases with a history of mumps vaccination</w:t>
      </w:r>
      <w:r w:rsidRPr="00413318">
        <w:rPr>
          <w:rFonts w:ascii="Helvetica" w:hAnsi="Helvetica" w:cs="Helvetica"/>
          <w:sz w:val="15"/>
          <w:szCs w:val="15"/>
          <w:vertAlign w:val="superscript"/>
          <w:lang w:eastAsia="en-AU"/>
        </w:rPr>
        <w:t>7</w:t>
      </w:r>
      <w:r w:rsidRPr="00413318">
        <w:rPr>
          <w:rFonts w:ascii="Helvetica" w:hAnsi="Helvetica" w:cs="Helvetica"/>
          <w:sz w:val="20"/>
          <w:szCs w:val="20"/>
          <w:lang w:eastAsia="en-AU"/>
        </w:rPr>
        <w:t xml:space="preserve">. </w:t>
      </w:r>
      <w:proofErr w:type="gramStart"/>
      <w:r w:rsidRPr="00413318">
        <w:rPr>
          <w:rFonts w:ascii="Helvetica" w:hAnsi="Helvetica" w:cs="Helvetica"/>
          <w:sz w:val="20"/>
          <w:szCs w:val="20"/>
          <w:lang w:eastAsia="en-AU"/>
        </w:rPr>
        <w:t>Similarly</w:t>
      </w:r>
      <w:proofErr w:type="gramEnd"/>
      <w:r w:rsidRPr="00413318">
        <w:rPr>
          <w:rFonts w:ascii="Helvetica" w:hAnsi="Helvetica" w:cs="Helvetica"/>
          <w:sz w:val="20"/>
          <w:szCs w:val="20"/>
          <w:lang w:eastAsia="en-AU"/>
        </w:rPr>
        <w:t xml:space="preserve"> in Western Australia, Speers et al</w:t>
      </w:r>
      <w:r w:rsidRPr="00413318">
        <w:rPr>
          <w:rFonts w:ascii="Helvetica" w:hAnsi="Helvetica" w:cs="Helvetica"/>
          <w:sz w:val="15"/>
          <w:szCs w:val="15"/>
          <w:vertAlign w:val="superscript"/>
          <w:lang w:eastAsia="en-AU"/>
        </w:rPr>
        <w:t>8</w:t>
      </w:r>
      <w:r w:rsidRPr="00413318">
        <w:rPr>
          <w:rFonts w:ascii="Helvetica" w:hAnsi="Helvetica" w:cs="Helvetica"/>
          <w:sz w:val="20"/>
          <w:szCs w:val="20"/>
          <w:lang w:eastAsia="en-AU"/>
        </w:rPr>
        <w:t> found fewer cases of mumps were diagnosed by serology than PCR among fully vaccinated individuals compared with the unvaccinated group.</w:t>
      </w:r>
    </w:p>
    <w:p w:rsidRPr="00413318" w:rsidR="00413318" w:rsidP="00413318" w:rsidRDefault="00413318" w14:paraId="04FD356F"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Where an appropriately timed IgM test is negative, infection may be confirmed by IgG seroconversion or four-fold rise in titre between acute and convalescent samples.</w:t>
      </w:r>
    </w:p>
    <w:p w:rsidRPr="00413318" w:rsidR="00413318" w:rsidP="00413318" w:rsidRDefault="00413318" w14:paraId="00F787F8"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Recent vaccination with mumps vaccine or MMR can elicit a mumps IgM antibody response.</w:t>
      </w:r>
    </w:p>
    <w:p w:rsidRPr="00413318" w:rsidR="00413318" w:rsidP="00413318" w:rsidRDefault="00413318" w14:paraId="3327E1C1"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In individuals who are initially seronegative, IgG seroconversion or a four-fold rise in IgG titre will confirm infection. The utility of this test in an outbreak setting is limited however, particularly in fully or partially vaccinated individuals and its absence should not be used to rule out mumps. As ability of mumps IgG and IgM serology to confirm mumps among vaccinated patients is limited, serological tests among vaccinated patients should be interpreted cautiously and confirmed by RT-PCR tests at the beginning of a mumps outbreak.</w:t>
      </w:r>
    </w:p>
    <w:p w:rsidRPr="00413318" w:rsidR="00413318" w:rsidP="00413318" w:rsidRDefault="00413318" w14:paraId="1C0C667C"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Virus neutralisation is the most specific serological test determining infection and immunity. At low concentrations of </w:t>
      </w:r>
      <w:proofErr w:type="gramStart"/>
      <w:r w:rsidRPr="00413318">
        <w:rPr>
          <w:rFonts w:ascii="Helvetica" w:hAnsi="Helvetica" w:cs="Helvetica"/>
          <w:sz w:val="20"/>
          <w:szCs w:val="20"/>
          <w:lang w:eastAsia="en-AU"/>
        </w:rPr>
        <w:t>antibody</w:t>
      </w:r>
      <w:proofErr w:type="gramEnd"/>
      <w:r w:rsidRPr="00413318">
        <w:rPr>
          <w:rFonts w:ascii="Helvetica" w:hAnsi="Helvetica" w:cs="Helvetica"/>
          <w:sz w:val="20"/>
          <w:szCs w:val="20"/>
          <w:lang w:eastAsia="en-AU"/>
        </w:rPr>
        <w:t xml:space="preserve"> it can also be more sensitive due to the lower initial dilutions of serum used. There is no neutralising antibody titre established as surrogate marker for immunity, and as a result a “protective” IgG titre cannot be determined.</w:t>
      </w:r>
    </w:p>
    <w:p w:rsidRPr="00413318" w:rsidR="00413318" w:rsidP="00413318" w:rsidRDefault="00413318" w14:paraId="22C458F6"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3.1.1 Suitable specimens</w:t>
      </w:r>
    </w:p>
    <w:p w:rsidRPr="00413318" w:rsidR="00413318" w:rsidP="00413318" w:rsidRDefault="00413318" w14:paraId="61959026"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Serum or plasma collected at the time of presentation followed by a second specimen during convalescence at least 10 days later.</w:t>
      </w:r>
    </w:p>
    <w:p w:rsidRPr="00413318" w:rsidR="00413318" w:rsidP="00413318" w:rsidRDefault="00413318" w14:paraId="41C7DB88"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3.1.2 Test sensitivity</w:t>
      </w:r>
    </w:p>
    <w:p w:rsidRPr="00413318" w:rsidR="00413318" w:rsidP="00413318" w:rsidRDefault="00413318" w14:paraId="2B3DCAC5"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IgM antibody:</w:t>
      </w:r>
      <w:r w:rsidRPr="00413318">
        <w:rPr>
          <w:rFonts w:ascii="Helvetica" w:hAnsi="Helvetica" w:cs="Helvetica"/>
          <w:sz w:val="20"/>
          <w:szCs w:val="20"/>
          <w:lang w:eastAsia="en-AU"/>
        </w:rPr>
        <w:br/>
      </w:r>
      <w:r w:rsidRPr="00413318">
        <w:rPr>
          <w:rFonts w:ascii="Helvetica" w:hAnsi="Helvetica" w:cs="Helvetica"/>
          <w:sz w:val="20"/>
          <w:szCs w:val="20"/>
          <w:lang w:eastAsia="en-AU"/>
        </w:rPr>
        <w:t>For specimens tested on or prior to day 4 of onset of symptoms: less than 20-50%</w:t>
      </w:r>
      <w:r w:rsidRPr="00413318">
        <w:rPr>
          <w:rFonts w:ascii="Helvetica" w:hAnsi="Helvetica" w:cs="Helvetica"/>
          <w:sz w:val="20"/>
          <w:szCs w:val="20"/>
          <w:lang w:eastAsia="en-AU"/>
        </w:rPr>
        <w:br/>
      </w:r>
      <w:r w:rsidRPr="00413318">
        <w:rPr>
          <w:rFonts w:ascii="Helvetica" w:hAnsi="Helvetica" w:cs="Helvetica"/>
          <w:sz w:val="20"/>
          <w:szCs w:val="20"/>
          <w:lang w:eastAsia="en-AU"/>
        </w:rPr>
        <w:t>For specimens tested after day 4 of onset of symptoms: between 26%-100%, depending on vaccination status of patient</w:t>
      </w:r>
    </w:p>
    <w:p w:rsidRPr="00413318" w:rsidR="00413318" w:rsidP="00413318" w:rsidRDefault="00413318" w14:paraId="7C98C3A6" w14:textId="44D74C29">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IgG antibody: Sensitivity of 76%.</w:t>
      </w:r>
      <w:r w:rsidRPr="00413318">
        <w:rPr>
          <w:rFonts w:ascii="Helvetica" w:hAnsi="Helvetica" w:cs="Helvetica"/>
          <w:sz w:val="15"/>
          <w:szCs w:val="15"/>
          <w:vertAlign w:val="superscript"/>
          <w:lang w:eastAsia="en-AU"/>
        </w:rPr>
        <w:t>9</w:t>
      </w:r>
    </w:p>
    <w:p w:rsidRPr="00413318" w:rsidR="00413318" w:rsidP="00413318" w:rsidRDefault="00413318" w14:paraId="0B96C094"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3.1.3 Test specificity</w:t>
      </w:r>
    </w:p>
    <w:p w:rsidRPr="00413318" w:rsidR="00413318" w:rsidP="00413318" w:rsidRDefault="00413318" w14:paraId="31669840" w14:textId="26FF78D0">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IgM: Overall 80-95%. Specificity is higher in vaccinated patients.</w:t>
      </w:r>
      <w:r w:rsidRPr="00413318">
        <w:rPr>
          <w:rFonts w:ascii="Helvetica" w:hAnsi="Helvetica" w:cs="Helvetica"/>
          <w:sz w:val="20"/>
          <w:szCs w:val="20"/>
          <w:lang w:eastAsia="en-AU"/>
        </w:rPr>
        <w:br/>
      </w:r>
      <w:r w:rsidRPr="00413318">
        <w:rPr>
          <w:rFonts w:ascii="Helvetica" w:hAnsi="Helvetica" w:cs="Helvetica"/>
          <w:sz w:val="20"/>
          <w:szCs w:val="20"/>
          <w:lang w:eastAsia="en-AU"/>
        </w:rPr>
        <w:t>IgG: Specificity of 83%</w:t>
      </w:r>
      <w:r w:rsidRPr="00413318">
        <w:rPr>
          <w:rFonts w:ascii="Helvetica" w:hAnsi="Helvetica" w:cs="Helvetica"/>
          <w:sz w:val="15"/>
          <w:szCs w:val="15"/>
          <w:vertAlign w:val="superscript"/>
          <w:lang w:eastAsia="en-AU"/>
        </w:rPr>
        <w:t>9</w:t>
      </w:r>
    </w:p>
    <w:p w:rsidRPr="00413318" w:rsidR="00413318" w:rsidP="00413318" w:rsidRDefault="00413318" w14:paraId="47EBA8B7"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3.1.4 Suitable acceptance criteria</w:t>
      </w:r>
    </w:p>
    <w:p w:rsidRPr="00413318" w:rsidR="00413318" w:rsidP="00413318" w:rsidRDefault="00413318" w14:paraId="36B449AD"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Negative and positive controls within range</w:t>
      </w:r>
    </w:p>
    <w:p w:rsidRPr="00413318" w:rsidR="00413318" w:rsidP="00413318" w:rsidRDefault="00413318" w14:paraId="3D7B397B"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lastRenderedPageBreak/>
        <w:t>3.1.5 Suitable internal controls</w:t>
      </w:r>
    </w:p>
    <w:p w:rsidRPr="00413318" w:rsidR="00413318" w:rsidP="00413318" w:rsidRDefault="00413318" w14:paraId="3B58F009"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Positive and negative serum controls should be included in all runs. Consideration should be given to the inclusion of a low positive control in each run.</w:t>
      </w:r>
    </w:p>
    <w:p w:rsidRPr="00413318" w:rsidR="00413318" w:rsidP="00413318" w:rsidRDefault="00413318" w14:paraId="5DFD66A1"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3.1.6 Suitable test validation criteria</w:t>
      </w:r>
    </w:p>
    <w:p w:rsidRPr="00413318" w:rsidR="00413318" w:rsidP="00413318" w:rsidRDefault="00413318" w14:paraId="5D5714C4"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Auditors should have available evidence of:</w:t>
      </w:r>
    </w:p>
    <w:p w:rsidRPr="00413318" w:rsidR="00413318" w:rsidP="00413318" w:rsidRDefault="00413318" w14:paraId="70C47AB7" w14:textId="77777777">
      <w:pPr>
        <w:numPr>
          <w:ilvl w:val="0"/>
          <w:numId w:val="22"/>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records of serum arrival and storage </w:t>
      </w:r>
      <w:proofErr w:type="gramStart"/>
      <w:r w:rsidRPr="00413318">
        <w:rPr>
          <w:rFonts w:ascii="Helvetica" w:hAnsi="Helvetica" w:cs="Helvetica"/>
          <w:sz w:val="20"/>
          <w:szCs w:val="20"/>
          <w:lang w:eastAsia="en-AU"/>
        </w:rPr>
        <w:t>conditions;</w:t>
      </w:r>
      <w:proofErr w:type="gramEnd"/>
    </w:p>
    <w:p w:rsidRPr="00413318" w:rsidR="00413318" w:rsidP="00413318" w:rsidRDefault="00413318" w14:paraId="3CA4C4AD" w14:textId="77777777">
      <w:pPr>
        <w:numPr>
          <w:ilvl w:val="0"/>
          <w:numId w:val="22"/>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records of test kit storage conditions; and</w:t>
      </w:r>
    </w:p>
    <w:p w:rsidRPr="00413318" w:rsidR="00413318" w:rsidP="00413318" w:rsidRDefault="00413318" w14:paraId="181A06FA" w14:textId="77777777">
      <w:pPr>
        <w:numPr>
          <w:ilvl w:val="0"/>
          <w:numId w:val="22"/>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records of quality assurance (QA) monitoring of test kit performance.</w:t>
      </w:r>
    </w:p>
    <w:p w:rsidRPr="00413318" w:rsidR="00413318" w:rsidP="00413318" w:rsidRDefault="00413318" w14:paraId="398A6E67"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3.1.7 Suitable external QA programme</w:t>
      </w:r>
    </w:p>
    <w:p w:rsidRPr="00413318" w:rsidR="00413318" w:rsidP="00413318" w:rsidRDefault="00413318" w14:paraId="0EBA2722"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Participation in a suitably accredited external QA program.</w:t>
      </w:r>
    </w:p>
    <w:p w:rsidRPr="00413318" w:rsidR="00413318" w:rsidP="00413318" w:rsidRDefault="00413318" w14:paraId="167C024B" w14:textId="77777777">
      <w:pPr>
        <w:shd w:val="clear" w:color="auto" w:fill="FFFFFF"/>
        <w:spacing w:after="120"/>
        <w:outlineLvl w:val="3"/>
        <w:rPr>
          <w:rFonts w:ascii="Open Sans" w:hAnsi="Open Sans" w:cs="Open Sans"/>
          <w:sz w:val="24"/>
          <w:lang w:eastAsia="en-AU"/>
        </w:rPr>
      </w:pPr>
      <w:r w:rsidRPr="14B3F0B2" w:rsidR="00413318">
        <w:rPr>
          <w:rFonts w:ascii="Open Sans" w:hAnsi="Open Sans" w:cs="Open Sans"/>
          <w:sz w:val="24"/>
          <w:szCs w:val="24"/>
          <w:lang w:eastAsia="en-AU"/>
        </w:rPr>
        <w:t>3.1.8 Special considerations</w:t>
      </w:r>
    </w:p>
    <w:p w:rsidRPr="00413318" w:rsidR="00413318" w:rsidP="14B3F0B2" w:rsidRDefault="00413318" w14:paraId="36A52699" w14:textId="08670356">
      <w:pPr>
        <w:pStyle w:val="Normal"/>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i w:val="1"/>
          <w:iCs w:val="1"/>
          <w:sz w:val="20"/>
          <w:szCs w:val="20"/>
          <w:lang w:eastAsia="en-AU"/>
        </w:rPr>
        <w:t>Mumps</w:t>
      </w:r>
      <w:r w:rsidRPr="14B3F0B2" w:rsidR="00413318">
        <w:rPr>
          <w:rFonts w:ascii="Helvetica" w:hAnsi="Helvetica" w:cs="Helvetica"/>
          <w:i w:val="1"/>
          <w:iCs w:val="1"/>
          <w:sz w:val="20"/>
          <w:szCs w:val="20"/>
          <w:lang w:eastAsia="en-AU"/>
        </w:rPr>
        <w:t xml:space="preserve"> virus</w:t>
      </w:r>
      <w:r w:rsidRPr="14B3F0B2" w:rsidR="14B3F0B2">
        <w:rPr>
          <w:rFonts w:ascii="Helvetica" w:hAnsi="Helvetica" w:cs="Helvetica"/>
          <w:sz w:val="20"/>
          <w:szCs w:val="20"/>
          <w:lang w:eastAsia="en-AU"/>
        </w:rPr>
        <w:t xml:space="preserve"> </w:t>
      </w:r>
      <w:r w:rsidRPr="14B3F0B2" w:rsidR="00413318">
        <w:rPr>
          <w:rFonts w:ascii="Helvetica" w:hAnsi="Helvetica" w:cs="Helvetica"/>
          <w:sz w:val="20"/>
          <w:szCs w:val="20"/>
          <w:lang w:eastAsia="en-AU"/>
        </w:rPr>
        <w:t>IgM can be detected in oral fluid in up to 56% patients with a clinical presentation suggestive of mumps infection</w:t>
      </w:r>
      <w:r w:rsidRPr="14B3F0B2" w:rsidR="00413318">
        <w:rPr>
          <w:rFonts w:ascii="Helvetica" w:hAnsi="Helvetica" w:cs="Helvetica"/>
          <w:sz w:val="15"/>
          <w:szCs w:val="15"/>
          <w:vertAlign w:val="superscript"/>
          <w:lang w:eastAsia="en-AU"/>
        </w:rPr>
        <w:t>15</w:t>
      </w:r>
      <w:r w:rsidRPr="14B3F0B2" w:rsidR="00413318">
        <w:rPr>
          <w:rFonts w:ascii="Helvetica" w:hAnsi="Helvetica" w:cs="Helvetica"/>
          <w:sz w:val="20"/>
          <w:szCs w:val="20"/>
          <w:lang w:eastAsia="en-AU"/>
        </w:rPr>
        <w:t>. IgM and IgG may be detected in CSF of patients with mumps meningitis or encephalitis.</w:t>
      </w:r>
    </w:p>
    <w:p w:rsidRPr="00413318" w:rsidR="00413318" w:rsidP="00413318" w:rsidRDefault="00413318" w14:paraId="78C69CC3" w14:textId="77777777">
      <w:pPr>
        <w:shd w:val="clear" w:color="auto" w:fill="FFFFFF"/>
        <w:spacing w:before="240" w:after="120"/>
        <w:outlineLvl w:val="2"/>
        <w:rPr>
          <w:rFonts w:ascii="Open Sans" w:hAnsi="Open Sans" w:cs="Open Sans"/>
          <w:sz w:val="27"/>
          <w:szCs w:val="27"/>
          <w:lang w:eastAsia="en-AU"/>
        </w:rPr>
      </w:pPr>
      <w:r w:rsidRPr="00413318">
        <w:rPr>
          <w:rFonts w:ascii="Open Sans" w:hAnsi="Open Sans" w:cs="Open Sans"/>
          <w:sz w:val="27"/>
          <w:szCs w:val="27"/>
          <w:lang w:eastAsia="en-AU"/>
        </w:rPr>
        <w:t>3.2 Culture</w:t>
      </w:r>
    </w:p>
    <w:p w:rsidRPr="00413318" w:rsidR="00413318" w:rsidP="00413318" w:rsidRDefault="00413318" w14:paraId="7678D53B" w14:textId="77777777">
      <w:pPr>
        <w:shd w:val="clear" w:color="auto" w:fill="FFFFFF"/>
        <w:spacing w:before="240" w:after="120"/>
        <w:outlineLvl w:val="3"/>
        <w:rPr>
          <w:rFonts w:ascii="Open Sans" w:hAnsi="Open Sans" w:cs="Open Sans"/>
          <w:sz w:val="24"/>
          <w:lang w:eastAsia="en-AU"/>
        </w:rPr>
      </w:pPr>
      <w:r w:rsidRPr="00413318">
        <w:rPr>
          <w:rFonts w:ascii="Open Sans" w:hAnsi="Open Sans" w:cs="Open Sans"/>
          <w:sz w:val="24"/>
          <w:lang w:eastAsia="en-AU"/>
        </w:rPr>
        <w:t>3.2.1 Methods</w:t>
      </w:r>
    </w:p>
    <w:p w:rsidRPr="00413318" w:rsidR="00413318" w:rsidP="14B3F0B2" w:rsidRDefault="00413318" w14:paraId="149923F5" w14:textId="77777777" w14:noSpellErr="1">
      <w:pPr>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A broad range of cell lines are suitable for sensitive culture of </w:t>
      </w:r>
      <w:r w:rsidRPr="14B3F0B2" w:rsidR="00413318">
        <w:rPr>
          <w:rFonts w:ascii="Helvetica" w:hAnsi="Helvetica" w:cs="Helvetica"/>
          <w:i w:val="1"/>
          <w:iCs w:val="1"/>
          <w:sz w:val="20"/>
          <w:szCs w:val="20"/>
          <w:lang w:eastAsia="en-AU"/>
        </w:rPr>
        <w:t xml:space="preserve">mumps virus </w:t>
      </w:r>
      <w:r w:rsidRPr="14B3F0B2" w:rsidR="00413318">
        <w:rPr>
          <w:rFonts w:ascii="Helvetica" w:hAnsi="Helvetica" w:cs="Helvetica"/>
          <w:sz w:val="20"/>
          <w:szCs w:val="20"/>
          <w:lang w:eastAsia="en-AU"/>
        </w:rPr>
        <w:t>from clinical specimens. These include Primary Monkey Kidney (PMK), Caco-2 (human colorectal adenocarcinoma epithelium cells), human embryonic kidney (HEK) and continuous cells lines such as HeLa and Vero (African green monkey kidney). The specimens should be collected within the first week of onset of symptoms, and the cultures should be maintained for 7-14 days after inoculation.</w:t>
      </w:r>
    </w:p>
    <w:p w:rsidRPr="00413318" w:rsidR="00413318" w:rsidP="00413318" w:rsidRDefault="00413318" w14:paraId="52053AA8"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Characteristic cytopathic effect (CPE) should develop between 3–7 days following symptom </w:t>
      </w:r>
      <w:proofErr w:type="gramStart"/>
      <w:r w:rsidRPr="00413318">
        <w:rPr>
          <w:rFonts w:ascii="Helvetica" w:hAnsi="Helvetica" w:cs="Helvetica"/>
          <w:sz w:val="20"/>
          <w:szCs w:val="20"/>
          <w:lang w:eastAsia="en-AU"/>
        </w:rPr>
        <w:t>onset, and</w:t>
      </w:r>
      <w:proofErr w:type="gramEnd"/>
      <w:r w:rsidRPr="00413318">
        <w:rPr>
          <w:rFonts w:ascii="Helvetica" w:hAnsi="Helvetica" w:cs="Helvetica"/>
          <w:sz w:val="20"/>
          <w:szCs w:val="20"/>
          <w:lang w:eastAsia="en-AU"/>
        </w:rPr>
        <w:t xml:space="preserve"> consists of cell rounding and syncytium formation. The appearance may appear as non-specific granularity with progressive degeneration. As the CPE may be non-specific and some strains of mumps are non-cytopathic, the presence of virus should be confirmed by </w:t>
      </w:r>
      <w:proofErr w:type="spellStart"/>
      <w:r w:rsidRPr="00413318">
        <w:rPr>
          <w:rFonts w:ascii="Helvetica" w:hAnsi="Helvetica" w:cs="Helvetica"/>
          <w:sz w:val="20"/>
          <w:szCs w:val="20"/>
          <w:lang w:eastAsia="en-AU"/>
        </w:rPr>
        <w:t>hæmadsorption</w:t>
      </w:r>
      <w:proofErr w:type="spellEnd"/>
      <w:r w:rsidRPr="00413318">
        <w:rPr>
          <w:rFonts w:ascii="Helvetica" w:hAnsi="Helvetica" w:cs="Helvetica"/>
          <w:sz w:val="20"/>
          <w:szCs w:val="20"/>
          <w:lang w:eastAsia="en-AU"/>
        </w:rPr>
        <w:t xml:space="preserve"> with guinea pig red cells, immunofluorescence, immunocytochemical staining or RT-PCR.</w:t>
      </w:r>
    </w:p>
    <w:p w:rsidRPr="00413318" w:rsidR="00413318" w:rsidP="00413318" w:rsidRDefault="00413318" w14:paraId="2DA811E7"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3.2.2 Suitable specimens</w:t>
      </w:r>
    </w:p>
    <w:p w:rsidRPr="00413318" w:rsidR="00413318" w:rsidP="00413318" w:rsidRDefault="00413318" w14:paraId="23C3A0B7"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CSF, oral fluid, parotid duct (buccal) swabs, urine or seminal fluid collected in the first week of the illness. Buccal swabs should be collected after 30 seconds of parotid gland massage using rayon or </w:t>
      </w:r>
      <w:proofErr w:type="spellStart"/>
      <w:r w:rsidRPr="00413318">
        <w:rPr>
          <w:rFonts w:ascii="Helvetica" w:hAnsi="Helvetica" w:cs="Helvetica"/>
          <w:sz w:val="20"/>
          <w:szCs w:val="20"/>
          <w:lang w:eastAsia="en-AU"/>
        </w:rPr>
        <w:t>dacron</w:t>
      </w:r>
      <w:proofErr w:type="spellEnd"/>
      <w:r w:rsidRPr="00413318">
        <w:rPr>
          <w:rFonts w:ascii="Helvetica" w:hAnsi="Helvetica" w:cs="Helvetica"/>
          <w:sz w:val="20"/>
          <w:szCs w:val="20"/>
          <w:lang w:eastAsia="en-AU"/>
        </w:rPr>
        <w:t>-tipped swabs with plastic-coated or aluminium shafted swabs. They should be placed into viral transport media and transported at 4°C or frozen at –70°C. Other samples should also be transported at 4°C or frozen at –70°C.</w:t>
      </w:r>
    </w:p>
    <w:p w:rsidRPr="00413318" w:rsidR="00413318" w:rsidP="00413318" w:rsidRDefault="00413318" w14:paraId="22F93F22" w14:textId="77777777">
      <w:pPr>
        <w:keepNext/>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3.2.3 Test sensitivity</w:t>
      </w:r>
    </w:p>
    <w:p w:rsidRPr="00413318" w:rsidR="00413318" w:rsidP="00413318" w:rsidRDefault="00413318" w14:paraId="4EF7CD19"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lastRenderedPageBreak/>
        <w:t>Approximately 70-75% in acute mumps infection.</w:t>
      </w:r>
    </w:p>
    <w:p w:rsidRPr="00413318" w:rsidR="00413318" w:rsidP="00413318" w:rsidRDefault="00413318" w14:paraId="13841871"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3.2.4 Test specificity</w:t>
      </w:r>
    </w:p>
    <w:p w:rsidRPr="00413318" w:rsidR="00413318" w:rsidP="00413318" w:rsidRDefault="00413318" w14:paraId="4DAA7128"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Close to 100% if CPE confirmed with an immunostaining, HA or NAT.</w:t>
      </w:r>
    </w:p>
    <w:p w:rsidRPr="00413318" w:rsidR="00413318" w:rsidP="00413318" w:rsidRDefault="00413318" w14:paraId="1EC3D7A9"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3.2.5 Predictive values</w:t>
      </w:r>
    </w:p>
    <w:p w:rsidRPr="00413318" w:rsidR="00413318" w:rsidP="00413318" w:rsidRDefault="00413318" w14:paraId="5A3536D9"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Close to 100%</w:t>
      </w:r>
    </w:p>
    <w:p w:rsidRPr="00413318" w:rsidR="00413318" w:rsidP="00413318" w:rsidRDefault="00413318" w14:paraId="46861579"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3.2.6 Suitable acceptance criteria</w:t>
      </w:r>
    </w:p>
    <w:p w:rsidRPr="00413318" w:rsidR="00413318" w:rsidP="00413318" w:rsidRDefault="00413318" w14:paraId="20F2995A"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Staining by peroxidase/</w:t>
      </w:r>
      <w:proofErr w:type="spellStart"/>
      <w:r w:rsidRPr="00413318">
        <w:rPr>
          <w:rFonts w:ascii="Helvetica" w:hAnsi="Helvetica" w:cs="Helvetica"/>
          <w:sz w:val="20"/>
          <w:szCs w:val="20"/>
          <w:lang w:eastAsia="en-AU"/>
        </w:rPr>
        <w:t>immunofluoresence</w:t>
      </w:r>
      <w:proofErr w:type="spellEnd"/>
      <w:r w:rsidRPr="00413318">
        <w:rPr>
          <w:rFonts w:ascii="Helvetica" w:hAnsi="Helvetica" w:cs="Helvetica"/>
          <w:sz w:val="20"/>
          <w:szCs w:val="20"/>
          <w:lang w:eastAsia="en-AU"/>
        </w:rPr>
        <w:t xml:space="preserve"> within cell inoculated with positive control material, absence of staining in the negative control. Staining should be read independently by two laboratory staff.</w:t>
      </w:r>
    </w:p>
    <w:p w:rsidRPr="00413318" w:rsidR="00413318" w:rsidP="00413318" w:rsidRDefault="00413318" w14:paraId="15F1D5BC"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3.2.7 Suitable internal controls</w:t>
      </w:r>
    </w:p>
    <w:p w:rsidRPr="00413318" w:rsidR="00413318" w:rsidP="14B3F0B2" w:rsidRDefault="00413318" w14:paraId="79A13E12" w14:textId="77777777" w14:noSpellErr="1">
      <w:pPr>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Cell cultures maintained at the same time with and without inoculation with control </w:t>
      </w:r>
      <w:r w:rsidRPr="14B3F0B2" w:rsidR="00413318">
        <w:rPr>
          <w:rFonts w:ascii="Helvetica" w:hAnsi="Helvetica" w:cs="Helvetica"/>
          <w:i w:val="1"/>
          <w:iCs w:val="1"/>
          <w:sz w:val="20"/>
          <w:szCs w:val="20"/>
          <w:lang w:eastAsia="en-AU"/>
        </w:rPr>
        <w:t xml:space="preserve">mumps virus </w:t>
      </w:r>
      <w:r w:rsidRPr="14B3F0B2" w:rsidR="00413318">
        <w:rPr>
          <w:rFonts w:ascii="Helvetica" w:hAnsi="Helvetica" w:cs="Helvetica"/>
          <w:sz w:val="20"/>
          <w:szCs w:val="20"/>
          <w:lang w:eastAsia="en-AU"/>
        </w:rPr>
        <w:t>stocks. Controls should be stained in parallel with cells inoculated with clinical material.</w:t>
      </w:r>
    </w:p>
    <w:p w:rsidRPr="00413318" w:rsidR="00413318" w:rsidP="00413318" w:rsidRDefault="00413318" w14:paraId="39D74242"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3.2.8 Suitable test validation criteria</w:t>
      </w:r>
    </w:p>
    <w:p w:rsidRPr="00413318" w:rsidR="00413318" w:rsidP="00413318" w:rsidRDefault="00413318" w14:paraId="1215B26D"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Auditors should have available evidence of:</w:t>
      </w:r>
    </w:p>
    <w:p w:rsidRPr="00413318" w:rsidR="00413318" w:rsidP="00413318" w:rsidRDefault="00413318" w14:paraId="656AA7E8" w14:textId="77777777">
      <w:pPr>
        <w:numPr>
          <w:ilvl w:val="0"/>
          <w:numId w:val="23"/>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records of </w:t>
      </w:r>
      <w:proofErr w:type="spellStart"/>
      <w:proofErr w:type="gramStart"/>
      <w:r w:rsidRPr="00413318">
        <w:rPr>
          <w:rFonts w:ascii="Helvetica" w:hAnsi="Helvetica" w:cs="Helvetica"/>
          <w:sz w:val="20"/>
          <w:szCs w:val="20"/>
          <w:lang w:eastAsia="en-AU"/>
        </w:rPr>
        <w:t>inocula</w:t>
      </w:r>
      <w:proofErr w:type="spellEnd"/>
      <w:r w:rsidRPr="00413318">
        <w:rPr>
          <w:rFonts w:ascii="Helvetica" w:hAnsi="Helvetica" w:cs="Helvetica"/>
          <w:sz w:val="20"/>
          <w:szCs w:val="20"/>
          <w:lang w:eastAsia="en-AU"/>
        </w:rPr>
        <w:t>;</w:t>
      </w:r>
      <w:proofErr w:type="gramEnd"/>
    </w:p>
    <w:p w:rsidRPr="00413318" w:rsidR="00413318" w:rsidP="00413318" w:rsidRDefault="00413318" w14:paraId="47B864D8" w14:textId="77777777">
      <w:pPr>
        <w:numPr>
          <w:ilvl w:val="0"/>
          <w:numId w:val="23"/>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records of time specimen stored in the laboratory before </w:t>
      </w:r>
      <w:proofErr w:type="gramStart"/>
      <w:r w:rsidRPr="00413318">
        <w:rPr>
          <w:rFonts w:ascii="Helvetica" w:hAnsi="Helvetica" w:cs="Helvetica"/>
          <w:sz w:val="20"/>
          <w:szCs w:val="20"/>
          <w:lang w:eastAsia="en-AU"/>
        </w:rPr>
        <w:t>inoculation;</w:t>
      </w:r>
      <w:proofErr w:type="gramEnd"/>
    </w:p>
    <w:p w:rsidRPr="00413318" w:rsidR="00413318" w:rsidP="00413318" w:rsidRDefault="00413318" w14:paraId="08018C16" w14:textId="77777777">
      <w:pPr>
        <w:numPr>
          <w:ilvl w:val="0"/>
          <w:numId w:val="23"/>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evidence of regular </w:t>
      </w:r>
      <w:r w:rsidRPr="00413318">
        <w:rPr>
          <w:rFonts w:ascii="Helvetica" w:hAnsi="Helvetica" w:cs="Helvetica"/>
          <w:i/>
          <w:iCs/>
          <w:sz w:val="20"/>
          <w:szCs w:val="20"/>
          <w:lang w:eastAsia="en-AU"/>
        </w:rPr>
        <w:t>Mycoplasma</w:t>
      </w:r>
      <w:r w:rsidRPr="00413318">
        <w:rPr>
          <w:rFonts w:ascii="Helvetica" w:hAnsi="Helvetica" w:cs="Helvetica"/>
          <w:sz w:val="20"/>
          <w:szCs w:val="20"/>
          <w:lang w:eastAsia="en-AU"/>
        </w:rPr>
        <w:t xml:space="preserve"> testing of cell </w:t>
      </w:r>
      <w:proofErr w:type="gramStart"/>
      <w:r w:rsidRPr="00413318">
        <w:rPr>
          <w:rFonts w:ascii="Helvetica" w:hAnsi="Helvetica" w:cs="Helvetica"/>
          <w:sz w:val="20"/>
          <w:szCs w:val="20"/>
          <w:lang w:eastAsia="en-AU"/>
        </w:rPr>
        <w:t>lines;</w:t>
      </w:r>
      <w:proofErr w:type="gramEnd"/>
    </w:p>
    <w:p w:rsidRPr="00413318" w:rsidR="00413318" w:rsidP="00413318" w:rsidRDefault="00413318" w14:paraId="3E67E4C2" w14:textId="77777777">
      <w:pPr>
        <w:numPr>
          <w:ilvl w:val="0"/>
          <w:numId w:val="23"/>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evidence of regular contamination testing of cell lines; and</w:t>
      </w:r>
    </w:p>
    <w:p w:rsidRPr="00413318" w:rsidR="00413318" w:rsidP="00413318" w:rsidRDefault="00413318" w14:paraId="32BFCC3B" w14:textId="77777777">
      <w:pPr>
        <w:numPr>
          <w:ilvl w:val="0"/>
          <w:numId w:val="23"/>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positive and negative control data from each run.</w:t>
      </w:r>
    </w:p>
    <w:p w:rsidRPr="00413318" w:rsidR="00413318" w:rsidP="00413318" w:rsidRDefault="00413318" w14:paraId="030AC08A"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3.2.9 Suitable external QA programme</w:t>
      </w:r>
    </w:p>
    <w:p w:rsidRPr="00413318" w:rsidR="00413318" w:rsidP="00413318" w:rsidRDefault="00413318" w14:paraId="4E891E16"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Not available</w:t>
      </w:r>
    </w:p>
    <w:p w:rsidRPr="00413318" w:rsidR="00413318" w:rsidP="00413318" w:rsidRDefault="00413318" w14:paraId="7D54156C"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3.2.10 Special considerations</w:t>
      </w:r>
    </w:p>
    <w:p w:rsidRPr="00413318" w:rsidR="00413318" w:rsidP="00413318" w:rsidRDefault="00413318" w14:paraId="1DC6C281"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Any positive cell culture should be passaged to generate a stock of the viral isolate.</w:t>
      </w:r>
    </w:p>
    <w:p w:rsidRPr="00413318" w:rsidR="00413318" w:rsidP="00413318" w:rsidRDefault="00413318" w14:paraId="6D20827D" w14:textId="77777777">
      <w:pPr>
        <w:shd w:val="clear" w:color="auto" w:fill="FFFFFF"/>
        <w:spacing w:after="120"/>
        <w:outlineLvl w:val="2"/>
        <w:rPr>
          <w:rFonts w:ascii="Open Sans" w:hAnsi="Open Sans" w:cs="Open Sans"/>
          <w:sz w:val="27"/>
          <w:szCs w:val="27"/>
          <w:lang w:eastAsia="en-AU"/>
        </w:rPr>
      </w:pPr>
      <w:r w:rsidRPr="00413318">
        <w:rPr>
          <w:rFonts w:ascii="Open Sans" w:hAnsi="Open Sans" w:cs="Open Sans"/>
          <w:sz w:val="27"/>
          <w:szCs w:val="27"/>
          <w:lang w:eastAsia="en-AU"/>
        </w:rPr>
        <w:t>3.3 Nucleic Acid Detection</w:t>
      </w:r>
    </w:p>
    <w:p w:rsidRPr="00413318" w:rsidR="00413318" w:rsidP="00413318" w:rsidRDefault="00413318" w14:paraId="133AD506" w14:textId="4A5BED0B">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Nucleic acid amplification test is the most sensitive assay to diagnose early mumps infection. Any suitable viral gene sequence can be targeted, however most published studies target the small hydrophobic (SH), fusion (F) or nucleoprotein (N) gene. RT-PCR targeting the F and N genes have greater sensitivity than the SH gene</w:t>
      </w:r>
      <w:r w:rsidRPr="00413318">
        <w:rPr>
          <w:rFonts w:ascii="Helvetica" w:hAnsi="Helvetica" w:cs="Helvetica"/>
          <w:sz w:val="15"/>
          <w:szCs w:val="15"/>
          <w:vertAlign w:val="superscript"/>
          <w:lang w:eastAsia="en-AU"/>
        </w:rPr>
        <w:t>10,14</w:t>
      </w:r>
      <w:r w:rsidRPr="00413318">
        <w:rPr>
          <w:rFonts w:ascii="Helvetica" w:hAnsi="Helvetica" w:cs="Helvetica"/>
          <w:sz w:val="20"/>
          <w:szCs w:val="20"/>
          <w:lang w:eastAsia="en-AU"/>
        </w:rPr>
        <w:t> and are preferred for detection. The SH region is the most variable region of the mumps genome and the product can be used to genotype mumps strains. Positive PCR reactions should be confirmed using gel electrophoresis or another method.</w:t>
      </w:r>
    </w:p>
    <w:p w:rsidRPr="00413318" w:rsidR="00413318" w:rsidP="00413318" w:rsidRDefault="00413318" w14:paraId="530AF1F7" w14:textId="77777777">
      <w:pPr>
        <w:keepNext/>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3.3.1 Suitable specimens</w:t>
      </w:r>
    </w:p>
    <w:p w:rsidRPr="00413318" w:rsidR="00413318" w:rsidP="14B3F0B2" w:rsidRDefault="00413318" w14:paraId="65F15FB4" w14:textId="77777777">
      <w:pPr>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Oral fluid, parotid gland (buccal) swabs, urine and CSF specimens are suitable for the direct detection of </w:t>
      </w:r>
      <w:r w:rsidRPr="14B3F0B2" w:rsidR="00413318">
        <w:rPr>
          <w:rFonts w:ascii="Helvetica" w:hAnsi="Helvetica" w:cs="Helvetica"/>
          <w:i w:val="1"/>
          <w:iCs w:val="1"/>
          <w:sz w:val="20"/>
          <w:szCs w:val="20"/>
          <w:lang w:eastAsia="en-AU"/>
        </w:rPr>
        <w:t xml:space="preserve">mumps virus </w:t>
      </w:r>
      <w:r w:rsidRPr="14B3F0B2" w:rsidR="00413318">
        <w:rPr>
          <w:rFonts w:ascii="Helvetica" w:hAnsi="Helvetica" w:cs="Helvetica"/>
          <w:sz w:val="20"/>
          <w:szCs w:val="20"/>
          <w:lang w:eastAsia="en-AU"/>
        </w:rPr>
        <w:t xml:space="preserve">RNA by nucleic acid amplification techniques such as PCR. Viral RNA may be detected in saliva for more than five days prior to and nine days after onset of symptoms, and </w:t>
      </w:r>
      <w:proofErr w:type="spellStart"/>
      <w:r w:rsidRPr="14B3F0B2" w:rsidR="00413318">
        <w:rPr>
          <w:rFonts w:ascii="Helvetica" w:hAnsi="Helvetica" w:cs="Helvetica"/>
          <w:sz w:val="20"/>
          <w:szCs w:val="20"/>
          <w:lang w:eastAsia="en-AU"/>
        </w:rPr>
        <w:t>viruria</w:t>
      </w:r>
      <w:proofErr w:type="spellEnd"/>
      <w:r w:rsidRPr="14B3F0B2" w:rsidR="00413318">
        <w:rPr>
          <w:rFonts w:ascii="Helvetica" w:hAnsi="Helvetica" w:cs="Helvetica"/>
          <w:sz w:val="20"/>
          <w:szCs w:val="20"/>
          <w:lang w:eastAsia="en-AU"/>
        </w:rPr>
        <w:t xml:space="preserve"> may persist for up to two weeks post onset.</w:t>
      </w:r>
    </w:p>
    <w:p w:rsidRPr="00413318" w:rsidR="00413318" w:rsidP="00413318" w:rsidRDefault="00413318" w14:paraId="77F16776"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3.3.2 Test sensitivity</w:t>
      </w:r>
    </w:p>
    <w:p w:rsidRPr="00413318" w:rsidR="00413318" w:rsidP="00413318" w:rsidRDefault="00413318" w14:paraId="3F42F30D" w14:textId="454843BC">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Buccal swabs collected within the first two-three days after onset are the preferred sample for detection of mumps RNA, with a sensitivity of 57-83%, depending on gene target</w:t>
      </w:r>
      <w:r w:rsidRPr="00413318">
        <w:rPr>
          <w:rFonts w:ascii="Helvetica" w:hAnsi="Helvetica" w:cs="Helvetica"/>
          <w:sz w:val="15"/>
          <w:szCs w:val="15"/>
          <w:vertAlign w:val="superscript"/>
          <w:lang w:eastAsia="en-AU"/>
        </w:rPr>
        <w:t>7,10,11</w:t>
      </w:r>
      <w:r w:rsidRPr="00413318">
        <w:rPr>
          <w:rFonts w:ascii="Helvetica" w:hAnsi="Helvetica" w:cs="Helvetica"/>
          <w:sz w:val="20"/>
          <w:szCs w:val="20"/>
          <w:lang w:eastAsia="en-AU"/>
        </w:rPr>
        <w:t>. Detection rates do not appear to be influenced by vaccination status early in the illness</w:t>
      </w:r>
      <w:r w:rsidRPr="00413318">
        <w:rPr>
          <w:rFonts w:ascii="Helvetica" w:hAnsi="Helvetica" w:cs="Helvetica"/>
          <w:sz w:val="15"/>
          <w:szCs w:val="15"/>
          <w:vertAlign w:val="superscript"/>
          <w:lang w:eastAsia="en-AU"/>
        </w:rPr>
        <w:t>10</w:t>
      </w:r>
      <w:r w:rsidRPr="00413318">
        <w:rPr>
          <w:rFonts w:ascii="Helvetica" w:hAnsi="Helvetica" w:cs="Helvetica"/>
          <w:sz w:val="20"/>
          <w:szCs w:val="20"/>
          <w:lang w:eastAsia="en-AU"/>
        </w:rPr>
        <w:t>. Beyond two to three days after onset positivity rates fall significantly, however buccal swabs may remain positive for up to 7 days after symptom onset. RT-PCR on urine is generally less sensitive with an overall sensitivity of 42%</w:t>
      </w:r>
      <w:r w:rsidRPr="00413318">
        <w:rPr>
          <w:rFonts w:ascii="Helvetica" w:hAnsi="Helvetica" w:cs="Helvetica"/>
          <w:sz w:val="15"/>
          <w:szCs w:val="15"/>
          <w:vertAlign w:val="superscript"/>
          <w:lang w:eastAsia="en-AU"/>
        </w:rPr>
        <w:t>7,14</w:t>
      </w:r>
      <w:r w:rsidRPr="00413318">
        <w:rPr>
          <w:rFonts w:ascii="Helvetica" w:hAnsi="Helvetica" w:cs="Helvetica"/>
          <w:sz w:val="20"/>
          <w:szCs w:val="20"/>
          <w:lang w:eastAsia="en-AU"/>
        </w:rPr>
        <w:t>. An inhibition rate of 5% has been reported. The sensitivity of PCR on CSF from cases of mumps neurological disease may be higher (70-90%)</w:t>
      </w:r>
      <w:r w:rsidRPr="00413318">
        <w:rPr>
          <w:rFonts w:ascii="Helvetica" w:hAnsi="Helvetica" w:cs="Helvetica"/>
          <w:sz w:val="15"/>
          <w:szCs w:val="15"/>
          <w:vertAlign w:val="superscript"/>
          <w:lang w:eastAsia="en-AU"/>
        </w:rPr>
        <w:t>12,13,14</w:t>
      </w:r>
      <w:r w:rsidRPr="00413318">
        <w:rPr>
          <w:rFonts w:ascii="Helvetica" w:hAnsi="Helvetica" w:cs="Helvetica"/>
          <w:sz w:val="20"/>
          <w:szCs w:val="20"/>
          <w:lang w:eastAsia="en-AU"/>
        </w:rPr>
        <w:t>.</w:t>
      </w:r>
    </w:p>
    <w:p w:rsidRPr="00413318" w:rsidR="00413318" w:rsidP="00413318" w:rsidRDefault="00413318" w14:paraId="06731165" w14:textId="77777777">
      <w:pPr>
        <w:shd w:val="clear" w:color="auto" w:fill="FFFFFF"/>
        <w:spacing w:before="240" w:after="120"/>
        <w:outlineLvl w:val="3"/>
        <w:rPr>
          <w:rFonts w:ascii="Open Sans" w:hAnsi="Open Sans" w:cs="Open Sans"/>
          <w:sz w:val="24"/>
          <w:lang w:eastAsia="en-AU"/>
        </w:rPr>
      </w:pPr>
      <w:r w:rsidRPr="00413318">
        <w:rPr>
          <w:rFonts w:ascii="Open Sans" w:hAnsi="Open Sans" w:cs="Open Sans"/>
          <w:sz w:val="24"/>
          <w:lang w:eastAsia="en-AU"/>
        </w:rPr>
        <w:t>3.3.3 Test specificity</w:t>
      </w:r>
    </w:p>
    <w:p w:rsidRPr="00413318" w:rsidR="00413318" w:rsidP="00413318" w:rsidRDefault="00413318" w14:paraId="076F07BE"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Should approach 100%.</w:t>
      </w:r>
    </w:p>
    <w:p w:rsidRPr="00413318" w:rsidR="00413318" w:rsidP="00413318" w:rsidRDefault="00413318" w14:paraId="4988B267"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3.3.4 Suitable acceptance criteria</w:t>
      </w:r>
    </w:p>
    <w:p w:rsidRPr="00413318" w:rsidR="00413318" w:rsidP="00413318" w:rsidRDefault="00413318" w14:paraId="1C3103F8" w14:textId="77777777">
      <w:pPr>
        <w:numPr>
          <w:ilvl w:val="0"/>
          <w:numId w:val="24"/>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Absence of detectable contamination in the PCR.</w:t>
      </w:r>
    </w:p>
    <w:p w:rsidRPr="00413318" w:rsidR="00413318" w:rsidP="00413318" w:rsidRDefault="00413318" w14:paraId="1F71FFD0" w14:textId="77777777">
      <w:pPr>
        <w:numPr>
          <w:ilvl w:val="0"/>
          <w:numId w:val="24"/>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Successful detection of positive control material.</w:t>
      </w:r>
    </w:p>
    <w:p w:rsidRPr="00413318" w:rsidR="00413318" w:rsidP="00413318" w:rsidRDefault="00413318" w14:paraId="736F834F" w14:textId="77777777">
      <w:pPr>
        <w:numPr>
          <w:ilvl w:val="0"/>
          <w:numId w:val="24"/>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Absence of inhibition in the clinical material.</w:t>
      </w:r>
    </w:p>
    <w:p w:rsidRPr="00413318" w:rsidR="00413318" w:rsidP="00413318" w:rsidRDefault="00413318" w14:paraId="180D691C" w14:textId="77777777">
      <w:pPr>
        <w:numPr>
          <w:ilvl w:val="0"/>
          <w:numId w:val="24"/>
        </w:numPr>
        <w:shd w:val="clear" w:color="auto" w:fill="FFFFFF"/>
        <w:spacing w:after="90" w:line="300" w:lineRule="atLeast"/>
        <w:rPr>
          <w:rFonts w:ascii="Helvetica" w:hAnsi="Helvetica" w:cs="Helvetica"/>
          <w:sz w:val="20"/>
          <w:szCs w:val="20"/>
          <w:lang w:eastAsia="en-AU"/>
        </w:rPr>
      </w:pPr>
      <w:r w:rsidRPr="00413318">
        <w:rPr>
          <w:rFonts w:ascii="Helvetica" w:hAnsi="Helvetica" w:cs="Helvetica"/>
          <w:sz w:val="20"/>
          <w:szCs w:val="20"/>
          <w:lang w:eastAsia="en-AU"/>
        </w:rPr>
        <w:t>Confirmation of the identity of the PCR product by a specific method such as hybridisation or sequencing.</w:t>
      </w:r>
    </w:p>
    <w:p w:rsidRPr="00413318" w:rsidR="00413318" w:rsidP="00413318" w:rsidRDefault="00413318" w14:paraId="558610F1"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3.3.5 Suitable internal controls</w:t>
      </w:r>
    </w:p>
    <w:p w:rsidRPr="00413318" w:rsidR="00413318" w:rsidP="00413318" w:rsidRDefault="00413318" w14:paraId="1344C91E"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Positive and negative virus control material should be included in the RNA extraction stage and all subsequent amplification steps. Adequate negative controls should be included to exclude PCR contamination.</w:t>
      </w:r>
    </w:p>
    <w:p w:rsidRPr="00413318" w:rsidR="00413318" w:rsidP="00413318" w:rsidRDefault="00413318" w14:paraId="50E43606"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3.3.6 Suitable test validation criteria</w:t>
      </w:r>
    </w:p>
    <w:p w:rsidRPr="00413318" w:rsidR="00413318" w:rsidP="00413318" w:rsidRDefault="00413318" w14:paraId="5DF971E0"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 xml:space="preserve">Auditors should have available evidence of records of </w:t>
      </w:r>
      <w:proofErr w:type="spellStart"/>
      <w:r w:rsidRPr="00413318">
        <w:rPr>
          <w:rFonts w:ascii="Helvetica" w:hAnsi="Helvetica" w:cs="Helvetica"/>
          <w:sz w:val="20"/>
          <w:szCs w:val="20"/>
          <w:lang w:eastAsia="en-AU"/>
        </w:rPr>
        <w:t>inocula</w:t>
      </w:r>
      <w:proofErr w:type="spellEnd"/>
      <w:r w:rsidRPr="00413318">
        <w:rPr>
          <w:rFonts w:ascii="Helvetica" w:hAnsi="Helvetica" w:cs="Helvetica"/>
          <w:sz w:val="20"/>
          <w:szCs w:val="20"/>
          <w:lang w:eastAsia="en-AU"/>
        </w:rPr>
        <w:t>; and records of time specimen stored in the laboratory before inoculation.</w:t>
      </w:r>
    </w:p>
    <w:p w:rsidRPr="00413318" w:rsidR="00413318" w:rsidP="00413318" w:rsidRDefault="00413318" w14:paraId="45927538" w14:textId="77777777">
      <w:pPr>
        <w:shd w:val="clear" w:color="auto" w:fill="FFFFFF"/>
        <w:spacing w:after="120"/>
        <w:outlineLvl w:val="3"/>
        <w:rPr>
          <w:rFonts w:ascii="Open Sans" w:hAnsi="Open Sans" w:cs="Open Sans"/>
          <w:sz w:val="24"/>
          <w:lang w:eastAsia="en-AU"/>
        </w:rPr>
      </w:pPr>
      <w:r w:rsidRPr="00413318">
        <w:rPr>
          <w:rFonts w:ascii="Open Sans" w:hAnsi="Open Sans" w:cs="Open Sans"/>
          <w:sz w:val="24"/>
          <w:lang w:eastAsia="en-AU"/>
        </w:rPr>
        <w:t>3.3.7 Suitable external QA programme</w:t>
      </w:r>
    </w:p>
    <w:p w:rsidRPr="00413318" w:rsidR="00413318" w:rsidP="00413318" w:rsidRDefault="00413318" w14:paraId="1EA7ACD4" w14:textId="77777777">
      <w:pPr>
        <w:shd w:val="clear" w:color="auto" w:fill="FFFFFF"/>
        <w:spacing w:after="240" w:line="300" w:lineRule="atLeast"/>
        <w:rPr>
          <w:rFonts w:ascii="Helvetica" w:hAnsi="Helvetica" w:cs="Helvetica"/>
          <w:sz w:val="20"/>
          <w:szCs w:val="20"/>
          <w:lang w:eastAsia="en-AU"/>
        </w:rPr>
      </w:pPr>
      <w:r w:rsidRPr="00413318">
        <w:rPr>
          <w:rFonts w:ascii="Helvetica" w:hAnsi="Helvetica" w:cs="Helvetica"/>
          <w:sz w:val="20"/>
          <w:szCs w:val="20"/>
          <w:lang w:eastAsia="en-AU"/>
        </w:rPr>
        <w:t>Participation in a suitably accredited external QA program.</w:t>
      </w:r>
    </w:p>
    <w:p w:rsidRPr="00413318" w:rsidR="00413318" w:rsidP="00413318" w:rsidRDefault="00413318" w14:paraId="219DFF6F" w14:textId="77777777">
      <w:pPr>
        <w:shd w:val="clear" w:color="auto" w:fill="FFFFFF"/>
        <w:spacing w:after="120"/>
        <w:outlineLvl w:val="1"/>
        <w:rPr>
          <w:rFonts w:ascii="Open Sans" w:hAnsi="Open Sans" w:cs="Open Sans"/>
          <w:sz w:val="36"/>
          <w:szCs w:val="36"/>
          <w:lang w:eastAsia="en-AU"/>
        </w:rPr>
      </w:pPr>
      <w:r w:rsidRPr="00413318">
        <w:rPr>
          <w:rFonts w:ascii="Open Sans" w:hAnsi="Open Sans" w:cs="Open Sans"/>
          <w:sz w:val="36"/>
          <w:szCs w:val="36"/>
          <w:lang w:eastAsia="en-AU"/>
        </w:rPr>
        <w:t>4 agreed Typing &amp; Subtyping Methods</w:t>
      </w:r>
    </w:p>
    <w:p w:rsidRPr="00413318" w:rsidR="00413318" w:rsidP="14B3F0B2" w:rsidRDefault="00413318" w14:paraId="455D0490" w14:textId="77777777" w14:noSpellErr="1">
      <w:pPr>
        <w:shd w:val="clear" w:color="auto" w:fill="FFFFFF" w:themeFill="background1"/>
        <w:spacing w:after="240" w:line="300" w:lineRule="atLeast"/>
        <w:rPr>
          <w:rFonts w:ascii="Helvetica" w:hAnsi="Helvetica" w:cs="Helvetica"/>
          <w:sz w:val="20"/>
          <w:szCs w:val="20"/>
          <w:lang w:eastAsia="en-AU"/>
        </w:rPr>
      </w:pPr>
      <w:r w:rsidRPr="14B3F0B2" w:rsidR="00413318">
        <w:rPr>
          <w:rFonts w:ascii="Helvetica" w:hAnsi="Helvetica" w:cs="Helvetica"/>
          <w:sz w:val="20"/>
          <w:szCs w:val="20"/>
          <w:lang w:eastAsia="en-AU"/>
        </w:rPr>
        <w:t xml:space="preserve">The molecular epidemiology of </w:t>
      </w:r>
      <w:r w:rsidRPr="14B3F0B2" w:rsidR="00413318">
        <w:rPr>
          <w:rFonts w:ascii="Helvetica" w:hAnsi="Helvetica" w:cs="Helvetica"/>
          <w:i w:val="1"/>
          <w:iCs w:val="1"/>
          <w:sz w:val="20"/>
          <w:szCs w:val="20"/>
          <w:lang w:eastAsia="en-AU"/>
        </w:rPr>
        <w:t>mumps virus</w:t>
      </w:r>
      <w:r w:rsidRPr="14B3F0B2" w:rsidR="00413318">
        <w:rPr>
          <w:rFonts w:ascii="Helvetica" w:hAnsi="Helvetica" w:cs="Helvetica"/>
          <w:sz w:val="20"/>
          <w:szCs w:val="20"/>
          <w:lang w:eastAsia="en-AU"/>
        </w:rPr>
        <w:t xml:space="preserve"> is characterised by the co-existence of ten or more distinct genotypes designated A-N, based on the nucleotide sequence of the SH gene. Nucleotide sequencing and phylogenetic analysis of </w:t>
      </w:r>
      <w:r w:rsidRPr="14B3F0B2" w:rsidR="00413318">
        <w:rPr>
          <w:rFonts w:ascii="Helvetica" w:hAnsi="Helvetica" w:cs="Helvetica"/>
          <w:i w:val="1"/>
          <w:iCs w:val="1"/>
          <w:sz w:val="20"/>
          <w:szCs w:val="20"/>
          <w:lang w:eastAsia="en-AU"/>
        </w:rPr>
        <w:t>mumps viru</w:t>
      </w:r>
      <w:r w:rsidRPr="14B3F0B2" w:rsidR="00413318">
        <w:rPr>
          <w:rFonts w:ascii="Helvetica" w:hAnsi="Helvetica" w:cs="Helvetica"/>
          <w:sz w:val="20"/>
          <w:szCs w:val="20"/>
          <w:lang w:eastAsia="en-AU"/>
        </w:rPr>
        <w:t xml:space="preserve">s have been used to characterise outbreaks </w:t>
      </w:r>
      <w:r w:rsidRPr="14B3F0B2" w:rsidR="00413318">
        <w:rPr>
          <w:rFonts w:ascii="Helvetica" w:hAnsi="Helvetica" w:cs="Helvetica"/>
          <w:sz w:val="20"/>
          <w:szCs w:val="20"/>
          <w:lang w:eastAsia="en-AU"/>
        </w:rPr>
        <w:t>geographically. It has been suggested that genotypes B, C, D and H have a higher potential for neurovirulence than genotype A.</w:t>
      </w:r>
    </w:p>
    <w:p w:rsidRPr="00413318" w:rsidR="00413318" w:rsidP="0052556C" w:rsidRDefault="00413318" w14:paraId="1C84EDD8" w14:textId="77777777">
      <w:pPr>
        <w:keepNext/>
        <w:shd w:val="clear" w:color="auto" w:fill="FFFFFF"/>
        <w:spacing w:after="120"/>
        <w:outlineLvl w:val="1"/>
        <w:rPr>
          <w:rFonts w:ascii="Open Sans" w:hAnsi="Open Sans" w:cs="Open Sans"/>
          <w:color w:val="000000"/>
          <w:sz w:val="36"/>
          <w:szCs w:val="36"/>
          <w:lang w:eastAsia="en-AU"/>
        </w:rPr>
      </w:pPr>
      <w:r w:rsidRPr="00413318">
        <w:rPr>
          <w:rFonts w:ascii="Open Sans" w:hAnsi="Open Sans" w:cs="Open Sans"/>
          <w:color w:val="000000"/>
          <w:sz w:val="36"/>
          <w:szCs w:val="36"/>
          <w:lang w:eastAsia="en-AU"/>
        </w:rPr>
        <w:t xml:space="preserve">5 </w:t>
      </w:r>
      <w:proofErr w:type="spellStart"/>
      <w:r w:rsidRPr="00413318">
        <w:rPr>
          <w:rFonts w:ascii="Open Sans" w:hAnsi="Open Sans" w:cs="Open Sans"/>
          <w:color w:val="000000"/>
          <w:sz w:val="36"/>
          <w:szCs w:val="36"/>
          <w:lang w:eastAsia="en-AU"/>
        </w:rPr>
        <w:t>Snomed</w:t>
      </w:r>
      <w:proofErr w:type="spellEnd"/>
      <w:r w:rsidRPr="00413318">
        <w:rPr>
          <w:rFonts w:ascii="Open Sans" w:hAnsi="Open Sans" w:cs="Open Sans"/>
          <w:color w:val="000000"/>
          <w:sz w:val="36"/>
          <w:szCs w:val="36"/>
          <w:lang w:eastAsia="en-AU"/>
        </w:rPr>
        <w:t>-CT Terminology</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Caption w:val="Table display SNOMED-CT terminology"/>
        <w:tblDescription w:val="Table display SNOMED-CT terminology"/>
      </w:tblPr>
      <w:tblGrid>
        <w:gridCol w:w="4530"/>
        <w:gridCol w:w="4530"/>
      </w:tblGrid>
      <w:tr w:rsidRPr="00413318" w:rsidR="00413318" w:rsidTr="00413318" w14:paraId="7219FDFE" w14:textId="77777777">
        <w:tc>
          <w:tcPr>
            <w:tcW w:w="2500" w:type="pct"/>
            <w:shd w:val="clear" w:color="auto" w:fill="E8F3FA"/>
            <w:tcMar>
              <w:top w:w="150" w:type="dxa"/>
              <w:left w:w="150" w:type="dxa"/>
              <w:bottom w:w="150" w:type="dxa"/>
              <w:right w:w="150" w:type="dxa"/>
            </w:tcMar>
            <w:hideMark/>
          </w:tcPr>
          <w:p w:rsidRPr="00413318" w:rsidR="00413318" w:rsidP="00413318" w:rsidRDefault="00413318" w14:paraId="32A52FAB" w14:textId="77777777">
            <w:pPr>
              <w:spacing w:after="300"/>
              <w:jc w:val="center"/>
              <w:rPr>
                <w:rFonts w:ascii="Helvetica" w:hAnsi="Helvetica" w:cs="Helvetica"/>
                <w:b/>
                <w:bCs/>
                <w:color w:val="222222"/>
                <w:sz w:val="20"/>
                <w:szCs w:val="20"/>
                <w:lang w:eastAsia="en-AU"/>
              </w:rPr>
            </w:pPr>
            <w:r w:rsidRPr="00413318">
              <w:rPr>
                <w:rFonts w:ascii="Helvetica" w:hAnsi="Helvetica" w:cs="Helvetica"/>
                <w:b/>
                <w:bCs/>
                <w:color w:val="222222"/>
                <w:sz w:val="20"/>
                <w:szCs w:val="20"/>
                <w:lang w:eastAsia="en-AU"/>
              </w:rPr>
              <w:t>SNOMED CT concept</w:t>
            </w:r>
          </w:p>
        </w:tc>
        <w:tc>
          <w:tcPr>
            <w:tcW w:w="2500" w:type="pct"/>
            <w:shd w:val="clear" w:color="auto" w:fill="E8F3FA"/>
            <w:tcMar>
              <w:top w:w="150" w:type="dxa"/>
              <w:left w:w="150" w:type="dxa"/>
              <w:bottom w:w="150" w:type="dxa"/>
              <w:right w:w="150" w:type="dxa"/>
            </w:tcMar>
            <w:hideMark/>
          </w:tcPr>
          <w:p w:rsidRPr="00413318" w:rsidR="00413318" w:rsidP="00413318" w:rsidRDefault="00413318" w14:paraId="06226F71" w14:textId="77777777">
            <w:pPr>
              <w:spacing w:after="300"/>
              <w:jc w:val="center"/>
              <w:rPr>
                <w:rFonts w:ascii="Helvetica" w:hAnsi="Helvetica" w:cs="Helvetica"/>
                <w:b/>
                <w:bCs/>
                <w:color w:val="222222"/>
                <w:sz w:val="20"/>
                <w:szCs w:val="20"/>
                <w:lang w:eastAsia="en-AU"/>
              </w:rPr>
            </w:pPr>
            <w:r w:rsidRPr="00413318">
              <w:rPr>
                <w:rFonts w:ascii="Helvetica" w:hAnsi="Helvetica" w:cs="Helvetica"/>
                <w:b/>
                <w:bCs/>
                <w:color w:val="222222"/>
                <w:sz w:val="20"/>
                <w:szCs w:val="20"/>
                <w:lang w:eastAsia="en-AU"/>
              </w:rPr>
              <w:t>Code</w:t>
            </w:r>
          </w:p>
        </w:tc>
      </w:tr>
      <w:tr w:rsidRPr="00413318" w:rsidR="00413318" w:rsidTr="00413318" w14:paraId="7F77C604"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6A31DF19" w14:textId="77777777">
            <w:pPr>
              <w:spacing w:after="300"/>
              <w:jc w:val="center"/>
              <w:rPr>
                <w:rFonts w:ascii="Helvetica" w:hAnsi="Helvetica" w:cs="Helvetica"/>
                <w:color w:val="222222"/>
                <w:sz w:val="20"/>
                <w:szCs w:val="20"/>
                <w:lang w:eastAsia="en-AU"/>
              </w:rPr>
            </w:pPr>
            <w:proofErr w:type="gramStart"/>
            <w:r w:rsidRPr="00413318">
              <w:rPr>
                <w:rFonts w:ascii="Helvetica" w:hAnsi="Helvetica" w:cs="Helvetica"/>
                <w:color w:val="222222"/>
                <w:sz w:val="20"/>
                <w:szCs w:val="20"/>
                <w:lang w:eastAsia="en-AU"/>
              </w:rPr>
              <w:t>Mumps</w:t>
            </w:r>
            <w:proofErr w:type="gramEnd"/>
            <w:r w:rsidRPr="00413318">
              <w:rPr>
                <w:rFonts w:ascii="Helvetica" w:hAnsi="Helvetica" w:cs="Helvetica"/>
                <w:color w:val="222222"/>
                <w:sz w:val="20"/>
                <w:szCs w:val="20"/>
                <w:lang w:eastAsia="en-AU"/>
              </w:rPr>
              <w:t xml:space="preserve"> virus (organism)</w:t>
            </w:r>
          </w:p>
        </w:tc>
        <w:tc>
          <w:tcPr>
            <w:tcW w:w="2500" w:type="pct"/>
            <w:shd w:val="clear" w:color="auto" w:fill="FFFFFF"/>
            <w:tcMar>
              <w:top w:w="150" w:type="dxa"/>
              <w:left w:w="150" w:type="dxa"/>
              <w:bottom w:w="150" w:type="dxa"/>
              <w:right w:w="150" w:type="dxa"/>
            </w:tcMar>
            <w:hideMark/>
          </w:tcPr>
          <w:p w:rsidRPr="00413318" w:rsidR="00413318" w:rsidP="00413318" w:rsidRDefault="00413318" w14:paraId="1648BC98" w14:textId="77777777">
            <w:pPr>
              <w:spacing w:after="300"/>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50384007</w:t>
            </w:r>
          </w:p>
        </w:tc>
      </w:tr>
      <w:tr w:rsidRPr="00413318" w:rsidR="00413318" w:rsidTr="00413318" w14:paraId="65C93B1F"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30F48D80" w14:textId="77777777">
            <w:pPr>
              <w:spacing w:after="300"/>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Mumps (clinical finding)</w:t>
            </w:r>
          </w:p>
        </w:tc>
        <w:tc>
          <w:tcPr>
            <w:tcW w:w="2500" w:type="pct"/>
            <w:shd w:val="clear" w:color="auto" w:fill="FFFFFF"/>
            <w:tcMar>
              <w:top w:w="150" w:type="dxa"/>
              <w:left w:w="150" w:type="dxa"/>
              <w:bottom w:w="150" w:type="dxa"/>
              <w:right w:w="150" w:type="dxa"/>
            </w:tcMar>
            <w:hideMark/>
          </w:tcPr>
          <w:p w:rsidRPr="00413318" w:rsidR="00413318" w:rsidP="00413318" w:rsidRDefault="00413318" w14:paraId="30E53FB1" w14:textId="77777777">
            <w:pPr>
              <w:spacing w:before="240" w:after="240" w:line="300" w:lineRule="atLeast"/>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36989005</w:t>
            </w:r>
          </w:p>
        </w:tc>
      </w:tr>
      <w:tr w:rsidRPr="00413318" w:rsidR="00413318" w:rsidTr="00413318" w14:paraId="355625C2"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73EDFB96" w14:textId="77777777">
            <w:pPr>
              <w:jc w:val="center"/>
              <w:rPr>
                <w:rFonts w:ascii="Helvetica" w:hAnsi="Helvetica" w:cs="Helvetica"/>
                <w:color w:val="222222"/>
                <w:sz w:val="20"/>
                <w:szCs w:val="20"/>
                <w:lang w:eastAsia="en-AU"/>
              </w:rPr>
            </w:pPr>
            <w:proofErr w:type="gramStart"/>
            <w:r w:rsidRPr="00413318">
              <w:rPr>
                <w:rFonts w:ascii="Helvetica" w:hAnsi="Helvetica" w:cs="Helvetica"/>
                <w:color w:val="222222"/>
                <w:sz w:val="20"/>
                <w:szCs w:val="20"/>
                <w:lang w:eastAsia="en-AU"/>
              </w:rPr>
              <w:t>Mumps</w:t>
            </w:r>
            <w:proofErr w:type="gramEnd"/>
            <w:r w:rsidRPr="00413318">
              <w:rPr>
                <w:rFonts w:ascii="Helvetica" w:hAnsi="Helvetica" w:cs="Helvetica"/>
                <w:color w:val="222222"/>
                <w:sz w:val="20"/>
                <w:szCs w:val="20"/>
                <w:lang w:eastAsia="en-AU"/>
              </w:rPr>
              <w:t xml:space="preserve"> virus antigen assay (procedure)</w:t>
            </w:r>
          </w:p>
        </w:tc>
        <w:tc>
          <w:tcPr>
            <w:tcW w:w="2500" w:type="pct"/>
            <w:shd w:val="clear" w:color="auto" w:fill="FFFFFF"/>
            <w:tcMar>
              <w:top w:w="150" w:type="dxa"/>
              <w:left w:w="150" w:type="dxa"/>
              <w:bottom w:w="150" w:type="dxa"/>
              <w:right w:w="150" w:type="dxa"/>
            </w:tcMar>
            <w:hideMark/>
          </w:tcPr>
          <w:p w:rsidRPr="00413318" w:rsidR="00413318" w:rsidP="00413318" w:rsidRDefault="00413318" w14:paraId="0BD995D8" w14:textId="77777777">
            <w:pPr>
              <w:spacing w:before="240" w:after="240" w:line="300" w:lineRule="atLeast"/>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122355008</w:t>
            </w:r>
          </w:p>
        </w:tc>
      </w:tr>
      <w:tr w:rsidRPr="00413318" w:rsidR="00413318" w:rsidTr="00413318" w14:paraId="49A826A4"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44F35659" w14:textId="77777777">
            <w:pPr>
              <w:jc w:val="center"/>
              <w:rPr>
                <w:rFonts w:ascii="Helvetica" w:hAnsi="Helvetica" w:cs="Helvetica"/>
                <w:color w:val="222222"/>
                <w:sz w:val="20"/>
                <w:szCs w:val="20"/>
                <w:lang w:eastAsia="en-AU"/>
              </w:rPr>
            </w:pPr>
            <w:proofErr w:type="gramStart"/>
            <w:r w:rsidRPr="00413318">
              <w:rPr>
                <w:rFonts w:ascii="Helvetica" w:hAnsi="Helvetica" w:cs="Helvetica"/>
                <w:color w:val="222222"/>
                <w:sz w:val="20"/>
                <w:szCs w:val="20"/>
                <w:lang w:eastAsia="en-AU"/>
              </w:rPr>
              <w:t>Mumps</w:t>
            </w:r>
            <w:proofErr w:type="gramEnd"/>
            <w:r w:rsidRPr="00413318">
              <w:rPr>
                <w:rFonts w:ascii="Helvetica" w:hAnsi="Helvetica" w:cs="Helvetica"/>
                <w:color w:val="222222"/>
                <w:sz w:val="20"/>
                <w:szCs w:val="20"/>
                <w:lang w:eastAsia="en-AU"/>
              </w:rPr>
              <w:t xml:space="preserve"> virus RNA assay (procedure)</w:t>
            </w:r>
          </w:p>
        </w:tc>
        <w:tc>
          <w:tcPr>
            <w:tcW w:w="2500" w:type="pct"/>
            <w:shd w:val="clear" w:color="auto" w:fill="FFFFFF"/>
            <w:tcMar>
              <w:top w:w="150" w:type="dxa"/>
              <w:left w:w="150" w:type="dxa"/>
              <w:bottom w:w="150" w:type="dxa"/>
              <w:right w:w="150" w:type="dxa"/>
            </w:tcMar>
            <w:hideMark/>
          </w:tcPr>
          <w:p w:rsidRPr="00413318" w:rsidR="00413318" w:rsidP="00413318" w:rsidRDefault="00413318" w14:paraId="46446A20" w14:textId="77777777">
            <w:pPr>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122377007</w:t>
            </w:r>
          </w:p>
        </w:tc>
      </w:tr>
      <w:tr w:rsidRPr="00413318" w:rsidR="00413318" w:rsidTr="00413318" w14:paraId="1C1886B2"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52DF3353" w14:textId="77777777">
            <w:pPr>
              <w:jc w:val="center"/>
              <w:rPr>
                <w:rFonts w:ascii="Helvetica" w:hAnsi="Helvetica" w:cs="Helvetica"/>
                <w:color w:val="222222"/>
                <w:sz w:val="20"/>
                <w:szCs w:val="20"/>
                <w:lang w:eastAsia="en-AU"/>
              </w:rPr>
            </w:pPr>
            <w:proofErr w:type="gramStart"/>
            <w:r w:rsidRPr="00413318">
              <w:rPr>
                <w:rFonts w:ascii="Helvetica" w:hAnsi="Helvetica" w:cs="Helvetica"/>
                <w:color w:val="222222"/>
                <w:sz w:val="20"/>
                <w:szCs w:val="20"/>
                <w:lang w:eastAsia="en-AU"/>
              </w:rPr>
              <w:t>Mumps</w:t>
            </w:r>
            <w:proofErr w:type="gramEnd"/>
            <w:r w:rsidRPr="00413318">
              <w:rPr>
                <w:rFonts w:ascii="Helvetica" w:hAnsi="Helvetica" w:cs="Helvetica"/>
                <w:color w:val="222222"/>
                <w:sz w:val="20"/>
                <w:szCs w:val="20"/>
                <w:lang w:eastAsia="en-AU"/>
              </w:rPr>
              <w:t xml:space="preserve"> virus culture (procedure)</w:t>
            </w:r>
          </w:p>
        </w:tc>
        <w:tc>
          <w:tcPr>
            <w:tcW w:w="2500" w:type="pct"/>
            <w:shd w:val="clear" w:color="auto" w:fill="FFFFFF"/>
            <w:tcMar>
              <w:top w:w="150" w:type="dxa"/>
              <w:left w:w="150" w:type="dxa"/>
              <w:bottom w:w="150" w:type="dxa"/>
              <w:right w:w="150" w:type="dxa"/>
            </w:tcMar>
            <w:hideMark/>
          </w:tcPr>
          <w:p w:rsidRPr="00413318" w:rsidR="00413318" w:rsidP="00413318" w:rsidRDefault="00413318" w14:paraId="57C0D782" w14:textId="77777777">
            <w:pPr>
              <w:spacing w:before="240" w:after="240" w:line="300" w:lineRule="atLeast"/>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122273009</w:t>
            </w:r>
          </w:p>
        </w:tc>
      </w:tr>
      <w:tr w:rsidRPr="00413318" w:rsidR="00413318" w:rsidTr="00413318" w14:paraId="083E513F"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73F426CA" w14:textId="77777777">
            <w:pPr>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Mumps IgG level (procedure)</w:t>
            </w:r>
          </w:p>
        </w:tc>
        <w:tc>
          <w:tcPr>
            <w:tcW w:w="2500" w:type="pct"/>
            <w:shd w:val="clear" w:color="auto" w:fill="FFFFFF"/>
            <w:tcMar>
              <w:top w:w="150" w:type="dxa"/>
              <w:left w:w="150" w:type="dxa"/>
              <w:bottom w:w="150" w:type="dxa"/>
              <w:right w:w="150" w:type="dxa"/>
            </w:tcMar>
            <w:hideMark/>
          </w:tcPr>
          <w:p w:rsidRPr="00413318" w:rsidR="00413318" w:rsidP="00413318" w:rsidRDefault="00413318" w14:paraId="78810233" w14:textId="77777777">
            <w:pPr>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315155005</w:t>
            </w:r>
          </w:p>
        </w:tc>
      </w:tr>
      <w:tr w:rsidRPr="00413318" w:rsidR="00413318" w:rsidTr="00413318" w14:paraId="2E2632A6" w14:textId="77777777">
        <w:tc>
          <w:tcPr>
            <w:tcW w:w="2500" w:type="pct"/>
            <w:shd w:val="clear" w:color="auto" w:fill="FFFFFF"/>
            <w:tcMar>
              <w:top w:w="150" w:type="dxa"/>
              <w:left w:w="150" w:type="dxa"/>
              <w:bottom w:w="150" w:type="dxa"/>
              <w:right w:w="150" w:type="dxa"/>
            </w:tcMar>
            <w:hideMark/>
          </w:tcPr>
          <w:p w:rsidRPr="00413318" w:rsidR="00413318" w:rsidP="00413318" w:rsidRDefault="00413318" w14:paraId="59BF94F5" w14:textId="77777777">
            <w:pPr>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Mumps IgM level (procedure)</w:t>
            </w:r>
          </w:p>
        </w:tc>
        <w:tc>
          <w:tcPr>
            <w:tcW w:w="2500" w:type="pct"/>
            <w:shd w:val="clear" w:color="auto" w:fill="FFFFFF"/>
            <w:tcMar>
              <w:top w:w="150" w:type="dxa"/>
              <w:left w:w="150" w:type="dxa"/>
              <w:bottom w:w="150" w:type="dxa"/>
              <w:right w:w="150" w:type="dxa"/>
            </w:tcMar>
            <w:hideMark/>
          </w:tcPr>
          <w:p w:rsidRPr="00413318" w:rsidR="00413318" w:rsidP="00413318" w:rsidRDefault="00413318" w14:paraId="25C26840" w14:textId="77777777">
            <w:pPr>
              <w:spacing w:before="240" w:after="240" w:line="300" w:lineRule="atLeast"/>
              <w:jc w:val="center"/>
              <w:rPr>
                <w:rFonts w:ascii="Helvetica" w:hAnsi="Helvetica" w:cs="Helvetica"/>
                <w:color w:val="222222"/>
                <w:sz w:val="20"/>
                <w:szCs w:val="20"/>
                <w:lang w:eastAsia="en-AU"/>
              </w:rPr>
            </w:pPr>
            <w:r w:rsidRPr="00413318">
              <w:rPr>
                <w:rFonts w:ascii="Helvetica" w:hAnsi="Helvetica" w:cs="Helvetica"/>
                <w:color w:val="222222"/>
                <w:sz w:val="20"/>
                <w:szCs w:val="20"/>
                <w:lang w:eastAsia="en-AU"/>
              </w:rPr>
              <w:t>315156006</w:t>
            </w:r>
          </w:p>
        </w:tc>
      </w:tr>
    </w:tbl>
    <w:p w:rsidRPr="00413318" w:rsidR="00413318" w:rsidP="00413318" w:rsidRDefault="00413318" w14:paraId="0A71C427" w14:textId="74919648">
      <w:pPr>
        <w:rPr>
          <w:rFonts w:ascii="Times New Roman" w:hAnsi="Times New Roman"/>
          <w:sz w:val="24"/>
          <w:lang w:eastAsia="en-AU"/>
        </w:rPr>
      </w:pPr>
    </w:p>
    <w:p w:rsidRPr="00413318" w:rsidR="00413318" w:rsidP="00413318" w:rsidRDefault="00413318" w14:paraId="497EC856" w14:textId="77777777">
      <w:pPr>
        <w:shd w:val="clear" w:color="auto" w:fill="FFFFFF"/>
        <w:spacing w:before="240" w:after="120"/>
        <w:outlineLvl w:val="1"/>
        <w:rPr>
          <w:rFonts w:ascii="Open Sans" w:hAnsi="Open Sans" w:cs="Open Sans"/>
          <w:color w:val="000000"/>
          <w:sz w:val="36"/>
          <w:szCs w:val="36"/>
          <w:lang w:eastAsia="en-AU"/>
        </w:rPr>
      </w:pPr>
      <w:r w:rsidRPr="00413318">
        <w:rPr>
          <w:rFonts w:ascii="Open Sans" w:hAnsi="Open Sans" w:cs="Open Sans"/>
          <w:color w:val="000000"/>
          <w:sz w:val="36"/>
          <w:szCs w:val="36"/>
          <w:lang w:eastAsia="en-AU"/>
        </w:rPr>
        <w:t>5 References</w:t>
      </w:r>
    </w:p>
    <w:p w:rsidRPr="00413318" w:rsidR="00413318" w:rsidP="00413318" w:rsidRDefault="00413318" w14:paraId="1FD85F9D"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1" w:id="0"/>
      <w:bookmarkEnd w:id="0"/>
      <w:proofErr w:type="spellStart"/>
      <w:r w:rsidRPr="00413318">
        <w:rPr>
          <w:rFonts w:ascii="Helvetica" w:hAnsi="Helvetica" w:cs="Helvetica"/>
          <w:color w:val="222222"/>
          <w:sz w:val="20"/>
          <w:szCs w:val="20"/>
          <w:lang w:eastAsia="en-AU"/>
        </w:rPr>
        <w:t>Aeatchige</w:t>
      </w:r>
      <w:proofErr w:type="spellEnd"/>
      <w:r w:rsidRPr="00413318">
        <w:rPr>
          <w:rFonts w:ascii="Helvetica" w:hAnsi="Helvetica" w:cs="Helvetica"/>
          <w:color w:val="222222"/>
          <w:sz w:val="20"/>
          <w:szCs w:val="20"/>
          <w:lang w:eastAsia="en-AU"/>
        </w:rPr>
        <w:t xml:space="preserve"> P, McIntyre P, Quinn H, Gilbert G. Recent increases in mumps incidence in Australia: the “forgotten” age group in the 1998 Australian Measles Control Campaign. MJA </w:t>
      </w:r>
      <w:proofErr w:type="gramStart"/>
      <w:r w:rsidRPr="00413318">
        <w:rPr>
          <w:rFonts w:ascii="Helvetica" w:hAnsi="Helvetica" w:cs="Helvetica"/>
          <w:color w:val="222222"/>
          <w:sz w:val="20"/>
          <w:szCs w:val="20"/>
          <w:lang w:eastAsia="en-AU"/>
        </w:rPr>
        <w:t>2008;189:434</w:t>
      </w:r>
      <w:proofErr w:type="gramEnd"/>
      <w:r w:rsidRPr="00413318">
        <w:rPr>
          <w:rFonts w:ascii="Helvetica" w:hAnsi="Helvetica" w:cs="Helvetica"/>
          <w:color w:val="222222"/>
          <w:sz w:val="20"/>
          <w:szCs w:val="20"/>
          <w:lang w:eastAsia="en-AU"/>
        </w:rPr>
        <w:t>-437.</w:t>
      </w:r>
    </w:p>
    <w:p w:rsidRPr="00413318" w:rsidR="00413318" w:rsidP="00413318" w:rsidRDefault="00413318" w14:paraId="4AD8D1BE"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2" w:id="1"/>
      <w:bookmarkEnd w:id="1"/>
      <w:proofErr w:type="spellStart"/>
      <w:r w:rsidRPr="00413318">
        <w:rPr>
          <w:rFonts w:ascii="Helvetica" w:hAnsi="Helvetica" w:cs="Helvetica"/>
          <w:color w:val="222222"/>
          <w:sz w:val="20"/>
          <w:szCs w:val="20"/>
          <w:lang w:eastAsia="en-AU"/>
        </w:rPr>
        <w:t>Polgreen</w:t>
      </w:r>
      <w:proofErr w:type="spellEnd"/>
      <w:r w:rsidRPr="00413318">
        <w:rPr>
          <w:rFonts w:ascii="Helvetica" w:hAnsi="Helvetica" w:cs="Helvetica"/>
          <w:color w:val="222222"/>
          <w:sz w:val="20"/>
          <w:szCs w:val="20"/>
          <w:lang w:eastAsia="en-AU"/>
        </w:rPr>
        <w:t xml:space="preserve"> PM, </w:t>
      </w:r>
      <w:proofErr w:type="spellStart"/>
      <w:r w:rsidRPr="00413318">
        <w:rPr>
          <w:rFonts w:ascii="Helvetica" w:hAnsi="Helvetica" w:cs="Helvetica"/>
          <w:color w:val="222222"/>
          <w:sz w:val="20"/>
          <w:szCs w:val="20"/>
          <w:lang w:eastAsia="en-AU"/>
        </w:rPr>
        <w:t>Bohnett</w:t>
      </w:r>
      <w:proofErr w:type="spellEnd"/>
      <w:r w:rsidRPr="00413318">
        <w:rPr>
          <w:rFonts w:ascii="Helvetica" w:hAnsi="Helvetica" w:cs="Helvetica"/>
          <w:color w:val="222222"/>
          <w:sz w:val="20"/>
          <w:szCs w:val="20"/>
          <w:lang w:eastAsia="en-AU"/>
        </w:rPr>
        <w:t xml:space="preserve"> LC, Cavanaugh JE et al. The duration of mumps virus shedding after the onset of symptoms. CID 2008:46:1447-8.</w:t>
      </w:r>
    </w:p>
    <w:p w:rsidRPr="00413318" w:rsidR="00413318" w:rsidP="00413318" w:rsidRDefault="00413318" w14:paraId="7AF33957"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3" w:id="2"/>
      <w:bookmarkEnd w:id="2"/>
      <w:r w:rsidRPr="00413318">
        <w:rPr>
          <w:rFonts w:ascii="Helvetica" w:hAnsi="Helvetica" w:cs="Helvetica"/>
          <w:color w:val="222222"/>
          <w:sz w:val="20"/>
          <w:szCs w:val="20"/>
          <w:lang w:eastAsia="en-AU"/>
        </w:rPr>
        <w:t xml:space="preserve">Gordon JE, </w:t>
      </w:r>
      <w:proofErr w:type="spellStart"/>
      <w:r w:rsidRPr="00413318">
        <w:rPr>
          <w:rFonts w:ascii="Helvetica" w:hAnsi="Helvetica" w:cs="Helvetica"/>
          <w:color w:val="222222"/>
          <w:sz w:val="20"/>
          <w:szCs w:val="20"/>
          <w:lang w:eastAsia="en-AU"/>
        </w:rPr>
        <w:t>Kilham</w:t>
      </w:r>
      <w:proofErr w:type="spellEnd"/>
      <w:r w:rsidRPr="00413318">
        <w:rPr>
          <w:rFonts w:ascii="Helvetica" w:hAnsi="Helvetica" w:cs="Helvetica"/>
          <w:color w:val="222222"/>
          <w:sz w:val="20"/>
          <w:szCs w:val="20"/>
          <w:lang w:eastAsia="en-AU"/>
        </w:rPr>
        <w:t xml:space="preserve"> L. Ten years in the epidemiology of mumps. Am J Med Sci </w:t>
      </w:r>
      <w:proofErr w:type="gramStart"/>
      <w:r w:rsidRPr="00413318">
        <w:rPr>
          <w:rFonts w:ascii="Helvetica" w:hAnsi="Helvetica" w:cs="Helvetica"/>
          <w:color w:val="222222"/>
          <w:sz w:val="20"/>
          <w:szCs w:val="20"/>
          <w:lang w:eastAsia="en-AU"/>
        </w:rPr>
        <w:t>1949;218:338</w:t>
      </w:r>
      <w:proofErr w:type="gramEnd"/>
      <w:r w:rsidRPr="00413318">
        <w:rPr>
          <w:rFonts w:ascii="Helvetica" w:hAnsi="Helvetica" w:cs="Helvetica"/>
          <w:color w:val="222222"/>
          <w:sz w:val="20"/>
          <w:szCs w:val="20"/>
          <w:lang w:eastAsia="en-AU"/>
        </w:rPr>
        <w:t>-59.</w:t>
      </w:r>
    </w:p>
    <w:p w:rsidRPr="00413318" w:rsidR="00413318" w:rsidP="00413318" w:rsidRDefault="00413318" w14:paraId="5FEBBE35"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4" w:id="3"/>
      <w:bookmarkEnd w:id="3"/>
      <w:proofErr w:type="spellStart"/>
      <w:r w:rsidRPr="00413318">
        <w:rPr>
          <w:rFonts w:ascii="Helvetica" w:hAnsi="Helvetica" w:cs="Helvetica"/>
          <w:color w:val="222222"/>
          <w:sz w:val="20"/>
          <w:szCs w:val="20"/>
          <w:lang w:eastAsia="en-AU"/>
        </w:rPr>
        <w:t>Huiid</w:t>
      </w:r>
      <w:proofErr w:type="spellEnd"/>
      <w:r w:rsidRPr="00413318">
        <w:rPr>
          <w:rFonts w:ascii="Helvetica" w:hAnsi="Helvetica" w:cs="Helvetica"/>
          <w:color w:val="222222"/>
          <w:sz w:val="20"/>
          <w:szCs w:val="20"/>
          <w:lang w:eastAsia="en-AU"/>
        </w:rPr>
        <w:t xml:space="preserve"> A, Rubin S and </w:t>
      </w:r>
      <w:proofErr w:type="spellStart"/>
      <w:r w:rsidRPr="00413318">
        <w:rPr>
          <w:rFonts w:ascii="Helvetica" w:hAnsi="Helvetica" w:cs="Helvetica"/>
          <w:color w:val="222222"/>
          <w:sz w:val="20"/>
          <w:szCs w:val="20"/>
          <w:lang w:eastAsia="en-AU"/>
        </w:rPr>
        <w:t>Muhlemann</w:t>
      </w:r>
      <w:proofErr w:type="spellEnd"/>
      <w:r w:rsidRPr="00413318">
        <w:rPr>
          <w:rFonts w:ascii="Helvetica" w:hAnsi="Helvetica" w:cs="Helvetica"/>
          <w:color w:val="222222"/>
          <w:sz w:val="20"/>
          <w:szCs w:val="20"/>
          <w:lang w:eastAsia="en-AU"/>
        </w:rPr>
        <w:t xml:space="preserve"> K. Mumps. Lancet </w:t>
      </w:r>
      <w:proofErr w:type="gramStart"/>
      <w:r w:rsidRPr="00413318">
        <w:rPr>
          <w:rFonts w:ascii="Helvetica" w:hAnsi="Helvetica" w:cs="Helvetica"/>
          <w:color w:val="222222"/>
          <w:sz w:val="20"/>
          <w:szCs w:val="20"/>
          <w:lang w:eastAsia="en-AU"/>
        </w:rPr>
        <w:t>2008;371:932</w:t>
      </w:r>
      <w:proofErr w:type="gramEnd"/>
      <w:r w:rsidRPr="00413318">
        <w:rPr>
          <w:rFonts w:ascii="Helvetica" w:hAnsi="Helvetica" w:cs="Helvetica"/>
          <w:color w:val="222222"/>
          <w:sz w:val="20"/>
          <w:szCs w:val="20"/>
          <w:lang w:eastAsia="en-AU"/>
        </w:rPr>
        <w:t>-44.</w:t>
      </w:r>
    </w:p>
    <w:p w:rsidRPr="00413318" w:rsidR="00413318" w:rsidP="00413318" w:rsidRDefault="00413318" w14:paraId="71ECDDFA"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5" w:id="4"/>
      <w:bookmarkEnd w:id="4"/>
      <w:r w:rsidRPr="00413318">
        <w:rPr>
          <w:rFonts w:ascii="Helvetica" w:hAnsi="Helvetica" w:cs="Helvetica"/>
          <w:color w:val="222222"/>
          <w:sz w:val="20"/>
          <w:szCs w:val="20"/>
          <w:lang w:eastAsia="en-AU"/>
        </w:rPr>
        <w:t>Harling R, White JM, Ramsay ME et al. The effectiveness of the mumps component of the MMR vaccine: a case control study. Vaccine 2005: 23:4070-4.</w:t>
      </w:r>
    </w:p>
    <w:p w:rsidRPr="00413318" w:rsidR="00413318" w:rsidP="00413318" w:rsidRDefault="00413318" w14:paraId="270CC126"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6" w:id="5"/>
      <w:bookmarkEnd w:id="5"/>
      <w:r w:rsidRPr="00413318">
        <w:rPr>
          <w:rFonts w:ascii="Helvetica" w:hAnsi="Helvetica" w:cs="Helvetica"/>
          <w:color w:val="222222"/>
          <w:sz w:val="20"/>
          <w:szCs w:val="20"/>
          <w:lang w:eastAsia="en-AU"/>
        </w:rPr>
        <w:lastRenderedPageBreak/>
        <w:t xml:space="preserve">Krause C, Molyneaux P, Ho-Yen D et al. Comparison of mumps-IgM ELISAs in acute infection. J Clin </w:t>
      </w:r>
      <w:proofErr w:type="spellStart"/>
      <w:r w:rsidRPr="00413318">
        <w:rPr>
          <w:rFonts w:ascii="Helvetica" w:hAnsi="Helvetica" w:cs="Helvetica"/>
          <w:color w:val="222222"/>
          <w:sz w:val="20"/>
          <w:szCs w:val="20"/>
          <w:lang w:eastAsia="en-AU"/>
        </w:rPr>
        <w:t>Virol</w:t>
      </w:r>
      <w:proofErr w:type="spellEnd"/>
      <w:r w:rsidRPr="00413318">
        <w:rPr>
          <w:rFonts w:ascii="Helvetica" w:hAnsi="Helvetica" w:cs="Helvetica"/>
          <w:color w:val="222222"/>
          <w:sz w:val="20"/>
          <w:szCs w:val="20"/>
          <w:lang w:eastAsia="en-AU"/>
        </w:rPr>
        <w:t xml:space="preserve"> </w:t>
      </w:r>
      <w:proofErr w:type="gramStart"/>
      <w:r w:rsidRPr="00413318">
        <w:rPr>
          <w:rFonts w:ascii="Helvetica" w:hAnsi="Helvetica" w:cs="Helvetica"/>
          <w:color w:val="222222"/>
          <w:sz w:val="20"/>
          <w:szCs w:val="20"/>
          <w:lang w:eastAsia="en-AU"/>
        </w:rPr>
        <w:t>2007;38:153</w:t>
      </w:r>
      <w:proofErr w:type="gramEnd"/>
      <w:r w:rsidRPr="00413318">
        <w:rPr>
          <w:rFonts w:ascii="Helvetica" w:hAnsi="Helvetica" w:cs="Helvetica"/>
          <w:color w:val="222222"/>
          <w:sz w:val="20"/>
          <w:szCs w:val="20"/>
          <w:lang w:eastAsia="en-AU"/>
        </w:rPr>
        <w:t>-156.</w:t>
      </w:r>
    </w:p>
    <w:p w:rsidRPr="00413318" w:rsidR="00413318" w:rsidP="00413318" w:rsidRDefault="00413318" w14:paraId="2F5A9610"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7" w:id="6"/>
      <w:bookmarkEnd w:id="6"/>
      <w:proofErr w:type="spellStart"/>
      <w:r w:rsidRPr="00413318">
        <w:rPr>
          <w:rFonts w:ascii="Helvetica" w:hAnsi="Helvetica" w:cs="Helvetica"/>
          <w:color w:val="222222"/>
          <w:sz w:val="20"/>
          <w:szCs w:val="20"/>
          <w:lang w:eastAsia="en-AU"/>
        </w:rPr>
        <w:t>Hatchette</w:t>
      </w:r>
      <w:proofErr w:type="spellEnd"/>
      <w:r w:rsidRPr="00413318">
        <w:rPr>
          <w:rFonts w:ascii="Helvetica" w:hAnsi="Helvetica" w:cs="Helvetica"/>
          <w:color w:val="222222"/>
          <w:sz w:val="20"/>
          <w:szCs w:val="20"/>
          <w:lang w:eastAsia="en-AU"/>
        </w:rPr>
        <w:t xml:space="preserve"> TF, Davidson R et al. Laboratory diagnosis of mumps in a partially immunized population The Nova Scotia experience. Can J Infect Dis Med Microbiol 2009: </w:t>
      </w:r>
      <w:proofErr w:type="gramStart"/>
      <w:r w:rsidRPr="00413318">
        <w:rPr>
          <w:rFonts w:ascii="Helvetica" w:hAnsi="Helvetica" w:cs="Helvetica"/>
          <w:color w:val="222222"/>
          <w:sz w:val="20"/>
          <w:szCs w:val="20"/>
          <w:lang w:eastAsia="en-AU"/>
        </w:rPr>
        <w:t>20;e</w:t>
      </w:r>
      <w:proofErr w:type="gramEnd"/>
      <w:r w:rsidRPr="00413318">
        <w:rPr>
          <w:rFonts w:ascii="Helvetica" w:hAnsi="Helvetica" w:cs="Helvetica"/>
          <w:color w:val="222222"/>
          <w:sz w:val="20"/>
          <w:szCs w:val="20"/>
          <w:lang w:eastAsia="en-AU"/>
        </w:rPr>
        <w:t>157-62.</w:t>
      </w:r>
    </w:p>
    <w:p w:rsidRPr="00413318" w:rsidR="00413318" w:rsidP="00413318" w:rsidRDefault="00413318" w14:paraId="413BB3B0"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8" w:id="7"/>
      <w:bookmarkEnd w:id="7"/>
      <w:r w:rsidRPr="00413318">
        <w:rPr>
          <w:rFonts w:ascii="Helvetica" w:hAnsi="Helvetica" w:cs="Helvetica"/>
          <w:color w:val="222222"/>
          <w:sz w:val="20"/>
          <w:szCs w:val="20"/>
          <w:lang w:eastAsia="en-AU"/>
        </w:rPr>
        <w:t xml:space="preserve">Speers DJ, Dowse GK. The importance of molecular testing to confirm measles, </w:t>
      </w:r>
      <w:proofErr w:type="gramStart"/>
      <w:r w:rsidRPr="00413318">
        <w:rPr>
          <w:rFonts w:ascii="Helvetica" w:hAnsi="Helvetica" w:cs="Helvetica"/>
          <w:color w:val="222222"/>
          <w:sz w:val="20"/>
          <w:szCs w:val="20"/>
          <w:lang w:eastAsia="en-AU"/>
        </w:rPr>
        <w:t>mumps</w:t>
      </w:r>
      <w:proofErr w:type="gramEnd"/>
      <w:r w:rsidRPr="00413318">
        <w:rPr>
          <w:rFonts w:ascii="Helvetica" w:hAnsi="Helvetica" w:cs="Helvetica"/>
          <w:color w:val="222222"/>
          <w:sz w:val="20"/>
          <w:szCs w:val="20"/>
          <w:lang w:eastAsia="en-AU"/>
        </w:rPr>
        <w:t xml:space="preserve"> and rubella in vaccinated individuals. MJA 2015; 202(6)</w:t>
      </w:r>
    </w:p>
    <w:p w:rsidRPr="00413318" w:rsidR="00413318" w:rsidP="00413318" w:rsidRDefault="00413318" w14:paraId="2A69328B"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09" w:id="8"/>
      <w:bookmarkEnd w:id="8"/>
      <w:r w:rsidRPr="00413318">
        <w:rPr>
          <w:rFonts w:ascii="Helvetica" w:hAnsi="Helvetica" w:cs="Helvetica"/>
          <w:color w:val="222222"/>
          <w:sz w:val="20"/>
          <w:szCs w:val="20"/>
          <w:lang w:eastAsia="en-AU"/>
        </w:rPr>
        <w:t xml:space="preserve">Sanz JC, Mosquera </w:t>
      </w:r>
      <w:proofErr w:type="spellStart"/>
      <w:r w:rsidRPr="00413318">
        <w:rPr>
          <w:rFonts w:ascii="Helvetica" w:hAnsi="Helvetica" w:cs="Helvetica"/>
          <w:color w:val="222222"/>
          <w:sz w:val="20"/>
          <w:szCs w:val="20"/>
          <w:lang w:eastAsia="en-AU"/>
        </w:rPr>
        <w:t>Mdel</w:t>
      </w:r>
      <w:proofErr w:type="spellEnd"/>
      <w:r w:rsidRPr="00413318">
        <w:rPr>
          <w:rFonts w:ascii="Helvetica" w:hAnsi="Helvetica" w:cs="Helvetica"/>
          <w:color w:val="222222"/>
          <w:sz w:val="20"/>
          <w:szCs w:val="20"/>
          <w:lang w:eastAsia="en-AU"/>
        </w:rPr>
        <w:t xml:space="preserve"> M, Fernandez M et al. Sensitivity and specificity of immunoglobulin G titre for the diagnosis of mumps virus in infected patents depending on vaccination status. APMIS 2006;114 (11):788-94.</w:t>
      </w:r>
    </w:p>
    <w:p w:rsidRPr="00413318" w:rsidR="00413318" w:rsidP="00413318" w:rsidRDefault="00413318" w14:paraId="20C4BC8A"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10" w:id="9"/>
      <w:bookmarkEnd w:id="9"/>
      <w:r w:rsidRPr="00413318">
        <w:rPr>
          <w:rFonts w:ascii="Helvetica" w:hAnsi="Helvetica" w:cs="Helvetica"/>
          <w:color w:val="222222"/>
          <w:sz w:val="20"/>
          <w:szCs w:val="20"/>
          <w:lang w:eastAsia="en-AU"/>
        </w:rPr>
        <w:t xml:space="preserve">Rota JS, Rosen JB, Doll MK et al. Comparison of the sensitivity of laboratory diagnostic methods from a well characterised outbreak of mumps in New York city in 2009: Clin Vaccine Immunol </w:t>
      </w:r>
      <w:proofErr w:type="gramStart"/>
      <w:r w:rsidRPr="00413318">
        <w:rPr>
          <w:rFonts w:ascii="Helvetica" w:hAnsi="Helvetica" w:cs="Helvetica"/>
          <w:color w:val="222222"/>
          <w:sz w:val="20"/>
          <w:szCs w:val="20"/>
          <w:lang w:eastAsia="en-AU"/>
        </w:rPr>
        <w:t>2013,;</w:t>
      </w:r>
      <w:proofErr w:type="gramEnd"/>
      <w:r w:rsidRPr="00413318">
        <w:rPr>
          <w:rFonts w:ascii="Helvetica" w:hAnsi="Helvetica" w:cs="Helvetica"/>
          <w:color w:val="222222"/>
          <w:sz w:val="20"/>
          <w:szCs w:val="20"/>
          <w:lang w:eastAsia="en-AU"/>
        </w:rPr>
        <w:t>20:391-6.</w:t>
      </w:r>
    </w:p>
    <w:p w:rsidRPr="00413318" w:rsidR="00413318" w:rsidP="00413318" w:rsidRDefault="00413318" w14:paraId="3681BCE5"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11" w:id="10"/>
      <w:bookmarkEnd w:id="10"/>
      <w:proofErr w:type="spellStart"/>
      <w:r w:rsidRPr="00413318">
        <w:rPr>
          <w:rFonts w:ascii="Helvetica" w:hAnsi="Helvetica" w:cs="Helvetica"/>
          <w:color w:val="222222"/>
          <w:sz w:val="20"/>
          <w:szCs w:val="20"/>
          <w:lang w:eastAsia="en-AU"/>
        </w:rPr>
        <w:t>Mailett</w:t>
      </w:r>
      <w:proofErr w:type="spellEnd"/>
      <w:r w:rsidRPr="00413318">
        <w:rPr>
          <w:rFonts w:ascii="Helvetica" w:hAnsi="Helvetica" w:cs="Helvetica"/>
          <w:color w:val="222222"/>
          <w:sz w:val="20"/>
          <w:szCs w:val="20"/>
          <w:lang w:eastAsia="en-AU"/>
        </w:rPr>
        <w:t xml:space="preserve"> M, </w:t>
      </w:r>
      <w:proofErr w:type="spellStart"/>
      <w:r w:rsidRPr="00413318">
        <w:rPr>
          <w:rFonts w:ascii="Helvetica" w:hAnsi="Helvetica" w:cs="Helvetica"/>
          <w:color w:val="222222"/>
          <w:sz w:val="20"/>
          <w:szCs w:val="20"/>
          <w:lang w:eastAsia="en-AU"/>
        </w:rPr>
        <w:t>Bouvat</w:t>
      </w:r>
      <w:proofErr w:type="spellEnd"/>
      <w:r w:rsidRPr="00413318">
        <w:rPr>
          <w:rFonts w:ascii="Helvetica" w:hAnsi="Helvetica" w:cs="Helvetica"/>
          <w:color w:val="222222"/>
          <w:sz w:val="20"/>
          <w:szCs w:val="20"/>
          <w:lang w:eastAsia="en-AU"/>
        </w:rPr>
        <w:t xml:space="preserve"> E et al. </w:t>
      </w:r>
      <w:proofErr w:type="gramStart"/>
      <w:r w:rsidRPr="00413318">
        <w:rPr>
          <w:rFonts w:ascii="Helvetica" w:hAnsi="Helvetica" w:cs="Helvetica"/>
          <w:color w:val="222222"/>
          <w:sz w:val="20"/>
          <w:szCs w:val="20"/>
          <w:lang w:eastAsia="en-AU"/>
        </w:rPr>
        <w:t>Mumps</w:t>
      </w:r>
      <w:proofErr w:type="gramEnd"/>
      <w:r w:rsidRPr="00413318">
        <w:rPr>
          <w:rFonts w:ascii="Helvetica" w:hAnsi="Helvetica" w:cs="Helvetica"/>
          <w:color w:val="222222"/>
          <w:sz w:val="20"/>
          <w:szCs w:val="20"/>
          <w:lang w:eastAsia="en-AU"/>
        </w:rPr>
        <w:t xml:space="preserve"> outbreak and laboratory diagnosis. J Clin </w:t>
      </w:r>
      <w:proofErr w:type="spellStart"/>
      <w:r w:rsidRPr="00413318">
        <w:rPr>
          <w:rFonts w:ascii="Helvetica" w:hAnsi="Helvetica" w:cs="Helvetica"/>
          <w:color w:val="222222"/>
          <w:sz w:val="20"/>
          <w:szCs w:val="20"/>
          <w:lang w:eastAsia="en-AU"/>
        </w:rPr>
        <w:t>Virol</w:t>
      </w:r>
      <w:proofErr w:type="spellEnd"/>
      <w:r w:rsidRPr="00413318">
        <w:rPr>
          <w:rFonts w:ascii="Helvetica" w:hAnsi="Helvetica" w:cs="Helvetica"/>
          <w:color w:val="222222"/>
          <w:sz w:val="20"/>
          <w:szCs w:val="20"/>
          <w:lang w:eastAsia="en-AU"/>
        </w:rPr>
        <w:t xml:space="preserve"> </w:t>
      </w:r>
      <w:proofErr w:type="gramStart"/>
      <w:r w:rsidRPr="00413318">
        <w:rPr>
          <w:rFonts w:ascii="Helvetica" w:hAnsi="Helvetica" w:cs="Helvetica"/>
          <w:color w:val="222222"/>
          <w:sz w:val="20"/>
          <w:szCs w:val="20"/>
          <w:lang w:eastAsia="en-AU"/>
        </w:rPr>
        <w:t>2015;62:14</w:t>
      </w:r>
      <w:proofErr w:type="gramEnd"/>
      <w:r w:rsidRPr="00413318">
        <w:rPr>
          <w:rFonts w:ascii="Helvetica" w:hAnsi="Helvetica" w:cs="Helvetica"/>
          <w:color w:val="222222"/>
          <w:sz w:val="20"/>
          <w:szCs w:val="20"/>
          <w:lang w:eastAsia="en-AU"/>
        </w:rPr>
        <w:t>-19.</w:t>
      </w:r>
    </w:p>
    <w:p w:rsidRPr="00413318" w:rsidR="00413318" w:rsidP="00413318" w:rsidRDefault="00413318" w14:paraId="2A3870F7"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12" w:id="11"/>
      <w:bookmarkEnd w:id="11"/>
      <w:proofErr w:type="spellStart"/>
      <w:r w:rsidRPr="00413318">
        <w:rPr>
          <w:rFonts w:ascii="Helvetica" w:hAnsi="Helvetica" w:cs="Helvetica"/>
          <w:color w:val="222222"/>
          <w:sz w:val="20"/>
          <w:szCs w:val="20"/>
          <w:lang w:eastAsia="en-AU"/>
        </w:rPr>
        <w:t>Poggio</w:t>
      </w:r>
      <w:proofErr w:type="spellEnd"/>
      <w:r w:rsidRPr="00413318">
        <w:rPr>
          <w:rFonts w:ascii="Helvetica" w:hAnsi="Helvetica" w:cs="Helvetica"/>
          <w:color w:val="222222"/>
          <w:sz w:val="20"/>
          <w:szCs w:val="20"/>
          <w:lang w:eastAsia="en-AU"/>
        </w:rPr>
        <w:t xml:space="preserve"> GP, Rodriguez C, Cisterna D </w:t>
      </w:r>
      <w:proofErr w:type="spellStart"/>
      <w:r w:rsidRPr="00413318">
        <w:rPr>
          <w:rFonts w:ascii="Helvetica" w:hAnsi="Helvetica" w:cs="Helvetica"/>
          <w:color w:val="222222"/>
          <w:sz w:val="20"/>
          <w:szCs w:val="20"/>
          <w:lang w:eastAsia="en-AU"/>
        </w:rPr>
        <w:t>etal</w:t>
      </w:r>
      <w:proofErr w:type="spellEnd"/>
      <w:r w:rsidRPr="00413318">
        <w:rPr>
          <w:rFonts w:ascii="Helvetica" w:hAnsi="Helvetica" w:cs="Helvetica"/>
          <w:color w:val="222222"/>
          <w:sz w:val="20"/>
          <w:szCs w:val="20"/>
          <w:lang w:eastAsia="en-AU"/>
        </w:rPr>
        <w:t xml:space="preserve">. Nested PCR for rapid detection of mumps virus in cerebrospinal fluid from patients with neurological disease. J Clin Micro </w:t>
      </w:r>
      <w:proofErr w:type="gramStart"/>
      <w:r w:rsidRPr="00413318">
        <w:rPr>
          <w:rFonts w:ascii="Helvetica" w:hAnsi="Helvetica" w:cs="Helvetica"/>
          <w:color w:val="222222"/>
          <w:sz w:val="20"/>
          <w:szCs w:val="20"/>
          <w:lang w:eastAsia="en-AU"/>
        </w:rPr>
        <w:t>2000;38:274</w:t>
      </w:r>
      <w:proofErr w:type="gramEnd"/>
      <w:r w:rsidRPr="00413318">
        <w:rPr>
          <w:rFonts w:ascii="Helvetica" w:hAnsi="Helvetica" w:cs="Helvetica"/>
          <w:color w:val="222222"/>
          <w:sz w:val="20"/>
          <w:szCs w:val="20"/>
          <w:lang w:eastAsia="en-AU"/>
        </w:rPr>
        <w:t>-78.</w:t>
      </w:r>
    </w:p>
    <w:p w:rsidRPr="00413318" w:rsidR="00413318" w:rsidP="00413318" w:rsidRDefault="00413318" w14:paraId="52526A0D"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13" w:id="12"/>
      <w:bookmarkEnd w:id="12"/>
      <w:r w:rsidRPr="00413318">
        <w:rPr>
          <w:rFonts w:ascii="Helvetica" w:hAnsi="Helvetica" w:cs="Helvetica"/>
          <w:color w:val="222222"/>
          <w:sz w:val="20"/>
          <w:szCs w:val="20"/>
          <w:lang w:eastAsia="en-AU"/>
        </w:rPr>
        <w:t xml:space="preserve">Uchida K, Shinohara S et al. Rapid and sensitive detection of mumps virus RNA directly from clinical samples by real-time PCR. J Med </w:t>
      </w:r>
      <w:proofErr w:type="spellStart"/>
      <w:r w:rsidRPr="00413318">
        <w:rPr>
          <w:rFonts w:ascii="Helvetica" w:hAnsi="Helvetica" w:cs="Helvetica"/>
          <w:color w:val="222222"/>
          <w:sz w:val="20"/>
          <w:szCs w:val="20"/>
          <w:lang w:eastAsia="en-AU"/>
        </w:rPr>
        <w:t>Virol</w:t>
      </w:r>
      <w:proofErr w:type="spellEnd"/>
      <w:r w:rsidRPr="00413318">
        <w:rPr>
          <w:rFonts w:ascii="Helvetica" w:hAnsi="Helvetica" w:cs="Helvetica"/>
          <w:color w:val="222222"/>
          <w:sz w:val="20"/>
          <w:szCs w:val="20"/>
          <w:lang w:eastAsia="en-AU"/>
        </w:rPr>
        <w:t xml:space="preserve"> </w:t>
      </w:r>
      <w:proofErr w:type="gramStart"/>
      <w:r w:rsidRPr="00413318">
        <w:rPr>
          <w:rFonts w:ascii="Helvetica" w:hAnsi="Helvetica" w:cs="Helvetica"/>
          <w:color w:val="222222"/>
          <w:sz w:val="20"/>
          <w:szCs w:val="20"/>
          <w:lang w:eastAsia="en-AU"/>
        </w:rPr>
        <w:t>2005;75:470</w:t>
      </w:r>
      <w:proofErr w:type="gramEnd"/>
      <w:r w:rsidRPr="00413318">
        <w:rPr>
          <w:rFonts w:ascii="Helvetica" w:hAnsi="Helvetica" w:cs="Helvetica"/>
          <w:color w:val="222222"/>
          <w:sz w:val="20"/>
          <w:szCs w:val="20"/>
          <w:lang w:eastAsia="en-AU"/>
        </w:rPr>
        <w:t>-74.</w:t>
      </w:r>
    </w:p>
    <w:p w:rsidRPr="00413318" w:rsidR="00413318" w:rsidP="00413318" w:rsidRDefault="00413318" w14:paraId="3EBB6903" w14:textId="77777777">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14" w:id="13"/>
      <w:bookmarkEnd w:id="13"/>
      <w:r w:rsidRPr="00413318">
        <w:rPr>
          <w:rFonts w:ascii="Helvetica" w:hAnsi="Helvetica" w:cs="Helvetica"/>
          <w:color w:val="222222"/>
          <w:sz w:val="20"/>
          <w:szCs w:val="20"/>
          <w:lang w:eastAsia="en-AU"/>
        </w:rPr>
        <w:t xml:space="preserve">Krause C, </w:t>
      </w:r>
      <w:proofErr w:type="spellStart"/>
      <w:r w:rsidRPr="00413318">
        <w:rPr>
          <w:rFonts w:ascii="Helvetica" w:hAnsi="Helvetica" w:cs="Helvetica"/>
          <w:color w:val="222222"/>
          <w:sz w:val="20"/>
          <w:szCs w:val="20"/>
          <w:lang w:eastAsia="en-AU"/>
        </w:rPr>
        <w:t>Eastick</w:t>
      </w:r>
      <w:proofErr w:type="spellEnd"/>
      <w:r w:rsidRPr="00413318">
        <w:rPr>
          <w:rFonts w:ascii="Helvetica" w:hAnsi="Helvetica" w:cs="Helvetica"/>
          <w:color w:val="222222"/>
          <w:sz w:val="20"/>
          <w:szCs w:val="20"/>
          <w:lang w:eastAsia="en-AU"/>
        </w:rPr>
        <w:t xml:space="preserve"> K and Ogilvie M. Real-time PCR for mumps diagnosis on clinical specimens –Comparison with results of conventional methods of virus detection and nested PCR. J Clin </w:t>
      </w:r>
      <w:proofErr w:type="spellStart"/>
      <w:r w:rsidRPr="00413318">
        <w:rPr>
          <w:rFonts w:ascii="Helvetica" w:hAnsi="Helvetica" w:cs="Helvetica"/>
          <w:color w:val="222222"/>
          <w:sz w:val="20"/>
          <w:szCs w:val="20"/>
          <w:lang w:eastAsia="en-AU"/>
        </w:rPr>
        <w:t>Virol</w:t>
      </w:r>
      <w:proofErr w:type="spellEnd"/>
      <w:r w:rsidRPr="00413318">
        <w:rPr>
          <w:rFonts w:ascii="Helvetica" w:hAnsi="Helvetica" w:cs="Helvetica"/>
          <w:color w:val="222222"/>
          <w:sz w:val="20"/>
          <w:szCs w:val="20"/>
          <w:lang w:eastAsia="en-AU"/>
        </w:rPr>
        <w:t xml:space="preserve"> </w:t>
      </w:r>
      <w:proofErr w:type="gramStart"/>
      <w:r w:rsidRPr="00413318">
        <w:rPr>
          <w:rFonts w:ascii="Helvetica" w:hAnsi="Helvetica" w:cs="Helvetica"/>
          <w:color w:val="222222"/>
          <w:sz w:val="20"/>
          <w:szCs w:val="20"/>
          <w:lang w:eastAsia="en-AU"/>
        </w:rPr>
        <w:t>2006;37:134</w:t>
      </w:r>
      <w:proofErr w:type="gramEnd"/>
      <w:r w:rsidRPr="00413318">
        <w:rPr>
          <w:rFonts w:ascii="Helvetica" w:hAnsi="Helvetica" w:cs="Helvetica"/>
          <w:color w:val="222222"/>
          <w:sz w:val="20"/>
          <w:szCs w:val="20"/>
          <w:lang w:eastAsia="en-AU"/>
        </w:rPr>
        <w:t>-9.</w:t>
      </w:r>
    </w:p>
    <w:p w:rsidRPr="00413318" w:rsidR="009E0B84" w:rsidP="00F42019" w:rsidRDefault="00413318" w14:paraId="30D462E7" w14:textId="6D1924B9">
      <w:pPr>
        <w:numPr>
          <w:ilvl w:val="0"/>
          <w:numId w:val="25"/>
        </w:numPr>
        <w:shd w:val="clear" w:color="auto" w:fill="FFFFFF"/>
        <w:spacing w:after="90" w:line="300" w:lineRule="atLeast"/>
        <w:rPr>
          <w:rFonts w:ascii="Helvetica" w:hAnsi="Helvetica" w:cs="Helvetica"/>
          <w:color w:val="222222"/>
          <w:sz w:val="20"/>
          <w:szCs w:val="20"/>
          <w:lang w:eastAsia="en-AU"/>
        </w:rPr>
      </w:pPr>
      <w:bookmarkStart w:name="ref15" w:id="14"/>
      <w:bookmarkEnd w:id="14"/>
      <w:r w:rsidRPr="00413318">
        <w:rPr>
          <w:rFonts w:ascii="Helvetica" w:hAnsi="Helvetica" w:cs="Helvetica"/>
          <w:color w:val="222222"/>
          <w:sz w:val="20"/>
          <w:szCs w:val="20"/>
          <w:lang w:eastAsia="en-AU"/>
        </w:rPr>
        <w:t xml:space="preserve">Reid F, Hassan J, Irwin F et al. Epidemiologic and diagnostic evaluation of a recent mumps outbreak using oral fluid samples. J Clin </w:t>
      </w:r>
      <w:proofErr w:type="spellStart"/>
      <w:r w:rsidRPr="00413318">
        <w:rPr>
          <w:rFonts w:ascii="Helvetica" w:hAnsi="Helvetica" w:cs="Helvetica"/>
          <w:color w:val="222222"/>
          <w:sz w:val="20"/>
          <w:szCs w:val="20"/>
          <w:lang w:eastAsia="en-AU"/>
        </w:rPr>
        <w:t>Virol</w:t>
      </w:r>
      <w:proofErr w:type="spellEnd"/>
      <w:r w:rsidRPr="00413318">
        <w:rPr>
          <w:rFonts w:ascii="Helvetica" w:hAnsi="Helvetica" w:cs="Helvetica"/>
          <w:color w:val="222222"/>
          <w:sz w:val="20"/>
          <w:szCs w:val="20"/>
          <w:lang w:eastAsia="en-AU"/>
        </w:rPr>
        <w:t xml:space="preserve"> </w:t>
      </w:r>
      <w:proofErr w:type="gramStart"/>
      <w:r w:rsidRPr="00413318">
        <w:rPr>
          <w:rFonts w:ascii="Helvetica" w:hAnsi="Helvetica" w:cs="Helvetica"/>
          <w:color w:val="222222"/>
          <w:sz w:val="20"/>
          <w:szCs w:val="20"/>
          <w:lang w:eastAsia="en-AU"/>
        </w:rPr>
        <w:t>2008;41:134</w:t>
      </w:r>
      <w:proofErr w:type="gramEnd"/>
      <w:r w:rsidRPr="00413318">
        <w:rPr>
          <w:rFonts w:ascii="Helvetica" w:hAnsi="Helvetica" w:cs="Helvetica"/>
          <w:color w:val="222222"/>
          <w:sz w:val="20"/>
          <w:szCs w:val="20"/>
          <w:lang w:eastAsia="en-AU"/>
        </w:rPr>
        <w:t>-137.</w:t>
      </w:r>
    </w:p>
    <w:sectPr w:rsidRPr="00413318" w:rsidR="009E0B84" w:rsidSect="00F42019">
      <w:headerReference w:type="default" r:id="rId12"/>
      <w:footerReference w:type="default" r:id="rId13"/>
      <w:headerReference w:type="first" r:id="rId14"/>
      <w:footerReference w:type="first" r:id="rId15"/>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13318" w:rsidP="006B56BB" w:rsidRDefault="00413318" w14:paraId="33EBE76B" w14:textId="77777777">
      <w:r>
        <w:separator/>
      </w:r>
    </w:p>
    <w:p w:rsidR="00413318" w:rsidRDefault="00413318" w14:paraId="7C19CC48" w14:textId="77777777"/>
  </w:endnote>
  <w:endnote w:type="continuationSeparator" w:id="0">
    <w:p w:rsidR="00413318" w:rsidP="006B56BB" w:rsidRDefault="00413318" w14:paraId="2C8692ED" w14:textId="77777777">
      <w:r>
        <w:continuationSeparator/>
      </w:r>
    </w:p>
    <w:p w:rsidR="00413318" w:rsidRDefault="00413318" w14:paraId="41BF5C2C" w14:textId="77777777"/>
  </w:endnote>
  <w:endnote w:type="continuationNotice" w:id="1">
    <w:p w:rsidR="00413318" w:rsidRDefault="00413318" w14:paraId="5FBA67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413318" w14:paraId="5FED566F" w14:textId="0FB5C45E">
            <w:pPr>
              <w:pStyle w:val="Footer"/>
              <w:jc w:val="right"/>
            </w:pPr>
            <w:r w:rsidRPr="00413318">
              <w:t>Mumps</w:t>
            </w:r>
            <w:r w:rsidR="00076AD6">
              <w:t xml:space="preserve"> –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2F19B7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413318" w14:paraId="2F5A8A3A" w14:textId="020F821B">
    <w:pPr>
      <w:pStyle w:val="Footer"/>
      <w:jc w:val="right"/>
    </w:pPr>
    <w:r w:rsidRPr="00413318">
      <w:t xml:space="preserve">Mumps </w:t>
    </w:r>
    <w:r w:rsidR="005E40AE">
      <w:t xml:space="preserve">–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3F75B1A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13318" w:rsidP="006B56BB" w:rsidRDefault="00413318" w14:paraId="37A318A8" w14:textId="77777777">
      <w:r>
        <w:separator/>
      </w:r>
    </w:p>
    <w:p w:rsidR="00413318" w:rsidRDefault="00413318" w14:paraId="06F5B1E9" w14:textId="77777777"/>
  </w:footnote>
  <w:footnote w:type="continuationSeparator" w:id="0">
    <w:p w:rsidR="00413318" w:rsidP="006B56BB" w:rsidRDefault="00413318" w14:paraId="787D7DE0" w14:textId="77777777">
      <w:r>
        <w:continuationSeparator/>
      </w:r>
    </w:p>
    <w:p w:rsidR="00413318" w:rsidRDefault="00413318" w14:paraId="0152FAE2" w14:textId="77777777"/>
  </w:footnote>
  <w:footnote w:type="continuationNotice" w:id="1">
    <w:p w:rsidR="00413318" w:rsidRDefault="00413318" w14:paraId="3483168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35C5A4B4"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4BCE2E39" w14:textId="77777777">
    <w:pPr>
      <w:pStyle w:val="Header"/>
    </w:pPr>
    <w:r>
      <w:rPr>
        <w:noProof/>
      </w:rPr>
      <w:drawing>
        <wp:inline distT="0" distB="0" distL="0" distR="0" wp14:anchorId="426260ED" wp14:editId="532D382B">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0D0661F4"/>
    <w:multiLevelType w:val="multilevel"/>
    <w:tmpl w:val="515A6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4" w15:restartNumberingAfterBreak="0">
    <w:nsid w:val="38195889"/>
    <w:multiLevelType w:val="multilevel"/>
    <w:tmpl w:val="9B1CF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EBE32A9"/>
    <w:multiLevelType w:val="multilevel"/>
    <w:tmpl w:val="6ACEB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0430D6B"/>
    <w:multiLevelType w:val="multilevel"/>
    <w:tmpl w:val="C3263B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18" w15:restartNumberingAfterBreak="0">
    <w:nsid w:val="49BE4FA5"/>
    <w:multiLevelType w:val="multilevel"/>
    <w:tmpl w:val="5F7EEB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0" w15:restartNumberingAfterBreak="0">
    <w:nsid w:val="653A4067"/>
    <w:multiLevelType w:val="multilevel"/>
    <w:tmpl w:val="DF44D5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19"/>
  </w:num>
  <w:num w:numId="3">
    <w:abstractNumId w:val="22"/>
  </w:num>
  <w:num w:numId="4">
    <w:abstractNumId w:val="8"/>
  </w:num>
  <w:num w:numId="5">
    <w:abstractNumId w:val="8"/>
    <w:lvlOverride w:ilvl="0">
      <w:startOverride w:val="1"/>
    </w:lvlOverride>
  </w:num>
  <w:num w:numId="6">
    <w:abstractNumId w:val="9"/>
  </w:num>
  <w:num w:numId="7">
    <w:abstractNumId w:val="17"/>
  </w:num>
  <w:num w:numId="8">
    <w:abstractNumId w:val="21"/>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23"/>
  </w:num>
  <w:num w:numId="17">
    <w:abstractNumId w:val="11"/>
  </w:num>
  <w:num w:numId="18">
    <w:abstractNumId w:val="12"/>
  </w:num>
  <w:num w:numId="19">
    <w:abstractNumId w:val="13"/>
  </w:num>
  <w:num w:numId="20">
    <w:abstractNumId w:val="16"/>
  </w:num>
  <w:num w:numId="21">
    <w:abstractNumId w:val="20"/>
  </w:num>
  <w:num w:numId="22">
    <w:abstractNumId w:val="10"/>
  </w:num>
  <w:num w:numId="23">
    <w:abstractNumId w:val="18"/>
  </w:num>
  <w:num w:numId="24">
    <w:abstractNumId w:val="14"/>
  </w:num>
  <w:num w:numId="25">
    <w:abstractNumId w:val="1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318"/>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3318"/>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2556C"/>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6A3E"/>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4B3F0B2"/>
    <w:rsid w:val="5577C04D"/>
    <w:rsid w:val="72B81C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684BB"/>
  <w15:docId w15:val="{662776EA-DE30-4555-8FA1-D47B4619E2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413318"/>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413318"/>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413318"/>
    <w:rPr>
      <w:rFonts w:ascii="Arial" w:hAnsi="Arial"/>
      <w:b/>
      <w:bCs/>
      <w:i/>
      <w:color w:val="414141"/>
      <w:sz w:val="24"/>
      <w:szCs w:val="28"/>
      <w:lang w:eastAsia="en-US"/>
    </w:rPr>
  </w:style>
  <w:style w:type="paragraph" w:styleId="NormalWeb">
    <w:name w:val="Normal (Web)"/>
    <w:basedOn w:val="Normal"/>
    <w:uiPriority w:val="99"/>
    <w:semiHidden/>
    <w:unhideWhenUsed/>
    <w:rsid w:val="00413318"/>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505588221">
      <w:bodyDiv w:val="1"/>
      <w:marLeft w:val="0"/>
      <w:marRight w:val="0"/>
      <w:marTop w:val="0"/>
      <w:marBottom w:val="0"/>
      <w:divBdr>
        <w:top w:val="none" w:sz="0" w:space="0" w:color="auto"/>
        <w:left w:val="none" w:sz="0" w:space="0" w:color="auto"/>
        <w:bottom w:val="none" w:sz="0" w:space="0" w:color="auto"/>
        <w:right w:val="none" w:sz="0" w:space="0" w:color="auto"/>
      </w:divBdr>
      <w:divsChild>
        <w:div w:id="1018889463">
          <w:marLeft w:val="0"/>
          <w:marRight w:val="0"/>
          <w:marTop w:val="0"/>
          <w:marBottom w:val="0"/>
          <w:divBdr>
            <w:top w:val="none" w:sz="0" w:space="0" w:color="C4DEEE"/>
            <w:left w:val="none" w:sz="0" w:space="0" w:color="C4DEEE"/>
            <w:bottom w:val="none" w:sz="0" w:space="0" w:color="C4DEEE"/>
            <w:right w:val="none" w:sz="0" w:space="0" w:color="C4DEEE"/>
          </w:divBdr>
        </w:div>
        <w:div w:id="306980200">
          <w:marLeft w:val="0"/>
          <w:marRight w:val="0"/>
          <w:marTop w:val="0"/>
          <w:marBottom w:val="0"/>
          <w:divBdr>
            <w:top w:val="none" w:sz="0" w:space="0" w:color="C4DEEE"/>
            <w:left w:val="none" w:sz="0" w:space="0" w:color="C4DEEE"/>
            <w:bottom w:val="none" w:sz="0" w:space="0" w:color="C4DEEE"/>
            <w:right w:val="none" w:sz="0" w:space="0" w:color="C4DEEE"/>
          </w:divBdr>
        </w:div>
        <w:div w:id="546991718">
          <w:marLeft w:val="0"/>
          <w:marRight w:val="0"/>
          <w:marTop w:val="0"/>
          <w:marBottom w:val="0"/>
          <w:divBdr>
            <w:top w:val="none" w:sz="0" w:space="0" w:color="C4DEEE"/>
            <w:left w:val="none" w:sz="0" w:space="0" w:color="C4DEEE"/>
            <w:bottom w:val="none" w:sz="0" w:space="0" w:color="C4DEEE"/>
            <w:right w:val="none" w:sz="0" w:space="0" w:color="C4DEEE"/>
          </w:divBdr>
        </w:div>
        <w:div w:id="1681275820">
          <w:marLeft w:val="0"/>
          <w:marRight w:val="0"/>
          <w:marTop w:val="0"/>
          <w:marBottom w:val="0"/>
          <w:divBdr>
            <w:top w:val="none" w:sz="0" w:space="0" w:color="C4DEEE"/>
            <w:left w:val="none" w:sz="0" w:space="0" w:color="C4DEEE"/>
            <w:bottom w:val="none" w:sz="0" w:space="0" w:color="C4DEEE"/>
            <w:right w:val="none" w:sz="0" w:space="0" w:color="C4DEEE"/>
          </w:divBdr>
        </w:div>
        <w:div w:id="1482309364">
          <w:marLeft w:val="0"/>
          <w:marRight w:val="0"/>
          <w:marTop w:val="0"/>
          <w:marBottom w:val="0"/>
          <w:divBdr>
            <w:top w:val="none" w:sz="0" w:space="0" w:color="C4DEEE"/>
            <w:left w:val="none" w:sz="0" w:space="0" w:color="C4DEEE"/>
            <w:bottom w:val="none" w:sz="0" w:space="0" w:color="C4DEEE"/>
            <w:right w:val="none" w:sz="0" w:space="0" w:color="C4DEEE"/>
          </w:divBdr>
        </w:div>
        <w:div w:id="1089350857">
          <w:marLeft w:val="0"/>
          <w:marRight w:val="0"/>
          <w:marTop w:val="0"/>
          <w:marBottom w:val="0"/>
          <w:divBdr>
            <w:top w:val="none" w:sz="0" w:space="0" w:color="C4DEEE"/>
            <w:left w:val="none" w:sz="0" w:space="0" w:color="C4DEEE"/>
            <w:bottom w:val="none" w:sz="0" w:space="0" w:color="C4DEEE"/>
            <w:right w:val="none" w:sz="0" w:space="0" w:color="C4DEEE"/>
          </w:divBdr>
        </w:div>
        <w:div w:id="979961440">
          <w:marLeft w:val="0"/>
          <w:marRight w:val="0"/>
          <w:marTop w:val="0"/>
          <w:marBottom w:val="0"/>
          <w:divBdr>
            <w:top w:val="none" w:sz="0" w:space="0" w:color="C4DEEE"/>
            <w:left w:val="none" w:sz="0" w:space="0" w:color="C4DEEE"/>
            <w:bottom w:val="none" w:sz="0" w:space="0" w:color="C4DEEE"/>
            <w:right w:val="none" w:sz="0" w:space="0" w:color="C4DEEE"/>
          </w:divBdr>
        </w:div>
        <w:div w:id="636689061">
          <w:marLeft w:val="0"/>
          <w:marRight w:val="0"/>
          <w:marTop w:val="0"/>
          <w:marBottom w:val="0"/>
          <w:divBdr>
            <w:top w:val="none" w:sz="0" w:space="0" w:color="C4DEEE"/>
            <w:left w:val="none" w:sz="0" w:space="0" w:color="C4DEEE"/>
            <w:bottom w:val="none" w:sz="0" w:space="0" w:color="C4DEEE"/>
            <w:right w:val="none" w:sz="0" w:space="0" w:color="C4DEEE"/>
          </w:divBdr>
        </w:div>
        <w:div w:id="950893036">
          <w:marLeft w:val="0"/>
          <w:marRight w:val="0"/>
          <w:marTop w:val="0"/>
          <w:marBottom w:val="0"/>
          <w:divBdr>
            <w:top w:val="none" w:sz="0" w:space="0" w:color="C4DEEE"/>
            <w:left w:val="none" w:sz="0" w:space="0" w:color="C4DEEE"/>
            <w:bottom w:val="none" w:sz="0" w:space="0" w:color="C4DEEE"/>
            <w:right w:val="none" w:sz="0" w:space="0" w:color="C4DEEE"/>
          </w:divBdr>
        </w:div>
        <w:div w:id="234896848">
          <w:marLeft w:val="0"/>
          <w:marRight w:val="0"/>
          <w:marTop w:val="0"/>
          <w:marBottom w:val="0"/>
          <w:divBdr>
            <w:top w:val="none" w:sz="0" w:space="0" w:color="C4DEEE"/>
            <w:left w:val="none" w:sz="0" w:space="0" w:color="C4DEEE"/>
            <w:bottom w:val="none" w:sz="0" w:space="0" w:color="C4DEEE"/>
            <w:right w:val="none" w:sz="0" w:space="0" w:color="C4DEEE"/>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openxmlformats.org/officeDocument/2006/relationships/glossaryDocument" Target="glossary/document.xml" Id="R979cff50f7034c36"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fff72a-45ec-4ddb-ac5f-c9976dac703d}"/>
      </w:docPartPr>
      <w:docPartBody>
        <w:p w14:paraId="66C69DF9">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E6226633-A627-4A1A-8AB5-41738FC516F1}"/>
</file>

<file path=customXml/itemProps3.xml><?xml version="1.0" encoding="utf-8"?>
<ds:datastoreItem xmlns:ds="http://schemas.openxmlformats.org/officeDocument/2006/customXml" ds:itemID="{D20C6417-ADBB-487B-9091-DC3471F064B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Mumps – Laboratory case definition</dc:title>
  <dc:creator>Public Health Laboratory Network</dc:creator>
  <cp:keywords>Communicable diseases</cp:keywords>
  <dcterms:created xsi:type="dcterms:W3CDTF">2022-06-06T02:02:00Z</dcterms:created>
  <dcterms:modified xsi:type="dcterms:W3CDTF">2022-06-10T00:25:39Z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