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1AB59" w14:textId="2C878192" w:rsidR="00A363C7" w:rsidRPr="00482713" w:rsidRDefault="00482713" w:rsidP="009E0B84">
      <w:pPr>
        <w:pStyle w:val="Subtitle"/>
        <w:rPr>
          <w:b/>
          <w:i/>
          <w:color w:val="auto"/>
          <w:spacing w:val="0"/>
          <w:kern w:val="28"/>
          <w:sz w:val="48"/>
          <w:szCs w:val="52"/>
        </w:rPr>
      </w:pPr>
      <w:r w:rsidRPr="00482713">
        <w:rPr>
          <w:b/>
          <w:i/>
          <w:color w:val="auto"/>
          <w:spacing w:val="0"/>
          <w:kern w:val="28"/>
          <w:sz w:val="48"/>
          <w:szCs w:val="52"/>
        </w:rPr>
        <w:t xml:space="preserve">Mycoplasma </w:t>
      </w:r>
      <w:proofErr w:type="spellStart"/>
      <w:r w:rsidRPr="00482713">
        <w:rPr>
          <w:b/>
          <w:i/>
          <w:color w:val="auto"/>
          <w:spacing w:val="0"/>
          <w:kern w:val="28"/>
          <w:sz w:val="48"/>
          <w:szCs w:val="52"/>
        </w:rPr>
        <w:t>genitalium</w:t>
      </w:r>
      <w:proofErr w:type="spellEnd"/>
    </w:p>
    <w:p w14:paraId="51D760EE" w14:textId="77777777" w:rsidR="00177AD2" w:rsidRDefault="009E0B84" w:rsidP="009E0B84">
      <w:pPr>
        <w:pStyle w:val="Subtitle"/>
      </w:pPr>
      <w:r>
        <w:t>Laboratory case definition</w:t>
      </w:r>
    </w:p>
    <w:p w14:paraId="4EAE5E01" w14:textId="4F1700C4" w:rsidR="009E0B84" w:rsidRDefault="009E0B84" w:rsidP="009E0B84">
      <w:pPr>
        <w:pStyle w:val="IntroPara"/>
      </w:pPr>
      <w:r w:rsidRPr="009E0B84">
        <w:t xml:space="preserve">The Public Health Laboratory Network </w:t>
      </w:r>
      <w:r w:rsidR="00CD407A">
        <w:t xml:space="preserve">(PHLN) </w:t>
      </w:r>
      <w:r w:rsidRPr="009E0B84">
        <w:t>ha</w:t>
      </w:r>
      <w:r w:rsidR="003100AE">
        <w:t>s</w:t>
      </w:r>
      <w:r w:rsidRPr="009E0B84">
        <w:t xml:space="preserve"> developed standard case definition</w:t>
      </w:r>
      <w:r w:rsidR="003100AE">
        <w:t>s</w:t>
      </w:r>
      <w:r w:rsidRPr="009E0B84">
        <w:t xml:space="preserve"> for the diagnosis of </w:t>
      </w:r>
      <w:r w:rsidR="00AA26D0">
        <w:t xml:space="preserve">key </w:t>
      </w:r>
      <w:r w:rsidRPr="009E0B84">
        <w:t xml:space="preserve">diseases in Australia. This document contains the laboratory case definition for </w:t>
      </w:r>
      <w:r w:rsidR="00482713" w:rsidRPr="00482713">
        <w:rPr>
          <w:i/>
          <w:iCs/>
        </w:rPr>
        <w:t xml:space="preserve">mycoplasma </w:t>
      </w:r>
      <w:proofErr w:type="spellStart"/>
      <w:r w:rsidR="00482713" w:rsidRPr="00482713">
        <w:rPr>
          <w:i/>
          <w:iCs/>
        </w:rPr>
        <w:t>genitalium</w:t>
      </w:r>
      <w:proofErr w:type="spellEnd"/>
      <w:r w:rsidR="00482713">
        <w:t>.</w:t>
      </w:r>
    </w:p>
    <w:p w14:paraId="04266785" w14:textId="77777777" w:rsidR="009E0B84" w:rsidRPr="009E0B84" w:rsidRDefault="009E0B84" w:rsidP="009E0B84">
      <w:pPr>
        <w:spacing w:after="120"/>
      </w:pPr>
      <w:r w:rsidRPr="009E0B84">
        <w:rPr>
          <w:b/>
          <w:bCs/>
        </w:rPr>
        <w:t>Authorisation:</w:t>
      </w:r>
      <w:r w:rsidRPr="009E0B84">
        <w:t> </w:t>
      </w:r>
      <w:r w:rsidRPr="009E0B84">
        <w:tab/>
        <w:t>PHLN</w:t>
      </w:r>
    </w:p>
    <w:p w14:paraId="1E9BF502" w14:textId="77777777" w:rsidR="00482713" w:rsidRDefault="009E0B84" w:rsidP="009E0B84">
      <w:pPr>
        <w:pBdr>
          <w:bottom w:val="single" w:sz="6" w:space="1" w:color="auto"/>
        </w:pBdr>
      </w:pPr>
      <w:r w:rsidRPr="009E0B84">
        <w:rPr>
          <w:b/>
          <w:bCs/>
        </w:rPr>
        <w:t>Consensus date:</w:t>
      </w:r>
      <w:r w:rsidRPr="009E0B84">
        <w:t> </w:t>
      </w:r>
      <w:r w:rsidRPr="009E0B84">
        <w:tab/>
      </w:r>
      <w:r w:rsidR="00482713" w:rsidRPr="00482713">
        <w:t>17 October 2019</w:t>
      </w:r>
    </w:p>
    <w:p w14:paraId="61C0A220" w14:textId="60130027" w:rsidR="00482713" w:rsidRDefault="00482713" w:rsidP="009E0B84">
      <w:pPr>
        <w:pBdr>
          <w:bottom w:val="single" w:sz="6" w:space="1" w:color="auto"/>
        </w:pBdr>
      </w:pPr>
    </w:p>
    <w:p w14:paraId="4F7F6F68" w14:textId="77777777" w:rsidR="00482713" w:rsidRPr="00482713" w:rsidRDefault="00482713" w:rsidP="00482713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482713">
        <w:rPr>
          <w:rFonts w:ascii="Open Sans" w:hAnsi="Open Sans" w:cs="Open Sans"/>
          <w:color w:val="000000"/>
          <w:sz w:val="36"/>
          <w:szCs w:val="36"/>
          <w:lang w:eastAsia="en-AU"/>
        </w:rPr>
        <w:t>1 PHLN Summary Laboratory Definition</w:t>
      </w:r>
    </w:p>
    <w:p w14:paraId="361894E5" w14:textId="77777777" w:rsidR="00482713" w:rsidRPr="00482713" w:rsidRDefault="00482713" w:rsidP="00482713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82713">
        <w:rPr>
          <w:rFonts w:ascii="Open Sans" w:hAnsi="Open Sans" w:cs="Open Sans"/>
          <w:color w:val="000000"/>
          <w:sz w:val="27"/>
          <w:szCs w:val="27"/>
          <w:lang w:eastAsia="en-AU"/>
        </w:rPr>
        <w:t>1.1 Condition:</w:t>
      </w:r>
    </w:p>
    <w:p w14:paraId="6814E4EA" w14:textId="77777777" w:rsidR="00482713" w:rsidRPr="00482713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</w:p>
    <w:p w14:paraId="049EC90B" w14:textId="77777777" w:rsidR="00482713" w:rsidRPr="00482713" w:rsidRDefault="00482713" w:rsidP="00482713">
      <w:pPr>
        <w:shd w:val="clear" w:color="auto" w:fill="FFFFFF"/>
        <w:spacing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482713">
        <w:rPr>
          <w:rFonts w:ascii="Open Sans" w:hAnsi="Open Sans" w:cs="Open Sans"/>
          <w:color w:val="000000"/>
          <w:sz w:val="24"/>
          <w:lang w:eastAsia="en-AU"/>
        </w:rPr>
        <w:t>1.1.1 Definitive Laboratory Criteria</w:t>
      </w:r>
    </w:p>
    <w:p w14:paraId="5A934AEA" w14:textId="77777777" w:rsidR="00482713" w:rsidRPr="00482713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Detection of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DNA by species-specific target by nucleic acid amplification test (NAAT) from an appropriate clinical specimen</w:t>
      </w:r>
    </w:p>
    <w:p w14:paraId="5FADDB62" w14:textId="77777777" w:rsidR="00482713" w:rsidRPr="00482713" w:rsidRDefault="00482713" w:rsidP="00482713">
      <w:pPr>
        <w:shd w:val="clear" w:color="auto" w:fill="FFFFFF"/>
        <w:spacing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482713">
        <w:rPr>
          <w:rFonts w:ascii="Open Sans" w:hAnsi="Open Sans" w:cs="Open Sans"/>
          <w:color w:val="000000"/>
          <w:sz w:val="24"/>
          <w:lang w:eastAsia="en-AU"/>
        </w:rPr>
        <w:t>1.1.2 Suggestive Criteria</w:t>
      </w:r>
    </w:p>
    <w:p w14:paraId="2BC6196B" w14:textId="77777777" w:rsidR="00482713" w:rsidRPr="00482713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Nil</w:t>
      </w:r>
    </w:p>
    <w:p w14:paraId="69C9D70A" w14:textId="77777777" w:rsidR="00482713" w:rsidRPr="004E57A2" w:rsidRDefault="00482713" w:rsidP="00482713">
      <w:pPr>
        <w:shd w:val="clear" w:color="auto" w:fill="FFFFFF"/>
        <w:spacing w:after="120"/>
        <w:outlineLvl w:val="1"/>
        <w:rPr>
          <w:rFonts w:ascii="Open Sans" w:hAnsi="Open Sans" w:cs="Open Sans"/>
          <w:sz w:val="36"/>
          <w:szCs w:val="36"/>
          <w:lang w:eastAsia="en-AU"/>
        </w:rPr>
      </w:pPr>
      <w:r w:rsidRPr="004E57A2">
        <w:rPr>
          <w:rFonts w:ascii="Open Sans" w:hAnsi="Open Sans" w:cs="Open Sans"/>
          <w:sz w:val="36"/>
          <w:szCs w:val="36"/>
          <w:lang w:eastAsia="en-AU"/>
        </w:rPr>
        <w:t>2 Introduction</w:t>
      </w:r>
    </w:p>
    <w:p w14:paraId="7F4B8B2C" w14:textId="77777777" w:rsidR="00482713" w:rsidRPr="004E57A2" w:rsidRDefault="00482713" w:rsidP="00482713">
      <w:pPr>
        <w:shd w:val="clear" w:color="auto" w:fill="FFFFFF"/>
        <w:spacing w:before="240" w:after="120"/>
        <w:outlineLvl w:val="2"/>
        <w:rPr>
          <w:rFonts w:ascii="Open Sans" w:hAnsi="Open Sans" w:cs="Open Sans"/>
          <w:sz w:val="27"/>
          <w:szCs w:val="27"/>
          <w:lang w:eastAsia="en-AU"/>
        </w:rPr>
      </w:pPr>
      <w:r w:rsidRPr="004E57A2">
        <w:rPr>
          <w:rFonts w:ascii="Open Sans" w:hAnsi="Open Sans" w:cs="Open Sans"/>
          <w:sz w:val="27"/>
          <w:szCs w:val="27"/>
          <w:lang w:eastAsia="en-AU"/>
        </w:rPr>
        <w:t>The Organism</w:t>
      </w:r>
    </w:p>
    <w:p w14:paraId="10271072" w14:textId="4D53C814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 is a member of the Mollicutes class of bacteria and the </w:t>
      </w:r>
      <w:proofErr w:type="spellStart"/>
      <w:r w:rsidRPr="004E57A2">
        <w:rPr>
          <w:rFonts w:ascii="Helvetica" w:hAnsi="Helvetica" w:cs="Helvetica"/>
          <w:sz w:val="20"/>
          <w:szCs w:val="20"/>
          <w:lang w:eastAsia="en-AU"/>
        </w:rPr>
        <w:t>Mycoplasmataceae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family. It is a fastidious obligate intracellular </w:t>
      </w:r>
      <w:proofErr w:type="gramStart"/>
      <w:r w:rsidRPr="004E57A2">
        <w:rPr>
          <w:rFonts w:ascii="Helvetica" w:hAnsi="Helvetica" w:cs="Helvetica"/>
          <w:sz w:val="20"/>
          <w:szCs w:val="20"/>
          <w:lang w:eastAsia="en-AU"/>
        </w:rPr>
        <w:t>bacterium, and</w:t>
      </w:r>
      <w:proofErr w:type="gram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measuring approximately 0.6 × 0.3 </w:t>
      </w:r>
      <w:proofErr w:type="spellStart"/>
      <w:r w:rsidRPr="004E57A2">
        <w:rPr>
          <w:rFonts w:ascii="Helvetica" w:hAnsi="Helvetica" w:cs="Helvetica"/>
          <w:sz w:val="20"/>
          <w:szCs w:val="20"/>
          <w:lang w:eastAsia="en-AU"/>
        </w:rPr>
        <w:t>μm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is the smallest prokaryote capable of self-replication. 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 lacks a cell wall and a result is not visible on Gram stain. Genome size is </w:t>
      </w:r>
      <w:proofErr w:type="gramStart"/>
      <w:r w:rsidRPr="004E57A2">
        <w:rPr>
          <w:rFonts w:ascii="Helvetica" w:hAnsi="Helvetica" w:cs="Helvetica"/>
          <w:sz w:val="20"/>
          <w:szCs w:val="20"/>
          <w:lang w:eastAsia="en-AU"/>
        </w:rPr>
        <w:t>580kb, and</w:t>
      </w:r>
      <w:proofErr w:type="gram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contains 482 protein-coding genes. Culture is extremely difficult; as such it is not routinely performed in diagnostic laboratories. Growth is optimal at 370C in anaerobic conditions with 5% CO2. Cultures should be incubated for 1-2 months, with colonies having a </w:t>
      </w:r>
      <w:proofErr w:type="gramStart"/>
      <w:r w:rsidRPr="004E57A2">
        <w:rPr>
          <w:rFonts w:ascii="Helvetica" w:hAnsi="Helvetica" w:cs="Helvetica"/>
          <w:sz w:val="20"/>
          <w:szCs w:val="20"/>
          <w:lang w:eastAsia="en-AU"/>
        </w:rPr>
        <w:t>fried-egg</w:t>
      </w:r>
      <w:proofErr w:type="gram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appearance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1</w:t>
      </w:r>
      <w:r w:rsidRPr="004E57A2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45AEA9D3" w14:textId="77777777" w:rsidR="00482713" w:rsidRPr="004E57A2" w:rsidRDefault="00482713" w:rsidP="00482713">
      <w:pPr>
        <w:shd w:val="clear" w:color="auto" w:fill="FFFFFF"/>
        <w:spacing w:after="120"/>
        <w:outlineLvl w:val="2"/>
        <w:rPr>
          <w:rFonts w:ascii="Open Sans" w:hAnsi="Open Sans" w:cs="Open Sans"/>
          <w:sz w:val="27"/>
          <w:szCs w:val="27"/>
          <w:lang w:eastAsia="en-AU"/>
        </w:rPr>
      </w:pPr>
      <w:r w:rsidRPr="004E57A2">
        <w:rPr>
          <w:rFonts w:ascii="Open Sans" w:hAnsi="Open Sans" w:cs="Open Sans"/>
          <w:sz w:val="27"/>
          <w:szCs w:val="27"/>
          <w:lang w:eastAsia="en-AU"/>
        </w:rPr>
        <w:lastRenderedPageBreak/>
        <w:t>Clinical features</w:t>
      </w:r>
    </w:p>
    <w:p w14:paraId="58B5D745" w14:textId="22FED035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> infection is associated with male non-gonococcal urethritis (NGU) and non-chlamydial male non-gonococcal urethritis (NCNGU)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2</w:t>
      </w:r>
      <w:r w:rsidRPr="004E57A2">
        <w:rPr>
          <w:rFonts w:ascii="Helvetica" w:hAnsi="Helvetica" w:cs="Helvetica"/>
          <w:sz w:val="20"/>
          <w:szCs w:val="20"/>
          <w:lang w:eastAsia="en-AU"/>
        </w:rPr>
        <w:t>. 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 </w:t>
      </w:r>
      <w:r w:rsidRPr="004E57A2">
        <w:rPr>
          <w:rFonts w:ascii="Helvetica" w:hAnsi="Helvetica" w:cs="Helvetica"/>
          <w:sz w:val="20"/>
          <w:szCs w:val="20"/>
          <w:lang w:eastAsia="en-AU"/>
        </w:rPr>
        <w:t>was first isolated from men with non-gonococcal urethritis (NGU) in 1981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3</w:t>
      </w:r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, and has subsequently been detected in rectal infections, including prostatitis, and balanitis / </w:t>
      </w:r>
      <w:proofErr w:type="spellStart"/>
      <w:proofErr w:type="gramStart"/>
      <w:r w:rsidRPr="004E57A2">
        <w:rPr>
          <w:rFonts w:ascii="Helvetica" w:hAnsi="Helvetica" w:cs="Helvetica"/>
          <w:sz w:val="20"/>
          <w:szCs w:val="20"/>
          <w:lang w:eastAsia="en-AU"/>
        </w:rPr>
        <w:t>balanoposthitis.Infection</w:t>
      </w:r>
      <w:proofErr w:type="spellEnd"/>
      <w:proofErr w:type="gram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in women is associated with vaginal discharge, urethritis, cervicitis, pelvic inflammatory disease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4</w:t>
      </w:r>
      <w:r w:rsidRPr="004E57A2">
        <w:rPr>
          <w:rFonts w:ascii="Helvetica" w:hAnsi="Helvetica" w:cs="Helvetica"/>
          <w:sz w:val="20"/>
          <w:szCs w:val="20"/>
          <w:lang w:eastAsia="en-AU"/>
        </w:rPr>
        <w:t>, preterm delivery and spontaneous abortion). Although it has been linked to tubal factor infertility, the data remains inconclusive. Rare cases of extra-genital infections have been reported, including arthritis.).</w:t>
      </w:r>
    </w:p>
    <w:p w14:paraId="5310672E" w14:textId="1BED9B03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sz w:val="20"/>
          <w:szCs w:val="20"/>
          <w:lang w:eastAsia="en-AU"/>
        </w:rPr>
        <w:t>Since the development of 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> specific nucleic acid amplification tests (NATs) the organism has been increasing recognised as a sexually transmitted infection. Prevalence in young adults (18-27 years old) is estimated to be approximately 1% (1.1% males, 0.8% females)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7</w:t>
      </w:r>
      <w:r w:rsidRPr="004E57A2">
        <w:rPr>
          <w:rFonts w:ascii="Helvetica" w:hAnsi="Helvetica" w:cs="Helvetica"/>
          <w:sz w:val="20"/>
          <w:szCs w:val="20"/>
          <w:lang w:eastAsia="en-AU"/>
        </w:rPr>
        <w:t>. Prevalence is as high as 15-25% in men with symptomatic NGU and up to 15% of women with PID)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8</w:t>
      </w:r>
      <w:r w:rsidRPr="004E57A2">
        <w:rPr>
          <w:rFonts w:ascii="Helvetica" w:hAnsi="Helvetica" w:cs="Helvetica"/>
          <w:sz w:val="20"/>
          <w:szCs w:val="20"/>
          <w:lang w:eastAsia="en-AU"/>
        </w:rPr>
        <w:t>. Asymptomatic infection was detected in 9.5% of men who have sex with men (MSM) in Melbourne. Rectal positivity was higher than urine (7.0% v 2.7%), and co-infection with other STIs was found in 17% 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9</w:t>
      </w:r>
      <w:r w:rsidRPr="004E57A2">
        <w:rPr>
          <w:rFonts w:ascii="Helvetica" w:hAnsi="Helvetica" w:cs="Helvetica"/>
          <w:sz w:val="20"/>
          <w:szCs w:val="20"/>
          <w:lang w:eastAsia="en-AU"/>
        </w:rPr>
        <w:t>. In this Australian study 84% of isolates were macrolide resistant.</w:t>
      </w:r>
    </w:p>
    <w:p w14:paraId="375325E1" w14:textId="66C2D7C7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sz w:val="20"/>
          <w:szCs w:val="20"/>
          <w:lang w:eastAsia="en-AU"/>
        </w:rPr>
        <w:t>Early studies identified azithromycin had superior efficacy compared with doxycycline, the standard therapy for NGU, with a clinical efficacy of 85% compared to 30-40%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4</w:t>
      </w:r>
      <w:r w:rsidRPr="004E57A2">
        <w:rPr>
          <w:rFonts w:ascii="Helvetica" w:hAnsi="Helvetica" w:cs="Helvetica"/>
          <w:sz w:val="20"/>
          <w:szCs w:val="20"/>
          <w:lang w:eastAsia="en-AU"/>
        </w:rPr>
        <w:t>, leading to guidelines recommending azithromycin as first line therapy for 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> infections. Recently, antimicrobial resistance in 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> has emerged as a significant public health issue, with 30- 84% of Australian isolates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9, 11, 12</w:t>
      </w:r>
      <w:r w:rsidRPr="004E57A2">
        <w:rPr>
          <w:rFonts w:ascii="Helvetica" w:hAnsi="Helvetica" w:cs="Helvetica"/>
          <w:sz w:val="20"/>
          <w:szCs w:val="20"/>
          <w:lang w:eastAsia="en-AU"/>
        </w:rPr>
        <w:t> and 40-60% of 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> strains in male NGU strains world-wide being macrolide resistant. A Queensland study found azithromycin resistance rates of 62% respectively, with differing resistance rates according to region, site of sample and sex. The highest resistance rates were seen in rectal swab samples from males, and southeast Queensland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12</w:t>
      </w:r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. Macrolide resistance is associated with point mutations in region 5 (V-region) of the 23S rRNA gene. </w:t>
      </w:r>
      <w:proofErr w:type="gramStart"/>
      <w:r w:rsidRPr="004E57A2">
        <w:rPr>
          <w:rFonts w:ascii="Helvetica" w:hAnsi="Helvetica" w:cs="Helvetica"/>
          <w:sz w:val="20"/>
          <w:szCs w:val="20"/>
          <w:lang w:eastAsia="en-AU"/>
        </w:rPr>
        <w:t>A number of</w:t>
      </w:r>
      <w:proofErr w:type="gram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macrolide resistance mutations (MRMs) have been identified, including single nucleotide polymorphisms (SNPs) at positions 2059, 2058 and 2062 (Escherichia coli numbering)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13, 14</w:t>
      </w:r>
      <w:r w:rsidRPr="004E57A2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0BE0FE3C" w14:textId="47CC13FA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sz w:val="20"/>
          <w:szCs w:val="20"/>
          <w:lang w:eastAsia="en-AU"/>
        </w:rPr>
        <w:t>Resistance to the fluoroquinolone class is also emerging with 10%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12</w:t>
      </w:r>
      <w:r w:rsidRPr="004E57A2">
        <w:rPr>
          <w:rFonts w:ascii="Helvetica" w:hAnsi="Helvetica" w:cs="Helvetica"/>
          <w:sz w:val="20"/>
          <w:szCs w:val="20"/>
          <w:lang w:eastAsia="en-AU"/>
        </w:rPr>
        <w:t> of Queensland isolates being ciprofloxacin resistant. A study from a Victorian Sexual Health clinic detected fluroquinolone resistance mutations 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parC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> and 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gyrA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 in 13.6% and 5% of patients respectively, with a significant association between the presence of </w:t>
      </w:r>
      <w:proofErr w:type="spellStart"/>
      <w:r w:rsidRPr="004E57A2">
        <w:rPr>
          <w:rFonts w:ascii="Helvetica" w:hAnsi="Helvetica" w:cs="Helvetica"/>
          <w:sz w:val="20"/>
          <w:szCs w:val="20"/>
          <w:lang w:eastAsia="en-AU"/>
        </w:rPr>
        <w:t>parC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S83 mutations and clinical failure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11</w:t>
      </w:r>
      <w:r w:rsidRPr="004E57A2">
        <w:rPr>
          <w:rFonts w:ascii="Helvetica" w:hAnsi="Helvetica" w:cs="Helvetica"/>
          <w:sz w:val="20"/>
          <w:szCs w:val="20"/>
          <w:lang w:eastAsia="en-AU"/>
        </w:rPr>
        <w:t>. These reports have resulting in management recommendations incorporating resistance testings into the treatment algorithm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15</w:t>
      </w:r>
      <w:r w:rsidRPr="004E57A2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1CDED96C" w14:textId="653E405B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> is not notifiable in Australia, and as a result there is no NNDSS data available.</w:t>
      </w:r>
    </w:p>
    <w:p w14:paraId="2C47BCBB" w14:textId="77777777" w:rsidR="00482713" w:rsidRPr="004E57A2" w:rsidRDefault="00482713" w:rsidP="00482713">
      <w:pPr>
        <w:shd w:val="clear" w:color="auto" w:fill="FFFFFF"/>
        <w:spacing w:before="240" w:after="120"/>
        <w:outlineLvl w:val="1"/>
        <w:rPr>
          <w:rFonts w:ascii="Open Sans" w:hAnsi="Open Sans" w:cs="Open Sans"/>
          <w:sz w:val="36"/>
          <w:szCs w:val="36"/>
          <w:lang w:eastAsia="en-AU"/>
        </w:rPr>
      </w:pPr>
      <w:r w:rsidRPr="004E57A2">
        <w:rPr>
          <w:rFonts w:ascii="Open Sans" w:hAnsi="Open Sans" w:cs="Open Sans"/>
          <w:sz w:val="36"/>
          <w:szCs w:val="36"/>
          <w:lang w:eastAsia="en-AU"/>
        </w:rPr>
        <w:t xml:space="preserve">3 </w:t>
      </w:r>
      <w:proofErr w:type="spellStart"/>
      <w:r w:rsidRPr="004E57A2">
        <w:rPr>
          <w:rFonts w:ascii="Open Sans" w:hAnsi="Open Sans" w:cs="Open Sans"/>
          <w:sz w:val="36"/>
          <w:szCs w:val="36"/>
          <w:lang w:eastAsia="en-AU"/>
        </w:rPr>
        <w:t>LaboratoryDiagnosis</w:t>
      </w:r>
      <w:proofErr w:type="spellEnd"/>
    </w:p>
    <w:p w14:paraId="57202A20" w14:textId="77777777" w:rsidR="00482713" w:rsidRPr="004E57A2" w:rsidRDefault="00482713" w:rsidP="00482713">
      <w:pPr>
        <w:shd w:val="clear" w:color="auto" w:fill="FFFFFF"/>
        <w:spacing w:before="240" w:after="120"/>
        <w:outlineLvl w:val="2"/>
        <w:rPr>
          <w:rFonts w:ascii="Open Sans" w:hAnsi="Open Sans" w:cs="Open Sans"/>
          <w:sz w:val="27"/>
          <w:szCs w:val="27"/>
          <w:lang w:eastAsia="en-AU"/>
        </w:rPr>
      </w:pPr>
      <w:r w:rsidRPr="004E57A2">
        <w:rPr>
          <w:rFonts w:ascii="Open Sans" w:hAnsi="Open Sans" w:cs="Open Sans"/>
          <w:sz w:val="27"/>
          <w:szCs w:val="27"/>
          <w:lang w:eastAsia="en-AU"/>
        </w:rPr>
        <w:t>3.1 Culture</w:t>
      </w:r>
    </w:p>
    <w:p w14:paraId="07FCDF73" w14:textId="77777777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sz w:val="20"/>
          <w:szCs w:val="20"/>
          <w:lang w:eastAsia="en-AU"/>
        </w:rPr>
        <w:t>Although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 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> may be cultured in highly specialised laboratories, culture is not a routine diagnostic method.</w:t>
      </w:r>
    </w:p>
    <w:p w14:paraId="0B14FFBE" w14:textId="77777777" w:rsidR="00482713" w:rsidRPr="004E57A2" w:rsidRDefault="00482713" w:rsidP="00482713">
      <w:pPr>
        <w:keepNext/>
        <w:shd w:val="clear" w:color="auto" w:fill="FFFFFF"/>
        <w:spacing w:after="120"/>
        <w:outlineLvl w:val="2"/>
        <w:rPr>
          <w:rFonts w:ascii="Open Sans" w:hAnsi="Open Sans" w:cs="Open Sans"/>
          <w:sz w:val="27"/>
          <w:szCs w:val="27"/>
          <w:lang w:eastAsia="en-AU"/>
        </w:rPr>
      </w:pPr>
      <w:r w:rsidRPr="004E57A2">
        <w:rPr>
          <w:rFonts w:ascii="Open Sans" w:hAnsi="Open Sans" w:cs="Open Sans"/>
          <w:sz w:val="27"/>
          <w:szCs w:val="27"/>
          <w:lang w:eastAsia="en-AU"/>
        </w:rPr>
        <w:lastRenderedPageBreak/>
        <w:t>3.2 Serology</w:t>
      </w:r>
    </w:p>
    <w:p w14:paraId="3FA3E202" w14:textId="5F923265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sz w:val="20"/>
          <w:szCs w:val="20"/>
          <w:lang w:eastAsia="en-AU"/>
        </w:rPr>
        <w:t>Serological assays have been developed for the detection of 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, </w:t>
      </w:r>
      <w:r w:rsidRPr="004E57A2">
        <w:rPr>
          <w:rFonts w:ascii="Helvetica" w:hAnsi="Helvetica" w:cs="Helvetica"/>
          <w:sz w:val="20"/>
          <w:szCs w:val="20"/>
          <w:lang w:eastAsia="en-AU"/>
        </w:rPr>
        <w:t>and include micro-immunofluorescence, immunoblotting and enzyme immunoassays. Serological diagnosis is confounded by antigenic variability and cross-reaction with other Mycoplasma infections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8</w:t>
      </w:r>
      <w:r w:rsidRPr="004E57A2">
        <w:rPr>
          <w:rFonts w:ascii="Helvetica" w:hAnsi="Helvetica" w:cs="Helvetica"/>
          <w:sz w:val="20"/>
          <w:szCs w:val="20"/>
          <w:lang w:eastAsia="en-AU"/>
        </w:rPr>
        <w:t>. To date no serological assay has been standardised or commercialised, and as a result serology does not have a role in routine diagnostic testing.</w:t>
      </w:r>
    </w:p>
    <w:p w14:paraId="0D22333B" w14:textId="77777777" w:rsidR="00482713" w:rsidRPr="004E57A2" w:rsidRDefault="00482713" w:rsidP="00482713">
      <w:pPr>
        <w:shd w:val="clear" w:color="auto" w:fill="FFFFFF"/>
        <w:spacing w:after="120"/>
        <w:outlineLvl w:val="2"/>
        <w:rPr>
          <w:rFonts w:ascii="Open Sans" w:hAnsi="Open Sans" w:cs="Open Sans"/>
          <w:sz w:val="27"/>
          <w:szCs w:val="27"/>
          <w:lang w:eastAsia="en-AU"/>
        </w:rPr>
      </w:pPr>
      <w:r w:rsidRPr="004E57A2">
        <w:rPr>
          <w:rFonts w:ascii="Open Sans" w:hAnsi="Open Sans" w:cs="Open Sans"/>
          <w:sz w:val="27"/>
          <w:szCs w:val="27"/>
          <w:lang w:eastAsia="en-AU"/>
        </w:rPr>
        <w:t>3.3 Nucleic Acid Amplification Tests (NAAT)</w:t>
      </w:r>
    </w:p>
    <w:p w14:paraId="7414235D" w14:textId="77777777" w:rsidR="00482713" w:rsidRPr="004E57A2" w:rsidRDefault="00482713" w:rsidP="00482713">
      <w:pPr>
        <w:shd w:val="clear" w:color="auto" w:fill="FFFFFF"/>
        <w:spacing w:before="240" w:after="120"/>
        <w:outlineLvl w:val="3"/>
        <w:rPr>
          <w:rFonts w:ascii="Open Sans" w:hAnsi="Open Sans" w:cs="Open Sans"/>
          <w:sz w:val="24"/>
          <w:lang w:eastAsia="en-AU"/>
        </w:rPr>
      </w:pPr>
      <w:r w:rsidRPr="004E57A2">
        <w:rPr>
          <w:rFonts w:ascii="Open Sans" w:hAnsi="Open Sans" w:cs="Open Sans"/>
          <w:sz w:val="24"/>
          <w:lang w:eastAsia="en-AU"/>
        </w:rPr>
        <w:t>3.3.1 Assays for the detection of </w:t>
      </w:r>
      <w:r w:rsidRPr="004E57A2">
        <w:rPr>
          <w:rFonts w:ascii="Open Sans" w:hAnsi="Open Sans" w:cs="Open Sans"/>
          <w:i/>
          <w:iCs/>
          <w:sz w:val="24"/>
          <w:lang w:eastAsia="en-AU"/>
        </w:rPr>
        <w:t xml:space="preserve">M. </w:t>
      </w:r>
      <w:proofErr w:type="spellStart"/>
      <w:r w:rsidRPr="004E57A2">
        <w:rPr>
          <w:rFonts w:ascii="Open Sans" w:hAnsi="Open Sans" w:cs="Open Sans"/>
          <w:i/>
          <w:iCs/>
          <w:sz w:val="24"/>
          <w:lang w:eastAsia="en-AU"/>
        </w:rPr>
        <w:t>genitalium</w:t>
      </w:r>
      <w:proofErr w:type="spellEnd"/>
    </w:p>
    <w:p w14:paraId="439DAB2F" w14:textId="77777777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sz w:val="20"/>
          <w:szCs w:val="20"/>
          <w:lang w:eastAsia="en-AU"/>
        </w:rPr>
        <w:t>Nucleic acid testing for the detection of 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 was first developed in </w:t>
      </w:r>
      <w:proofErr w:type="gramStart"/>
      <w:r w:rsidRPr="004E57A2">
        <w:rPr>
          <w:rFonts w:ascii="Helvetica" w:hAnsi="Helvetica" w:cs="Helvetica"/>
          <w:sz w:val="20"/>
          <w:szCs w:val="20"/>
          <w:lang w:eastAsia="en-AU"/>
        </w:rPr>
        <w:t>1991, and</w:t>
      </w:r>
      <w:proofErr w:type="gram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remains the only appropriate diagnostic method. </w:t>
      </w:r>
      <w:proofErr w:type="gramStart"/>
      <w:r w:rsidRPr="004E57A2">
        <w:rPr>
          <w:rFonts w:ascii="Helvetica" w:hAnsi="Helvetica" w:cs="Helvetica"/>
          <w:sz w:val="20"/>
          <w:szCs w:val="20"/>
          <w:lang w:eastAsia="en-AU"/>
        </w:rPr>
        <w:t>A number of</w:t>
      </w:r>
      <w:proofErr w:type="gram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molecular targets have been used for diagnostic assays (Table 1), both alone and in multiplex assays that detect additional urogenital pathogens. Assays targeting the </w:t>
      </w:r>
      <w:proofErr w:type="spellStart"/>
      <w:r w:rsidRPr="004E57A2">
        <w:rPr>
          <w:rFonts w:ascii="Helvetica" w:hAnsi="Helvetica" w:cs="Helvetica"/>
          <w:sz w:val="20"/>
          <w:szCs w:val="20"/>
          <w:lang w:eastAsia="en-AU"/>
        </w:rPr>
        <w:t>MgPa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operon offer optimal sensitivity. </w:t>
      </w:r>
      <w:proofErr w:type="gramStart"/>
      <w:r w:rsidRPr="004E57A2">
        <w:rPr>
          <w:rFonts w:ascii="Helvetica" w:hAnsi="Helvetica" w:cs="Helvetica"/>
          <w:sz w:val="20"/>
          <w:szCs w:val="20"/>
          <w:lang w:eastAsia="en-AU"/>
        </w:rPr>
        <w:t>A number of</w:t>
      </w:r>
      <w:proofErr w:type="gram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commercial assays have been developed (Table 2), although the majority are currently not TGA approved.</w:t>
      </w:r>
    </w:p>
    <w:p w14:paraId="12BD026B" w14:textId="1E8D8E47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No data is available regarding the optimal time after exposure to testing, however a </w:t>
      </w:r>
      <w:proofErr w:type="gramStart"/>
      <w:r w:rsidRPr="004E57A2">
        <w:rPr>
          <w:rFonts w:ascii="Helvetica" w:hAnsi="Helvetica" w:cs="Helvetica"/>
          <w:sz w:val="20"/>
          <w:szCs w:val="20"/>
          <w:lang w:eastAsia="en-AU"/>
        </w:rPr>
        <w:t>2 week</w:t>
      </w:r>
      <w:proofErr w:type="gram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period is considered the minimal incubation period. The Australian Contact Tracing Guidelines recommend test of cure, to be performed at least 2 weeks after treatment is completed (4 weeks after commencement of therapy)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16</w:t>
      </w:r>
      <w:r w:rsidRPr="004E57A2">
        <w:rPr>
          <w:rFonts w:ascii="Helvetica" w:hAnsi="Helvetica" w:cs="Helvetica"/>
          <w:sz w:val="20"/>
          <w:szCs w:val="20"/>
          <w:lang w:eastAsia="en-AU"/>
        </w:rPr>
        <w:t>.</w:t>
      </w:r>
    </w:p>
    <w:p w14:paraId="78127C43" w14:textId="77777777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b/>
          <w:bCs/>
          <w:sz w:val="20"/>
          <w:szCs w:val="20"/>
          <w:lang w:eastAsia="en-AU"/>
        </w:rPr>
        <w:t>Table 1: Range of assay targets for the detection of </w:t>
      </w:r>
      <w:r w:rsidRPr="004E57A2">
        <w:rPr>
          <w:rFonts w:ascii="Helvetica" w:hAnsi="Helvetica" w:cs="Helvetica"/>
          <w:b/>
          <w:bCs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b/>
          <w:bCs/>
          <w:i/>
          <w:iCs/>
          <w:sz w:val="20"/>
          <w:szCs w:val="20"/>
          <w:lang w:eastAsia="en-AU"/>
        </w:rPr>
        <w:t>genitalium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Table 1: Range of assay targets for the detection of M. genitalium"/>
        <w:tblDescription w:val="Table 1: Range of assay targets for the detection of M. genitalium"/>
      </w:tblPr>
      <w:tblGrid>
        <w:gridCol w:w="4620"/>
        <w:gridCol w:w="2990"/>
        <w:gridCol w:w="1450"/>
      </w:tblGrid>
      <w:tr w:rsidR="004E57A2" w:rsidRPr="004E57A2" w14:paraId="5E907C45" w14:textId="77777777" w:rsidTr="00482713">
        <w:tc>
          <w:tcPr>
            <w:tcW w:w="2550" w:type="pct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61BC9" w14:textId="77777777" w:rsidR="00482713" w:rsidRPr="004E57A2" w:rsidRDefault="00482713" w:rsidP="00482713">
            <w:pPr>
              <w:spacing w:after="300"/>
              <w:jc w:val="center"/>
              <w:divId w:val="2087608928"/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  <w:t>Target</w:t>
            </w:r>
          </w:p>
        </w:tc>
        <w:tc>
          <w:tcPr>
            <w:tcW w:w="1650" w:type="pct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D4DB31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  <w:t>Analytical sensitivity</w:t>
            </w:r>
          </w:p>
        </w:tc>
        <w:tc>
          <w:tcPr>
            <w:tcW w:w="800" w:type="pct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E9B34D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  <w:t>Reference</w:t>
            </w:r>
          </w:p>
        </w:tc>
      </w:tr>
      <w:tr w:rsidR="004E57A2" w:rsidRPr="004E57A2" w14:paraId="3999377D" w14:textId="77777777" w:rsidTr="00482713">
        <w:tc>
          <w:tcPr>
            <w:tcW w:w="25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FC4119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MgPa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operon (adhesion protein gene)</w:t>
            </w:r>
          </w:p>
        </w:tc>
        <w:tc>
          <w:tcPr>
            <w:tcW w:w="16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A5AB6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&lt; 5 genome copies</w:t>
            </w:r>
          </w:p>
        </w:tc>
        <w:tc>
          <w:tcPr>
            <w:tcW w:w="8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56D0E8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17</w:t>
            </w:r>
          </w:p>
        </w:tc>
      </w:tr>
      <w:tr w:rsidR="004E57A2" w:rsidRPr="004E57A2" w14:paraId="3FDA9822" w14:textId="77777777" w:rsidTr="00482713">
        <w:tc>
          <w:tcPr>
            <w:tcW w:w="25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27CC5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housekeeping gene </w:t>
            </w:r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gap </w:t>
            </w: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(glyceraldehyde-3-phosphate dehydrogenase (G3PDH)</w:t>
            </w:r>
          </w:p>
        </w:tc>
        <w:tc>
          <w:tcPr>
            <w:tcW w:w="16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A95A8D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5 genome copies</w:t>
            </w:r>
          </w:p>
        </w:tc>
        <w:tc>
          <w:tcPr>
            <w:tcW w:w="8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03838D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18</w:t>
            </w:r>
          </w:p>
        </w:tc>
      </w:tr>
      <w:tr w:rsidR="004E57A2" w:rsidRPr="004E57A2" w14:paraId="09F250E7" w14:textId="77777777" w:rsidTr="00482713">
        <w:tc>
          <w:tcPr>
            <w:tcW w:w="25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0B2E03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16S rRNA gene</w:t>
            </w:r>
          </w:p>
        </w:tc>
        <w:tc>
          <w:tcPr>
            <w:tcW w:w="16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F104E1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10 genome copies</w:t>
            </w:r>
          </w:p>
        </w:tc>
        <w:tc>
          <w:tcPr>
            <w:tcW w:w="8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54F2C5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19</w:t>
            </w:r>
          </w:p>
        </w:tc>
      </w:tr>
      <w:tr w:rsidR="004E57A2" w:rsidRPr="004E57A2" w14:paraId="727F3580" w14:textId="77777777" w:rsidTr="00482713">
        <w:tc>
          <w:tcPr>
            <w:tcW w:w="25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65F86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mg219 gene</w:t>
            </w:r>
          </w:p>
        </w:tc>
        <w:tc>
          <w:tcPr>
            <w:tcW w:w="16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5B5498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825 genome copies (0.5 </w:t>
            </w: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pg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8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93EE8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20</w:t>
            </w:r>
          </w:p>
        </w:tc>
      </w:tr>
      <w:tr w:rsidR="004E57A2" w:rsidRPr="004E57A2" w14:paraId="305F2CB5" w14:textId="77777777" w:rsidTr="00482713">
        <w:tc>
          <w:tcPr>
            <w:tcW w:w="25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346D02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mgpB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gene</w:t>
            </w:r>
          </w:p>
        </w:tc>
        <w:tc>
          <w:tcPr>
            <w:tcW w:w="16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46A2CC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5 genome copies</w:t>
            </w:r>
          </w:p>
        </w:tc>
        <w:tc>
          <w:tcPr>
            <w:tcW w:w="8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02103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21</w:t>
            </w:r>
          </w:p>
        </w:tc>
      </w:tr>
      <w:tr w:rsidR="004E57A2" w:rsidRPr="004E57A2" w14:paraId="6096523E" w14:textId="77777777" w:rsidTr="00482713">
        <w:tc>
          <w:tcPr>
            <w:tcW w:w="25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42F392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pdhG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gene (</w:t>
            </w: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dihydrolipoaminde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dehydrogenase)</w:t>
            </w:r>
          </w:p>
        </w:tc>
        <w:tc>
          <w:tcPr>
            <w:tcW w:w="16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86FD61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10 genome copies</w:t>
            </w:r>
          </w:p>
        </w:tc>
        <w:tc>
          <w:tcPr>
            <w:tcW w:w="8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B36E2B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22</w:t>
            </w:r>
          </w:p>
        </w:tc>
      </w:tr>
    </w:tbl>
    <w:p w14:paraId="01DE0093" w14:textId="784EC4F1" w:rsidR="00482713" w:rsidRPr="004E57A2" w:rsidRDefault="00482713" w:rsidP="00482713">
      <w:pPr>
        <w:keepNext/>
        <w:shd w:val="clear" w:color="auto" w:fill="FFFFFF"/>
        <w:spacing w:before="240"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b/>
          <w:bCs/>
          <w:sz w:val="20"/>
          <w:szCs w:val="20"/>
          <w:lang w:eastAsia="en-AU"/>
        </w:rPr>
        <w:lastRenderedPageBreak/>
        <w:t>Table 2: Commercial assays for the detection of </w:t>
      </w:r>
      <w:r w:rsidRPr="004E57A2">
        <w:rPr>
          <w:rFonts w:ascii="Helvetica" w:hAnsi="Helvetica" w:cs="Helvetica"/>
          <w:b/>
          <w:bCs/>
          <w:i/>
          <w:iCs/>
          <w:sz w:val="20"/>
          <w:szCs w:val="20"/>
          <w:lang w:eastAsia="en-AU"/>
        </w:rPr>
        <w:t>M. genitalium</w:t>
      </w:r>
      <w:r w:rsidRPr="004E57A2">
        <w:rPr>
          <w:rFonts w:ascii="Helvetica" w:hAnsi="Helvetica" w:cs="Helvetica"/>
          <w:b/>
          <w:bCs/>
          <w:sz w:val="15"/>
          <w:szCs w:val="15"/>
          <w:vertAlign w:val="superscript"/>
          <w:lang w:eastAsia="en-AU"/>
        </w:rPr>
        <w:t>24, 25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Table 2: Commercial assays for the detection of M. genitalium"/>
        <w:tblDescription w:val="Table 2: Commercial assays for the detection of M. genitalium"/>
      </w:tblPr>
      <w:tblGrid>
        <w:gridCol w:w="2779"/>
        <w:gridCol w:w="2046"/>
        <w:gridCol w:w="1412"/>
        <w:gridCol w:w="2823"/>
      </w:tblGrid>
      <w:tr w:rsidR="004E57A2" w:rsidRPr="004E57A2" w14:paraId="2A9C2B8B" w14:textId="77777777" w:rsidTr="00482713">
        <w:tc>
          <w:tcPr>
            <w:tcW w:w="950" w:type="pct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C8B808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  <w:t>Assay</w:t>
            </w:r>
          </w:p>
        </w:tc>
        <w:tc>
          <w:tcPr>
            <w:tcW w:w="800" w:type="pct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48E053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  <w:t>Manufacturer</w:t>
            </w:r>
          </w:p>
        </w:tc>
        <w:tc>
          <w:tcPr>
            <w:tcW w:w="1100" w:type="pct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D2C3B1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  <w:t>Target</w:t>
            </w:r>
          </w:p>
        </w:tc>
        <w:tc>
          <w:tcPr>
            <w:tcW w:w="2100" w:type="pct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AA3ABC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  <w:t>Method and Detection</w:t>
            </w:r>
          </w:p>
        </w:tc>
      </w:tr>
      <w:tr w:rsidR="004E57A2" w:rsidRPr="004E57A2" w14:paraId="091960EB" w14:textId="77777777" w:rsidTr="00482713">
        <w:tc>
          <w:tcPr>
            <w:tcW w:w="9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F470B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Aptima </w:t>
            </w:r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 xml:space="preserve">Mycoplasma </w:t>
            </w:r>
            <w:proofErr w:type="spellStart"/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genitalium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 assay</w:t>
            </w:r>
          </w:p>
        </w:tc>
        <w:tc>
          <w:tcPr>
            <w:tcW w:w="8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538C7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GeneProbe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/Hologic</w:t>
            </w:r>
          </w:p>
        </w:tc>
        <w:tc>
          <w:tcPr>
            <w:tcW w:w="11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B00495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16S rRNA</w:t>
            </w:r>
          </w:p>
        </w:tc>
        <w:tc>
          <w:tcPr>
            <w:tcW w:w="21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AC9D3F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PCR, target capture, transcription-mediated amplification (TMA), and hybridization protection assay (HPA)</w:t>
            </w:r>
          </w:p>
        </w:tc>
      </w:tr>
      <w:tr w:rsidR="004E57A2" w:rsidRPr="004E57A2" w14:paraId="4C050FBC" w14:textId="77777777" w:rsidTr="00482713">
        <w:tc>
          <w:tcPr>
            <w:tcW w:w="9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A7C17B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ResistancePlus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MG</w:t>
            </w:r>
          </w:p>
        </w:tc>
        <w:tc>
          <w:tcPr>
            <w:tcW w:w="8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B668AC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SpeeDx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Pty Ltd.</w:t>
            </w:r>
          </w:p>
        </w:tc>
        <w:tc>
          <w:tcPr>
            <w:tcW w:w="11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DA51EB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proofErr w:type="spellStart"/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MgPa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 gene 23S rRNA gene (macrolide resistance)</w:t>
            </w:r>
          </w:p>
        </w:tc>
        <w:tc>
          <w:tcPr>
            <w:tcW w:w="21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85907F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MG </w:t>
            </w: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PlexZyme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and </w:t>
            </w: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PlexPrime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technology Multiplex, real-time quantitative PCR</w:t>
            </w:r>
          </w:p>
        </w:tc>
      </w:tr>
      <w:tr w:rsidR="004E57A2" w:rsidRPr="004E57A2" w14:paraId="423D6135" w14:textId="77777777" w:rsidTr="00482713">
        <w:tc>
          <w:tcPr>
            <w:tcW w:w="9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97097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LightMix</w:t>
            </w:r>
            <w:proofErr w:type="spellEnd"/>
          </w:p>
        </w:tc>
        <w:tc>
          <w:tcPr>
            <w:tcW w:w="8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A15422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TIB </w:t>
            </w: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Molbiol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, Roche Diagnostics</w:t>
            </w:r>
          </w:p>
        </w:tc>
        <w:tc>
          <w:tcPr>
            <w:tcW w:w="11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558D1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gap</w:t>
            </w: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 gene</w:t>
            </w:r>
          </w:p>
        </w:tc>
        <w:tc>
          <w:tcPr>
            <w:tcW w:w="21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CD3A2C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Monoplex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real-time PCR</w:t>
            </w:r>
          </w:p>
        </w:tc>
      </w:tr>
      <w:tr w:rsidR="004E57A2" w:rsidRPr="004E57A2" w14:paraId="60FB3491" w14:textId="77777777" w:rsidTr="00482713">
        <w:tc>
          <w:tcPr>
            <w:tcW w:w="9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C70313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S-</w:t>
            </w: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DiaMGTV</w:t>
            </w:r>
            <w:proofErr w:type="spellEnd"/>
          </w:p>
        </w:tc>
        <w:tc>
          <w:tcPr>
            <w:tcW w:w="8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CDBB0E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Diagenode</w:t>
            </w:r>
            <w:proofErr w:type="spellEnd"/>
          </w:p>
        </w:tc>
        <w:tc>
          <w:tcPr>
            <w:tcW w:w="11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8DE90B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mg219 </w:t>
            </w: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gene</w:t>
            </w:r>
          </w:p>
        </w:tc>
        <w:tc>
          <w:tcPr>
            <w:tcW w:w="21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32267C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Multiplex real-time quantitative PCR</w:t>
            </w:r>
          </w:p>
        </w:tc>
      </w:tr>
      <w:tr w:rsidR="004E57A2" w:rsidRPr="004E57A2" w14:paraId="479D1B8B" w14:textId="77777777" w:rsidTr="00482713">
        <w:tc>
          <w:tcPr>
            <w:tcW w:w="9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C907E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STDetect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Chip</w:t>
            </w:r>
          </w:p>
        </w:tc>
        <w:tc>
          <w:tcPr>
            <w:tcW w:w="8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0083F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Lab Genomics, </w:t>
            </w: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Seongnam</w:t>
            </w:r>
            <w:proofErr w:type="spellEnd"/>
          </w:p>
        </w:tc>
        <w:tc>
          <w:tcPr>
            <w:tcW w:w="11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A8FD86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</w:p>
        </w:tc>
        <w:tc>
          <w:tcPr>
            <w:tcW w:w="21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12F711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PCR microarray</w:t>
            </w:r>
          </w:p>
        </w:tc>
      </w:tr>
      <w:tr w:rsidR="004E57A2" w:rsidRPr="004E57A2" w14:paraId="5DA161B0" w14:textId="77777777" w:rsidTr="00482713">
        <w:tc>
          <w:tcPr>
            <w:tcW w:w="9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369190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Amplisens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 </w:t>
            </w:r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 xml:space="preserve">N gonorrhoeae / </w:t>
            </w:r>
            <w:proofErr w:type="spellStart"/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C.trachomatis</w:t>
            </w:r>
            <w:proofErr w:type="spellEnd"/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/</w:t>
            </w:r>
            <w:proofErr w:type="spellStart"/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M.genitalium</w:t>
            </w:r>
            <w:proofErr w:type="spellEnd"/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 xml:space="preserve">/ </w:t>
            </w:r>
            <w:proofErr w:type="spellStart"/>
            <w:proofErr w:type="gramStart"/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T.vaginalis</w:t>
            </w:r>
            <w:proofErr w:type="spellEnd"/>
            <w:proofErr w:type="gramEnd"/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 </w:t>
            </w: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MULTIPRIME FRT</w:t>
            </w:r>
          </w:p>
        </w:tc>
        <w:tc>
          <w:tcPr>
            <w:tcW w:w="8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7B3AFF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proofErr w:type="spellStart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Interlab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 xml:space="preserve"> Science</w:t>
            </w:r>
          </w:p>
        </w:tc>
        <w:tc>
          <w:tcPr>
            <w:tcW w:w="11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9321E0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</w:p>
        </w:tc>
        <w:tc>
          <w:tcPr>
            <w:tcW w:w="21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877506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Multiplex real-time PCR with hybridisation-fluorescence detection</w:t>
            </w:r>
          </w:p>
        </w:tc>
      </w:tr>
      <w:tr w:rsidR="004E57A2" w:rsidRPr="004E57A2" w14:paraId="42959D36" w14:textId="77777777" w:rsidTr="00482713">
        <w:tc>
          <w:tcPr>
            <w:tcW w:w="95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2D762E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Bio-Rad Dx CT/NG/MG assay</w:t>
            </w:r>
          </w:p>
        </w:tc>
        <w:tc>
          <w:tcPr>
            <w:tcW w:w="8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B8300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Bio-Rad</w:t>
            </w:r>
          </w:p>
        </w:tc>
        <w:tc>
          <w:tcPr>
            <w:tcW w:w="11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7D6B00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proofErr w:type="spellStart"/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MgPa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 gene</w:t>
            </w:r>
          </w:p>
        </w:tc>
        <w:tc>
          <w:tcPr>
            <w:tcW w:w="21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E83DD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Multiplex PCR</w:t>
            </w:r>
          </w:p>
        </w:tc>
      </w:tr>
    </w:tbl>
    <w:p w14:paraId="00BCF7FD" w14:textId="590FD3A0" w:rsidR="00482713" w:rsidRPr="004E57A2" w:rsidRDefault="00482713" w:rsidP="00482713">
      <w:pPr>
        <w:rPr>
          <w:rFonts w:ascii="Times New Roman" w:hAnsi="Times New Roman"/>
          <w:sz w:val="24"/>
          <w:lang w:eastAsia="en-AU"/>
        </w:rPr>
      </w:pPr>
    </w:p>
    <w:p w14:paraId="6C825071" w14:textId="77777777" w:rsidR="00482713" w:rsidRPr="004E57A2" w:rsidRDefault="00482713" w:rsidP="00482713">
      <w:pPr>
        <w:shd w:val="clear" w:color="auto" w:fill="FFFFFF"/>
        <w:spacing w:before="240" w:after="120"/>
        <w:outlineLvl w:val="3"/>
        <w:rPr>
          <w:rFonts w:ascii="Open Sans" w:hAnsi="Open Sans" w:cs="Open Sans"/>
          <w:sz w:val="24"/>
          <w:lang w:eastAsia="en-AU"/>
        </w:rPr>
      </w:pPr>
      <w:r w:rsidRPr="004E57A2">
        <w:rPr>
          <w:rFonts w:ascii="Open Sans" w:hAnsi="Open Sans" w:cs="Open Sans"/>
          <w:sz w:val="24"/>
          <w:lang w:eastAsia="en-AU"/>
        </w:rPr>
        <w:t>3.3.2 Assays for the detection of </w:t>
      </w:r>
      <w:r w:rsidRPr="004E57A2">
        <w:rPr>
          <w:rFonts w:ascii="Open Sans" w:hAnsi="Open Sans" w:cs="Open Sans"/>
          <w:i/>
          <w:iCs/>
          <w:sz w:val="24"/>
          <w:lang w:eastAsia="en-AU"/>
        </w:rPr>
        <w:t xml:space="preserve">M. </w:t>
      </w:r>
      <w:proofErr w:type="spellStart"/>
      <w:r w:rsidRPr="004E57A2">
        <w:rPr>
          <w:rFonts w:ascii="Open Sans" w:hAnsi="Open Sans" w:cs="Open Sans"/>
          <w:i/>
          <w:iCs/>
          <w:sz w:val="24"/>
          <w:lang w:eastAsia="en-AU"/>
        </w:rPr>
        <w:t>genitalium</w:t>
      </w:r>
      <w:proofErr w:type="spellEnd"/>
      <w:r w:rsidRPr="004E57A2">
        <w:rPr>
          <w:rFonts w:ascii="Open Sans" w:hAnsi="Open Sans" w:cs="Open Sans"/>
          <w:sz w:val="24"/>
          <w:lang w:eastAsia="en-AU"/>
        </w:rPr>
        <w:t> antimicrobial resistance</w:t>
      </w:r>
    </w:p>
    <w:p w14:paraId="5E54ED58" w14:textId="2F67971D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sz w:val="20"/>
          <w:szCs w:val="20"/>
          <w:lang w:eastAsia="en-AU"/>
        </w:rPr>
        <w:t>With the emergence of high levels of macrolide resistance, resistance-guided sequential treatment of 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> infections has entered clinical practice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26</w:t>
      </w:r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. </w:t>
      </w:r>
      <w:proofErr w:type="gramStart"/>
      <w:r w:rsidRPr="004E57A2">
        <w:rPr>
          <w:rFonts w:ascii="Helvetica" w:hAnsi="Helvetica" w:cs="Helvetica"/>
          <w:sz w:val="20"/>
          <w:szCs w:val="20"/>
          <w:lang w:eastAsia="en-AU"/>
        </w:rPr>
        <w:t>The majority of</w:t>
      </w:r>
      <w:proofErr w:type="gram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assays that detect resistance mutations are in house assays, with detection by sequencing, labelled hydrolysis probes, high-resolution melting analysis, and melt curve analysis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27</w:t>
      </w:r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. In </w:t>
      </w:r>
      <w:proofErr w:type="gramStart"/>
      <w:r w:rsidRPr="004E57A2">
        <w:rPr>
          <w:rFonts w:ascii="Helvetica" w:hAnsi="Helvetica" w:cs="Helvetica"/>
          <w:sz w:val="20"/>
          <w:szCs w:val="20"/>
          <w:lang w:eastAsia="en-AU"/>
        </w:rPr>
        <w:t>general</w:t>
      </w:r>
      <w:proofErr w:type="gram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these methods are less sensitive compared to the standard 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 detection quantitative PCR (qPCR). The </w:t>
      </w:r>
      <w:proofErr w:type="spellStart"/>
      <w:r w:rsidRPr="004E57A2">
        <w:rPr>
          <w:rFonts w:ascii="Helvetica" w:hAnsi="Helvetica" w:cs="Helvetica"/>
          <w:sz w:val="20"/>
          <w:szCs w:val="20"/>
          <w:lang w:eastAsia="en-AU"/>
        </w:rPr>
        <w:t>SpeeDx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Resistance Plus MG assay (</w:t>
      </w:r>
      <w:proofErr w:type="spellStart"/>
      <w:r w:rsidRPr="004E57A2">
        <w:rPr>
          <w:rFonts w:ascii="Helvetica" w:hAnsi="Helvetica" w:cs="Helvetica"/>
          <w:sz w:val="20"/>
          <w:szCs w:val="20"/>
          <w:lang w:eastAsia="en-AU"/>
        </w:rPr>
        <w:t>SpeeDx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, Sydney, Australia) is available in Australia and TGA registered for urine and </w:t>
      </w:r>
      <w:r w:rsidRPr="004E57A2">
        <w:rPr>
          <w:rFonts w:ascii="Helvetica" w:hAnsi="Helvetica" w:cs="Helvetica"/>
          <w:sz w:val="20"/>
          <w:szCs w:val="20"/>
          <w:lang w:eastAsia="en-AU"/>
        </w:rPr>
        <w:lastRenderedPageBreak/>
        <w:t>swab samples. It simultaneously targets 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> (</w:t>
      </w:r>
      <w:proofErr w:type="spellStart"/>
      <w:r w:rsidRPr="004E57A2">
        <w:rPr>
          <w:rFonts w:ascii="Helvetica" w:hAnsi="Helvetica" w:cs="Helvetica"/>
          <w:sz w:val="20"/>
          <w:szCs w:val="20"/>
          <w:lang w:eastAsia="en-AU"/>
        </w:rPr>
        <w:t>MgPa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target) and five 23S rRNA mutations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28</w:t>
      </w:r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. </w:t>
      </w:r>
      <w:proofErr w:type="spellStart"/>
      <w:r w:rsidRPr="004E57A2">
        <w:rPr>
          <w:rFonts w:ascii="Helvetica" w:hAnsi="Helvetica" w:cs="Helvetica"/>
          <w:sz w:val="20"/>
          <w:szCs w:val="20"/>
          <w:lang w:eastAsia="en-AU"/>
        </w:rPr>
        <w:t>AusDiagnostics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(Mascot, Australia) produce </w:t>
      </w:r>
      <w:proofErr w:type="gramStart"/>
      <w:r w:rsidRPr="004E57A2">
        <w:rPr>
          <w:rFonts w:ascii="Helvetica" w:hAnsi="Helvetica" w:cs="Helvetica"/>
          <w:sz w:val="20"/>
          <w:szCs w:val="20"/>
          <w:lang w:eastAsia="en-AU"/>
        </w:rPr>
        <w:t>a number of</w:t>
      </w:r>
      <w:proofErr w:type="gram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Tandem-Plex Urinogenital and Resistance panels that incorporate detection of 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, macrolide and fluoroquinolone resistance. The </w:t>
      </w:r>
      <w:proofErr w:type="spellStart"/>
      <w:r w:rsidRPr="004E57A2">
        <w:rPr>
          <w:rFonts w:ascii="Helvetica" w:hAnsi="Helvetica" w:cs="Helvetica"/>
          <w:sz w:val="20"/>
          <w:szCs w:val="20"/>
          <w:lang w:eastAsia="en-AU"/>
        </w:rPr>
        <w:t>Elitech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 xml:space="preserve"> Mg Macrolide qPCR assay is CE-IVD marked for urine with evaluations ongoing for swab samples however is not currently TGA approved.</w:t>
      </w:r>
    </w:p>
    <w:p w14:paraId="7B223CBB" w14:textId="77777777" w:rsidR="00482713" w:rsidRPr="004E57A2" w:rsidRDefault="00482713" w:rsidP="00482713">
      <w:pPr>
        <w:shd w:val="clear" w:color="auto" w:fill="FFFFFF"/>
        <w:spacing w:after="120"/>
        <w:outlineLvl w:val="2"/>
        <w:rPr>
          <w:rFonts w:ascii="Open Sans" w:hAnsi="Open Sans" w:cs="Open Sans"/>
          <w:sz w:val="27"/>
          <w:szCs w:val="27"/>
          <w:lang w:eastAsia="en-AU"/>
        </w:rPr>
      </w:pPr>
      <w:r w:rsidRPr="004E57A2">
        <w:rPr>
          <w:rFonts w:ascii="Open Sans" w:hAnsi="Open Sans" w:cs="Open Sans"/>
          <w:sz w:val="27"/>
          <w:szCs w:val="27"/>
          <w:lang w:eastAsia="en-AU"/>
        </w:rPr>
        <w:t>Suitable specimens</w:t>
      </w:r>
    </w:p>
    <w:p w14:paraId="6B80C41F" w14:textId="77777777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sz w:val="20"/>
          <w:szCs w:val="20"/>
          <w:lang w:eastAsia="en-AU"/>
        </w:rPr>
        <w:t>Testing should only be undertaken in symptomatic individuals or contacts of cases.</w:t>
      </w:r>
    </w:p>
    <w:p w14:paraId="45F0D292" w14:textId="3440BE5B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sz w:val="20"/>
          <w:szCs w:val="20"/>
          <w:lang w:eastAsia="en-AU"/>
        </w:rPr>
        <w:t>Optimal specimen type for detection of 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 xml:space="preserve">M. </w:t>
      </w:r>
      <w:proofErr w:type="spellStart"/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genitalium</w:t>
      </w:r>
      <w:proofErr w:type="spellEnd"/>
      <w:r w:rsidRPr="004E57A2">
        <w:rPr>
          <w:rFonts w:ascii="Helvetica" w:hAnsi="Helvetica" w:cs="Helvetica"/>
          <w:sz w:val="20"/>
          <w:szCs w:val="20"/>
          <w:lang w:eastAsia="en-AU"/>
        </w:rPr>
        <w:t> has not been determined. There is moderate variability in sensitivity and specificity between specimen sites and assays. Throat specimens are not recommended due to the low presence of pharyngeal carriage</w:t>
      </w:r>
      <w:r w:rsidRPr="004E57A2">
        <w:rPr>
          <w:rFonts w:ascii="Helvetica" w:hAnsi="Helvetica" w:cs="Helvetica"/>
          <w:sz w:val="15"/>
          <w:szCs w:val="15"/>
          <w:vertAlign w:val="superscript"/>
          <w:lang w:eastAsia="en-AU"/>
        </w:rPr>
        <w:t>29</w:t>
      </w:r>
      <w:r w:rsidRPr="004E57A2">
        <w:rPr>
          <w:rFonts w:ascii="Helvetica" w:hAnsi="Helvetica" w:cs="Helvetica"/>
          <w:sz w:val="20"/>
          <w:szCs w:val="20"/>
          <w:lang w:eastAsia="en-A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Table displays Organism Name(s) List"/>
        <w:tblDescription w:val="Table displays Organism Name(s) List"/>
      </w:tblPr>
      <w:tblGrid>
        <w:gridCol w:w="4530"/>
        <w:gridCol w:w="4530"/>
      </w:tblGrid>
      <w:tr w:rsidR="004E57A2" w:rsidRPr="004E57A2" w14:paraId="6DB50A28" w14:textId="77777777" w:rsidTr="00482713">
        <w:tc>
          <w:tcPr>
            <w:tcW w:w="2500" w:type="pct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B07E0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en-AU"/>
              </w:rPr>
              <w:t>Specimen</w:t>
            </w:r>
          </w:p>
        </w:tc>
        <w:tc>
          <w:tcPr>
            <w:tcW w:w="2500" w:type="pct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9F83E" w14:textId="4C3E7504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  <w:t>PCR sensitivity</w:t>
            </w:r>
            <w:r w:rsidRPr="004E57A2">
              <w:rPr>
                <w:rFonts w:ascii="Helvetica" w:hAnsi="Helvetica" w:cs="Helvetica"/>
                <w:b/>
                <w:bCs/>
                <w:sz w:val="15"/>
                <w:szCs w:val="15"/>
                <w:bdr w:val="none" w:sz="0" w:space="0" w:color="auto" w:frame="1"/>
                <w:vertAlign w:val="superscript"/>
                <w:lang w:eastAsia="en-AU"/>
              </w:rPr>
              <w:t>28</w:t>
            </w:r>
          </w:p>
        </w:tc>
      </w:tr>
      <w:tr w:rsidR="004E57A2" w:rsidRPr="004E57A2" w14:paraId="104281BC" w14:textId="77777777" w:rsidTr="00482713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53A41B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Genital mycoplasma infection (disorder)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CB8F3B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97.4%</w:t>
            </w:r>
          </w:p>
        </w:tc>
      </w:tr>
      <w:tr w:rsidR="004E57A2" w:rsidRPr="004E57A2" w14:paraId="7516B37D" w14:textId="77777777" w:rsidTr="00482713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77BEB8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 xml:space="preserve">Mycoplasma </w:t>
            </w:r>
            <w:proofErr w:type="spellStart"/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genitalium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 (organism)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DC863E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74.3%</w:t>
            </w:r>
          </w:p>
        </w:tc>
      </w:tr>
      <w:tr w:rsidR="004E57A2" w:rsidRPr="004E57A2" w14:paraId="63D3AB9E" w14:textId="77777777" w:rsidTr="00482713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F0C0BE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Mycoplasma culture (procedure)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EF616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95.7%</w:t>
            </w:r>
          </w:p>
        </w:tc>
      </w:tr>
      <w:tr w:rsidR="004E57A2" w:rsidRPr="004E57A2" w14:paraId="42978EDD" w14:textId="77777777" w:rsidTr="00482713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6BC662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Polymerase chain reaction analysis (procedure)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A66C5A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85.7%</w:t>
            </w:r>
          </w:p>
        </w:tc>
      </w:tr>
      <w:tr w:rsidR="004E57A2" w:rsidRPr="004E57A2" w14:paraId="1EEDC658" w14:textId="77777777" w:rsidTr="00482713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5089C7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 xml:space="preserve">Mycoplasma </w:t>
            </w:r>
            <w:proofErr w:type="spellStart"/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genitalium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 DNA (substance)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C27ACC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24.3%</w:t>
            </w:r>
          </w:p>
        </w:tc>
      </w:tr>
    </w:tbl>
    <w:p w14:paraId="22DED68B" w14:textId="77777777" w:rsidR="00482713" w:rsidRPr="004E57A2" w:rsidRDefault="00482713" w:rsidP="00482713">
      <w:pPr>
        <w:shd w:val="clear" w:color="auto" w:fill="FFFFFF"/>
        <w:spacing w:before="240"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b/>
          <w:bCs/>
          <w:sz w:val="20"/>
          <w:szCs w:val="20"/>
          <w:lang w:eastAsia="en-AU"/>
        </w:rPr>
        <w:t>Swab type:</w:t>
      </w:r>
    </w:p>
    <w:p w14:paraId="59D94B4A" w14:textId="77777777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sz w:val="20"/>
          <w:szCs w:val="20"/>
          <w:lang w:eastAsia="en-AU"/>
        </w:rPr>
        <w:t>Culture swab transport system (Dacron or rayon swab), with or without Stuart or Amies liquid medium Plain swab (Dacron or rayon with aluminium or plastic shaft).</w:t>
      </w:r>
    </w:p>
    <w:p w14:paraId="002A49F3" w14:textId="77777777" w:rsidR="00482713" w:rsidRPr="004E57A2" w:rsidRDefault="00482713" w:rsidP="00482713">
      <w:pPr>
        <w:shd w:val="clear" w:color="auto" w:fill="FFFFFF"/>
        <w:spacing w:after="120"/>
        <w:outlineLvl w:val="2"/>
        <w:rPr>
          <w:rFonts w:ascii="Open Sans" w:hAnsi="Open Sans" w:cs="Open Sans"/>
          <w:sz w:val="27"/>
          <w:szCs w:val="27"/>
          <w:lang w:eastAsia="en-AU"/>
        </w:rPr>
      </w:pPr>
      <w:r w:rsidRPr="004E57A2">
        <w:rPr>
          <w:rFonts w:ascii="Open Sans" w:hAnsi="Open Sans" w:cs="Open Sans"/>
          <w:sz w:val="27"/>
          <w:szCs w:val="27"/>
          <w:lang w:eastAsia="en-AU"/>
        </w:rPr>
        <w:t>3.4 Quality Assurance</w:t>
      </w:r>
    </w:p>
    <w:p w14:paraId="7163B09D" w14:textId="77777777" w:rsidR="00482713" w:rsidRPr="004E57A2" w:rsidRDefault="00482713" w:rsidP="00482713">
      <w:pPr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sz w:val="20"/>
          <w:szCs w:val="20"/>
          <w:lang w:eastAsia="en-AU"/>
        </w:rPr>
        <w:t>A quality assurance program is available through the RCPA QAP.</w:t>
      </w:r>
    </w:p>
    <w:p w14:paraId="187B5FDD" w14:textId="77777777" w:rsidR="00482713" w:rsidRPr="004E57A2" w:rsidRDefault="00482713" w:rsidP="00482713">
      <w:pPr>
        <w:keepNext/>
        <w:shd w:val="clear" w:color="auto" w:fill="FFFFFF"/>
        <w:spacing w:after="120"/>
        <w:outlineLvl w:val="1"/>
        <w:rPr>
          <w:rFonts w:ascii="Open Sans" w:hAnsi="Open Sans" w:cs="Open Sans"/>
          <w:sz w:val="36"/>
          <w:szCs w:val="36"/>
          <w:lang w:eastAsia="en-AU"/>
        </w:rPr>
      </w:pPr>
      <w:r w:rsidRPr="004E57A2">
        <w:rPr>
          <w:rFonts w:ascii="Open Sans" w:hAnsi="Open Sans" w:cs="Open Sans"/>
          <w:sz w:val="36"/>
          <w:szCs w:val="36"/>
          <w:lang w:eastAsia="en-AU"/>
        </w:rPr>
        <w:lastRenderedPageBreak/>
        <w:t>4 Agreed Typing &amp; Subtyping Methods</w:t>
      </w:r>
    </w:p>
    <w:p w14:paraId="501967A4" w14:textId="77777777" w:rsidR="00482713" w:rsidRPr="004E57A2" w:rsidRDefault="00482713" w:rsidP="00482713">
      <w:pPr>
        <w:keepNext/>
        <w:shd w:val="clear" w:color="auto" w:fill="FFFFFF"/>
        <w:spacing w:after="240" w:line="300" w:lineRule="atLeast"/>
        <w:rPr>
          <w:rFonts w:ascii="Helvetica" w:hAnsi="Helvetica" w:cs="Helvetica"/>
          <w:sz w:val="20"/>
          <w:szCs w:val="20"/>
          <w:lang w:eastAsia="en-AU"/>
        </w:rPr>
      </w:pPr>
      <w:r w:rsidRPr="004E57A2">
        <w:rPr>
          <w:rFonts w:ascii="Helvetica" w:hAnsi="Helvetica" w:cs="Helvetica"/>
          <w:sz w:val="20"/>
          <w:szCs w:val="20"/>
          <w:lang w:eastAsia="en-AU"/>
        </w:rPr>
        <w:t>There is no </w:t>
      </w:r>
      <w:r w:rsidRPr="004E57A2">
        <w:rPr>
          <w:rFonts w:ascii="Helvetica" w:hAnsi="Helvetica" w:cs="Helvetica"/>
          <w:i/>
          <w:iCs/>
          <w:sz w:val="20"/>
          <w:szCs w:val="20"/>
          <w:lang w:eastAsia="en-AU"/>
        </w:rPr>
        <w:t>standard national or international organism or subtyping method.</w:t>
      </w:r>
    </w:p>
    <w:p w14:paraId="79A9EDEB" w14:textId="77777777" w:rsidR="00482713" w:rsidRPr="004E57A2" w:rsidRDefault="00482713" w:rsidP="00482713">
      <w:pPr>
        <w:keepNext/>
        <w:shd w:val="clear" w:color="auto" w:fill="FFFFFF"/>
        <w:spacing w:after="120"/>
        <w:outlineLvl w:val="2"/>
        <w:rPr>
          <w:rFonts w:ascii="Open Sans" w:hAnsi="Open Sans" w:cs="Open Sans"/>
          <w:sz w:val="27"/>
          <w:szCs w:val="27"/>
          <w:lang w:eastAsia="en-AU"/>
        </w:rPr>
      </w:pPr>
      <w:r w:rsidRPr="004E57A2">
        <w:rPr>
          <w:rFonts w:ascii="Open Sans" w:hAnsi="Open Sans" w:cs="Open Sans"/>
          <w:sz w:val="27"/>
          <w:szCs w:val="27"/>
          <w:lang w:eastAsia="en-AU"/>
        </w:rPr>
        <w:t>4.1 Laboratory Nomenclature for National Database Dictionary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Table displays Organism Name(s) List"/>
        <w:tblDescription w:val="Table displays Organism Name(s) List"/>
      </w:tblPr>
      <w:tblGrid>
        <w:gridCol w:w="4530"/>
        <w:gridCol w:w="4530"/>
      </w:tblGrid>
      <w:tr w:rsidR="004E57A2" w:rsidRPr="004E57A2" w14:paraId="7E53D7C0" w14:textId="77777777" w:rsidTr="00482713">
        <w:tc>
          <w:tcPr>
            <w:tcW w:w="2500" w:type="pct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194D6E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en-AU"/>
              </w:rPr>
              <w:t>SNOMED CT concept</w:t>
            </w:r>
          </w:p>
        </w:tc>
        <w:tc>
          <w:tcPr>
            <w:tcW w:w="2500" w:type="pct"/>
            <w:shd w:val="clear" w:color="auto" w:fill="E8F3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BC2E94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en-AU"/>
              </w:rPr>
              <w:t>Code</w:t>
            </w:r>
          </w:p>
        </w:tc>
      </w:tr>
      <w:tr w:rsidR="004E57A2" w:rsidRPr="004E57A2" w14:paraId="43BE3E57" w14:textId="77777777" w:rsidTr="00482713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8E7D8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Genital mycoplasma infection (disorder)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3367E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240594008</w:t>
            </w:r>
          </w:p>
        </w:tc>
      </w:tr>
      <w:tr w:rsidR="004E57A2" w:rsidRPr="004E57A2" w14:paraId="66CC99EF" w14:textId="77777777" w:rsidTr="00482713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6A5CC7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 xml:space="preserve">Mycoplasma </w:t>
            </w:r>
            <w:proofErr w:type="spellStart"/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genitalium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 (organism)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7641F1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708378006</w:t>
            </w:r>
          </w:p>
        </w:tc>
      </w:tr>
      <w:tr w:rsidR="004E57A2" w:rsidRPr="004E57A2" w14:paraId="1E95708F" w14:textId="77777777" w:rsidTr="00482713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3A486E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Mycoplasma culture (procedure)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F97F4D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104176001</w:t>
            </w:r>
          </w:p>
        </w:tc>
      </w:tr>
      <w:tr w:rsidR="004E57A2" w:rsidRPr="004E57A2" w14:paraId="4A525171" w14:textId="77777777" w:rsidTr="00482713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BF1A4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Polymerase chain reaction analysis (procedure)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21CA8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9718006</w:t>
            </w:r>
          </w:p>
        </w:tc>
      </w:tr>
      <w:tr w:rsidR="004E57A2" w:rsidRPr="004E57A2" w14:paraId="1339AE94" w14:textId="77777777" w:rsidTr="00482713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0B31FE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 xml:space="preserve">Mycoplasma </w:t>
            </w:r>
            <w:proofErr w:type="spellStart"/>
            <w:r w:rsidRPr="004E57A2">
              <w:rPr>
                <w:rFonts w:ascii="Helvetica" w:hAnsi="Helvetica" w:cs="Helvetica"/>
                <w:i/>
                <w:iCs/>
                <w:sz w:val="20"/>
                <w:szCs w:val="20"/>
                <w:bdr w:val="none" w:sz="0" w:space="0" w:color="auto" w:frame="1"/>
                <w:lang w:eastAsia="en-AU"/>
              </w:rPr>
              <w:t>genitalium</w:t>
            </w:r>
            <w:proofErr w:type="spellEnd"/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 DNA (substance)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89C439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708378006</w:t>
            </w:r>
          </w:p>
        </w:tc>
      </w:tr>
      <w:tr w:rsidR="004E57A2" w:rsidRPr="004E57A2" w14:paraId="38C91BD7" w14:textId="77777777" w:rsidTr="00482713"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EB1E96" w14:textId="77777777" w:rsidR="00482713" w:rsidRPr="004E57A2" w:rsidRDefault="00482713" w:rsidP="00482713">
            <w:pPr>
              <w:spacing w:after="300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Polymerase chain reaction analysis for genomic fingerprinting (procedure)</w:t>
            </w:r>
          </w:p>
        </w:tc>
        <w:tc>
          <w:tcPr>
            <w:tcW w:w="250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012A86" w14:textId="77777777" w:rsidR="00482713" w:rsidRPr="004E57A2" w:rsidRDefault="00482713" w:rsidP="00482713">
            <w:pPr>
              <w:spacing w:after="300"/>
              <w:jc w:val="center"/>
              <w:rPr>
                <w:rFonts w:ascii="Helvetica" w:hAnsi="Helvetica" w:cs="Helvetica"/>
                <w:sz w:val="20"/>
                <w:szCs w:val="20"/>
                <w:lang w:eastAsia="en-AU"/>
              </w:rPr>
            </w:pPr>
            <w:r w:rsidRPr="004E57A2">
              <w:rPr>
                <w:rFonts w:ascii="Helvetica" w:hAnsi="Helvetica" w:cs="Helvetica"/>
                <w:sz w:val="20"/>
                <w:szCs w:val="20"/>
                <w:lang w:eastAsia="en-AU"/>
              </w:rPr>
              <w:t>252370006</w:t>
            </w:r>
          </w:p>
        </w:tc>
      </w:tr>
    </w:tbl>
    <w:p w14:paraId="163DD3AF" w14:textId="13D36C0B" w:rsidR="00482713" w:rsidRPr="004E57A2" w:rsidRDefault="00482713" w:rsidP="00482713">
      <w:pPr>
        <w:rPr>
          <w:rFonts w:ascii="Times New Roman" w:hAnsi="Times New Roman"/>
          <w:sz w:val="24"/>
          <w:lang w:eastAsia="en-AU"/>
        </w:rPr>
      </w:pPr>
    </w:p>
    <w:p w14:paraId="5CEEAC7A" w14:textId="77777777" w:rsidR="00482713" w:rsidRPr="004E57A2" w:rsidRDefault="00482713" w:rsidP="00482713">
      <w:pPr>
        <w:shd w:val="clear" w:color="auto" w:fill="FFFFFF"/>
        <w:spacing w:before="240" w:after="120"/>
        <w:outlineLvl w:val="1"/>
        <w:rPr>
          <w:rFonts w:ascii="Open Sans" w:hAnsi="Open Sans" w:cs="Open Sans"/>
          <w:sz w:val="36"/>
          <w:szCs w:val="36"/>
          <w:lang w:eastAsia="en-AU"/>
        </w:rPr>
      </w:pPr>
      <w:bookmarkStart w:id="0" w:name="#ref"/>
      <w:bookmarkEnd w:id="0"/>
      <w:r w:rsidRPr="004E57A2">
        <w:rPr>
          <w:rFonts w:ascii="Open Sans" w:hAnsi="Open Sans" w:cs="Open Sans"/>
          <w:sz w:val="36"/>
          <w:szCs w:val="36"/>
          <w:lang w:eastAsia="en-AU"/>
        </w:rPr>
        <w:t>5 References</w:t>
      </w:r>
    </w:p>
    <w:p w14:paraId="4B5B9E3C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McGowin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CL and Totten PA. The Unique Microbiology and Molecular Pathogenesis of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. J Infect Dis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2017;216(S2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):S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382–8.</w:t>
      </w:r>
    </w:p>
    <w:p w14:paraId="14D23C71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Jensen JS.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: the aetiological agent of urethritis and other sexually transmitted diseases.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J Eur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Acad</w:t>
      </w:r>
      <w:proofErr w:type="spellEnd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Dermat</w:t>
      </w:r>
      <w:proofErr w:type="spellEnd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Venereol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2004;18:1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-11.</w:t>
      </w:r>
    </w:p>
    <w:p w14:paraId="606569F4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Tully JG, Taylor Robinson D, Cole RM, Rose DL. A newly discovered mycoplasma in the human urogenital tract.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Lancet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1981;1:1288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-1291.</w:t>
      </w:r>
    </w:p>
    <w:p w14:paraId="2D9EAA9B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Jensen JS,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Cusini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M,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Gomberg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M, Moi H. Background review for the 2016 European guideline on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infections.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J Eur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Acad</w:t>
      </w:r>
      <w:proofErr w:type="spellEnd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Dermat</w:t>
      </w:r>
      <w:proofErr w:type="spellEnd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Venereol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2016;30:1686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-1693.</w:t>
      </w:r>
    </w:p>
    <w:p w14:paraId="3B03C48A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Wiesenfeld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H and Manhart L.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in Women: Current Knowledge and Research Priorities for This Recently Emerged Pathogen.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J Infect Dis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2017:216 (Suppl 2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) :S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389-395.</w:t>
      </w:r>
    </w:p>
    <w:p w14:paraId="1A97BFDF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Taylor Robinson D, Gilroy CB, Horowitz S, Horowitz J.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in the joints of two patients with arthritis.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Eur J Clin Microbiol Infect Dis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1994;13:1066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-9.</w:t>
      </w:r>
    </w:p>
    <w:p w14:paraId="4AA88A67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 xml:space="preserve">Manhart LE, Holmes KK, Hughes JP,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Housten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LS, Totten PA.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among young adults in the United States: An emerging sexually transmitted infection.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Am J Public Health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2007;97: 1118-1125.</w:t>
      </w:r>
    </w:p>
    <w:p w14:paraId="3ED27AB1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Taylor-Robinson D, Jensen J.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: from Chrysalis to multi-coloured butterfly.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Clin Microbiol Rev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2011;24:498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-514.</w:t>
      </w:r>
    </w:p>
    <w:p w14:paraId="2BB9BA02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Read TR, Murray GL,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Danielewski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JA et al. Symptoms, 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sites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and significance of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in men who have sex with men,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EID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2019;25:719-727.</w:t>
      </w:r>
    </w:p>
    <w:p w14:paraId="0F21B32D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Hughes G, Saunders J.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: 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the next sexually transmitted superbug? BMJ 2018;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363;k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4376.</w:t>
      </w:r>
    </w:p>
    <w:p w14:paraId="1AE36DA9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Murray GL, Bradshaw CS,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Bissessor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M et al. Increasing macrolide and fluoroquinolone resistance in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EID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2017;23:809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-812.</w:t>
      </w:r>
    </w:p>
    <w:p w14:paraId="21F2BB99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 Sweeney EL,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Trembizki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E,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Bletchly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C, Bradshaw CS et al. Levels of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Antimicrobial Resistance Differ by Both Region and Gender in the State of Queensland, Australia: Implications for Treatment Guidelines.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J Clin Microbiol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2019: 27:57(3).</w:t>
      </w:r>
    </w:p>
    <w:p w14:paraId="78138FD4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Jensen JS, Bradshaw CS, Tabrizi SN, Fairley CK,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Hamasuna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R. Azithromycin Treatment Failure in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–Positive Patients with Non-gonococcal Urethritis Is Associated with Induced Macrolide Resistance.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Clin Infect Dis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2008; 47:1546–53.</w:t>
      </w:r>
    </w:p>
    <w:p w14:paraId="2181C183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Chrisment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D. Detection of macrolide resistance in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in France.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J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Antimicrob</w:t>
      </w:r>
      <w:proofErr w:type="spellEnd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 Chemother.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2012 Nov;67(11):2598-601.</w:t>
      </w:r>
    </w:p>
    <w:p w14:paraId="09E97E0F" w14:textId="77777777" w:rsidR="00482713" w:rsidRPr="00482713" w:rsidRDefault="004E57A2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hyperlink r:id="rId11" w:history="1">
        <w:r w:rsidR="00482713" w:rsidRPr="00482713">
          <w:rPr>
            <w:rFonts w:ascii="Helvetica" w:hAnsi="Helvetica" w:cs="Helvetica"/>
            <w:color w:val="1157AD"/>
            <w:sz w:val="20"/>
            <w:szCs w:val="20"/>
            <w:u w:val="single"/>
            <w:lang w:eastAsia="en-AU"/>
          </w:rPr>
          <w:t>Australian Society of HIV Medicine. The Australasian STI Management Guidelines 2018</w:t>
        </w:r>
      </w:hyperlink>
      <w:r w:rsidR="00482713"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.</w:t>
      </w:r>
    </w:p>
    <w:p w14:paraId="5D95B327" w14:textId="77777777" w:rsidR="00482713" w:rsidRPr="00482713" w:rsidRDefault="004E57A2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hyperlink r:id="rId12" w:history="1">
        <w:r w:rsidR="00482713" w:rsidRPr="00482713">
          <w:rPr>
            <w:rFonts w:ascii="Helvetica" w:hAnsi="Helvetica" w:cs="Helvetica"/>
            <w:color w:val="1157AD"/>
            <w:sz w:val="20"/>
            <w:szCs w:val="20"/>
            <w:u w:val="single"/>
            <w:lang w:eastAsia="en-AU"/>
          </w:rPr>
          <w:t>Australian Contact Tracing Guidelines</w:t>
        </w:r>
      </w:hyperlink>
      <w:r w:rsidR="00482713"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Accessed May 2019.</w:t>
      </w:r>
    </w:p>
    <w:p w14:paraId="5306D7BA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Jensen,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Bjornelius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Dohn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Lidbrink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. Use of TaqMan 5 Nuclease Real-Time PCR for Quantitative Detection of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 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DNA in Urethritis Who Were Attendees at a Sexually Transmitted Disease Clinic.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J Clin Microbiol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2004; 42;683-92.</w:t>
      </w:r>
    </w:p>
    <w:p w14:paraId="488EDE60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Svenstrup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HE, Jensen JS,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Björnelius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E et al. Development of a Quantitative Real-Time PCR Assay for Detection of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J Clin Microbiol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2005, 43 (7) 3121-3128. 3</w:t>
      </w:r>
    </w:p>
    <w:p w14:paraId="2BF5E09E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Yoshida, T., T.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Deguchi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, M. Ito, S.I. Maeda, M. Tamaki, and H.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Ishiko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. 2002. Quantitative detection of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from first-pass urine of men with nongonococcal urethritis and asymptomatic men by real-time PCR.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J. Clin. Microbiol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. 40:1451-1455.</w:t>
      </w:r>
    </w:p>
    <w:p w14:paraId="12B6DBC7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Cjalker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V, Jordan K, Ali T,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Ison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C. Real-time PCR detection of the mg219 gene of unknown function of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in men with and without non-gonococcal urethritis and their female partners in England.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J Med Microbiol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2009;58:898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-9.</w:t>
      </w:r>
    </w:p>
    <w:p w14:paraId="0C1A149F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Jensen JS. Protocol for the detection of Mycoplasma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by PCR from clinical specimens and subsequent detection of macrolide resistance-mediating mutations in region V of the 23S rRNA gene.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Methods Mol Biol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2012;903:129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-139.</w:t>
      </w:r>
    </w:p>
    <w:p w14:paraId="5F95DB7F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Muller EE, Venter JM,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Magooa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MP et al. Development of a rotor-gene real-time PCR assay for the detection and quantification of Mycoplasma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. </w:t>
      </w:r>
      <w:hyperlink r:id="rId13" w:tooltip="Journal of microbiological methods." w:history="1">
        <w:r w:rsidRPr="00482713">
          <w:rPr>
            <w:rFonts w:ascii="Helvetica" w:hAnsi="Helvetica" w:cs="Helvetica"/>
            <w:i/>
            <w:iCs/>
            <w:color w:val="1157AD"/>
            <w:sz w:val="20"/>
            <w:szCs w:val="20"/>
            <w:u w:val="single"/>
            <w:lang w:eastAsia="en-AU"/>
          </w:rPr>
          <w:t>J Microbiol Methods.</w:t>
        </w:r>
      </w:hyperlink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 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2012 Feb;88(2):311-5.</w:t>
      </w:r>
    </w:p>
    <w:p w14:paraId="131278C5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Munsen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E. Molecular Diagnostic Update for the Emerging (If Not Already Widespread) Sexually Transmitted Infection Agent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: Just About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Ready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for Prime Time.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J Clin Microbiol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; 55:2894-2902.</w:t>
      </w:r>
    </w:p>
    <w:p w14:paraId="46AFEB0B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Gaydos, C.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: Accurate Diagnosis is Necessary for Adequate Treatment.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J Infect Dis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2017;216(S2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);S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406-11.</w:t>
      </w:r>
    </w:p>
    <w:p w14:paraId="65D8D7CA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Read T, Fairley C, Murray et al. Outcomes of Resistance-guided Sequential Treatment of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Infections: A Prospective Evaluation.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Clin Infect Dis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2019; 68:554-60.</w:t>
      </w:r>
    </w:p>
    <w:p w14:paraId="4ADB5592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Braam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J, van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Marm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S,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Seevers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T et al. Sensitive and specific assay for the simultaneous detection of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and macrolide resistance associated mutations.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Eur J Clin Microbiol Infect Dis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(2018) 37:2137-2144.</w:t>
      </w:r>
    </w:p>
    <w:p w14:paraId="5B6E9F2C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Tabrizi S, Tan L, Walker S et al. Multiplex assay for simultaneous detection of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 and macrolide resistance using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PlexZyme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and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PlexPrime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technology.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Plos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One 2016;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11:e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0156740.</w:t>
      </w:r>
    </w:p>
    <w:p w14:paraId="3DDD52B8" w14:textId="77777777" w:rsidR="00482713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Tabrizi S,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Su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L, Bradshaw C et al. Prospective Evaluation of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ResistancePlus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MG, a New Multiplex Quantitative PCR Assay for Detection of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 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and Macrolide Resistance.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J Clin Microbiol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55(6):1915–1919.</w:t>
      </w:r>
    </w:p>
    <w:p w14:paraId="0C753B9B" w14:textId="0A4C26A4" w:rsidR="009E0B84" w:rsidRPr="00482713" w:rsidRDefault="00482713" w:rsidP="00482713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Times New Roman" w:hAnsi="Times New Roman"/>
          <w:sz w:val="24"/>
          <w:lang w:eastAsia="en-AU"/>
        </w:rPr>
      </w:pP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Lillis, RA. </w:t>
      </w:r>
      <w:proofErr w:type="spell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Nsuami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, M.J Myers, L, Martin, D. Utility of Urine, Vaginal, Cervical, and Rectal Specimens for Detection of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Mycoplasma </w:t>
      </w:r>
      <w:proofErr w:type="spellStart"/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genitalium</w:t>
      </w:r>
      <w:proofErr w:type="spell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in Women. </w:t>
      </w:r>
      <w:r w:rsidRPr="00482713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J Clin Micro</w:t>
      </w:r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proofErr w:type="gramStart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2011;49:1990</w:t>
      </w:r>
      <w:proofErr w:type="gramEnd"/>
      <w:r w:rsidRPr="00482713">
        <w:rPr>
          <w:rFonts w:ascii="Helvetica" w:hAnsi="Helvetica" w:cs="Helvetica"/>
          <w:color w:val="222222"/>
          <w:sz w:val="20"/>
          <w:szCs w:val="20"/>
          <w:lang w:eastAsia="en-AU"/>
        </w:rPr>
        <w:t>-2.</w:t>
      </w:r>
      <w:r w:rsidRPr="00482713">
        <w:rPr>
          <w:rFonts w:ascii="Times New Roman" w:hAnsi="Times New Roman"/>
          <w:sz w:val="24"/>
          <w:lang w:eastAsia="en-AU"/>
        </w:rPr>
        <w:t xml:space="preserve"> </w:t>
      </w:r>
    </w:p>
    <w:sectPr w:rsidR="009E0B84" w:rsidRPr="00482713" w:rsidSect="00F4201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27FC5" w14:textId="77777777" w:rsidR="00482713" w:rsidRDefault="00482713" w:rsidP="006B56BB">
      <w:r>
        <w:separator/>
      </w:r>
    </w:p>
    <w:p w14:paraId="360C7631" w14:textId="77777777" w:rsidR="00482713" w:rsidRDefault="00482713"/>
  </w:endnote>
  <w:endnote w:type="continuationSeparator" w:id="0">
    <w:p w14:paraId="1EB04C5B" w14:textId="77777777" w:rsidR="00482713" w:rsidRDefault="00482713" w:rsidP="006B56BB">
      <w:r>
        <w:continuationSeparator/>
      </w:r>
    </w:p>
    <w:p w14:paraId="6C6DF694" w14:textId="77777777" w:rsidR="00482713" w:rsidRDefault="00482713"/>
  </w:endnote>
  <w:endnote w:type="continuationNotice" w:id="1">
    <w:p w14:paraId="0848758A" w14:textId="77777777" w:rsidR="00482713" w:rsidRDefault="004827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9BD37E" w14:textId="07AE7852" w:rsidR="00CD407A" w:rsidRDefault="00482713" w:rsidP="00482713">
            <w:pPr>
              <w:pStyle w:val="Footer"/>
              <w:jc w:val="right"/>
            </w:pPr>
            <w:r w:rsidRPr="00482713">
              <w:rPr>
                <w:i/>
                <w:iCs/>
              </w:rPr>
              <w:t xml:space="preserve">Mycoplasma </w:t>
            </w:r>
            <w:proofErr w:type="spellStart"/>
            <w:r w:rsidRPr="00482713">
              <w:rPr>
                <w:i/>
                <w:iCs/>
              </w:rPr>
              <w:t>genitalium</w:t>
            </w:r>
            <w:proofErr w:type="spellEnd"/>
            <w:r w:rsidR="00076AD6">
              <w:t xml:space="preserve">– Laboratory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2701320"/>
      <w:docPartObj>
        <w:docPartGallery w:val="Page Numbers (Bottom of Page)"/>
        <w:docPartUnique/>
      </w:docPartObj>
    </w:sdtPr>
    <w:sdtEndPr/>
    <w:sdtContent>
      <w:sdt>
        <w:sdtPr>
          <w:id w:val="304826466"/>
          <w:docPartObj>
            <w:docPartGallery w:val="Page Numbers (Top of Page)"/>
            <w:docPartUnique/>
          </w:docPartObj>
        </w:sdtPr>
        <w:sdtEndPr/>
        <w:sdtContent>
          <w:p w14:paraId="22977586" w14:textId="67FE9067" w:rsidR="005E40AE" w:rsidRDefault="00482713" w:rsidP="00482713">
            <w:pPr>
              <w:pStyle w:val="Footer"/>
              <w:jc w:val="right"/>
            </w:pPr>
            <w:r w:rsidRPr="00482713">
              <w:rPr>
                <w:i/>
                <w:iCs/>
              </w:rPr>
              <w:t xml:space="preserve">Mycoplasma </w:t>
            </w:r>
            <w:proofErr w:type="spellStart"/>
            <w:r w:rsidRPr="00482713">
              <w:rPr>
                <w:i/>
                <w:iCs/>
              </w:rPr>
              <w:t>genitalium</w:t>
            </w:r>
            <w:proofErr w:type="spellEnd"/>
            <w:r>
              <w:t xml:space="preserve"> </w:t>
            </w:r>
            <w:r w:rsidR="005E40AE">
              <w:t xml:space="preserve">– Laboratory case definition </w:t>
            </w:r>
            <w:r w:rsidR="005E40AE">
              <w:tab/>
            </w:r>
            <w:r w:rsidR="005E40AE">
              <w:tab/>
              <w:t xml:space="preserve">Page </w:t>
            </w:r>
            <w:r w:rsidR="005E40AE">
              <w:rPr>
                <w:b/>
                <w:bCs/>
                <w:sz w:val="24"/>
              </w:rPr>
              <w:fldChar w:fldCharType="begin"/>
            </w:r>
            <w:r w:rsidR="005E40AE">
              <w:rPr>
                <w:b/>
                <w:bCs/>
              </w:rPr>
              <w:instrText xml:space="preserve"> PAGE </w:instrText>
            </w:r>
            <w:r w:rsidR="005E40AE">
              <w:rPr>
                <w:b/>
                <w:bCs/>
                <w:sz w:val="24"/>
              </w:rPr>
              <w:fldChar w:fldCharType="separate"/>
            </w:r>
            <w:r w:rsidR="005E40AE">
              <w:rPr>
                <w:b/>
                <w:bCs/>
                <w:sz w:val="24"/>
              </w:rPr>
              <w:t>2</w:t>
            </w:r>
            <w:r w:rsidR="005E40AE">
              <w:rPr>
                <w:b/>
                <w:bCs/>
                <w:sz w:val="24"/>
              </w:rPr>
              <w:fldChar w:fldCharType="end"/>
            </w:r>
            <w:r w:rsidR="005E40AE">
              <w:t xml:space="preserve"> of </w:t>
            </w:r>
            <w:r w:rsidR="005E40AE">
              <w:rPr>
                <w:b/>
                <w:bCs/>
                <w:sz w:val="24"/>
              </w:rPr>
              <w:fldChar w:fldCharType="begin"/>
            </w:r>
            <w:r w:rsidR="005E40AE">
              <w:rPr>
                <w:b/>
                <w:bCs/>
              </w:rPr>
              <w:instrText xml:space="preserve"> NUMPAGES  </w:instrText>
            </w:r>
            <w:r w:rsidR="005E40AE">
              <w:rPr>
                <w:b/>
                <w:bCs/>
                <w:sz w:val="24"/>
              </w:rPr>
              <w:fldChar w:fldCharType="separate"/>
            </w:r>
            <w:r w:rsidR="005E40AE">
              <w:rPr>
                <w:b/>
                <w:bCs/>
                <w:sz w:val="24"/>
              </w:rPr>
              <w:t>2</w:t>
            </w:r>
            <w:r w:rsidR="005E40AE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269D5" w14:textId="77777777" w:rsidR="00482713" w:rsidRDefault="00482713" w:rsidP="006B56BB">
      <w:r>
        <w:separator/>
      </w:r>
    </w:p>
    <w:p w14:paraId="0EC2EE6B" w14:textId="77777777" w:rsidR="00482713" w:rsidRDefault="00482713"/>
  </w:footnote>
  <w:footnote w:type="continuationSeparator" w:id="0">
    <w:p w14:paraId="4AF8F4B8" w14:textId="77777777" w:rsidR="00482713" w:rsidRDefault="00482713" w:rsidP="006B56BB">
      <w:r>
        <w:continuationSeparator/>
      </w:r>
    </w:p>
    <w:p w14:paraId="4BD11A0C" w14:textId="77777777" w:rsidR="00482713" w:rsidRDefault="00482713"/>
  </w:footnote>
  <w:footnote w:type="continuationNotice" w:id="1">
    <w:p w14:paraId="6C3E8D9B" w14:textId="77777777" w:rsidR="00482713" w:rsidRDefault="004827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9DD79" w14:textId="77777777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F3B3E" w14:textId="77777777" w:rsidR="00F42019" w:rsidRDefault="00F42019">
    <w:pPr>
      <w:pStyle w:val="Header"/>
    </w:pPr>
    <w:r>
      <w:rPr>
        <w:noProof/>
      </w:rPr>
      <w:drawing>
        <wp:inline distT="0" distB="0" distL="0" distR="0" wp14:anchorId="45ED225C" wp14:editId="354C0282">
          <wp:extent cx="2943580" cy="1200150"/>
          <wp:effectExtent l="0" t="0" r="9525" b="0"/>
          <wp:docPr id="2" name="Picture 2" descr="Public Health Laboratory Net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ublic Health Laboratory Network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886" cy="1222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E5D92"/>
    <w:multiLevelType w:val="multilevel"/>
    <w:tmpl w:val="E448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4"/>
  </w:num>
  <w:num w:numId="8">
    <w:abstractNumId w:val="1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8"/>
  </w:num>
  <w:num w:numId="17">
    <w:abstractNumId w:val="11"/>
  </w:num>
  <w:num w:numId="18">
    <w:abstractNumId w:val="12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13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8564F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32E1B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2713"/>
    <w:rsid w:val="0048593C"/>
    <w:rsid w:val="004867E2"/>
    <w:rsid w:val="004929A9"/>
    <w:rsid w:val="004A78D9"/>
    <w:rsid w:val="004C6BCF"/>
    <w:rsid w:val="004D58BF"/>
    <w:rsid w:val="004E4335"/>
    <w:rsid w:val="004E57A2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40AE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B194E"/>
    <w:rsid w:val="007C1FDC"/>
    <w:rsid w:val="007C6D9C"/>
    <w:rsid w:val="007C7DDB"/>
    <w:rsid w:val="007D2CC7"/>
    <w:rsid w:val="007D673D"/>
    <w:rsid w:val="007E4D09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363C7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A26D0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86E28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2019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6D1D4"/>
  <w15:docId w15:val="{D76A6776-E6A2-4119-B995-13761185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8928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421033584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1093627724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1348867397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315764142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236597757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  <w:div w:id="1396391903">
          <w:marLeft w:val="0"/>
          <w:marRight w:val="0"/>
          <w:marTop w:val="0"/>
          <w:marBottom w:val="0"/>
          <w:divBdr>
            <w:top w:val="none" w:sz="0" w:space="0" w:color="C4DEEE"/>
            <w:left w:val="none" w:sz="0" w:space="0" w:color="C4DEEE"/>
            <w:bottom w:val="none" w:sz="0" w:space="0" w:color="C4DEEE"/>
            <w:right w:val="none" w:sz="0" w:space="0" w:color="C4DEEE"/>
          </w:divBdr>
        </w:div>
      </w:divsChild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bi.nlm.nih.gov/pubmed/?term=muller+genitalium+microbiol+methods201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ontacttracing.ashm.org.au/conditions/when-contact-tracing-is-recommended/mycoplasma-genitaliu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i.guidelines.org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Laboratory%20Case%20Definitions\Templates%20and%20Instructions\PHLN%20laboratory%20case%20definition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CAF94720-4D3A-4978-A26D-DEF988860046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http://purl.org/dc/terms/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PHLN laboratory case definition template v2.dotx</Template>
  <TotalTime>3</TotalTime>
  <Pages>8</Pages>
  <Words>2072</Words>
  <Characters>12870</Characters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Mycoplasma genitalium – Laboratory case definition</dc:title>
  <dc:creator>Public Health Laboratory Network</dc:creator>
  <cp:keywords>Communicable diseases</cp:keywords>
  <dcterms:created xsi:type="dcterms:W3CDTF">2022-06-06T02:07:00Z</dcterms:created>
  <dcterms:modified xsi:type="dcterms:W3CDTF">2022-06-06T06:38:00Z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