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B98E" w14:textId="64C9DD3E" w:rsidR="00AC0D80" w:rsidRPr="00CA60EF" w:rsidRDefault="00B254A9" w:rsidP="00067C27">
      <w:pPr>
        <w:pStyle w:val="Title"/>
      </w:pPr>
      <w:bookmarkStart w:id="0" w:name="OLE_LINK1"/>
      <w:bookmarkStart w:id="1" w:name="OLE_LINK2"/>
      <w:bookmarkStart w:id="2" w:name="OLE_LINK3"/>
      <w:bookmarkStart w:id="3" w:name="OLE_LINK4"/>
      <w:bookmarkStart w:id="4" w:name="OLE_LINK6"/>
      <w:bookmarkStart w:id="5" w:name="OLE_LINK9"/>
      <w:bookmarkStart w:id="6" w:name="OLE_LINK8"/>
      <w:r w:rsidRPr="00CA60EF">
        <w:t>National Communicable Diseases Surveillance Report</w:t>
      </w:r>
      <w:r w:rsidR="00CA60EF">
        <w:t xml:space="preserve"> </w:t>
      </w:r>
      <w:r w:rsidR="00807835" w:rsidRPr="00CA60EF">
        <w:t xml:space="preserve">Fortnight </w:t>
      </w:r>
      <w:r w:rsidR="005C310A" w:rsidRPr="00CA60EF">
        <w:t>0</w:t>
      </w:r>
      <w:r w:rsidR="00AB78FE" w:rsidRPr="00CA60EF">
        <w:t>9</w:t>
      </w:r>
      <w:r w:rsidR="00F816D5" w:rsidRPr="00CA60EF">
        <w:t>,</w:t>
      </w:r>
      <w:r w:rsidR="003D48B5" w:rsidRPr="00CA60EF">
        <w:t xml:space="preserve"> </w:t>
      </w:r>
      <w:r w:rsidR="00924FC7" w:rsidRPr="00CA60EF">
        <w:t>202</w:t>
      </w:r>
      <w:r w:rsidR="005C310A" w:rsidRPr="00CA60EF">
        <w:t>5</w:t>
      </w:r>
      <w:r w:rsidR="00031B33" w:rsidRPr="00CA60EF">
        <w:t xml:space="preserve"> </w:t>
      </w:r>
      <w:r w:rsidR="00807835" w:rsidRPr="00CA60EF">
        <w:t>Summary Notes</w:t>
      </w:r>
      <w:r w:rsidR="00EB26EC" w:rsidRPr="00CA60EF">
        <w:t xml:space="preserve"> for Selected Diseases</w:t>
      </w:r>
      <w:r w:rsidR="00CA60EF">
        <w:t xml:space="preserve"> </w:t>
      </w:r>
      <w:r w:rsidR="00CA60EF">
        <w:br/>
      </w:r>
      <w:r w:rsidR="00AB78FE" w:rsidRPr="00CA60EF">
        <w:t>14 April</w:t>
      </w:r>
      <w:r w:rsidR="00B269B2" w:rsidRPr="00CA60EF">
        <w:t xml:space="preserve"> </w:t>
      </w:r>
      <w:r w:rsidR="00082C5E" w:rsidRPr="00CA60EF">
        <w:t>202</w:t>
      </w:r>
      <w:r w:rsidR="00176BE4" w:rsidRPr="00CA60EF">
        <w:t>5</w:t>
      </w:r>
      <w:r w:rsidR="0082527C" w:rsidRPr="00CA60EF">
        <w:t xml:space="preserve"> </w:t>
      </w:r>
      <w:r w:rsidR="00CA37B4" w:rsidRPr="00CA60EF">
        <w:t xml:space="preserve">to </w:t>
      </w:r>
      <w:r w:rsidR="00AB78FE" w:rsidRPr="00CA60EF">
        <w:t>27</w:t>
      </w:r>
      <w:r w:rsidR="007F44F3" w:rsidRPr="00CA60EF">
        <w:t xml:space="preserve"> </w:t>
      </w:r>
      <w:r w:rsidR="00180575" w:rsidRPr="00CA60EF">
        <w:t>April</w:t>
      </w:r>
      <w:r w:rsidR="007F44F3" w:rsidRPr="00CA60EF">
        <w:t xml:space="preserve"> </w:t>
      </w:r>
      <w:r w:rsidR="00924FC7" w:rsidRPr="00CA60EF">
        <w:t>202</w:t>
      </w:r>
      <w:bookmarkEnd w:id="0"/>
      <w:bookmarkEnd w:id="1"/>
      <w:bookmarkEnd w:id="2"/>
      <w:r w:rsidR="005C310A" w:rsidRPr="00CA60EF">
        <w:t>5</w:t>
      </w:r>
    </w:p>
    <w:p w14:paraId="6FD93C51" w14:textId="77777777" w:rsidR="00ED21CE" w:rsidRPr="00CA60EF" w:rsidRDefault="00ED21CE" w:rsidP="00067C27">
      <w:pPr>
        <w:pStyle w:val="Heading1"/>
      </w:pPr>
      <w:r w:rsidRPr="00CA60EF">
        <w:t>Infectious and congenital syphilis</w:t>
      </w:r>
    </w:p>
    <w:p w14:paraId="53F75425" w14:textId="01AA55F0" w:rsidR="00CD7413" w:rsidRPr="00067C27" w:rsidRDefault="00CD7413" w:rsidP="00067C27">
      <w:r w:rsidRPr="00CA60EF">
        <w:t xml:space="preserve">Infectious syphilis notifications </w:t>
      </w:r>
      <w:r w:rsidR="001C33F9" w:rsidRPr="00CA60EF">
        <w:t xml:space="preserve">continue to be reported at high levels </w:t>
      </w:r>
      <w:r w:rsidRPr="00CA60EF">
        <w:t xml:space="preserve">across Australia. Detailed analysis of infectious and congenital syphilis trends in Australia are reported quarterly in the </w:t>
      </w:r>
      <w:hyperlink r:id="rId11" w:history="1">
        <w:r w:rsidRPr="00307B1C">
          <w:rPr>
            <w:rStyle w:val="Hyperlink"/>
            <w:rFonts w:asciiTheme="minorHAnsi" w:hAnsiTheme="minorHAnsi" w:cstheme="minorHAnsi"/>
            <w:szCs w:val="22"/>
          </w:rPr>
          <w:t>National syphilis surveillance reports</w:t>
        </w:r>
      </w:hyperlink>
      <w:r w:rsidRPr="00067C27">
        <w:t>.</w:t>
      </w:r>
    </w:p>
    <w:p w14:paraId="5263EBFA" w14:textId="77777777" w:rsidR="00CD7413" w:rsidRPr="00067C27" w:rsidRDefault="00CD7413" w:rsidP="00067C27">
      <w:pPr>
        <w:pStyle w:val="Heading2"/>
      </w:pPr>
      <w:r w:rsidRPr="00067C27">
        <w:t>Syphilis response</w:t>
      </w:r>
    </w:p>
    <w:p w14:paraId="5E60BC2C" w14:textId="77777777" w:rsidR="00CD7413" w:rsidRPr="00CA60EF" w:rsidRDefault="00CD7413" w:rsidP="00067C27">
      <w:r w:rsidRPr="00CA60EF">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12" w:history="1">
        <w:r w:rsidRPr="00307B1C">
          <w:rPr>
            <w:rStyle w:val="Hyperlink"/>
            <w:rFonts w:asciiTheme="minorHAnsi" w:hAnsiTheme="minorHAnsi" w:cstheme="minorHAnsi"/>
            <w:i/>
            <w:iCs/>
            <w:szCs w:val="22"/>
          </w:rPr>
          <w:t>Don’t fool around with syphilis</w:t>
        </w:r>
      </w:hyperlink>
      <w:r w:rsidRPr="00CA60EF">
        <w:t xml:space="preserve"> campaign, refer to the </w:t>
      </w:r>
      <w:hyperlink r:id="rId13" w:history="1">
        <w:r w:rsidRPr="00307B1C">
          <w:rPr>
            <w:rStyle w:val="Hyperlink"/>
            <w:rFonts w:asciiTheme="minorHAnsi" w:hAnsiTheme="minorHAnsi" w:cstheme="minorHAnsi"/>
            <w:i/>
            <w:iCs/>
            <w:szCs w:val="22"/>
          </w:rPr>
          <w:t xml:space="preserve">National Response to Syphilis </w:t>
        </w:r>
      </w:hyperlink>
      <w:r w:rsidRPr="00067C27">
        <w:t> </w:t>
      </w:r>
      <w:r w:rsidRPr="00CA60EF">
        <w:t>webpage on the</w:t>
      </w:r>
      <w:r w:rsidRPr="00067C27">
        <w:t xml:space="preserve"> </w:t>
      </w:r>
      <w:r w:rsidRPr="00CA60EF">
        <w:t>Department’s website.</w:t>
      </w:r>
    </w:p>
    <w:p w14:paraId="78BC3745" w14:textId="77777777" w:rsidR="005616F6" w:rsidRPr="00067C27" w:rsidRDefault="005616F6" w:rsidP="00067C27">
      <w:pPr>
        <w:pStyle w:val="Heading1"/>
      </w:pPr>
      <w:r w:rsidRPr="00067C27">
        <w:t>Measles summary </w:t>
      </w:r>
    </w:p>
    <w:p w14:paraId="2EEFE014" w14:textId="4DB670EB" w:rsidR="005616F6" w:rsidRPr="00067C27" w:rsidRDefault="005616F6" w:rsidP="00067C27">
      <w:r w:rsidRPr="00067C27">
        <w:t xml:space="preserve">In the past 12 months, there have been 94 cases of measles reported to the National Notifiable Diseases Surveillance System (NNDSS) in Australia, of which 56% were overseas acquired and 44% locally acquired. In the current reporting period (14 April to 27 April 2025), there have been 8 cases compared to the previous reporting period (n = 18). From 1 January 2025 to 27 April 2025, there have been 70 cases including 37 locally acquired measles cases. Of the 37 cases acquired in Australia, 7 cases have been definitively linked with a case acquired overseas and 16 further cases have been definitively linked to other cases acquired in Australia*.  </w:t>
      </w:r>
      <w:proofErr w:type="gramStart"/>
      <w:r w:rsidRPr="00067C27">
        <w:t>The majority of</w:t>
      </w:r>
      <w:proofErr w:type="gramEnd"/>
      <w:r w:rsidRPr="00067C27">
        <w:t xml:space="preserve"> cases have been notified in Victoria (n=25), New South Wales (n=21) and Western Australia (n = 17). There have been no cases notified in the ACT or Tasmania.  </w:t>
      </w:r>
    </w:p>
    <w:p w14:paraId="5434D99F" w14:textId="43006594" w:rsidR="00307B1C" w:rsidRPr="00067C27" w:rsidRDefault="00307B1C" w:rsidP="00067C27">
      <w:pPr>
        <w:pStyle w:val="Heading1"/>
      </w:pPr>
      <w:r w:rsidRPr="00067C27">
        <w:t>Chikungunya virus infection</w:t>
      </w:r>
    </w:p>
    <w:p w14:paraId="0258CBFE" w14:textId="09268874" w:rsidR="00307B1C" w:rsidRPr="00067C27" w:rsidRDefault="00307B1C" w:rsidP="00067C27">
      <w:r w:rsidRPr="00067C27">
        <w:t>Chikungunya is a viral disease spread by mosquitoes to humans and is not endemic in mainland Australia. There have been 91 cases of chikungunya virus infection reported to the National Notifiable Diseases Surveillance System (NNDSS) in Australia in the past 12 months. In the past quarter (28 January 2025 to 27 April 2025), there were 39 cases of chikungunya notified, which was 3.1 times the quarterly rolling five year mean (n=12.4). From 1 January 2025 to 27 April 2025, of the 44 cases of chikungunya virus infection reported, 22 (50%) were acquired overseas in Sri Lanka.</w:t>
      </w:r>
    </w:p>
    <w:p w14:paraId="15978A89" w14:textId="77777777" w:rsidR="00C37A92" w:rsidRPr="00067C27" w:rsidRDefault="00C37A92" w:rsidP="00067C27">
      <w:pPr>
        <w:pStyle w:val="Heading4"/>
      </w:pPr>
      <w:r w:rsidRPr="00067C27">
        <w:t xml:space="preserve">Interpretative Notes </w:t>
      </w:r>
    </w:p>
    <w:bookmarkEnd w:id="3"/>
    <w:bookmarkEnd w:id="4"/>
    <w:bookmarkEnd w:id="5"/>
    <w:bookmarkEnd w:id="6"/>
    <w:p w14:paraId="71AA7033" w14:textId="678FBC81" w:rsidR="00017515" w:rsidRPr="00067C27" w:rsidRDefault="00017515" w:rsidP="00067C27">
      <w:pPr>
        <w:rPr>
          <w:rStyle w:val="Emphasis"/>
        </w:rPr>
      </w:pPr>
      <w:r w:rsidRPr="00067C27">
        <w:rPr>
          <w:rStyle w:val="Emphasis"/>
        </w:rPr>
        <w:t xml:space="preserve">Selected diseases are chosen each fortnight based on either exceeding two standard deviations from the 90 day and/or </w:t>
      </w:r>
      <w:r w:rsidR="00307B1C" w:rsidRPr="00067C27">
        <w:rPr>
          <w:rStyle w:val="Emphasis"/>
        </w:rPr>
        <w:t>365-day</w:t>
      </w:r>
      <w:r w:rsidRPr="00067C27">
        <w:rPr>
          <w:rStyle w:val="Emphasis"/>
        </w:rPr>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067C27" w:rsidRDefault="00017515" w:rsidP="00067C27">
      <w:pPr>
        <w:rPr>
          <w:rStyle w:val="Emphasis"/>
        </w:rPr>
      </w:pPr>
      <w:r w:rsidRPr="00067C27">
        <w:rPr>
          <w:rStyle w:val="Emphasis"/>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0253E1A9" w:rsidR="00017515" w:rsidRPr="00067C27" w:rsidRDefault="00017515" w:rsidP="00067C27">
      <w:pPr>
        <w:rPr>
          <w:rStyle w:val="Emphasis"/>
        </w:rPr>
      </w:pPr>
      <w:r w:rsidRPr="00067C27">
        <w:rPr>
          <w:rStyle w:val="Emphasis"/>
        </w:rPr>
        <w:t>1The past quarter (90 day) surveillance period includes the date range (</w:t>
      </w:r>
      <w:r w:rsidR="00AD2B9A" w:rsidRPr="00067C27">
        <w:rPr>
          <w:rStyle w:val="Emphasis"/>
        </w:rPr>
        <w:t>28</w:t>
      </w:r>
      <w:r w:rsidR="000E3B91" w:rsidRPr="00067C27">
        <w:rPr>
          <w:rStyle w:val="Emphasis"/>
        </w:rPr>
        <w:t>/01/2025</w:t>
      </w:r>
      <w:r w:rsidR="0081611F" w:rsidRPr="00067C27">
        <w:rPr>
          <w:rStyle w:val="Emphasis"/>
        </w:rPr>
        <w:t xml:space="preserve"> to</w:t>
      </w:r>
      <w:r w:rsidR="005F4765" w:rsidRPr="00067C27">
        <w:rPr>
          <w:rStyle w:val="Emphasis"/>
        </w:rPr>
        <w:t xml:space="preserve"> </w:t>
      </w:r>
      <w:r w:rsidR="00AD2B9A" w:rsidRPr="00067C27">
        <w:rPr>
          <w:rStyle w:val="Emphasis"/>
        </w:rPr>
        <w:t>27</w:t>
      </w:r>
      <w:r w:rsidR="000E3B91" w:rsidRPr="00067C27">
        <w:rPr>
          <w:rStyle w:val="Emphasis"/>
        </w:rPr>
        <w:t>/04</w:t>
      </w:r>
      <w:r w:rsidR="009C1059" w:rsidRPr="00067C27">
        <w:rPr>
          <w:rStyle w:val="Emphasis"/>
        </w:rPr>
        <w:t>/20</w:t>
      </w:r>
      <w:r w:rsidR="006A65C0" w:rsidRPr="00067C27">
        <w:rPr>
          <w:rStyle w:val="Emphasis"/>
        </w:rPr>
        <w:t>2</w:t>
      </w:r>
      <w:r w:rsidR="00872BFE" w:rsidRPr="00067C27">
        <w:rPr>
          <w:rStyle w:val="Emphasis"/>
        </w:rPr>
        <w:t>5</w:t>
      </w:r>
      <w:r w:rsidR="00777AAA" w:rsidRPr="00067C27">
        <w:rPr>
          <w:rStyle w:val="Emphasis"/>
        </w:rPr>
        <w:t>).</w:t>
      </w:r>
    </w:p>
    <w:p w14:paraId="38B56901" w14:textId="299740A5" w:rsidR="00017515" w:rsidRPr="00067C27" w:rsidRDefault="00017515" w:rsidP="00067C27">
      <w:pPr>
        <w:rPr>
          <w:rStyle w:val="Emphasis"/>
        </w:rPr>
      </w:pPr>
      <w:r w:rsidRPr="00067C27">
        <w:rPr>
          <w:rStyle w:val="Emphasis"/>
        </w:rPr>
        <w:t xml:space="preserve">2The quarterly (90 day) five year rolling mean is the average </w:t>
      </w:r>
      <w:r w:rsidR="00D26EE8" w:rsidRPr="00067C27">
        <w:rPr>
          <w:rStyle w:val="Emphasis"/>
        </w:rPr>
        <w:t>of</w:t>
      </w:r>
      <w:r w:rsidR="00CA37B4" w:rsidRPr="00067C27">
        <w:rPr>
          <w:rStyle w:val="Emphasis"/>
        </w:rPr>
        <w:t xml:space="preserve"> 5 intervals of 90 days up to</w:t>
      </w:r>
      <w:r w:rsidR="003603F7" w:rsidRPr="00067C27">
        <w:rPr>
          <w:rStyle w:val="Emphasis"/>
        </w:rPr>
        <w:t xml:space="preserve"> </w:t>
      </w:r>
      <w:r w:rsidR="00AD2B9A" w:rsidRPr="00067C27">
        <w:rPr>
          <w:rStyle w:val="Emphasis"/>
        </w:rPr>
        <w:t>27</w:t>
      </w:r>
      <w:r w:rsidR="000E3B91" w:rsidRPr="00067C27">
        <w:rPr>
          <w:rStyle w:val="Emphasis"/>
        </w:rPr>
        <w:t>/04</w:t>
      </w:r>
      <w:r w:rsidR="00AF43C7" w:rsidRPr="00067C27">
        <w:rPr>
          <w:rStyle w:val="Emphasis"/>
        </w:rPr>
        <w:t>/202</w:t>
      </w:r>
      <w:r w:rsidR="00872BFE" w:rsidRPr="00067C27">
        <w:rPr>
          <w:rStyle w:val="Emphasis"/>
        </w:rPr>
        <w:t>4</w:t>
      </w:r>
      <w:r w:rsidRPr="00067C27">
        <w:rPr>
          <w:rStyle w:val="Emphasis"/>
        </w:rPr>
        <w:t xml:space="preserve">.  The ratio is the notification activity in the past quarter (90 days) compared with the </w:t>
      </w:r>
      <w:r w:rsidR="00307B1C" w:rsidRPr="00067C27">
        <w:rPr>
          <w:rStyle w:val="Emphasis"/>
        </w:rPr>
        <w:t>five-year</w:t>
      </w:r>
      <w:r w:rsidRPr="00067C27">
        <w:rPr>
          <w:rStyle w:val="Emphasis"/>
        </w:rPr>
        <w:t xml:space="preserve"> rolling mean for the same period.</w:t>
      </w:r>
    </w:p>
    <w:p w14:paraId="228A0A61" w14:textId="6844028C" w:rsidR="00017515" w:rsidRPr="00067C27" w:rsidRDefault="00017515" w:rsidP="00067C27">
      <w:pPr>
        <w:rPr>
          <w:rStyle w:val="Emphasis"/>
        </w:rPr>
      </w:pPr>
      <w:r w:rsidRPr="00067C27">
        <w:rPr>
          <w:rStyle w:val="Emphasis"/>
        </w:rPr>
        <w:t xml:space="preserve">3The past year (365 day) surveillance period includes the date range </w:t>
      </w:r>
      <w:r w:rsidR="002C38A0" w:rsidRPr="00067C27">
        <w:rPr>
          <w:rStyle w:val="Emphasis"/>
        </w:rPr>
        <w:t>(</w:t>
      </w:r>
      <w:r w:rsidR="00AD2B9A" w:rsidRPr="00067C27">
        <w:rPr>
          <w:rStyle w:val="Emphasis"/>
        </w:rPr>
        <w:t>28</w:t>
      </w:r>
      <w:r w:rsidR="000E3B91" w:rsidRPr="00067C27">
        <w:rPr>
          <w:rStyle w:val="Emphasis"/>
        </w:rPr>
        <w:t>/04</w:t>
      </w:r>
      <w:r w:rsidR="00421F52" w:rsidRPr="00067C27">
        <w:rPr>
          <w:rStyle w:val="Emphasis"/>
        </w:rPr>
        <w:t>/</w:t>
      </w:r>
      <w:r w:rsidR="009C1059" w:rsidRPr="00067C27">
        <w:rPr>
          <w:rStyle w:val="Emphasis"/>
        </w:rPr>
        <w:t>202</w:t>
      </w:r>
      <w:r w:rsidR="00430CFE" w:rsidRPr="00067C27">
        <w:rPr>
          <w:rStyle w:val="Emphasis"/>
        </w:rPr>
        <w:t>4</w:t>
      </w:r>
      <w:r w:rsidR="00493076" w:rsidRPr="00067C27">
        <w:rPr>
          <w:rStyle w:val="Emphasis"/>
        </w:rPr>
        <w:t xml:space="preserve"> to</w:t>
      </w:r>
      <w:r w:rsidR="00EA74EE" w:rsidRPr="00067C27">
        <w:rPr>
          <w:rStyle w:val="Emphasis"/>
        </w:rPr>
        <w:t xml:space="preserve"> </w:t>
      </w:r>
      <w:r w:rsidR="00AD2B9A" w:rsidRPr="00067C27">
        <w:rPr>
          <w:rStyle w:val="Emphasis"/>
        </w:rPr>
        <w:t>27</w:t>
      </w:r>
      <w:r w:rsidR="000E3B91" w:rsidRPr="00067C27">
        <w:rPr>
          <w:rStyle w:val="Emphasis"/>
        </w:rPr>
        <w:t>/04</w:t>
      </w:r>
      <w:r w:rsidR="00AF43C7" w:rsidRPr="00067C27">
        <w:rPr>
          <w:rStyle w:val="Emphasis"/>
        </w:rPr>
        <w:t>/202</w:t>
      </w:r>
      <w:r w:rsidR="00430CFE" w:rsidRPr="00067C27">
        <w:rPr>
          <w:rStyle w:val="Emphasis"/>
        </w:rPr>
        <w:t>5</w:t>
      </w:r>
      <w:r w:rsidR="002C38A0" w:rsidRPr="00067C27">
        <w:rPr>
          <w:rStyle w:val="Emphasis"/>
        </w:rPr>
        <w:t>).</w:t>
      </w:r>
    </w:p>
    <w:p w14:paraId="24BCFBDD" w14:textId="0C6979AB" w:rsidR="00017515" w:rsidRPr="00067C27" w:rsidRDefault="00017515" w:rsidP="00067C27">
      <w:pPr>
        <w:rPr>
          <w:rStyle w:val="Emphasis"/>
        </w:rPr>
      </w:pPr>
      <w:r w:rsidRPr="00067C27">
        <w:rPr>
          <w:rStyle w:val="Emphasis"/>
        </w:rPr>
        <w:t>4The yearly (365 day) five year rolling mean is the average o</w:t>
      </w:r>
      <w:r w:rsidR="007F67BA" w:rsidRPr="00067C27">
        <w:rPr>
          <w:rStyle w:val="Emphasis"/>
        </w:rPr>
        <w:t xml:space="preserve">f </w:t>
      </w:r>
      <w:r w:rsidR="00CA37B4" w:rsidRPr="00067C27">
        <w:rPr>
          <w:rStyle w:val="Emphasis"/>
        </w:rPr>
        <w:t>5 intervals of 365 days up to</w:t>
      </w:r>
      <w:r w:rsidR="00A13BC6" w:rsidRPr="00067C27">
        <w:rPr>
          <w:rStyle w:val="Emphasis"/>
        </w:rPr>
        <w:t xml:space="preserve"> </w:t>
      </w:r>
      <w:r w:rsidR="00AD2B9A" w:rsidRPr="00067C27">
        <w:rPr>
          <w:rStyle w:val="Emphasis"/>
        </w:rPr>
        <w:t>27</w:t>
      </w:r>
      <w:r w:rsidR="000E3B91" w:rsidRPr="00067C27">
        <w:rPr>
          <w:rStyle w:val="Emphasis"/>
        </w:rPr>
        <w:t>/04</w:t>
      </w:r>
      <w:r w:rsidR="00AF43C7" w:rsidRPr="00067C27">
        <w:rPr>
          <w:rStyle w:val="Emphasis"/>
        </w:rPr>
        <w:t>/202</w:t>
      </w:r>
      <w:r w:rsidR="00176BE4" w:rsidRPr="00067C27">
        <w:rPr>
          <w:rStyle w:val="Emphasis"/>
        </w:rPr>
        <w:t>4</w:t>
      </w:r>
      <w:r w:rsidR="002C38A0" w:rsidRPr="00067C27">
        <w:rPr>
          <w:rStyle w:val="Emphasis"/>
        </w:rPr>
        <w:t>.</w:t>
      </w:r>
      <w:r w:rsidR="00777AAA" w:rsidRPr="00067C27">
        <w:rPr>
          <w:rStyle w:val="Emphasis"/>
        </w:rPr>
        <w:t xml:space="preserve"> </w:t>
      </w:r>
      <w:r w:rsidRPr="00067C27">
        <w:rPr>
          <w:rStyle w:val="Emphasis"/>
        </w:rPr>
        <w:t xml:space="preserve">The ratio is the notification activity in the past year (365 days) compared with the </w:t>
      </w:r>
      <w:r w:rsidR="00307B1C" w:rsidRPr="00067C27">
        <w:rPr>
          <w:rStyle w:val="Emphasis"/>
        </w:rPr>
        <w:t>five-year</w:t>
      </w:r>
      <w:r w:rsidRPr="00067C27">
        <w:rPr>
          <w:rStyle w:val="Emphasis"/>
        </w:rPr>
        <w:t xml:space="preserve"> rolling mean for the same period.</w:t>
      </w:r>
    </w:p>
    <w:p w14:paraId="011711D9" w14:textId="1B04B3D5" w:rsidR="00745E0F" w:rsidRPr="00067C27" w:rsidRDefault="00017515" w:rsidP="00067C27">
      <w:pPr>
        <w:rPr>
          <w:rStyle w:val="Emphasis"/>
        </w:rPr>
      </w:pPr>
      <w:r w:rsidRPr="00067C27">
        <w:rPr>
          <w:rStyle w:val="Emphasis"/>
        </w:rPr>
        <w:t xml:space="preserve">The </w:t>
      </w:r>
      <w:r w:rsidR="00307B1C" w:rsidRPr="00067C27">
        <w:rPr>
          <w:rStyle w:val="Emphasis"/>
        </w:rPr>
        <w:t>five-year</w:t>
      </w:r>
      <w:r w:rsidRPr="00067C27">
        <w:rPr>
          <w:rStyle w:val="Emphasis"/>
        </w:rPr>
        <w:t xml:space="preserve"> rolling mean and the ratio of notifications compared with the </w:t>
      </w:r>
      <w:r w:rsidR="00307B1C" w:rsidRPr="00067C27">
        <w:rPr>
          <w:rStyle w:val="Emphasis"/>
        </w:rPr>
        <w:t>five-year</w:t>
      </w:r>
      <w:r w:rsidRPr="00067C27">
        <w:rPr>
          <w:rStyle w:val="Emphasis"/>
        </w:rPr>
        <w:t xml:space="preserve"> rolling mean should be interpreted with caution.  Changes in surveillance practice, diagnostic techniques and reporting may contribute to increases or decreases in the total notifications received over a </w:t>
      </w:r>
      <w:r w:rsidR="00307B1C" w:rsidRPr="00067C27">
        <w:rPr>
          <w:rStyle w:val="Emphasis"/>
        </w:rPr>
        <w:t>five-year</w:t>
      </w:r>
      <w:r w:rsidRPr="00067C27">
        <w:rPr>
          <w:rStyle w:val="Emphasis"/>
        </w:rPr>
        <w:t xml:space="preserve"> period. Ratios are to be taken as a crude measure of current disease activity and may reflect changes in reporting rather than changes in disease activity. </w:t>
      </w:r>
    </w:p>
    <w:p w14:paraId="0BCE1FD9" w14:textId="0F87EAE8" w:rsidR="005616F6" w:rsidRPr="00067C27" w:rsidRDefault="005616F6" w:rsidP="00067C27">
      <w:pPr>
        <w:rPr>
          <w:rStyle w:val="Emphasis"/>
        </w:rPr>
      </w:pPr>
      <w:r w:rsidRPr="00067C27">
        <w:rPr>
          <w:rStyle w:val="Emphasis"/>
        </w:rPr>
        <w:t>*Based on the outbreak reference ID field in the NNDSS only.</w:t>
      </w:r>
    </w:p>
    <w:sectPr w:rsidR="005616F6" w:rsidRPr="00067C27"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2D44B" w14:textId="77777777" w:rsidR="00F375C9" w:rsidRDefault="00F375C9" w:rsidP="00067C27">
      <w:r>
        <w:separator/>
      </w:r>
    </w:p>
  </w:endnote>
  <w:endnote w:type="continuationSeparator" w:id="0">
    <w:p w14:paraId="5AAFA114" w14:textId="77777777" w:rsidR="00F375C9" w:rsidRDefault="00F375C9" w:rsidP="0006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1AEF" w14:textId="77777777" w:rsidR="00F375C9" w:rsidRDefault="00F375C9" w:rsidP="00067C27">
      <w:r>
        <w:separator/>
      </w:r>
    </w:p>
  </w:footnote>
  <w:footnote w:type="continuationSeparator" w:id="0">
    <w:p w14:paraId="1FD844D0" w14:textId="77777777" w:rsidR="00F375C9" w:rsidRDefault="00F375C9" w:rsidP="00067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67C27"/>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4C7A"/>
    <w:rsid w:val="00204F4B"/>
    <w:rsid w:val="00207329"/>
    <w:rsid w:val="002159B5"/>
    <w:rsid w:val="00215D13"/>
    <w:rsid w:val="0021612C"/>
    <w:rsid w:val="0021676B"/>
    <w:rsid w:val="002206B7"/>
    <w:rsid w:val="0022270B"/>
    <w:rsid w:val="002240BA"/>
    <w:rsid w:val="00227733"/>
    <w:rsid w:val="00232EC7"/>
    <w:rsid w:val="00236944"/>
    <w:rsid w:val="00236E28"/>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7F07"/>
    <w:rsid w:val="002D0BB9"/>
    <w:rsid w:val="002D0D6F"/>
    <w:rsid w:val="002D330C"/>
    <w:rsid w:val="002D44D4"/>
    <w:rsid w:val="002D5CC2"/>
    <w:rsid w:val="002D7C2F"/>
    <w:rsid w:val="002E1413"/>
    <w:rsid w:val="002E4545"/>
    <w:rsid w:val="002E56CD"/>
    <w:rsid w:val="002F0BF2"/>
    <w:rsid w:val="002F1D15"/>
    <w:rsid w:val="002F29B1"/>
    <w:rsid w:val="002F63E9"/>
    <w:rsid w:val="002F75DE"/>
    <w:rsid w:val="00302BA3"/>
    <w:rsid w:val="0030352D"/>
    <w:rsid w:val="00305AD3"/>
    <w:rsid w:val="00305C89"/>
    <w:rsid w:val="003066A2"/>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B1C6A"/>
    <w:rsid w:val="003B2238"/>
    <w:rsid w:val="003B2D58"/>
    <w:rsid w:val="003B44B3"/>
    <w:rsid w:val="003B5E01"/>
    <w:rsid w:val="003B72D4"/>
    <w:rsid w:val="003C14FD"/>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9D"/>
    <w:rsid w:val="004424A1"/>
    <w:rsid w:val="004424BE"/>
    <w:rsid w:val="00442C9C"/>
    <w:rsid w:val="00443302"/>
    <w:rsid w:val="004441E9"/>
    <w:rsid w:val="00444390"/>
    <w:rsid w:val="0044721C"/>
    <w:rsid w:val="004501AB"/>
    <w:rsid w:val="0045170F"/>
    <w:rsid w:val="004538B1"/>
    <w:rsid w:val="00454B72"/>
    <w:rsid w:val="00455EF7"/>
    <w:rsid w:val="00457383"/>
    <w:rsid w:val="00457400"/>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578"/>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0EF"/>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375C9"/>
    <w:rsid w:val="00F40E13"/>
    <w:rsid w:val="00F44599"/>
    <w:rsid w:val="00F50E7A"/>
    <w:rsid w:val="00F527AE"/>
    <w:rsid w:val="00F52FA0"/>
    <w:rsid w:val="00F5634B"/>
    <w:rsid w:val="00F56CE5"/>
    <w:rsid w:val="00F57A70"/>
    <w:rsid w:val="00F600CA"/>
    <w:rsid w:val="00F60AF7"/>
    <w:rsid w:val="00F60E83"/>
    <w:rsid w:val="00F62B26"/>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C27"/>
    <w:rPr>
      <w:rFonts w:ascii="Calibri" w:eastAsiaTheme="minorHAnsi" w:hAnsi="Calibri"/>
      <w:sz w:val="22"/>
      <w:szCs w:val="24"/>
    </w:rPr>
  </w:style>
  <w:style w:type="paragraph" w:styleId="Heading1">
    <w:name w:val="heading 1"/>
    <w:basedOn w:val="Normal"/>
    <w:next w:val="Normal"/>
    <w:qFormat/>
    <w:rsid w:val="00067C27"/>
    <w:pPr>
      <w:keepNext/>
      <w:spacing w:before="120" w:after="120" w:line="360" w:lineRule="auto"/>
      <w:outlineLvl w:val="0"/>
    </w:pPr>
    <w:rPr>
      <w:rFonts w:cs="Arial"/>
      <w:b/>
      <w:bCs/>
      <w:color w:val="000000"/>
      <w:szCs w:val="22"/>
    </w:rPr>
  </w:style>
  <w:style w:type="paragraph" w:styleId="Heading2">
    <w:name w:val="heading 2"/>
    <w:basedOn w:val="Normal"/>
    <w:next w:val="Normal"/>
    <w:link w:val="Heading2Char"/>
    <w:unhideWhenUsed/>
    <w:qFormat/>
    <w:rsid w:val="00067C27"/>
    <w:pPr>
      <w:keepNext/>
      <w:spacing w:before="240" w:after="60"/>
      <w:outlineLvl w:val="1"/>
    </w:pPr>
    <w:rPr>
      <w:rFonts w:eastAsiaTheme="majorEastAsia" w:cstheme="majorBidi"/>
      <w:b/>
      <w:bCs/>
      <w:i/>
      <w:iCs/>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067C27"/>
    <w:pPr>
      <w:keepNext/>
      <w:spacing w:before="120"/>
      <w:outlineLvl w:val="3"/>
    </w:pPr>
    <w:rPr>
      <w:rFonts w:asciiTheme="minorHAnsi" w:hAnsiTheme="minorHAnsi" w:cstheme="minorHAnsi"/>
      <w:b/>
      <w:i/>
      <w:sz w:val="20"/>
      <w:szCs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styleId="Title">
    <w:name w:val="Title"/>
    <w:basedOn w:val="Heading1"/>
    <w:next w:val="Normal"/>
    <w:link w:val="TitleChar"/>
    <w:qFormat/>
    <w:rsid w:val="00CA60EF"/>
    <w:pPr>
      <w:ind w:left="1985" w:right="1985"/>
      <w:jc w:val="center"/>
    </w:pPr>
    <w:rPr>
      <w:noProof/>
    </w:rPr>
  </w:style>
  <w:style w:type="character" w:customStyle="1" w:styleId="TitleChar">
    <w:name w:val="Title Char"/>
    <w:basedOn w:val="DefaultParagraphFont"/>
    <w:link w:val="Title"/>
    <w:rsid w:val="00CA60EF"/>
    <w:rPr>
      <w:rFonts w:ascii="Calibri" w:hAnsi="Calibri" w:cs="Arial"/>
      <w:b/>
      <w:bCs/>
      <w:noProof/>
      <w:color w:val="000000"/>
      <w:sz w:val="22"/>
      <w:szCs w:val="22"/>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cs="Arial"/>
      <w:szCs w:val="22"/>
    </w:rPr>
  </w:style>
  <w:style w:type="character" w:customStyle="1" w:styleId="Heading2Char">
    <w:name w:val="Heading 2 Char"/>
    <w:basedOn w:val="DefaultParagraphFont"/>
    <w:link w:val="Heading2"/>
    <w:rsid w:val="00067C27"/>
    <w:rPr>
      <w:rFonts w:ascii="Calibri" w:eastAsiaTheme="majorEastAsia" w:hAnsi="Calibri" w:cstheme="majorBidi"/>
      <w:b/>
      <w:bCs/>
      <w:i/>
      <w:iCs/>
      <w:sz w:val="22"/>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szCs w:val="22"/>
      <w:lang w:eastAsia="en-US"/>
    </w:rPr>
  </w:style>
  <w:style w:type="paragraph" w:customStyle="1" w:styleId="Default">
    <w:name w:val="Default"/>
    <w:basedOn w:val="Normal"/>
    <w:rsid w:val="006D7E9D"/>
    <w:pPr>
      <w:autoSpaceDE w:val="0"/>
      <w:autoSpaceDN w:val="0"/>
    </w:pPr>
    <w:rPr>
      <w:rFonts w:ascii="Arial" w:hAnsi="Arial" w:cs="Arial"/>
      <w:color w:val="000000"/>
    </w:rPr>
  </w:style>
  <w:style w:type="paragraph" w:styleId="PlainText">
    <w:name w:val="Plain Text"/>
    <w:basedOn w:val="Normal"/>
    <w:link w:val="PlainTextChar"/>
    <w:uiPriority w:val="99"/>
    <w:unhideWhenUsed/>
    <w:rsid w:val="00C2431E"/>
    <w:rPr>
      <w:rFonts w:cs="Calibri"/>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067C27"/>
    <w:rPr>
      <w:rFonts w:ascii="Calibri" w:hAnsi="Calibri"/>
      <w:i/>
      <w:iCs/>
      <w:sz w:val="20"/>
    </w:rPr>
  </w:style>
  <w:style w:type="character" w:styleId="UnresolvedMention">
    <w:name w:val="Unresolved Mention"/>
    <w:basedOn w:val="DefaultParagraphFont"/>
    <w:uiPriority w:val="99"/>
    <w:semiHidden/>
    <w:unhideWhenUsed/>
    <w:rsid w:val="00251640"/>
    <w:rPr>
      <w:color w:val="605E5C"/>
      <w:shd w:val="clear" w:color="auto" w:fill="E1DFDD"/>
    </w:rPr>
  </w:style>
  <w:style w:type="character" w:customStyle="1" w:styleId="Heading4Char">
    <w:name w:val="Heading 4 Char"/>
    <w:basedOn w:val="DefaultParagraphFont"/>
    <w:link w:val="Heading4"/>
    <w:rsid w:val="00067C27"/>
    <w:rPr>
      <w:rFonts w:asciiTheme="minorHAnsi" w:hAnsiTheme="minorHAnsi" w:cstheme="minorHAnsi"/>
      <w:b/>
      <w:i/>
      <w:szCs w:val="16"/>
      <w:u w:val="single"/>
    </w:rPr>
  </w:style>
  <w:style w:type="paragraph" w:styleId="Revision">
    <w:name w:val="Revision"/>
    <w:hidden/>
    <w:uiPriority w:val="99"/>
    <w:semiHidden/>
    <w:rsid w:val="00086ACE"/>
    <w:rPr>
      <w:sz w:val="24"/>
      <w:szCs w:val="24"/>
    </w:rPr>
  </w:style>
  <w:style w:type="character" w:customStyle="1" w:styleId="normaltextrun">
    <w:name w:val="normaltextrun"/>
    <w:basedOn w:val="DefaultParagraphFont"/>
    <w:rsid w:val="0067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national-response-to-syphil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dont-fool-around-with-syphil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national-syphilis-monitoring-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F091E-69CC-488B-B30B-F79A47044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customXml/itemProps3.xml><?xml version="1.0" encoding="utf-8"?>
<ds:datastoreItem xmlns:ds="http://schemas.openxmlformats.org/officeDocument/2006/customXml" ds:itemID="{35DAE84B-6E66-48B2-8D3C-4F0CEF59A6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283EBC-3E32-4EDA-8C12-877C7CC62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1847</TotalTime>
  <Pages>1</Pages>
  <Words>649</Words>
  <Characters>3522</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NNDSS Fortnightly Report to CDNA – 14 April 2025 to 27 April 2025</vt:lpstr>
    </vt:vector>
  </TitlesOfParts>
  <LinksUpToDate>false</LinksUpToDate>
  <CharactersWithSpaces>4166</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14 April 2025 to 27 April 2025</dc:title>
  <dc:subject>Communicable Diseases; National Notifiable Diseases Surveillance System (NNDSS)</dc:subject>
  <dc:creator>Australian Government Department of Health and Aged Care</dc:creator>
  <cp:keywords>Communicable Diseases; National Notifiable Diseases Surveillance System (NNDSS)</cp:keywords>
  <cp:lastPrinted>2025-05-06T03:06:00Z</cp:lastPrinted>
  <dcterms:created xsi:type="dcterms:W3CDTF">2025-02-12T03:07:00Z</dcterms:created>
  <dcterms:modified xsi:type="dcterms:W3CDTF">2025-05-12T05:15:00Z</dcterms:modified>
</cp:coreProperties>
</file>