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6E6BF237"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D020F">
        <w:rPr>
          <w:rFonts w:asciiTheme="minorHAnsi" w:hAnsiTheme="minorHAnsi" w:cstheme="minorHAnsi"/>
          <w:b/>
          <w:bCs/>
          <w:noProof/>
          <w:u w:val="single"/>
        </w:rPr>
        <w:t>1</w:t>
      </w:r>
      <w:r w:rsidR="00DD3A93">
        <w:rPr>
          <w:rFonts w:asciiTheme="minorHAnsi" w:hAnsiTheme="minorHAnsi" w:cstheme="minorHAnsi"/>
          <w:b/>
          <w:bCs/>
          <w:noProof/>
          <w:u w:val="single"/>
        </w:rPr>
        <w:t>2</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156A3D48" w:rsidR="00AC0D80" w:rsidRDefault="00DD3A93"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26</w:t>
      </w:r>
      <w:r w:rsidR="00B41AC8">
        <w:rPr>
          <w:rFonts w:asciiTheme="minorHAnsi" w:hAnsiTheme="minorHAnsi" w:cstheme="minorHAnsi"/>
          <w:sz w:val="24"/>
          <w:szCs w:val="24"/>
          <w:u w:val="single"/>
        </w:rPr>
        <w:t xml:space="preserve"> May</w:t>
      </w:r>
      <w:r w:rsidR="00B269B2">
        <w:rPr>
          <w:rFonts w:asciiTheme="minorHAnsi" w:hAnsiTheme="minorHAnsi" w:cstheme="minorHAnsi"/>
          <w:sz w:val="24"/>
          <w:szCs w:val="24"/>
          <w:u w:val="single"/>
        </w:rPr>
        <w:t xml:space="preserve">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Pr>
          <w:rFonts w:asciiTheme="minorHAnsi" w:hAnsiTheme="minorHAnsi" w:cstheme="minorHAnsi"/>
          <w:sz w:val="24"/>
          <w:szCs w:val="24"/>
          <w:u w:val="single"/>
        </w:rPr>
        <w:t>8 June</w:t>
      </w:r>
      <w:r w:rsidR="007F44F3">
        <w:rPr>
          <w:rFonts w:asciiTheme="minorHAnsi" w:hAnsiTheme="minorHAnsi" w:cstheme="minorHAnsi"/>
          <w:sz w:val="24"/>
          <w:szCs w:val="24"/>
          <w:u w:val="single"/>
        </w:rPr>
        <w:t xml:space="preserve">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57C143A7" w14:textId="77777777" w:rsidR="00F97DB4" w:rsidRPr="001D6E22" w:rsidRDefault="00F97DB4" w:rsidP="001D6E22"/>
    <w:p w14:paraId="6FD93C51" w14:textId="77777777" w:rsidR="00ED21CE" w:rsidRPr="00237645" w:rsidRDefault="00ED21CE" w:rsidP="00ED21CE">
      <w:pPr>
        <w:autoSpaceDE w:val="0"/>
        <w:autoSpaceDN w:val="0"/>
        <w:rPr>
          <w:rFonts w:asciiTheme="minorHAnsi" w:hAnsiTheme="minorHAnsi" w:cstheme="minorHAnsi"/>
          <w:b/>
          <w:bCs/>
          <w:color w:val="000000"/>
          <w:u w:val="single"/>
        </w:rPr>
      </w:pPr>
      <w:r w:rsidRPr="00237645">
        <w:rPr>
          <w:rFonts w:asciiTheme="minorHAnsi" w:hAnsiTheme="minorHAnsi" w:cstheme="minorHAnsi"/>
          <w:b/>
          <w:bCs/>
          <w:color w:val="000000"/>
          <w:u w:val="single"/>
        </w:rPr>
        <w:t>Infectious and congenital syphilis</w:t>
      </w:r>
    </w:p>
    <w:p w14:paraId="53F75425" w14:textId="01AA55F0" w:rsidR="00CD7413" w:rsidRPr="00237645" w:rsidRDefault="00CD7413" w:rsidP="00CD7413">
      <w:pPr>
        <w:autoSpaceDE w:val="0"/>
        <w:autoSpaceDN w:val="0"/>
        <w:rPr>
          <w:rFonts w:asciiTheme="minorHAnsi" w:eastAsiaTheme="minorHAnsi" w:hAnsiTheme="minorHAnsi" w:cstheme="minorHAnsi"/>
        </w:rPr>
      </w:pPr>
      <w:r w:rsidRPr="00237645">
        <w:rPr>
          <w:rFonts w:asciiTheme="minorHAnsi" w:hAnsiTheme="minorHAnsi" w:cstheme="minorHAnsi"/>
        </w:rPr>
        <w:t xml:space="preserve">Infectious syphilis notifications </w:t>
      </w:r>
      <w:r w:rsidR="001C33F9" w:rsidRPr="00237645">
        <w:rPr>
          <w:rFonts w:asciiTheme="minorHAnsi" w:hAnsiTheme="minorHAnsi" w:cstheme="minorHAnsi"/>
        </w:rPr>
        <w:t xml:space="preserve">continue to be reported at high levels </w:t>
      </w:r>
      <w:r w:rsidRPr="00237645">
        <w:rPr>
          <w:rFonts w:asciiTheme="minorHAnsi" w:hAnsiTheme="minorHAnsi" w:cstheme="minorHAnsi"/>
        </w:rPr>
        <w:t xml:space="preserve">across Australia. Detailed analysis of infectious and congenital syphilis trends in Australia are reported quarterly in the </w:t>
      </w:r>
      <w:hyperlink r:id="rId11" w:history="1">
        <w:r w:rsidRPr="00237645">
          <w:rPr>
            <w:rStyle w:val="Hyperlink"/>
            <w:rFonts w:asciiTheme="minorHAnsi" w:hAnsiTheme="minorHAnsi" w:cstheme="minorHAnsi"/>
          </w:rPr>
          <w:t>National syphilis surveillance reports</w:t>
        </w:r>
      </w:hyperlink>
      <w:r w:rsidRPr="00237645">
        <w:rPr>
          <w:rStyle w:val="Hyperlink"/>
          <w:rFonts w:asciiTheme="minorHAnsi" w:hAnsiTheme="minorHAnsi" w:cstheme="minorHAnsi"/>
        </w:rPr>
        <w:t>.</w:t>
      </w:r>
    </w:p>
    <w:p w14:paraId="5263EBFA" w14:textId="77777777" w:rsidR="00CD7413" w:rsidRPr="00237645" w:rsidRDefault="00CD7413" w:rsidP="00CD7413">
      <w:pPr>
        <w:pStyle w:val="Heading2"/>
        <w:rPr>
          <w:rFonts w:asciiTheme="minorHAnsi" w:eastAsia="Times New Roman" w:hAnsiTheme="minorHAnsi" w:cstheme="minorHAnsi"/>
          <w:sz w:val="24"/>
          <w:szCs w:val="24"/>
        </w:rPr>
      </w:pPr>
      <w:r w:rsidRPr="00237645">
        <w:rPr>
          <w:rFonts w:asciiTheme="minorHAnsi" w:eastAsia="Times New Roman" w:hAnsiTheme="minorHAnsi" w:cstheme="minorHAnsi"/>
          <w:sz w:val="24"/>
          <w:szCs w:val="24"/>
        </w:rPr>
        <w:t>Syphilis response</w:t>
      </w:r>
    </w:p>
    <w:p w14:paraId="5E60BC2C" w14:textId="77777777" w:rsidR="00CD7413" w:rsidRPr="00237645" w:rsidRDefault="00CD7413" w:rsidP="00CD7413">
      <w:pPr>
        <w:rPr>
          <w:rFonts w:asciiTheme="minorHAnsi" w:hAnsiTheme="minorHAnsi" w:cstheme="minorHAnsi"/>
        </w:rPr>
      </w:pPr>
      <w:r w:rsidRPr="00237645">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237645">
          <w:rPr>
            <w:rStyle w:val="Hyperlink"/>
            <w:rFonts w:asciiTheme="minorHAnsi" w:hAnsiTheme="minorHAnsi" w:cstheme="minorHAnsi"/>
            <w:i/>
            <w:iCs/>
          </w:rPr>
          <w:t>Don’t fool around with syphilis</w:t>
        </w:r>
      </w:hyperlink>
      <w:r w:rsidRPr="00237645">
        <w:rPr>
          <w:rFonts w:asciiTheme="minorHAnsi" w:hAnsiTheme="minorHAnsi" w:cstheme="minorHAnsi"/>
        </w:rPr>
        <w:t xml:space="preserve"> campaign, refer to the </w:t>
      </w:r>
      <w:hyperlink r:id="rId13" w:history="1">
        <w:r w:rsidRPr="00237645">
          <w:rPr>
            <w:rStyle w:val="Hyperlink"/>
            <w:rFonts w:asciiTheme="minorHAnsi" w:hAnsiTheme="minorHAnsi" w:cstheme="minorHAnsi"/>
            <w:i/>
            <w:iCs/>
          </w:rPr>
          <w:t xml:space="preserve">National Response to Syphilis </w:t>
        </w:r>
      </w:hyperlink>
      <w:r w:rsidRPr="00237645">
        <w:rPr>
          <w:rFonts w:asciiTheme="minorHAnsi" w:hAnsiTheme="minorHAnsi" w:cstheme="minorHAnsi"/>
          <w:i/>
          <w:iCs/>
        </w:rPr>
        <w:t> </w:t>
      </w:r>
      <w:r w:rsidRPr="00237645">
        <w:rPr>
          <w:rFonts w:asciiTheme="minorHAnsi" w:hAnsiTheme="minorHAnsi" w:cstheme="minorHAnsi"/>
        </w:rPr>
        <w:t>webpage on the</w:t>
      </w:r>
      <w:r w:rsidRPr="00237645">
        <w:rPr>
          <w:rFonts w:asciiTheme="minorHAnsi" w:hAnsiTheme="minorHAnsi" w:cstheme="minorHAnsi"/>
          <w:i/>
          <w:iCs/>
        </w:rPr>
        <w:t xml:space="preserve"> </w:t>
      </w:r>
      <w:r w:rsidRPr="00237645">
        <w:rPr>
          <w:rFonts w:asciiTheme="minorHAnsi" w:hAnsiTheme="minorHAnsi" w:cstheme="minorHAnsi"/>
        </w:rPr>
        <w:t>Department’s website.</w:t>
      </w:r>
    </w:p>
    <w:p w14:paraId="4B8A55A1" w14:textId="77777777" w:rsidR="003E0467" w:rsidRDefault="003E0467" w:rsidP="00CD7413">
      <w:pPr>
        <w:rPr>
          <w:rFonts w:asciiTheme="minorHAnsi" w:eastAsiaTheme="minorHAnsi" w:hAnsiTheme="minorHAnsi" w:cstheme="minorHAnsi"/>
          <w:sz w:val="22"/>
          <w:szCs w:val="22"/>
        </w:rPr>
      </w:pPr>
    </w:p>
    <w:p w14:paraId="0E7542F5" w14:textId="77777777" w:rsidR="00237645" w:rsidRPr="00307B1C" w:rsidRDefault="00237645" w:rsidP="00307B1C">
      <w:pPr>
        <w:rPr>
          <w:rFonts w:asciiTheme="minorHAnsi" w:eastAsiaTheme="minorHAnsi" w:hAnsiTheme="minorHAnsi" w:cstheme="minorHAnsi"/>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678FBC81"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w:t>
      </w:r>
      <w:r w:rsidR="00307B1C" w:rsidRPr="001F17CC">
        <w:rPr>
          <w:rFonts w:asciiTheme="minorHAnsi" w:hAnsiTheme="minorHAnsi" w:cstheme="minorHAnsi"/>
          <w:i/>
          <w:color w:val="000000"/>
          <w:sz w:val="16"/>
          <w:szCs w:val="16"/>
        </w:rPr>
        <w:t>365-day</w:t>
      </w:r>
      <w:r w:rsidRPr="001F17CC">
        <w:rPr>
          <w:rFonts w:asciiTheme="minorHAnsi" w:hAnsiTheme="minorHAnsi" w:cstheme="minorHAnsi"/>
          <w:i/>
          <w:color w:val="000000"/>
          <w:sz w:val="16"/>
          <w:szCs w:val="16"/>
        </w:rPr>
        <w:t xml:space="preserve">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1069537A"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DD3A93">
        <w:rPr>
          <w:rFonts w:asciiTheme="minorHAnsi" w:hAnsiTheme="minorHAnsi" w:cstheme="minorHAnsi"/>
          <w:i/>
          <w:sz w:val="16"/>
          <w:szCs w:val="16"/>
        </w:rPr>
        <w:t>11</w:t>
      </w:r>
      <w:r w:rsidR="000E3B91">
        <w:rPr>
          <w:rFonts w:asciiTheme="minorHAnsi" w:hAnsiTheme="minorHAnsi" w:cstheme="minorHAnsi"/>
          <w:i/>
          <w:sz w:val="16"/>
          <w:szCs w:val="16"/>
        </w:rPr>
        <w:t>/0</w:t>
      </w:r>
      <w:r w:rsidR="00DD3A93">
        <w:rPr>
          <w:rFonts w:asciiTheme="minorHAnsi" w:hAnsiTheme="minorHAnsi" w:cstheme="minorHAnsi"/>
          <w:i/>
          <w:sz w:val="16"/>
          <w:szCs w:val="16"/>
        </w:rPr>
        <w:t>3</w:t>
      </w:r>
      <w:r w:rsidR="000E3B91">
        <w:rPr>
          <w:rFonts w:asciiTheme="minorHAnsi" w:hAnsiTheme="minorHAnsi" w:cstheme="minorHAnsi"/>
          <w:i/>
          <w:sz w:val="16"/>
          <w:szCs w:val="16"/>
        </w:rPr>
        <w:t>/2025</w:t>
      </w:r>
      <w:r w:rsidR="0081611F" w:rsidRPr="002B3157">
        <w:rPr>
          <w:rFonts w:asciiTheme="minorHAnsi" w:hAnsiTheme="minorHAnsi" w:cstheme="minorHAnsi"/>
          <w:i/>
          <w:sz w:val="16"/>
          <w:szCs w:val="16"/>
        </w:rPr>
        <w:t xml:space="preserve"> to</w:t>
      </w:r>
      <w:r w:rsidR="00DD3A93">
        <w:rPr>
          <w:rFonts w:asciiTheme="minorHAnsi" w:hAnsiTheme="minorHAnsi" w:cstheme="minorHAnsi"/>
          <w:i/>
          <w:sz w:val="16"/>
          <w:szCs w:val="16"/>
        </w:rPr>
        <w:t xml:space="preserve"> 08</w:t>
      </w:r>
      <w:r w:rsidR="00237645">
        <w:rPr>
          <w:rFonts w:asciiTheme="minorHAnsi" w:hAnsiTheme="minorHAnsi" w:cstheme="minorHAnsi"/>
          <w:i/>
          <w:sz w:val="16"/>
          <w:szCs w:val="16"/>
        </w:rPr>
        <w:t>/0</w:t>
      </w:r>
      <w:r w:rsidR="00DD3A93">
        <w:rPr>
          <w:rFonts w:asciiTheme="minorHAnsi" w:hAnsiTheme="minorHAnsi" w:cstheme="minorHAnsi"/>
          <w:i/>
          <w:sz w:val="16"/>
          <w:szCs w:val="16"/>
        </w:rPr>
        <w:t>6</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518ACFAC"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DD3A93">
        <w:rPr>
          <w:rFonts w:asciiTheme="minorHAnsi" w:hAnsiTheme="minorHAnsi" w:cstheme="minorHAnsi"/>
          <w:i/>
          <w:sz w:val="16"/>
          <w:szCs w:val="16"/>
        </w:rPr>
        <w:t>08/06</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xml:space="preserve">.  The ratio is the notification activity in the past quarter (90 days) compared with the </w:t>
      </w:r>
      <w:r w:rsidR="00307B1C" w:rsidRPr="002B3157">
        <w:rPr>
          <w:rFonts w:asciiTheme="minorHAnsi" w:hAnsiTheme="minorHAnsi" w:cstheme="minorHAnsi"/>
          <w:i/>
          <w:sz w:val="16"/>
          <w:szCs w:val="16"/>
        </w:rPr>
        <w:t>five-year</w:t>
      </w:r>
      <w:r w:rsidRPr="002B3157">
        <w:rPr>
          <w:rFonts w:asciiTheme="minorHAnsi" w:hAnsiTheme="minorHAnsi" w:cstheme="minorHAnsi"/>
          <w:i/>
          <w:sz w:val="16"/>
          <w:szCs w:val="16"/>
        </w:rPr>
        <w:t xml:space="preserve"> rolling mean for the same period.</w:t>
      </w:r>
    </w:p>
    <w:p w14:paraId="228A0A61" w14:textId="50EE87D1"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DD3A93">
        <w:rPr>
          <w:rFonts w:asciiTheme="minorHAnsi" w:hAnsiTheme="minorHAnsi" w:cstheme="minorHAnsi"/>
          <w:i/>
          <w:sz w:val="16"/>
          <w:szCs w:val="16"/>
        </w:rPr>
        <w:t>09/06/</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DD3A93">
        <w:rPr>
          <w:rFonts w:asciiTheme="minorHAnsi" w:hAnsiTheme="minorHAnsi" w:cstheme="minorHAnsi"/>
          <w:i/>
          <w:sz w:val="16"/>
          <w:szCs w:val="16"/>
        </w:rPr>
        <w:t>08/06</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17339333"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DD3A93">
        <w:rPr>
          <w:rFonts w:asciiTheme="minorHAnsi" w:hAnsiTheme="minorHAnsi" w:cstheme="minorHAnsi"/>
          <w:i/>
          <w:sz w:val="16"/>
          <w:szCs w:val="16"/>
        </w:rPr>
        <w:t>08/06</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 xml:space="preserve">The ratio is the notification activity in the past year (365 days) compared with the </w:t>
      </w:r>
      <w:r w:rsidR="00307B1C" w:rsidRPr="002B3157">
        <w:rPr>
          <w:rFonts w:asciiTheme="minorHAnsi" w:hAnsiTheme="minorHAnsi" w:cstheme="minorHAnsi"/>
          <w:i/>
          <w:sz w:val="16"/>
          <w:szCs w:val="16"/>
        </w:rPr>
        <w:t>five-year</w:t>
      </w:r>
      <w:r w:rsidRPr="002B3157">
        <w:rPr>
          <w:rFonts w:asciiTheme="minorHAnsi" w:hAnsiTheme="minorHAnsi" w:cstheme="minorHAnsi"/>
          <w:i/>
          <w:sz w:val="16"/>
          <w:szCs w:val="16"/>
        </w:rPr>
        <w:t xml:space="preserve"> rolling mean for the same period.</w:t>
      </w:r>
    </w:p>
    <w:p w14:paraId="011711D9" w14:textId="1B04B3D5" w:rsidR="00745E0F" w:rsidRDefault="00017515" w:rsidP="00FB7FEB">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rPr>
        <w:t xml:space="preserve">The </w:t>
      </w:r>
      <w:r w:rsidR="00307B1C" w:rsidRPr="002B3157">
        <w:rPr>
          <w:rFonts w:asciiTheme="minorHAnsi" w:hAnsiTheme="minorHAnsi" w:cstheme="minorHAnsi"/>
          <w:i/>
          <w:sz w:val="16"/>
          <w:szCs w:val="16"/>
        </w:rPr>
        <w:t>five-year</w:t>
      </w:r>
      <w:r w:rsidRPr="002B3157">
        <w:rPr>
          <w:rFonts w:asciiTheme="minorHAnsi" w:hAnsiTheme="minorHAnsi" w:cstheme="minorHAnsi"/>
          <w:i/>
          <w:sz w:val="16"/>
          <w:szCs w:val="16"/>
        </w:rPr>
        <w:t xml:space="preserve"> rolling mean and the ratio of notifications compared with the </w:t>
      </w:r>
      <w:r w:rsidR="00307B1C" w:rsidRPr="002B3157">
        <w:rPr>
          <w:rFonts w:asciiTheme="minorHAnsi" w:hAnsiTheme="minorHAnsi" w:cstheme="minorHAnsi"/>
          <w:i/>
          <w:sz w:val="16"/>
          <w:szCs w:val="16"/>
        </w:rPr>
        <w:t>five-year</w:t>
      </w:r>
      <w:r w:rsidRPr="002B3157">
        <w:rPr>
          <w:rFonts w:asciiTheme="minorHAnsi" w:hAnsiTheme="minorHAnsi" w:cstheme="minorHAnsi"/>
          <w:i/>
          <w:sz w:val="16"/>
          <w:szCs w:val="16"/>
        </w:rPr>
        <w:t xml:space="preserve"> rolling mean should be interpreted with caution.  Changes in surveillance practice, diagnostic techniques and reporting may contribute to increases or decreases in the total notifications received over a </w:t>
      </w:r>
      <w:r w:rsidR="00307B1C" w:rsidRPr="002B3157">
        <w:rPr>
          <w:rFonts w:asciiTheme="minorHAnsi" w:hAnsiTheme="minorHAnsi" w:cstheme="minorHAnsi"/>
          <w:i/>
          <w:sz w:val="16"/>
          <w:szCs w:val="16"/>
        </w:rPr>
        <w:t>five-year</w:t>
      </w:r>
      <w:r w:rsidRPr="002B3157">
        <w:rPr>
          <w:rFonts w:asciiTheme="minorHAnsi" w:hAnsiTheme="minorHAnsi" w:cstheme="minorHAnsi"/>
          <w:i/>
          <w:sz w:val="16"/>
          <w:szCs w:val="16"/>
        </w:rPr>
        <w:t xml:space="preserve">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7733"/>
    <w:rsid w:val="00232EC7"/>
    <w:rsid w:val="00236944"/>
    <w:rsid w:val="00236E28"/>
    <w:rsid w:val="00237645"/>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3D6E"/>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E6FEA"/>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3ADC"/>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0C87"/>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6A6E"/>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277CB"/>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2.xml><?xml version="1.0" encoding="utf-8"?>
<ds:datastoreItem xmlns:ds="http://schemas.openxmlformats.org/officeDocument/2006/customXml" ds:itemID="{9946D414-51C2-44FF-AEBA-32119A7BF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04516B-F4F7-49B9-8762-7B0BC05D2C54}">
  <ds:schemaRefs>
    <ds:schemaRef ds:uri="http://schemas.microsoft.com/sharepoint/v3/contenttype/forms"/>
  </ds:schemaRefs>
</ds:datastoreItem>
</file>

<file path=customXml/itemProps4.xml><?xml version="1.0" encoding="utf-8"?>
<ds:datastoreItem xmlns:ds="http://schemas.openxmlformats.org/officeDocument/2006/customXml" ds:itemID="{0287DC9F-EFEC-4C0C-9F3B-D62C5FDF1AB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399</Words>
  <Characters>2525</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NNDSS Fortnightly Report to CDNA – 26 May 2025 to 8 June 2025</vt:lpstr>
    </vt:vector>
  </TitlesOfParts>
  <LinksUpToDate>false</LinksUpToDate>
  <CharactersWithSpaces>2919</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26 May 2025 to 8 June 2025</dc:title>
  <dc:subject>Communicable Diseases; National Notifiable Diseases Surveillance System (NNDSS)</dc:subject>
  <dc:creator>Australian Government Department of Health, Disability and Ageing</dc:creator>
  <cp:keywords>Communicable Diseases; National Notifiable Diseases Surveillance System (NNDSS)</cp:keywords>
  <cp:lastPrinted>2025-06-17T03:19:00Z</cp:lastPrinted>
  <dcterms:created xsi:type="dcterms:W3CDTF">2025-06-03T04:42:00Z</dcterms:created>
  <dcterms:modified xsi:type="dcterms:W3CDTF">2025-06-26T05:14:00Z</dcterms:modified>
</cp:coreProperties>
</file>