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3976" w14:textId="77777777" w:rsidR="009E104F" w:rsidRPr="008B1C79" w:rsidRDefault="00B10B08" w:rsidP="008B1C79">
      <w:r w:rsidRPr="00636A65">
        <w:rPr>
          <w:noProof/>
          <w:lang w:eastAsia="en-AU"/>
        </w:rPr>
        <w:drawing>
          <wp:inline distT="0" distB="0" distL="0" distR="0" wp14:anchorId="4B2639F8" wp14:editId="4B2639F9">
            <wp:extent cx="2947491" cy="1032128"/>
            <wp:effectExtent l="0" t="0" r="0" b="0"/>
            <wp:docPr id="4" name="Image 4" descr="PHL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HLN logo "/>
                    <pic:cNvPicPr/>
                  </pic:nvPicPr>
                  <pic:blipFill>
                    <a:blip r:embed="rId11" cstate="print"/>
                    <a:stretch>
                      <a:fillRect/>
                    </a:stretch>
                  </pic:blipFill>
                  <pic:spPr>
                    <a:xfrm>
                      <a:off x="0" y="0"/>
                      <a:ext cx="2947491" cy="1032128"/>
                    </a:xfrm>
                    <a:prstGeom prst="rect">
                      <a:avLst/>
                    </a:prstGeom>
                  </pic:spPr>
                </pic:pic>
              </a:graphicData>
            </a:graphic>
          </wp:inline>
        </w:drawing>
      </w:r>
    </w:p>
    <w:p w14:paraId="34706F48" w14:textId="6F00CEAC" w:rsidR="001E041F" w:rsidRPr="00636A65" w:rsidRDefault="001E041F" w:rsidP="008B1C79">
      <w:pPr>
        <w:pStyle w:val="Heading1"/>
      </w:pPr>
      <w:r w:rsidRPr="00636A65">
        <w:t>PHLN GUIDANCE ON MPOX PATIENT REFERRAL, SPECIMEN COLLECTION AND TEST REQUESTING</w:t>
      </w:r>
    </w:p>
    <w:p w14:paraId="4B263977" w14:textId="7E5902FC" w:rsidR="009E104F" w:rsidRPr="006B6207" w:rsidRDefault="00B10B08" w:rsidP="003E64CC">
      <w:pPr>
        <w:pStyle w:val="Heading2"/>
      </w:pPr>
      <w:r w:rsidRPr="006B6207">
        <w:t>Revision</w:t>
      </w:r>
      <w:r w:rsidRPr="006B6207">
        <w:rPr>
          <w:spacing w:val="-4"/>
        </w:rPr>
        <w:t xml:space="preserve"> </w:t>
      </w:r>
      <w:r w:rsidRPr="006B6207">
        <w:rPr>
          <w:spacing w:val="-2"/>
        </w:rPr>
        <w:t>history</w:t>
      </w:r>
    </w:p>
    <w:tbl>
      <w:tblPr>
        <w:tblStyle w:val="TableGrid"/>
        <w:tblW w:w="0" w:type="auto"/>
        <w:tblLook w:val="01E0" w:firstRow="1" w:lastRow="1" w:firstColumn="1" w:lastColumn="1" w:noHBand="0" w:noVBand="0"/>
      </w:tblPr>
      <w:tblGrid>
        <w:gridCol w:w="946"/>
        <w:gridCol w:w="1368"/>
        <w:gridCol w:w="7526"/>
      </w:tblGrid>
      <w:tr w:rsidR="009E104F" w:rsidRPr="00636A65" w14:paraId="4B26397C" w14:textId="77777777" w:rsidTr="00B61553">
        <w:trPr>
          <w:trHeight w:val="541"/>
          <w:tblHeader/>
        </w:trPr>
        <w:tc>
          <w:tcPr>
            <w:tcW w:w="0" w:type="auto"/>
          </w:tcPr>
          <w:p w14:paraId="4B263979" w14:textId="77777777" w:rsidR="009E104F" w:rsidRPr="006B6207" w:rsidRDefault="00B10B08" w:rsidP="008B1C79">
            <w:pPr>
              <w:pStyle w:val="TableParagraph"/>
            </w:pPr>
            <w:r w:rsidRPr="006B6207">
              <w:t>Version</w:t>
            </w:r>
          </w:p>
        </w:tc>
        <w:tc>
          <w:tcPr>
            <w:tcW w:w="0" w:type="auto"/>
          </w:tcPr>
          <w:p w14:paraId="4B26397A" w14:textId="77777777" w:rsidR="009E104F" w:rsidRPr="006B6207" w:rsidRDefault="00B10B08" w:rsidP="008B1C79">
            <w:pPr>
              <w:pStyle w:val="TableParagraph"/>
            </w:pPr>
            <w:r w:rsidRPr="006B6207">
              <w:rPr>
                <w:spacing w:val="-8"/>
              </w:rPr>
              <w:t>Date</w:t>
            </w:r>
            <w:r w:rsidRPr="006B6207">
              <w:rPr>
                <w:spacing w:val="-20"/>
              </w:rPr>
              <w:t xml:space="preserve"> </w:t>
            </w:r>
            <w:r w:rsidRPr="006B6207">
              <w:t>published</w:t>
            </w:r>
          </w:p>
        </w:tc>
        <w:tc>
          <w:tcPr>
            <w:tcW w:w="0" w:type="auto"/>
          </w:tcPr>
          <w:p w14:paraId="4B26397B" w14:textId="48CB2E37" w:rsidR="009E104F" w:rsidRPr="006B6207" w:rsidRDefault="00B10B08" w:rsidP="008B1C79">
            <w:pPr>
              <w:pStyle w:val="TableParagraph"/>
            </w:pPr>
            <w:r w:rsidRPr="006B6207">
              <w:t>Revision</w:t>
            </w:r>
            <w:r w:rsidRPr="006B6207">
              <w:rPr>
                <w:spacing w:val="-10"/>
              </w:rPr>
              <w:t xml:space="preserve"> </w:t>
            </w:r>
            <w:r w:rsidR="00E10294" w:rsidRPr="00636A65">
              <w:rPr>
                <w:spacing w:val="-4"/>
              </w:rPr>
              <w:t>notes</w:t>
            </w:r>
          </w:p>
        </w:tc>
      </w:tr>
      <w:tr w:rsidR="00B3324A" w:rsidRPr="00636A65" w14:paraId="398CE6CE" w14:textId="77777777" w:rsidTr="00B61553">
        <w:trPr>
          <w:trHeight w:val="541"/>
        </w:trPr>
        <w:tc>
          <w:tcPr>
            <w:tcW w:w="0" w:type="auto"/>
          </w:tcPr>
          <w:p w14:paraId="2F1063CE" w14:textId="76C19920" w:rsidR="00B3324A" w:rsidRPr="006B6207" w:rsidRDefault="00B3324A" w:rsidP="008B1C79">
            <w:pPr>
              <w:pStyle w:val="TableParagraph"/>
            </w:pPr>
            <w:r>
              <w:t>1.3</w:t>
            </w:r>
          </w:p>
        </w:tc>
        <w:tc>
          <w:tcPr>
            <w:tcW w:w="0" w:type="auto"/>
          </w:tcPr>
          <w:p w14:paraId="22D19C6C" w14:textId="386AFEB6" w:rsidR="00B3324A" w:rsidRPr="006B6207" w:rsidRDefault="00266087" w:rsidP="008B1C79">
            <w:pPr>
              <w:pStyle w:val="TableParagraph"/>
              <w:rPr>
                <w:spacing w:val="-8"/>
              </w:rPr>
            </w:pPr>
            <w:r>
              <w:rPr>
                <w:spacing w:val="-8"/>
              </w:rPr>
              <w:t>26 June 2025</w:t>
            </w:r>
          </w:p>
        </w:tc>
        <w:tc>
          <w:tcPr>
            <w:tcW w:w="0" w:type="auto"/>
          </w:tcPr>
          <w:p w14:paraId="5E6A92C1" w14:textId="25D3D386" w:rsidR="00B3324A" w:rsidRPr="006B6207" w:rsidRDefault="00B3324A" w:rsidP="00B61553">
            <w:pPr>
              <w:pStyle w:val="Tablebulletlist"/>
            </w:pPr>
            <w:r>
              <w:t>Removal of ICEG advice for environmental cleaning</w:t>
            </w:r>
            <w:r w:rsidR="0071766D">
              <w:t xml:space="preserve"> after specimen collection,</w:t>
            </w:r>
            <w:r>
              <w:t xml:space="preserve"> to align with the </w:t>
            </w:r>
            <w:hyperlink r:id="rId12" w:history="1">
              <w:r w:rsidRPr="66E5F6C6">
                <w:rPr>
                  <w:rStyle w:val="Hyperlink"/>
                </w:rPr>
                <w:t>Mpox – CDNA National Guidelines for Public Health Units</w:t>
              </w:r>
            </w:hyperlink>
            <w:r>
              <w:t>.</w:t>
            </w:r>
          </w:p>
        </w:tc>
      </w:tr>
      <w:tr w:rsidR="40CF8F31" w14:paraId="7E2E1FF8" w14:textId="77777777" w:rsidTr="00B61553">
        <w:trPr>
          <w:trHeight w:val="300"/>
        </w:trPr>
        <w:tc>
          <w:tcPr>
            <w:tcW w:w="0" w:type="auto"/>
          </w:tcPr>
          <w:p w14:paraId="4C7EF9BA" w14:textId="3B0320A1" w:rsidR="13700500" w:rsidRDefault="13700500" w:rsidP="000848E5">
            <w:pPr>
              <w:pStyle w:val="TableParagraph"/>
            </w:pPr>
            <w:r>
              <w:t>1.2</w:t>
            </w:r>
          </w:p>
        </w:tc>
        <w:tc>
          <w:tcPr>
            <w:tcW w:w="0" w:type="auto"/>
          </w:tcPr>
          <w:p w14:paraId="57FC14FC" w14:textId="12BBA706" w:rsidR="13700500" w:rsidRDefault="000311D4" w:rsidP="000848E5">
            <w:pPr>
              <w:pStyle w:val="TableParagraph"/>
            </w:pPr>
            <w:r>
              <w:t>8 January 2025</w:t>
            </w:r>
          </w:p>
        </w:tc>
        <w:tc>
          <w:tcPr>
            <w:tcW w:w="0" w:type="auto"/>
          </w:tcPr>
          <w:p w14:paraId="0D664F4D" w14:textId="4E3D8018" w:rsidR="13700500" w:rsidRDefault="13700500" w:rsidP="00B61553">
            <w:pPr>
              <w:pStyle w:val="Tablebulletlist"/>
            </w:pPr>
            <w:r>
              <w:t xml:space="preserve">Inclusion of </w:t>
            </w:r>
            <w:r w:rsidR="00BA0C75">
              <w:t xml:space="preserve">note that </w:t>
            </w:r>
            <w:r w:rsidR="0020D8A2">
              <w:t xml:space="preserve">pre-travel MPXV testing in asymptomatic persons is not recommended. </w:t>
            </w:r>
          </w:p>
          <w:p w14:paraId="0E82C082" w14:textId="501FDA0C" w:rsidR="13700500" w:rsidRDefault="0020D8A2" w:rsidP="00B61553">
            <w:pPr>
              <w:pStyle w:val="Tablebulletlist"/>
            </w:pPr>
            <w:r>
              <w:t xml:space="preserve">Updating reference to the </w:t>
            </w:r>
            <w:hyperlink r:id="rId13" w:history="1">
              <w:r w:rsidRPr="66E5F6C6">
                <w:rPr>
                  <w:rStyle w:val="Hyperlink"/>
                </w:rPr>
                <w:t>Mpox – CDNA National Guidelines for Public Health Units</w:t>
              </w:r>
            </w:hyperlink>
            <w:r>
              <w:t xml:space="preserve"> for personal protection management in a healthcare setting</w:t>
            </w:r>
          </w:p>
        </w:tc>
      </w:tr>
      <w:tr w:rsidR="00E366C3" w:rsidRPr="00636A65" w14:paraId="2D6717C4" w14:textId="77777777" w:rsidTr="00B61553">
        <w:trPr>
          <w:trHeight w:val="541"/>
        </w:trPr>
        <w:tc>
          <w:tcPr>
            <w:tcW w:w="0" w:type="auto"/>
          </w:tcPr>
          <w:p w14:paraId="31BC6AC5" w14:textId="49BD6ECB" w:rsidR="00E366C3" w:rsidRPr="00636A65" w:rsidRDefault="00E366C3" w:rsidP="008B1C79">
            <w:pPr>
              <w:pStyle w:val="TableParagraph"/>
            </w:pPr>
            <w:r w:rsidRPr="00636A65">
              <w:t>1.</w:t>
            </w:r>
            <w:r w:rsidR="00A53874">
              <w:t>1</w:t>
            </w:r>
          </w:p>
        </w:tc>
        <w:tc>
          <w:tcPr>
            <w:tcW w:w="0" w:type="auto"/>
          </w:tcPr>
          <w:p w14:paraId="2458C5D5" w14:textId="4A05A552" w:rsidR="00E366C3" w:rsidRPr="00636A65" w:rsidRDefault="00070B6D" w:rsidP="008B1C79">
            <w:pPr>
              <w:pStyle w:val="TableParagraph"/>
            </w:pPr>
            <w:r>
              <w:t>9 O</w:t>
            </w:r>
            <w:r w:rsidR="00581246">
              <w:t>ctober 2024</w:t>
            </w:r>
          </w:p>
        </w:tc>
        <w:tc>
          <w:tcPr>
            <w:tcW w:w="0" w:type="auto"/>
          </w:tcPr>
          <w:p w14:paraId="1799AECE" w14:textId="77CB98DA" w:rsidR="006143D3" w:rsidRPr="003858FA" w:rsidRDefault="00E366C3" w:rsidP="00B61553">
            <w:pPr>
              <w:pStyle w:val="Tablebulletlist"/>
              <w:rPr>
                <w:spacing w:val="-11"/>
              </w:rPr>
            </w:pPr>
            <w:r w:rsidRPr="003858FA">
              <w:t>All references to ‘Monkeypox’ disease amended to</w:t>
            </w:r>
            <w:r w:rsidR="00D70847" w:rsidRPr="003858FA">
              <w:t xml:space="preserve"> </w:t>
            </w:r>
            <w:r w:rsidRPr="003858FA">
              <w:t>‘</w:t>
            </w:r>
            <w:r w:rsidR="00305A84" w:rsidRPr="003858FA">
              <w:t>m</w:t>
            </w:r>
            <w:r w:rsidRPr="003858FA">
              <w:t>pox’.</w:t>
            </w:r>
          </w:p>
          <w:p w14:paraId="6917E4D1" w14:textId="0AA60E80" w:rsidR="00286609" w:rsidRPr="003858FA" w:rsidRDefault="006143D3" w:rsidP="00B61553">
            <w:pPr>
              <w:pStyle w:val="Tablebulletlist"/>
              <w:rPr>
                <w:spacing w:val="-11"/>
              </w:rPr>
            </w:pPr>
            <w:r w:rsidRPr="003858FA">
              <w:t>All references to ‘Monkeypox virus’ amended to ‘MPXV’</w:t>
            </w:r>
            <w:r w:rsidR="00E366C3" w:rsidRPr="003858FA">
              <w:t xml:space="preserve"> </w:t>
            </w:r>
          </w:p>
          <w:p w14:paraId="679BBD67" w14:textId="1034C770" w:rsidR="00E366C3" w:rsidRPr="00D52A93" w:rsidRDefault="003D4944" w:rsidP="00B61553">
            <w:pPr>
              <w:pStyle w:val="Tablebulletlist"/>
            </w:pPr>
            <w:r w:rsidRPr="00636A65">
              <w:t xml:space="preserve">Updates to </w:t>
            </w:r>
            <w:r w:rsidR="00D02A89" w:rsidRPr="00636A65">
              <w:t xml:space="preserve">guidance to ensure recommendations remain </w:t>
            </w:r>
            <w:r w:rsidR="003F23D8" w:rsidRPr="00636A65">
              <w:t>up to date to current clinical laboratory knowledge.</w:t>
            </w:r>
          </w:p>
          <w:p w14:paraId="3DEDCC3E" w14:textId="487A9078" w:rsidR="00E366C3" w:rsidRPr="006B6207" w:rsidRDefault="0038506A" w:rsidP="00B61553">
            <w:pPr>
              <w:pStyle w:val="Tablebulletlist"/>
            </w:pPr>
            <w:r w:rsidRPr="00636A65">
              <w:t xml:space="preserve">ensure alignment with </w:t>
            </w:r>
            <w:r w:rsidR="00E366C3" w:rsidRPr="00636A65">
              <w:t>the Monkeypox virus infection – CDNA National Guidelines for Public Health Units</w:t>
            </w:r>
            <w:r>
              <w:t>.</w:t>
            </w:r>
          </w:p>
          <w:p w14:paraId="7CAA540B" w14:textId="64CE4F29" w:rsidR="007B1964" w:rsidRPr="00636A65" w:rsidRDefault="006A23E4" w:rsidP="00B61553">
            <w:pPr>
              <w:pStyle w:val="Tablebulletlist"/>
            </w:pPr>
            <w:r w:rsidRPr="00636A65">
              <w:t>Updating important information to include when referring specimens to a laboratory for mpox testing.</w:t>
            </w:r>
          </w:p>
        </w:tc>
      </w:tr>
      <w:tr w:rsidR="009E104F" w:rsidRPr="00636A65" w14:paraId="4B263980" w14:textId="77777777" w:rsidTr="00B61553">
        <w:trPr>
          <w:trHeight w:val="285"/>
        </w:trPr>
        <w:tc>
          <w:tcPr>
            <w:tcW w:w="0" w:type="auto"/>
          </w:tcPr>
          <w:p w14:paraId="4B26397D" w14:textId="77777777" w:rsidR="009E104F" w:rsidRPr="006B6207" w:rsidRDefault="00B10B08" w:rsidP="008B1C79">
            <w:pPr>
              <w:pStyle w:val="TableParagraph"/>
            </w:pPr>
            <w:r w:rsidRPr="006B6207">
              <w:t>1.0</w:t>
            </w:r>
          </w:p>
        </w:tc>
        <w:tc>
          <w:tcPr>
            <w:tcW w:w="0" w:type="auto"/>
          </w:tcPr>
          <w:p w14:paraId="4B26397E" w14:textId="77777777" w:rsidR="009E104F" w:rsidRPr="006B6207" w:rsidRDefault="00B10B08" w:rsidP="008B1C79">
            <w:pPr>
              <w:pStyle w:val="TableParagraph"/>
            </w:pPr>
            <w:r w:rsidRPr="006B6207">
              <w:t>27</w:t>
            </w:r>
            <w:r w:rsidRPr="006B6207">
              <w:rPr>
                <w:spacing w:val="-20"/>
              </w:rPr>
              <w:t xml:space="preserve"> </w:t>
            </w:r>
            <w:r w:rsidRPr="006B6207">
              <w:t>July</w:t>
            </w:r>
            <w:r w:rsidRPr="006B6207">
              <w:rPr>
                <w:spacing w:val="-17"/>
              </w:rPr>
              <w:t xml:space="preserve"> </w:t>
            </w:r>
            <w:r w:rsidRPr="006B6207">
              <w:t>2022</w:t>
            </w:r>
          </w:p>
        </w:tc>
        <w:tc>
          <w:tcPr>
            <w:tcW w:w="0" w:type="auto"/>
          </w:tcPr>
          <w:p w14:paraId="4B26397F" w14:textId="77777777" w:rsidR="009E104F" w:rsidRPr="006B6207" w:rsidRDefault="00B10B08" w:rsidP="00B61553">
            <w:pPr>
              <w:pStyle w:val="Tablebulletlist"/>
            </w:pPr>
            <w:r w:rsidRPr="006B6207">
              <w:rPr>
                <w:spacing w:val="-9"/>
              </w:rPr>
              <w:t>Initial</w:t>
            </w:r>
            <w:r w:rsidRPr="006B6207">
              <w:rPr>
                <w:spacing w:val="-22"/>
              </w:rPr>
              <w:t xml:space="preserve"> </w:t>
            </w:r>
            <w:r w:rsidRPr="006B6207">
              <w:t>document.</w:t>
            </w:r>
          </w:p>
        </w:tc>
      </w:tr>
    </w:tbl>
    <w:p w14:paraId="4B263981" w14:textId="77777777" w:rsidR="009E104F" w:rsidRPr="008B1C79" w:rsidRDefault="009E104F" w:rsidP="008B1C79"/>
    <w:p w14:paraId="4BC3A6A2" w14:textId="77777777" w:rsidR="001E041F" w:rsidRPr="00636A65" w:rsidRDefault="001E041F" w:rsidP="008B1C79">
      <w:pPr>
        <w:pStyle w:val="Heading2"/>
        <w:sectPr w:rsidR="001E041F" w:rsidRPr="00636A65">
          <w:headerReference w:type="default" r:id="rId14"/>
          <w:type w:val="continuous"/>
          <w:pgSz w:w="11910" w:h="16840"/>
          <w:pgMar w:top="1360" w:right="1040" w:bottom="1440" w:left="1020" w:header="950" w:footer="1242" w:gutter="0"/>
          <w:pgNumType w:start="1"/>
          <w:cols w:space="720"/>
        </w:sectPr>
      </w:pPr>
    </w:p>
    <w:p w14:paraId="4B263983" w14:textId="77777777" w:rsidR="009E104F" w:rsidRPr="006143D3" w:rsidRDefault="00B10B08" w:rsidP="008B1C79">
      <w:pPr>
        <w:pStyle w:val="Heading2"/>
      </w:pPr>
      <w:bookmarkStart w:id="0" w:name="Executive_Summary"/>
      <w:bookmarkEnd w:id="0"/>
      <w:r w:rsidRPr="006143D3">
        <w:lastRenderedPageBreak/>
        <w:t>Executive</w:t>
      </w:r>
      <w:r w:rsidRPr="006143D3">
        <w:rPr>
          <w:spacing w:val="-9"/>
        </w:rPr>
        <w:t xml:space="preserve"> </w:t>
      </w:r>
      <w:r w:rsidRPr="006143D3">
        <w:rPr>
          <w:spacing w:val="-2"/>
        </w:rPr>
        <w:t>Summary</w:t>
      </w:r>
    </w:p>
    <w:p w14:paraId="4B263984" w14:textId="1316C18D" w:rsidR="009E104F" w:rsidRPr="006B6207" w:rsidRDefault="007313E8" w:rsidP="008B1C79">
      <w:pPr>
        <w:pStyle w:val="ListBullet3"/>
      </w:pPr>
      <w:r w:rsidRPr="006B6207">
        <w:t>Mpox</w:t>
      </w:r>
      <w:r w:rsidR="00D37500" w:rsidRPr="00636A65">
        <w:rPr>
          <w:rStyle w:val="FootnoteReference"/>
        </w:rPr>
        <w:footnoteReference w:id="2"/>
      </w:r>
      <w:r w:rsidR="00B10B08" w:rsidRPr="006B6207">
        <w:rPr>
          <w:spacing w:val="-2"/>
        </w:rPr>
        <w:t xml:space="preserve"> </w:t>
      </w:r>
      <w:r w:rsidR="00B10B08" w:rsidRPr="006B6207">
        <w:t>is</w:t>
      </w:r>
      <w:r w:rsidR="00B10B08" w:rsidRPr="006B6207">
        <w:rPr>
          <w:spacing w:val="-1"/>
        </w:rPr>
        <w:t xml:space="preserve"> </w:t>
      </w:r>
      <w:r w:rsidR="00B10B08" w:rsidRPr="006B6207">
        <w:t>confirmed</w:t>
      </w:r>
      <w:r w:rsidR="00B10B08" w:rsidRPr="006B6207">
        <w:rPr>
          <w:spacing w:val="-2"/>
        </w:rPr>
        <w:t xml:space="preserve"> </w:t>
      </w:r>
      <w:r w:rsidR="00B10B08" w:rsidRPr="006B6207">
        <w:t>by</w:t>
      </w:r>
      <w:r w:rsidR="00B10B08" w:rsidRPr="006B6207">
        <w:rPr>
          <w:spacing w:val="-2"/>
        </w:rPr>
        <w:t xml:space="preserve"> </w:t>
      </w:r>
      <w:r w:rsidR="00B10B08" w:rsidRPr="006B6207">
        <w:t>laboratory</w:t>
      </w:r>
      <w:r w:rsidR="00B10B08" w:rsidRPr="006B6207">
        <w:rPr>
          <w:spacing w:val="-3"/>
        </w:rPr>
        <w:t xml:space="preserve"> </w:t>
      </w:r>
      <w:r w:rsidR="00B10B08" w:rsidRPr="006B6207">
        <w:t>testing</w:t>
      </w:r>
      <w:r w:rsidR="00B10B08" w:rsidRPr="006B6207">
        <w:rPr>
          <w:spacing w:val="-2"/>
        </w:rPr>
        <w:t xml:space="preserve"> </w:t>
      </w:r>
      <w:r w:rsidR="00B10B08" w:rsidRPr="006B6207">
        <w:t>using</w:t>
      </w:r>
      <w:r w:rsidR="00B10B08" w:rsidRPr="006B6207">
        <w:rPr>
          <w:spacing w:val="-1"/>
        </w:rPr>
        <w:t xml:space="preserve"> </w:t>
      </w:r>
      <w:r w:rsidR="00B10B08" w:rsidRPr="006B6207">
        <w:t>nucleic</w:t>
      </w:r>
      <w:r w:rsidR="00B10B08" w:rsidRPr="006B6207">
        <w:rPr>
          <w:spacing w:val="-1"/>
        </w:rPr>
        <w:t xml:space="preserve"> </w:t>
      </w:r>
      <w:r w:rsidR="00B10B08" w:rsidRPr="006B6207">
        <w:t>acid</w:t>
      </w:r>
      <w:r w:rsidR="00B10B08" w:rsidRPr="006B6207">
        <w:rPr>
          <w:spacing w:val="-1"/>
        </w:rPr>
        <w:t xml:space="preserve"> </w:t>
      </w:r>
      <w:r w:rsidR="00B10B08" w:rsidRPr="006B6207">
        <w:t>amplification</w:t>
      </w:r>
      <w:r w:rsidR="00B10B08" w:rsidRPr="006B6207">
        <w:rPr>
          <w:spacing w:val="-3"/>
        </w:rPr>
        <w:t xml:space="preserve"> </w:t>
      </w:r>
      <w:r w:rsidR="00B10B08" w:rsidRPr="006B6207">
        <w:rPr>
          <w:spacing w:val="-2"/>
        </w:rPr>
        <w:t>(NAA).</w:t>
      </w:r>
    </w:p>
    <w:p w14:paraId="2B3A2718" w14:textId="0BF749B7" w:rsidR="006A23E4" w:rsidRPr="003858FA" w:rsidRDefault="002310BE" w:rsidP="008B1C79">
      <w:pPr>
        <w:pStyle w:val="ListBullet3"/>
      </w:pPr>
      <w:r w:rsidRPr="2C9BCC73">
        <w:t xml:space="preserve">Diagnostic testing capacity for </w:t>
      </w:r>
      <w:r w:rsidR="006B6207" w:rsidRPr="2C9BCC73">
        <w:rPr>
          <w:i/>
        </w:rPr>
        <w:t xml:space="preserve">Orthopoxvirus </w:t>
      </w:r>
      <w:r w:rsidRPr="2C9BCC73">
        <w:rPr>
          <w:i/>
        </w:rPr>
        <w:t>m</w:t>
      </w:r>
      <w:r w:rsidR="000832DF" w:rsidRPr="2C9BCC73">
        <w:rPr>
          <w:i/>
        </w:rPr>
        <w:t>onkey</w:t>
      </w:r>
      <w:r w:rsidRPr="2C9BCC73">
        <w:rPr>
          <w:i/>
        </w:rPr>
        <w:t>pox</w:t>
      </w:r>
      <w:r w:rsidRPr="2C9BCC73">
        <w:t xml:space="preserve"> </w:t>
      </w:r>
      <w:r w:rsidR="00111A8E" w:rsidRPr="2C9BCC73">
        <w:t>(MPXV)</w:t>
      </w:r>
      <w:r w:rsidR="00254E62" w:rsidRPr="2C9BCC73">
        <w:t xml:space="preserve"> </w:t>
      </w:r>
      <w:r w:rsidR="002A20C0" w:rsidRPr="2C9BCC73">
        <w:t>i</w:t>
      </w:r>
      <w:r w:rsidR="002A20C0" w:rsidRPr="5B2FFCDD">
        <w:t>s available throughout</w:t>
      </w:r>
      <w:r w:rsidRPr="2C9BCC73">
        <w:t xml:space="preserve"> Australia. </w:t>
      </w:r>
      <w:r w:rsidR="00B10B08" w:rsidRPr="2C9BCC73">
        <w:t xml:space="preserve">If </w:t>
      </w:r>
      <w:r w:rsidR="007313E8" w:rsidRPr="2C9BCC73">
        <w:t>mpox</w:t>
      </w:r>
      <w:r w:rsidR="00B10B08" w:rsidRPr="2C9BCC73">
        <w:t xml:space="preserve"> is suspected, testing is recommended.</w:t>
      </w:r>
      <w:r w:rsidR="00203EDD" w:rsidRPr="2C9BCC73">
        <w:t xml:space="preserve"> </w:t>
      </w:r>
    </w:p>
    <w:p w14:paraId="4B26398A" w14:textId="34C98A22" w:rsidR="009E104F" w:rsidRPr="006B6207" w:rsidRDefault="007313E8" w:rsidP="008B1C79">
      <w:pPr>
        <w:pStyle w:val="ListBullet3"/>
      </w:pPr>
      <w:r w:rsidRPr="006B6207">
        <w:t>Mpox</w:t>
      </w:r>
      <w:r w:rsidR="00B10B08" w:rsidRPr="006B6207">
        <w:rPr>
          <w:spacing w:val="-3"/>
        </w:rPr>
        <w:t xml:space="preserve"> </w:t>
      </w:r>
      <w:r w:rsidR="00B10B08" w:rsidRPr="006B6207">
        <w:t>is</w:t>
      </w:r>
      <w:r w:rsidR="00B10B08" w:rsidRPr="006B6207">
        <w:rPr>
          <w:spacing w:val="-3"/>
        </w:rPr>
        <w:t xml:space="preserve"> </w:t>
      </w:r>
      <w:r w:rsidR="00B10B08" w:rsidRPr="006B6207">
        <w:t>nationally</w:t>
      </w:r>
      <w:r w:rsidR="00B10B08" w:rsidRPr="006B6207">
        <w:rPr>
          <w:spacing w:val="-6"/>
        </w:rPr>
        <w:t xml:space="preserve"> </w:t>
      </w:r>
      <w:r w:rsidR="00B10B08" w:rsidRPr="006B6207">
        <w:t>notifiable.</w:t>
      </w:r>
      <w:r w:rsidR="00B10B08" w:rsidRPr="006B6207">
        <w:rPr>
          <w:spacing w:val="-2"/>
        </w:rPr>
        <w:t xml:space="preserve"> </w:t>
      </w:r>
      <w:r w:rsidR="00B10B08" w:rsidRPr="006B6207">
        <w:t>Healthcare</w:t>
      </w:r>
      <w:r w:rsidR="00B10B08" w:rsidRPr="006B6207">
        <w:rPr>
          <w:spacing w:val="-5"/>
        </w:rPr>
        <w:t xml:space="preserve"> </w:t>
      </w:r>
      <w:r w:rsidR="00B10B08" w:rsidRPr="006B6207">
        <w:t>practitioners</w:t>
      </w:r>
      <w:r w:rsidR="00B10B08" w:rsidRPr="006B6207">
        <w:rPr>
          <w:spacing w:val="-5"/>
        </w:rPr>
        <w:t xml:space="preserve"> </w:t>
      </w:r>
      <w:r w:rsidR="00B10B08" w:rsidRPr="006B6207">
        <w:t>should</w:t>
      </w:r>
      <w:r w:rsidR="00B10B08" w:rsidRPr="006B6207">
        <w:rPr>
          <w:spacing w:val="-3"/>
        </w:rPr>
        <w:t xml:space="preserve"> </w:t>
      </w:r>
      <w:r w:rsidR="00B10B08" w:rsidRPr="006B6207">
        <w:t>follow</w:t>
      </w:r>
      <w:r w:rsidR="00B10B08" w:rsidRPr="006B6207">
        <w:rPr>
          <w:spacing w:val="-6"/>
        </w:rPr>
        <w:t xml:space="preserve"> </w:t>
      </w:r>
      <w:r w:rsidR="00B10B08" w:rsidRPr="006B6207">
        <w:t>jurisdictional notification policy.</w:t>
      </w:r>
    </w:p>
    <w:p w14:paraId="4B26398B" w14:textId="4E14886E" w:rsidR="009E104F" w:rsidRPr="006B6207" w:rsidRDefault="00B10B08" w:rsidP="008B1C79">
      <w:pPr>
        <w:pStyle w:val="ListBullet3"/>
      </w:pPr>
      <w:r w:rsidRPr="006B6207">
        <w:t>Please</w:t>
      </w:r>
      <w:r w:rsidRPr="006B6207">
        <w:rPr>
          <w:spacing w:val="-3"/>
        </w:rPr>
        <w:t xml:space="preserve"> </w:t>
      </w:r>
      <w:r w:rsidRPr="006B6207">
        <w:t>read</w:t>
      </w:r>
      <w:r w:rsidRPr="006B6207">
        <w:rPr>
          <w:spacing w:val="-2"/>
        </w:rPr>
        <w:t xml:space="preserve"> </w:t>
      </w:r>
      <w:r w:rsidRPr="006B6207">
        <w:t>this</w:t>
      </w:r>
      <w:r w:rsidRPr="006B6207">
        <w:rPr>
          <w:spacing w:val="-2"/>
        </w:rPr>
        <w:t xml:space="preserve"> </w:t>
      </w:r>
      <w:r w:rsidRPr="006B6207">
        <w:t>guidance</w:t>
      </w:r>
      <w:r w:rsidRPr="006B6207">
        <w:rPr>
          <w:spacing w:val="-3"/>
        </w:rPr>
        <w:t xml:space="preserve"> </w:t>
      </w:r>
      <w:r w:rsidRPr="006B6207">
        <w:t>in</w:t>
      </w:r>
      <w:r w:rsidRPr="006B6207">
        <w:rPr>
          <w:spacing w:val="-2"/>
        </w:rPr>
        <w:t xml:space="preserve"> </w:t>
      </w:r>
      <w:r w:rsidRPr="006B6207">
        <w:t>conjunction</w:t>
      </w:r>
      <w:r w:rsidRPr="006B6207">
        <w:rPr>
          <w:spacing w:val="-2"/>
        </w:rPr>
        <w:t xml:space="preserve"> </w:t>
      </w:r>
      <w:r w:rsidRPr="006B6207">
        <w:t>with</w:t>
      </w:r>
      <w:r w:rsidRPr="006B6207">
        <w:rPr>
          <w:spacing w:val="-4"/>
        </w:rPr>
        <w:t xml:space="preserve"> </w:t>
      </w:r>
      <w:r w:rsidRPr="006B6207">
        <w:t>the</w:t>
      </w:r>
      <w:r w:rsidRPr="006B6207">
        <w:rPr>
          <w:spacing w:val="-5"/>
        </w:rPr>
        <w:t xml:space="preserve"> </w:t>
      </w:r>
      <w:hyperlink r:id="rId15">
        <w:r w:rsidRPr="006B6207">
          <w:rPr>
            <w:i/>
            <w:color w:val="024EBD"/>
            <w:u w:val="single" w:color="024EBD"/>
          </w:rPr>
          <w:t>Public</w:t>
        </w:r>
        <w:r w:rsidRPr="006B6207">
          <w:rPr>
            <w:i/>
            <w:color w:val="024EBD"/>
            <w:spacing w:val="-2"/>
            <w:u w:val="single" w:color="024EBD"/>
          </w:rPr>
          <w:t xml:space="preserve"> </w:t>
        </w:r>
        <w:r w:rsidRPr="006B6207">
          <w:rPr>
            <w:i/>
            <w:color w:val="024EBD"/>
            <w:u w:val="single" w:color="024EBD"/>
          </w:rPr>
          <w:t>Health</w:t>
        </w:r>
        <w:r w:rsidRPr="006B6207">
          <w:rPr>
            <w:i/>
            <w:color w:val="024EBD"/>
            <w:spacing w:val="-3"/>
            <w:u w:val="single" w:color="024EBD"/>
          </w:rPr>
          <w:t xml:space="preserve"> </w:t>
        </w:r>
        <w:r w:rsidRPr="006B6207">
          <w:rPr>
            <w:i/>
            <w:color w:val="024EBD"/>
            <w:u w:val="single" w:color="024EBD"/>
          </w:rPr>
          <w:t>Laboratory</w:t>
        </w:r>
        <w:r w:rsidRPr="006B6207">
          <w:rPr>
            <w:i/>
            <w:color w:val="024EBD"/>
            <w:spacing w:val="-5"/>
            <w:u w:val="single" w:color="024EBD"/>
          </w:rPr>
          <w:t xml:space="preserve"> </w:t>
        </w:r>
        <w:r w:rsidRPr="006B6207">
          <w:rPr>
            <w:i/>
            <w:color w:val="024EBD"/>
            <w:u w:val="single" w:color="024EBD"/>
          </w:rPr>
          <w:t>Network</w:t>
        </w:r>
        <w:r w:rsidRPr="006B6207">
          <w:rPr>
            <w:i/>
            <w:color w:val="024EBD"/>
            <w:spacing w:val="-2"/>
            <w:u w:val="single" w:color="024EBD"/>
          </w:rPr>
          <w:t xml:space="preserve"> </w:t>
        </w:r>
        <w:r w:rsidRPr="006B6207">
          <w:rPr>
            <w:i/>
            <w:color w:val="024EBD"/>
            <w:u w:val="single" w:color="024EBD"/>
          </w:rPr>
          <w:t>(PHLN)</w:t>
        </w:r>
      </w:hyperlink>
      <w:r w:rsidRPr="006B6207">
        <w:rPr>
          <w:i/>
          <w:color w:val="024EBD"/>
        </w:rPr>
        <w:t xml:space="preserve"> </w:t>
      </w:r>
      <w:hyperlink r:id="rId16">
        <w:r w:rsidR="007313E8" w:rsidRPr="006B6207">
          <w:rPr>
            <w:i/>
            <w:color w:val="024EBD"/>
            <w:u w:val="single" w:color="024EBD"/>
          </w:rPr>
          <w:t>Mpox</w:t>
        </w:r>
        <w:r w:rsidRPr="006B6207">
          <w:rPr>
            <w:i/>
            <w:color w:val="024EBD"/>
            <w:u w:val="single" w:color="024EBD"/>
          </w:rPr>
          <w:t xml:space="preserve"> </w:t>
        </w:r>
        <w:r w:rsidR="007313E8" w:rsidRPr="006B6207">
          <w:rPr>
            <w:i/>
            <w:color w:val="024EBD"/>
            <w:u w:val="single" w:color="024EBD"/>
          </w:rPr>
          <w:t>(Monkey</w:t>
        </w:r>
        <w:r w:rsidR="00E074CB" w:rsidRPr="006B6207">
          <w:rPr>
            <w:i/>
            <w:color w:val="024EBD"/>
            <w:u w:val="single" w:color="024EBD"/>
          </w:rPr>
          <w:t xml:space="preserve">pox) </w:t>
        </w:r>
        <w:r w:rsidRPr="006B6207">
          <w:rPr>
            <w:i/>
            <w:color w:val="024EBD"/>
            <w:u w:val="single" w:color="024EBD"/>
          </w:rPr>
          <w:t>Laboratory Case Definition (LCD)</w:t>
        </w:r>
      </w:hyperlink>
      <w:r w:rsidRPr="006B6207">
        <w:t>.</w:t>
      </w:r>
    </w:p>
    <w:p w14:paraId="4E4365BC" w14:textId="177A5118" w:rsidR="00E366C3" w:rsidRPr="006B6207" w:rsidRDefault="00B10B08" w:rsidP="008B1C79">
      <w:pPr>
        <w:pStyle w:val="ListBullet3"/>
        <w:rPr>
          <w:sz w:val="26"/>
          <w:szCs w:val="26"/>
        </w:rPr>
      </w:pPr>
      <w:r w:rsidRPr="006B6207">
        <w:t>Please</w:t>
      </w:r>
      <w:r w:rsidRPr="006B6207">
        <w:rPr>
          <w:spacing w:val="-6"/>
        </w:rPr>
        <w:t xml:space="preserve"> </w:t>
      </w:r>
      <w:r w:rsidRPr="006B6207">
        <w:t>raise</w:t>
      </w:r>
      <w:r w:rsidRPr="006B6207">
        <w:rPr>
          <w:spacing w:val="-3"/>
        </w:rPr>
        <w:t xml:space="preserve"> </w:t>
      </w:r>
      <w:r w:rsidRPr="006B6207">
        <w:t>any</w:t>
      </w:r>
      <w:r w:rsidRPr="006B6207">
        <w:rPr>
          <w:spacing w:val="-3"/>
        </w:rPr>
        <w:t xml:space="preserve"> </w:t>
      </w:r>
      <w:r w:rsidRPr="006B6207">
        <w:t>questions</w:t>
      </w:r>
      <w:r w:rsidRPr="006B6207">
        <w:rPr>
          <w:spacing w:val="-2"/>
        </w:rPr>
        <w:t xml:space="preserve"> </w:t>
      </w:r>
      <w:r w:rsidRPr="006B6207">
        <w:t>about</w:t>
      </w:r>
      <w:r w:rsidRPr="006B6207">
        <w:rPr>
          <w:spacing w:val="-2"/>
        </w:rPr>
        <w:t xml:space="preserve"> </w:t>
      </w:r>
      <w:r w:rsidRPr="006B6207">
        <w:t>specimen</w:t>
      </w:r>
      <w:r w:rsidRPr="006B6207">
        <w:rPr>
          <w:spacing w:val="-3"/>
        </w:rPr>
        <w:t xml:space="preserve"> </w:t>
      </w:r>
      <w:r w:rsidRPr="006B6207">
        <w:t>collection</w:t>
      </w:r>
      <w:r w:rsidRPr="006B6207">
        <w:rPr>
          <w:spacing w:val="-2"/>
        </w:rPr>
        <w:t xml:space="preserve"> </w:t>
      </w:r>
      <w:r w:rsidRPr="006B6207">
        <w:t>with</w:t>
      </w:r>
      <w:r w:rsidRPr="006B6207">
        <w:rPr>
          <w:spacing w:val="-2"/>
        </w:rPr>
        <w:t xml:space="preserve"> </w:t>
      </w:r>
      <w:r w:rsidRPr="006B6207">
        <w:t>a</w:t>
      </w:r>
      <w:r w:rsidRPr="006B6207">
        <w:rPr>
          <w:spacing w:val="-4"/>
        </w:rPr>
        <w:t xml:space="preserve"> </w:t>
      </w:r>
      <w:r w:rsidR="00D37500" w:rsidRPr="00636A65">
        <w:t>specialist</w:t>
      </w:r>
      <w:r w:rsidRPr="006B6207">
        <w:rPr>
          <w:spacing w:val="-2"/>
        </w:rPr>
        <w:t xml:space="preserve"> microbiologist</w:t>
      </w:r>
      <w:r w:rsidR="002E58DF" w:rsidRPr="00636A65">
        <w:rPr>
          <w:rStyle w:val="FootnoteReference"/>
          <w:spacing w:val="-2"/>
        </w:rPr>
        <w:footnoteReference w:id="3"/>
      </w:r>
      <w:r w:rsidRPr="006B6207">
        <w:rPr>
          <w:spacing w:val="-2"/>
        </w:rPr>
        <w:t>.</w:t>
      </w:r>
      <w:bookmarkStart w:id="1" w:name="Who_to_refer?"/>
      <w:bookmarkEnd w:id="1"/>
    </w:p>
    <w:p w14:paraId="4B26398D" w14:textId="67A20915" w:rsidR="009E104F" w:rsidRPr="006143D3" w:rsidRDefault="00B10B08" w:rsidP="008B1C79">
      <w:pPr>
        <w:pStyle w:val="Heading2"/>
      </w:pPr>
      <w:r w:rsidRPr="006143D3">
        <w:t>Who to refer?</w:t>
      </w:r>
    </w:p>
    <w:p w14:paraId="4B26398E" w14:textId="5B0674CE" w:rsidR="009E104F" w:rsidRPr="006B6207" w:rsidRDefault="00B10B08" w:rsidP="008B1C79">
      <w:pPr>
        <w:pStyle w:val="ListBullet3"/>
        <w:rPr>
          <w:i/>
        </w:rPr>
      </w:pPr>
      <w:r w:rsidRPr="1BA3EBA1">
        <w:t xml:space="preserve">Patients with a </w:t>
      </w:r>
      <w:r w:rsidR="000832DF" w:rsidRPr="1BA3EBA1">
        <w:t xml:space="preserve">clinical </w:t>
      </w:r>
      <w:r w:rsidRPr="1BA3EBA1">
        <w:t xml:space="preserve">presentation consistent with </w:t>
      </w:r>
      <w:r w:rsidR="00E074CB" w:rsidRPr="1BA3EBA1">
        <w:t>mpox</w:t>
      </w:r>
      <w:r w:rsidRPr="1BA3EBA1">
        <w:t>. For example, vesicular exanthem,</w:t>
      </w:r>
      <w:r w:rsidRPr="1BA3EBA1">
        <w:rPr>
          <w:spacing w:val="-2"/>
        </w:rPr>
        <w:t xml:space="preserve"> </w:t>
      </w:r>
      <w:r w:rsidRPr="1BA3EBA1">
        <w:t>and</w:t>
      </w:r>
      <w:r w:rsidRPr="1BA3EBA1">
        <w:rPr>
          <w:spacing w:val="-2"/>
        </w:rPr>
        <w:t xml:space="preserve"> </w:t>
      </w:r>
      <w:r w:rsidRPr="1BA3EBA1">
        <w:t>who</w:t>
      </w:r>
      <w:r w:rsidRPr="1BA3EBA1">
        <w:rPr>
          <w:spacing w:val="-3"/>
        </w:rPr>
        <w:t xml:space="preserve"> </w:t>
      </w:r>
      <w:r w:rsidRPr="1BA3EBA1">
        <w:t>present</w:t>
      </w:r>
      <w:r w:rsidRPr="1BA3EBA1">
        <w:rPr>
          <w:spacing w:val="-2"/>
        </w:rPr>
        <w:t xml:space="preserve"> </w:t>
      </w:r>
      <w:r w:rsidRPr="1BA3EBA1">
        <w:t>with</w:t>
      </w:r>
      <w:r w:rsidRPr="1BA3EBA1">
        <w:rPr>
          <w:spacing w:val="-2"/>
        </w:rPr>
        <w:t xml:space="preserve"> </w:t>
      </w:r>
      <w:r w:rsidRPr="1BA3EBA1">
        <w:t>a</w:t>
      </w:r>
      <w:r w:rsidRPr="1BA3EBA1">
        <w:rPr>
          <w:spacing w:val="-3"/>
        </w:rPr>
        <w:t xml:space="preserve"> </w:t>
      </w:r>
      <w:r w:rsidRPr="1BA3EBA1">
        <w:t>history</w:t>
      </w:r>
      <w:r w:rsidRPr="1BA3EBA1">
        <w:rPr>
          <w:spacing w:val="-5"/>
        </w:rPr>
        <w:t xml:space="preserve"> </w:t>
      </w:r>
      <w:r w:rsidRPr="1BA3EBA1">
        <w:t>suggestive</w:t>
      </w:r>
      <w:r w:rsidRPr="1BA3EBA1">
        <w:rPr>
          <w:spacing w:val="-4"/>
        </w:rPr>
        <w:t xml:space="preserve"> </w:t>
      </w:r>
      <w:r w:rsidRPr="1BA3EBA1">
        <w:t>of</w:t>
      </w:r>
      <w:r w:rsidRPr="1BA3EBA1">
        <w:rPr>
          <w:spacing w:val="-2"/>
        </w:rPr>
        <w:t xml:space="preserve"> </w:t>
      </w:r>
      <w:r w:rsidRPr="1BA3EBA1">
        <w:t>exposure</w:t>
      </w:r>
      <w:r w:rsidRPr="1BA3EBA1">
        <w:rPr>
          <w:spacing w:val="-4"/>
        </w:rPr>
        <w:t xml:space="preserve"> </w:t>
      </w:r>
      <w:r w:rsidRPr="1BA3EBA1">
        <w:t>to</w:t>
      </w:r>
      <w:r w:rsidRPr="1BA3EBA1">
        <w:rPr>
          <w:spacing w:val="-3"/>
        </w:rPr>
        <w:t xml:space="preserve"> </w:t>
      </w:r>
      <w:r w:rsidR="00E074CB" w:rsidRPr="1BA3EBA1">
        <w:t>mpox</w:t>
      </w:r>
      <w:r w:rsidRPr="1BA3EBA1">
        <w:rPr>
          <w:spacing w:val="-2"/>
        </w:rPr>
        <w:t xml:space="preserve"> </w:t>
      </w:r>
      <w:r w:rsidRPr="1BA3EBA1">
        <w:t>based</w:t>
      </w:r>
      <w:r w:rsidRPr="1BA3EBA1">
        <w:rPr>
          <w:spacing w:val="-2"/>
        </w:rPr>
        <w:t xml:space="preserve"> </w:t>
      </w:r>
      <w:r w:rsidRPr="1BA3EBA1">
        <w:t xml:space="preserve">on epidemiological factors outlined in the </w:t>
      </w:r>
      <w:hyperlink r:id="rId17" w:history="1">
        <w:r w:rsidR="0036779E" w:rsidRPr="1BA3EBA1">
          <w:rPr>
            <w:rStyle w:val="Hyperlink"/>
          </w:rPr>
          <w:t>Mpox – CDNA National Guidelines for Public Health Units</w:t>
        </w:r>
      </w:hyperlink>
      <w:r w:rsidRPr="1BA3EBA1">
        <w:rPr>
          <w:i/>
        </w:rPr>
        <w:t>.</w:t>
      </w:r>
    </w:p>
    <w:p w14:paraId="4B26398F" w14:textId="34E4C9F0" w:rsidR="009E104F" w:rsidRPr="006B6207" w:rsidRDefault="00B10B08" w:rsidP="008B1C79">
      <w:pPr>
        <w:pStyle w:val="ListBullet3"/>
      </w:pPr>
      <w:r w:rsidRPr="1BA3EBA1">
        <w:t>A clinically consistent presentation</w:t>
      </w:r>
      <w:r w:rsidR="006143D3" w:rsidRPr="1BA3EBA1">
        <w:t xml:space="preserve"> with mpox</w:t>
      </w:r>
      <w:r w:rsidRPr="1BA3EBA1">
        <w:t xml:space="preserve"> includes fever, headache, myalgia, backache, lymphadenopathy,</w:t>
      </w:r>
      <w:r w:rsidRPr="1BA3EBA1">
        <w:rPr>
          <w:spacing w:val="-2"/>
        </w:rPr>
        <w:t xml:space="preserve"> </w:t>
      </w:r>
      <w:r w:rsidRPr="1BA3EBA1">
        <w:t>chills,</w:t>
      </w:r>
      <w:r w:rsidRPr="1BA3EBA1">
        <w:rPr>
          <w:spacing w:val="-7"/>
        </w:rPr>
        <w:t xml:space="preserve"> </w:t>
      </w:r>
      <w:r w:rsidRPr="1BA3EBA1">
        <w:t>and</w:t>
      </w:r>
      <w:r w:rsidRPr="1BA3EBA1">
        <w:rPr>
          <w:spacing w:val="-3"/>
        </w:rPr>
        <w:t xml:space="preserve"> </w:t>
      </w:r>
      <w:r w:rsidRPr="1BA3EBA1">
        <w:t>exhaustion.</w:t>
      </w:r>
      <w:r w:rsidRPr="1BA3EBA1">
        <w:rPr>
          <w:spacing w:val="-2"/>
        </w:rPr>
        <w:t xml:space="preserve"> </w:t>
      </w:r>
      <w:r w:rsidRPr="1BA3EBA1">
        <w:t>Lesions</w:t>
      </w:r>
      <w:r w:rsidRPr="1BA3EBA1">
        <w:rPr>
          <w:spacing w:val="-3"/>
        </w:rPr>
        <w:t xml:space="preserve"> </w:t>
      </w:r>
      <w:r w:rsidRPr="1BA3EBA1">
        <w:t>can</w:t>
      </w:r>
      <w:r w:rsidRPr="1BA3EBA1">
        <w:rPr>
          <w:spacing w:val="-3"/>
        </w:rPr>
        <w:t xml:space="preserve"> </w:t>
      </w:r>
      <w:r w:rsidRPr="1BA3EBA1">
        <w:t>develop</w:t>
      </w:r>
      <w:r w:rsidRPr="1BA3EBA1">
        <w:rPr>
          <w:spacing w:val="-3"/>
        </w:rPr>
        <w:t xml:space="preserve"> </w:t>
      </w:r>
      <w:r w:rsidRPr="1BA3EBA1">
        <w:t>in</w:t>
      </w:r>
      <w:r w:rsidRPr="1BA3EBA1">
        <w:rPr>
          <w:spacing w:val="-3"/>
        </w:rPr>
        <w:t xml:space="preserve"> </w:t>
      </w:r>
      <w:r w:rsidRPr="1BA3EBA1">
        <w:t>the</w:t>
      </w:r>
      <w:r w:rsidRPr="1BA3EBA1">
        <w:rPr>
          <w:spacing w:val="-5"/>
        </w:rPr>
        <w:t xml:space="preserve"> </w:t>
      </w:r>
      <w:r w:rsidRPr="1BA3EBA1">
        <w:t>anorectum,</w:t>
      </w:r>
      <w:r w:rsidRPr="1BA3EBA1">
        <w:rPr>
          <w:spacing w:val="-2"/>
        </w:rPr>
        <w:t xml:space="preserve"> </w:t>
      </w:r>
      <w:r w:rsidRPr="1BA3EBA1">
        <w:t>genitals,</w:t>
      </w:r>
      <w:r w:rsidRPr="1BA3EBA1">
        <w:rPr>
          <w:spacing w:val="-2"/>
        </w:rPr>
        <w:t xml:space="preserve"> </w:t>
      </w:r>
      <w:r w:rsidRPr="1BA3EBA1">
        <w:t xml:space="preserve">face, mouth, and/or other areas of the body. </w:t>
      </w:r>
      <w:r w:rsidR="3A9C5F3F" w:rsidRPr="1BA3EBA1">
        <w:t>Proctitis</w:t>
      </w:r>
      <w:r w:rsidR="20F417A0" w:rsidRPr="1BA3EBA1">
        <w:t xml:space="preserve"> with or</w:t>
      </w:r>
      <w:r w:rsidR="3A9C5F3F" w:rsidRPr="1BA3EBA1">
        <w:t xml:space="preserve"> without typical lesions can also occur.</w:t>
      </w:r>
      <w:r w:rsidRPr="1BA3EBA1">
        <w:t xml:space="preserve"> Symptoms usually begin between 7–14 days (but can range from 5–21 days) after exposure.</w:t>
      </w:r>
      <w:r w:rsidR="0060515C" w:rsidRPr="1BA3EBA1">
        <w:t xml:space="preserve"> Atypical presentations with prolonged prodromal symptoms or atypical rashes may occur.</w:t>
      </w:r>
    </w:p>
    <w:p w14:paraId="30523535" w14:textId="338A54EB" w:rsidR="002F5E4F" w:rsidRPr="00636A65" w:rsidRDefault="00E9360C" w:rsidP="008B1C79">
      <w:pPr>
        <w:pStyle w:val="ListBullet3"/>
      </w:pPr>
      <w:r w:rsidRPr="00636A65">
        <w:t xml:space="preserve">Include </w:t>
      </w:r>
      <w:r w:rsidR="00A34D30">
        <w:t xml:space="preserve">mpox </w:t>
      </w:r>
      <w:r w:rsidR="00A34D30" w:rsidRPr="1BA3EBA1">
        <w:t>vaccination</w:t>
      </w:r>
      <w:r w:rsidR="5ABD1E3C" w:rsidRPr="1BA3EBA1">
        <w:t xml:space="preserve"> history</w:t>
      </w:r>
      <w:r w:rsidR="5452BAF1" w:rsidRPr="1BA3EBA1">
        <w:t xml:space="preserve"> and relevant </w:t>
      </w:r>
      <w:r w:rsidRPr="00636A65">
        <w:t>clinical and epidemiological information (including country of</w:t>
      </w:r>
      <w:r w:rsidR="059A7200" w:rsidRPr="1BA3EBA1">
        <w:t xml:space="preserve"> suspected</w:t>
      </w:r>
      <w:r w:rsidRPr="00636A65">
        <w:t xml:space="preserve"> infection acquisition</w:t>
      </w:r>
      <w:r w:rsidR="00C8507F" w:rsidRPr="00636A65">
        <w:t>, symptoms, travel history, history suggestive of exposure to mpox,</w:t>
      </w:r>
      <w:r w:rsidR="00AE3F37" w:rsidRPr="00636A65">
        <w:t xml:space="preserve"> contact with travellers or country </w:t>
      </w:r>
      <w:r w:rsidR="0071151F" w:rsidRPr="00636A65">
        <w:t>of suspected mpox acquisition,</w:t>
      </w:r>
      <w:r w:rsidR="00C8507F" w:rsidRPr="00636A65">
        <w:t xml:space="preserve"> other underlying diseases (such as HIV), and any high-risk </w:t>
      </w:r>
      <w:r w:rsidR="009E7526" w:rsidRPr="00636A65">
        <w:t xml:space="preserve">settings or </w:t>
      </w:r>
      <w:r w:rsidR="00C8507F" w:rsidRPr="00636A65">
        <w:t>activities)</w:t>
      </w:r>
      <w:r w:rsidRPr="00636A65">
        <w:t xml:space="preserve"> on the pathology request form or in the electronic referral system. </w:t>
      </w:r>
    </w:p>
    <w:p w14:paraId="159E944A" w14:textId="547C12B4" w:rsidR="00E9360C" w:rsidRPr="00636A65" w:rsidRDefault="2654A5B1" w:rsidP="008B1C79">
      <w:pPr>
        <w:pStyle w:val="ListBullet3"/>
      </w:pPr>
      <w:r w:rsidRPr="78E88A07">
        <w:t xml:space="preserve">At present </w:t>
      </w:r>
      <w:r w:rsidRPr="78E88A07">
        <w:rPr>
          <w:color w:val="751D20"/>
          <w:u w:val="single"/>
        </w:rPr>
        <w:t>it is not recommended</w:t>
      </w:r>
      <w:r w:rsidRPr="78E88A07">
        <w:t xml:space="preserve"> to test for MPXV in asymptomatic individuals at high risk of infection as there are insufficient data on the utility or cost effectiveness of screening for mpox. </w:t>
      </w:r>
      <w:r w:rsidR="00F65965" w:rsidRPr="0064713C">
        <w:t>Similarly,</w:t>
      </w:r>
      <w:r w:rsidR="0064713C" w:rsidRPr="0064713C">
        <w:t xml:space="preserve"> pre-travel MPXV testing in asymptomatic persons is also not recommended.</w:t>
      </w:r>
    </w:p>
    <w:p w14:paraId="7A33F0F7" w14:textId="0C9A7899" w:rsidR="00E9360C" w:rsidRPr="00636A65" w:rsidRDefault="00E9360C" w:rsidP="008B1C79">
      <w:pPr>
        <w:pStyle w:val="ListBullet3"/>
      </w:pPr>
      <w:r w:rsidRPr="00636A65">
        <w:t>Consider</w:t>
      </w:r>
      <w:r w:rsidRPr="00636A65">
        <w:rPr>
          <w:spacing w:val="-2"/>
        </w:rPr>
        <w:t xml:space="preserve"> </w:t>
      </w:r>
      <w:r w:rsidRPr="00636A65">
        <w:t>specimen</w:t>
      </w:r>
      <w:r w:rsidRPr="00636A65">
        <w:rPr>
          <w:spacing w:val="-3"/>
        </w:rPr>
        <w:t xml:space="preserve"> </w:t>
      </w:r>
      <w:r w:rsidRPr="00636A65">
        <w:t>collection</w:t>
      </w:r>
      <w:r w:rsidRPr="00636A65">
        <w:rPr>
          <w:spacing w:val="-3"/>
        </w:rPr>
        <w:t xml:space="preserve"> </w:t>
      </w:r>
      <w:r w:rsidRPr="00636A65">
        <w:t>for</w:t>
      </w:r>
      <w:r w:rsidRPr="00636A65">
        <w:rPr>
          <w:spacing w:val="-2"/>
        </w:rPr>
        <w:t xml:space="preserve"> </w:t>
      </w:r>
      <w:r w:rsidRPr="00636A65">
        <w:t>other</w:t>
      </w:r>
      <w:r w:rsidRPr="00636A65">
        <w:rPr>
          <w:spacing w:val="-5"/>
        </w:rPr>
        <w:t xml:space="preserve"> </w:t>
      </w:r>
      <w:r w:rsidRPr="00636A65">
        <w:t>infections,</w:t>
      </w:r>
      <w:r w:rsidRPr="00636A65">
        <w:rPr>
          <w:spacing w:val="-5"/>
        </w:rPr>
        <w:t xml:space="preserve"> </w:t>
      </w:r>
      <w:r w:rsidRPr="00636A65">
        <w:t>such</w:t>
      </w:r>
      <w:r w:rsidRPr="00636A65">
        <w:rPr>
          <w:spacing w:val="-3"/>
        </w:rPr>
        <w:t xml:space="preserve"> </w:t>
      </w:r>
      <w:r w:rsidRPr="00636A65">
        <w:t>as</w:t>
      </w:r>
      <w:r w:rsidRPr="00636A65">
        <w:rPr>
          <w:spacing w:val="-3"/>
        </w:rPr>
        <w:t xml:space="preserve"> </w:t>
      </w:r>
      <w:r w:rsidRPr="00636A65">
        <w:t>herpes</w:t>
      </w:r>
      <w:r w:rsidRPr="00636A65">
        <w:rPr>
          <w:spacing w:val="-5"/>
        </w:rPr>
        <w:t xml:space="preserve"> </w:t>
      </w:r>
      <w:r w:rsidRPr="00636A65">
        <w:t>simplex,</w:t>
      </w:r>
      <w:r w:rsidRPr="00636A65">
        <w:rPr>
          <w:spacing w:val="-2"/>
        </w:rPr>
        <w:t xml:space="preserve"> </w:t>
      </w:r>
      <w:r w:rsidRPr="00636A65">
        <w:t>varicella</w:t>
      </w:r>
      <w:r w:rsidR="431D8F97" w:rsidRPr="00636A65">
        <w:t>-zoster</w:t>
      </w:r>
      <w:r w:rsidR="58ACB404" w:rsidRPr="003858FA">
        <w:t xml:space="preserve"> and syphilis. Molluscum contagiosum and orf are other differential diagnoses</w:t>
      </w:r>
      <w:r w:rsidR="7D9A7F00" w:rsidRPr="003858FA">
        <w:t>, but these are generally made without laboratory testing.</w:t>
      </w:r>
    </w:p>
    <w:p w14:paraId="2260AC35" w14:textId="7380680E" w:rsidR="00787545" w:rsidRPr="00B61553" w:rsidRDefault="00634EE6" w:rsidP="00AD1D50">
      <w:pPr>
        <w:rPr>
          <w:rStyle w:val="Emphasis"/>
        </w:rPr>
        <w:sectPr w:rsidR="00787545" w:rsidRPr="00B61553">
          <w:pgSz w:w="11910" w:h="16840"/>
          <w:pgMar w:top="1360" w:right="1040" w:bottom="1440" w:left="1020" w:header="950" w:footer="1242" w:gutter="0"/>
          <w:cols w:space="720"/>
        </w:sectPr>
      </w:pPr>
      <w:r w:rsidRPr="00B61553">
        <w:rPr>
          <w:rStyle w:val="Emphasis"/>
        </w:rPr>
        <w:t xml:space="preserve">Advice from jurisdictional public health units </w:t>
      </w:r>
      <w:r w:rsidR="0806039A" w:rsidRPr="00B61553">
        <w:rPr>
          <w:rStyle w:val="Emphasis"/>
        </w:rPr>
        <w:t>may</w:t>
      </w:r>
      <w:r w:rsidRPr="00B61553">
        <w:rPr>
          <w:rStyle w:val="Emphasis"/>
        </w:rPr>
        <w:t xml:space="preserve"> determine how each patient will be prioritised for testing.</w:t>
      </w:r>
    </w:p>
    <w:p w14:paraId="72E68223" w14:textId="6AFFF7E7" w:rsidR="001B5AE0" w:rsidRPr="006143D3" w:rsidRDefault="004550E6" w:rsidP="008B1C79">
      <w:pPr>
        <w:pStyle w:val="Heading2"/>
      </w:pPr>
      <w:bookmarkStart w:id="2" w:name="_bookmark0"/>
      <w:bookmarkStart w:id="3" w:name="_bookmark1"/>
      <w:bookmarkStart w:id="4" w:name="_bookmark2"/>
      <w:bookmarkStart w:id="5" w:name="_bookmark3"/>
      <w:bookmarkEnd w:id="2"/>
      <w:bookmarkEnd w:id="3"/>
      <w:bookmarkEnd w:id="4"/>
      <w:bookmarkEnd w:id="5"/>
      <w:r w:rsidRPr="006143D3">
        <w:lastRenderedPageBreak/>
        <w:t>Specimens and specimen collection</w:t>
      </w:r>
    </w:p>
    <w:p w14:paraId="1B12CD7E" w14:textId="4041D489" w:rsidR="00020657" w:rsidRPr="006143D3" w:rsidRDefault="00020657" w:rsidP="008B1C79">
      <w:pPr>
        <w:pStyle w:val="Heading3"/>
      </w:pPr>
      <w:bookmarkStart w:id="6" w:name="Specimens_and_specimen_collection"/>
      <w:bookmarkStart w:id="7" w:name="Personal_protective_equipment"/>
      <w:bookmarkStart w:id="8" w:name="Suitable_specimens_and_specimen_collecti"/>
      <w:bookmarkEnd w:id="6"/>
      <w:bookmarkEnd w:id="7"/>
      <w:bookmarkEnd w:id="8"/>
      <w:r w:rsidRPr="006143D3">
        <w:t>Personal Protective Equipment</w:t>
      </w:r>
    </w:p>
    <w:p w14:paraId="14F44CF0" w14:textId="5925255A" w:rsidR="00F076A8" w:rsidRPr="00636A65" w:rsidRDefault="00F076A8" w:rsidP="008B1C79">
      <w:r w:rsidRPr="00636A65">
        <w:rPr>
          <w:color w:val="2E2E30"/>
        </w:rPr>
        <w:t xml:space="preserve">Please refer to the </w:t>
      </w:r>
      <w:hyperlink r:id="rId18" w:history="1">
        <w:r w:rsidR="00EF3C8D">
          <w:rPr>
            <w:rStyle w:val="Hyperlink"/>
          </w:rPr>
          <w:t>Mpox – CDNA National Guidelines for Public Health Units</w:t>
        </w:r>
      </w:hyperlink>
      <w:r w:rsidRPr="00636A65">
        <w:t xml:space="preserve"> (</w:t>
      </w:r>
      <w:r w:rsidR="00485D9D" w:rsidRPr="00636A65">
        <w:t xml:space="preserve">Section </w:t>
      </w:r>
      <w:r w:rsidR="0064713C">
        <w:t>8 Case Management</w:t>
      </w:r>
      <w:r w:rsidRPr="00636A65">
        <w:t>) for further information on personal protection management in a healthcare setting.</w:t>
      </w:r>
    </w:p>
    <w:p w14:paraId="3AF8828A" w14:textId="5A34F36A" w:rsidR="00F076A8" w:rsidRPr="008B1C79" w:rsidRDefault="00F076A8" w:rsidP="008B1C79">
      <w:r w:rsidRPr="00636A65">
        <w:t>Wear appropriate personal protective equipment (PPE) while collecting specimens from patients with</w:t>
      </w:r>
      <w:r w:rsidRPr="00636A65">
        <w:rPr>
          <w:spacing w:val="-3"/>
        </w:rPr>
        <w:t xml:space="preserve"> </w:t>
      </w:r>
      <w:r w:rsidRPr="00636A65">
        <w:t>suspected</w:t>
      </w:r>
      <w:r w:rsidRPr="00636A65">
        <w:rPr>
          <w:spacing w:val="-3"/>
        </w:rPr>
        <w:t xml:space="preserve"> </w:t>
      </w:r>
      <w:r w:rsidRPr="00636A65">
        <w:t>mpox.</w:t>
      </w:r>
      <w:r w:rsidRPr="00636A65">
        <w:rPr>
          <w:spacing w:val="-5"/>
        </w:rPr>
        <w:t xml:space="preserve"> </w:t>
      </w:r>
      <w:r w:rsidRPr="00636A65">
        <w:t>This</w:t>
      </w:r>
      <w:r w:rsidRPr="00636A65">
        <w:rPr>
          <w:spacing w:val="-3"/>
        </w:rPr>
        <w:t xml:space="preserve"> </w:t>
      </w:r>
      <w:r w:rsidRPr="00636A65">
        <w:t>includes</w:t>
      </w:r>
      <w:r w:rsidRPr="00636A65">
        <w:rPr>
          <w:spacing w:val="-3"/>
        </w:rPr>
        <w:t xml:space="preserve"> </w:t>
      </w:r>
      <w:r w:rsidRPr="00636A65">
        <w:t>a</w:t>
      </w:r>
      <w:r w:rsidRPr="00636A65">
        <w:rPr>
          <w:spacing w:val="-4"/>
        </w:rPr>
        <w:t xml:space="preserve"> </w:t>
      </w:r>
      <w:r w:rsidRPr="00636A65">
        <w:t>full-length</w:t>
      </w:r>
      <w:r w:rsidRPr="00636A65">
        <w:rPr>
          <w:spacing w:val="-6"/>
        </w:rPr>
        <w:t xml:space="preserve"> </w:t>
      </w:r>
      <w:r w:rsidRPr="00636A65">
        <w:t>gown,</w:t>
      </w:r>
      <w:r w:rsidRPr="00636A65">
        <w:rPr>
          <w:spacing w:val="-2"/>
        </w:rPr>
        <w:t xml:space="preserve"> </w:t>
      </w:r>
      <w:r w:rsidRPr="00636A65">
        <w:t>fluid-repellent</w:t>
      </w:r>
      <w:r w:rsidRPr="00636A65">
        <w:rPr>
          <w:spacing w:val="-3"/>
        </w:rPr>
        <w:t xml:space="preserve"> </w:t>
      </w:r>
      <w:r w:rsidRPr="00636A65">
        <w:t xml:space="preserve">surgical mask, disposable gloves, </w:t>
      </w:r>
      <w:r w:rsidR="003F4D04" w:rsidRPr="00636A65">
        <w:t xml:space="preserve">eye </w:t>
      </w:r>
      <w:r w:rsidRPr="00636A65">
        <w:t>goggles or a face shield. Standard and transmission-based precautions, including contact and droplet precautions, are considered the minimum level of PPE when collecting a sample from a person with suspected, probable, and confirmed mpox.</w:t>
      </w:r>
    </w:p>
    <w:p w14:paraId="335FC0AF" w14:textId="77777777" w:rsidR="00F076A8" w:rsidRPr="00636A65" w:rsidRDefault="00F076A8" w:rsidP="008B1C79">
      <w:r w:rsidRPr="00636A65">
        <w:t>Consider wearing a fit-checked P2/N95 particulate filter respirator (PFR) or equivalent if:</w:t>
      </w:r>
    </w:p>
    <w:p w14:paraId="7B6FB7B0" w14:textId="77777777" w:rsidR="00F076A8" w:rsidRPr="008B1C79" w:rsidRDefault="00F076A8" w:rsidP="008B1C79">
      <w:pPr>
        <w:pStyle w:val="ListBullet"/>
      </w:pPr>
      <w:r w:rsidRPr="00636A65">
        <w:t>the</w:t>
      </w:r>
      <w:r w:rsidRPr="00636A65">
        <w:rPr>
          <w:spacing w:val="-4"/>
        </w:rPr>
        <w:t xml:space="preserve"> </w:t>
      </w:r>
      <w:r w:rsidRPr="00636A65">
        <w:t>patient</w:t>
      </w:r>
      <w:r w:rsidRPr="00636A65">
        <w:rPr>
          <w:spacing w:val="-2"/>
        </w:rPr>
        <w:t xml:space="preserve"> </w:t>
      </w:r>
      <w:r w:rsidRPr="008B1C79">
        <w:t>has respiratory symptoms, or</w:t>
      </w:r>
    </w:p>
    <w:p w14:paraId="07E6CB09" w14:textId="3C6B0FB6" w:rsidR="00F076A8" w:rsidRPr="008B1C79" w:rsidRDefault="000832DF" w:rsidP="008B1C79">
      <w:pPr>
        <w:pStyle w:val="ListBullet"/>
      </w:pPr>
      <w:r w:rsidRPr="008B1C79">
        <w:t>v</w:t>
      </w:r>
      <w:r w:rsidR="00F076A8" w:rsidRPr="008B1C79">
        <w:t>aricella or measles is suspected, or</w:t>
      </w:r>
    </w:p>
    <w:p w14:paraId="3C07C18E" w14:textId="77777777" w:rsidR="00F076A8" w:rsidRPr="00636A65" w:rsidRDefault="00F076A8" w:rsidP="008B1C79">
      <w:pPr>
        <w:pStyle w:val="ListBullet"/>
      </w:pPr>
      <w:r w:rsidRPr="008B1C79">
        <w:t>there are other high-risk exposure</w:t>
      </w:r>
      <w:r w:rsidRPr="00636A65">
        <w:rPr>
          <w:spacing w:val="-4"/>
        </w:rPr>
        <w:t xml:space="preserve"> </w:t>
      </w:r>
      <w:r w:rsidRPr="00636A65">
        <w:t>events.</w:t>
      </w:r>
      <w:r w:rsidRPr="00636A65">
        <w:rPr>
          <w:spacing w:val="-2"/>
        </w:rPr>
        <w:t xml:space="preserve"> </w:t>
      </w:r>
      <w:r w:rsidRPr="00636A65">
        <w:t>For</w:t>
      </w:r>
      <w:r w:rsidRPr="00636A65">
        <w:rPr>
          <w:spacing w:val="-4"/>
        </w:rPr>
        <w:t xml:space="preserve"> </w:t>
      </w:r>
      <w:r w:rsidRPr="00636A65">
        <w:t>example,</w:t>
      </w:r>
      <w:r w:rsidRPr="00636A65">
        <w:rPr>
          <w:spacing w:val="-2"/>
        </w:rPr>
        <w:t xml:space="preserve"> </w:t>
      </w:r>
      <w:r w:rsidRPr="00636A65">
        <w:t>prolonged</w:t>
      </w:r>
      <w:r w:rsidRPr="00636A65">
        <w:rPr>
          <w:spacing w:val="-3"/>
        </w:rPr>
        <w:t xml:space="preserve"> </w:t>
      </w:r>
      <w:r w:rsidRPr="00636A65">
        <w:t>exposure</w:t>
      </w:r>
      <w:r w:rsidRPr="00636A65">
        <w:rPr>
          <w:spacing w:val="-4"/>
        </w:rPr>
        <w:t xml:space="preserve"> </w:t>
      </w:r>
      <w:r w:rsidRPr="00636A65">
        <w:t>with</w:t>
      </w:r>
      <w:r w:rsidRPr="00636A65">
        <w:rPr>
          <w:spacing w:val="-3"/>
        </w:rPr>
        <w:t xml:space="preserve"> </w:t>
      </w:r>
      <w:r w:rsidRPr="00636A65">
        <w:t>the patient (such as a hospitalised patient) or aerosol-generating activities.</w:t>
      </w:r>
    </w:p>
    <w:p w14:paraId="627847B5" w14:textId="520CFAEB" w:rsidR="00F076A8" w:rsidRPr="00636A65" w:rsidRDefault="00F076A8" w:rsidP="008B1C79">
      <w:r w:rsidRPr="00636A65">
        <w:t>Wipe the specimen container after the specimen has been collected. Use a suitable detergent, followed</w:t>
      </w:r>
      <w:r w:rsidRPr="00636A65">
        <w:rPr>
          <w:spacing w:val="-3"/>
        </w:rPr>
        <w:t xml:space="preserve"> </w:t>
      </w:r>
      <w:r w:rsidRPr="00636A65">
        <w:t>by</w:t>
      </w:r>
      <w:r w:rsidRPr="00636A65">
        <w:rPr>
          <w:spacing w:val="-4"/>
        </w:rPr>
        <w:t xml:space="preserve"> </w:t>
      </w:r>
      <w:r w:rsidRPr="00636A65">
        <w:t>a</w:t>
      </w:r>
      <w:r w:rsidRPr="00636A65">
        <w:rPr>
          <w:spacing w:val="-4"/>
        </w:rPr>
        <w:t xml:space="preserve"> </w:t>
      </w:r>
      <w:r w:rsidRPr="00636A65">
        <w:t>Therapeutic</w:t>
      </w:r>
      <w:r w:rsidRPr="00636A65">
        <w:rPr>
          <w:spacing w:val="-2"/>
        </w:rPr>
        <w:t xml:space="preserve"> </w:t>
      </w:r>
      <w:r w:rsidRPr="00636A65">
        <w:t>Goods</w:t>
      </w:r>
      <w:r w:rsidRPr="00636A65">
        <w:rPr>
          <w:spacing w:val="-5"/>
        </w:rPr>
        <w:t xml:space="preserve"> </w:t>
      </w:r>
      <w:r w:rsidRPr="00636A65">
        <w:t>Administration</w:t>
      </w:r>
      <w:r w:rsidRPr="00636A65">
        <w:rPr>
          <w:spacing w:val="-3"/>
        </w:rPr>
        <w:t xml:space="preserve"> </w:t>
      </w:r>
      <w:r w:rsidRPr="00636A65">
        <w:t>(TGA)</w:t>
      </w:r>
      <w:r w:rsidRPr="00636A65">
        <w:rPr>
          <w:spacing w:val="-3"/>
        </w:rPr>
        <w:t xml:space="preserve"> </w:t>
      </w:r>
      <w:r w:rsidRPr="00636A65">
        <w:t>approved</w:t>
      </w:r>
      <w:r w:rsidRPr="00636A65">
        <w:rPr>
          <w:spacing w:val="-3"/>
        </w:rPr>
        <w:t xml:space="preserve"> </w:t>
      </w:r>
      <w:r w:rsidRPr="00636A65">
        <w:t>hospital-grade</w:t>
      </w:r>
      <w:r w:rsidRPr="00636A65">
        <w:rPr>
          <w:spacing w:val="-5"/>
        </w:rPr>
        <w:t xml:space="preserve"> </w:t>
      </w:r>
      <w:r w:rsidRPr="00636A65">
        <w:t>disinfectant</w:t>
      </w:r>
      <w:r w:rsidRPr="00636A65">
        <w:rPr>
          <w:spacing w:val="-6"/>
        </w:rPr>
        <w:t xml:space="preserve"> </w:t>
      </w:r>
      <w:r w:rsidRPr="00636A65">
        <w:t>with activity against viruses. This will be</w:t>
      </w:r>
      <w:r w:rsidRPr="00636A65">
        <w:rPr>
          <w:spacing w:val="-1"/>
        </w:rPr>
        <w:t xml:space="preserve"> </w:t>
      </w:r>
      <w:r w:rsidRPr="00636A65">
        <w:t xml:space="preserve">recorded on the label and product information. Alternatively, use a bleach solution. You can also use a TGA-listed 2-in-1 (single step) combined cleaning and disinfection product with activity against viruses. For more information, please refer to the Therapeutic Goods Administration </w:t>
      </w:r>
      <w:hyperlink r:id="rId19">
        <w:r w:rsidRPr="00636A65">
          <w:rPr>
            <w:color w:val="0562C1"/>
            <w:u w:val="single" w:color="0562C1"/>
          </w:rPr>
          <w:t>website</w:t>
        </w:r>
      </w:hyperlink>
      <w:r w:rsidRPr="00636A65">
        <w:rPr>
          <w:color w:val="0562C1"/>
        </w:rPr>
        <w:t xml:space="preserve"> </w:t>
      </w:r>
      <w:r w:rsidRPr="00636A65">
        <w:t>for a list of suitable hospital-grade disinfectants.</w:t>
      </w:r>
    </w:p>
    <w:p w14:paraId="69D0794C" w14:textId="23D83F35" w:rsidR="00F076A8" w:rsidRPr="00636A65" w:rsidRDefault="00F076A8" w:rsidP="008B1C79">
      <w:r w:rsidRPr="00636A65">
        <w:t>Suitable</w:t>
      </w:r>
      <w:r w:rsidRPr="00636A65">
        <w:rPr>
          <w:spacing w:val="-4"/>
        </w:rPr>
        <w:t xml:space="preserve"> </w:t>
      </w:r>
      <w:r w:rsidRPr="00636A65">
        <w:t>disinfectants</w:t>
      </w:r>
      <w:r w:rsidRPr="00636A65">
        <w:rPr>
          <w:spacing w:val="-2"/>
        </w:rPr>
        <w:t xml:space="preserve"> </w:t>
      </w:r>
      <w:r w:rsidRPr="00636A65">
        <w:t>are</w:t>
      </w:r>
      <w:r w:rsidRPr="00636A65">
        <w:rPr>
          <w:spacing w:val="-4"/>
        </w:rPr>
        <w:t xml:space="preserve"> </w:t>
      </w:r>
      <w:r w:rsidRPr="00636A65">
        <w:t>also</w:t>
      </w:r>
      <w:r w:rsidRPr="00636A65">
        <w:rPr>
          <w:spacing w:val="-3"/>
        </w:rPr>
        <w:t xml:space="preserve"> </w:t>
      </w:r>
      <w:r w:rsidRPr="00636A65">
        <w:t>available</w:t>
      </w:r>
      <w:r w:rsidRPr="00636A65">
        <w:rPr>
          <w:spacing w:val="-4"/>
        </w:rPr>
        <w:t xml:space="preserve"> </w:t>
      </w:r>
      <w:r w:rsidRPr="00636A65">
        <w:t>from</w:t>
      </w:r>
      <w:r w:rsidRPr="00636A65">
        <w:rPr>
          <w:spacing w:val="-3"/>
        </w:rPr>
        <w:t xml:space="preserve"> </w:t>
      </w:r>
      <w:r w:rsidRPr="00636A65">
        <w:t>the</w:t>
      </w:r>
      <w:r w:rsidRPr="00636A65">
        <w:rPr>
          <w:spacing w:val="-6"/>
        </w:rPr>
        <w:t xml:space="preserve"> </w:t>
      </w:r>
      <w:hyperlink r:id="rId20">
        <w:r w:rsidRPr="00636A65">
          <w:rPr>
            <w:color w:val="0562C1"/>
            <w:u w:val="single" w:color="0562C1"/>
          </w:rPr>
          <w:t>United</w:t>
        </w:r>
        <w:r w:rsidRPr="00636A65">
          <w:rPr>
            <w:color w:val="0562C1"/>
            <w:spacing w:val="-2"/>
            <w:u w:val="single" w:color="0562C1"/>
          </w:rPr>
          <w:t xml:space="preserve"> </w:t>
        </w:r>
        <w:r w:rsidRPr="00636A65">
          <w:rPr>
            <w:color w:val="0562C1"/>
            <w:u w:val="single" w:color="0562C1"/>
          </w:rPr>
          <w:t>States</w:t>
        </w:r>
        <w:r w:rsidRPr="00636A65">
          <w:rPr>
            <w:color w:val="0562C1"/>
            <w:spacing w:val="-2"/>
            <w:u w:val="single" w:color="0562C1"/>
          </w:rPr>
          <w:t xml:space="preserve"> </w:t>
        </w:r>
        <w:r w:rsidRPr="00636A65">
          <w:rPr>
            <w:color w:val="0562C1"/>
            <w:u w:val="single" w:color="0562C1"/>
          </w:rPr>
          <w:t>Environmental</w:t>
        </w:r>
        <w:r w:rsidRPr="00636A65">
          <w:rPr>
            <w:color w:val="0562C1"/>
            <w:spacing w:val="-3"/>
            <w:u w:val="single" w:color="0562C1"/>
          </w:rPr>
          <w:t xml:space="preserve"> </w:t>
        </w:r>
        <w:r w:rsidRPr="00636A65">
          <w:rPr>
            <w:color w:val="0562C1"/>
            <w:u w:val="single" w:color="0562C1"/>
          </w:rPr>
          <w:t>Protection</w:t>
        </w:r>
        <w:r w:rsidRPr="00636A65">
          <w:rPr>
            <w:color w:val="0562C1"/>
            <w:spacing w:val="-3"/>
            <w:u w:val="single" w:color="0562C1"/>
          </w:rPr>
          <w:t xml:space="preserve"> </w:t>
        </w:r>
        <w:r w:rsidRPr="00636A65">
          <w:rPr>
            <w:color w:val="0562C1"/>
            <w:u w:val="single" w:color="0562C1"/>
          </w:rPr>
          <w:t>Agency</w:t>
        </w:r>
      </w:hyperlink>
      <w:r w:rsidRPr="00636A65">
        <w:rPr>
          <w:color w:val="0562C1"/>
        </w:rPr>
        <w:t xml:space="preserve"> </w:t>
      </w:r>
      <w:hyperlink r:id="rId21">
        <w:r w:rsidRPr="00636A65">
          <w:rPr>
            <w:color w:val="0562C1"/>
            <w:u w:val="single" w:color="0562C1"/>
          </w:rPr>
          <w:t>website</w:t>
        </w:r>
      </w:hyperlink>
      <w:r w:rsidRPr="00636A65">
        <w:t xml:space="preserve">. </w:t>
      </w:r>
    </w:p>
    <w:p w14:paraId="4A8A9265" w14:textId="6FCC390D" w:rsidR="0075710A" w:rsidRPr="006143D3" w:rsidRDefault="0075710A" w:rsidP="008B1C79">
      <w:pPr>
        <w:pStyle w:val="Heading3"/>
      </w:pPr>
      <w:r w:rsidRPr="006143D3">
        <w:t>Suitable specimens and specimen collection</w:t>
      </w:r>
    </w:p>
    <w:p w14:paraId="4B2639A4" w14:textId="61F16079" w:rsidR="009E104F" w:rsidRDefault="00B10B08" w:rsidP="008B1C79">
      <w:r w:rsidRPr="006B6207">
        <w:t xml:space="preserve">Collect lesion material from persons with suspected </w:t>
      </w:r>
      <w:r w:rsidR="00862DB9" w:rsidRPr="006B6207">
        <w:t>mpox</w:t>
      </w:r>
      <w:r w:rsidRPr="006B6207">
        <w:t xml:space="preserve"> with an active lesion or rash. Acceptable specimen types include </w:t>
      </w:r>
      <w:r w:rsidR="693F878F" w:rsidRPr="006B6207">
        <w:t xml:space="preserve">skin </w:t>
      </w:r>
      <w:r w:rsidRPr="006B6207">
        <w:t>lesion</w:t>
      </w:r>
      <w:r w:rsidR="2E53ACD0" w:rsidRPr="006B6207">
        <w:t xml:space="preserve"> swabs,</w:t>
      </w:r>
      <w:r w:rsidRPr="006B6207">
        <w:t xml:space="preserve"> fluid, tissue</w:t>
      </w:r>
      <w:r w:rsidR="4FD82E07" w:rsidRPr="006B6207">
        <w:t>s</w:t>
      </w:r>
      <w:r w:rsidRPr="006B6207">
        <w:t>, crust</w:t>
      </w:r>
      <w:r w:rsidR="16096526" w:rsidRPr="006B6207">
        <w:t>s</w:t>
      </w:r>
      <w:r w:rsidRPr="006B6207">
        <w:t xml:space="preserve"> or skin biopsy. It is recommended</w:t>
      </w:r>
      <w:r w:rsidRPr="006B6207">
        <w:rPr>
          <w:spacing w:val="-3"/>
        </w:rPr>
        <w:t xml:space="preserve"> </w:t>
      </w:r>
      <w:r w:rsidRPr="006B6207">
        <w:t>at</w:t>
      </w:r>
      <w:r w:rsidRPr="006B6207">
        <w:rPr>
          <w:spacing w:val="-3"/>
        </w:rPr>
        <w:t xml:space="preserve"> </w:t>
      </w:r>
      <w:r w:rsidRPr="006B6207">
        <w:t>least</w:t>
      </w:r>
      <w:r w:rsidRPr="006B6207">
        <w:rPr>
          <w:spacing w:val="-3"/>
        </w:rPr>
        <w:t xml:space="preserve"> </w:t>
      </w:r>
      <w:r w:rsidRPr="006B6207">
        <w:t>two</w:t>
      </w:r>
      <w:r w:rsidRPr="006B6207">
        <w:rPr>
          <w:spacing w:val="-4"/>
        </w:rPr>
        <w:t xml:space="preserve"> </w:t>
      </w:r>
      <w:r w:rsidRPr="006B6207">
        <w:t>swabs</w:t>
      </w:r>
      <w:r w:rsidRPr="006B6207">
        <w:rPr>
          <w:spacing w:val="-5"/>
        </w:rPr>
        <w:t xml:space="preserve"> </w:t>
      </w:r>
      <w:r w:rsidRPr="006B6207">
        <w:t>from</w:t>
      </w:r>
      <w:r w:rsidRPr="006B6207">
        <w:rPr>
          <w:spacing w:val="-4"/>
        </w:rPr>
        <w:t xml:space="preserve"> </w:t>
      </w:r>
      <w:r w:rsidRPr="006B6207">
        <w:t>morphologically</w:t>
      </w:r>
      <w:r w:rsidRPr="006B6207">
        <w:rPr>
          <w:spacing w:val="-4"/>
        </w:rPr>
        <w:t xml:space="preserve"> </w:t>
      </w:r>
      <w:r w:rsidRPr="006B6207">
        <w:t>distinct</w:t>
      </w:r>
      <w:r w:rsidRPr="006B6207">
        <w:rPr>
          <w:spacing w:val="-6"/>
        </w:rPr>
        <w:t xml:space="preserve"> </w:t>
      </w:r>
      <w:r w:rsidRPr="006B6207">
        <w:t>lesions</w:t>
      </w:r>
      <w:r w:rsidRPr="006B6207">
        <w:rPr>
          <w:spacing w:val="-3"/>
        </w:rPr>
        <w:t xml:space="preserve"> </w:t>
      </w:r>
      <w:r w:rsidRPr="006B6207">
        <w:t>and/or</w:t>
      </w:r>
      <w:r w:rsidRPr="006B6207">
        <w:rPr>
          <w:spacing w:val="-2"/>
        </w:rPr>
        <w:t xml:space="preserve"> </w:t>
      </w:r>
      <w:r w:rsidR="00B36A61" w:rsidRPr="1BA3EBA1">
        <w:t>different</w:t>
      </w:r>
      <w:r w:rsidR="00B36A61" w:rsidRPr="006B6207">
        <w:t xml:space="preserve"> </w:t>
      </w:r>
      <w:r w:rsidRPr="006B6207">
        <w:t>anatomical</w:t>
      </w:r>
      <w:r w:rsidRPr="006B6207">
        <w:rPr>
          <w:spacing w:val="-4"/>
        </w:rPr>
        <w:t xml:space="preserve"> </w:t>
      </w:r>
      <w:r w:rsidRPr="006B6207">
        <w:t>locations are collected. Collect material using a dry</w:t>
      </w:r>
      <w:r w:rsidR="00561667">
        <w:t xml:space="preserve"> </w:t>
      </w:r>
      <w:r w:rsidR="00561667" w:rsidRPr="006B6207">
        <w:t>sterile</w:t>
      </w:r>
      <w:r w:rsidRPr="006B6207">
        <w:t xml:space="preserve"> swab (for example, nylon, polyester, or Dacron) suitable for NAA testing. Collect specimens on the tip of the swab, ideally with visible exudate.</w:t>
      </w:r>
      <w:r w:rsidR="03E7D997" w:rsidRPr="006B6207">
        <w:t xml:space="preserve"> </w:t>
      </w:r>
      <w:r w:rsidR="4ED8E8ED" w:rsidRPr="006B6207">
        <w:t>T</w:t>
      </w:r>
      <w:r w:rsidR="7004A433" w:rsidRPr="78E88A07">
        <w:t>hroat or o</w:t>
      </w:r>
      <w:r w:rsidR="4A6100F8" w:rsidRPr="78E88A07">
        <w:t>ro</w:t>
      </w:r>
      <w:r w:rsidR="7004A433" w:rsidRPr="78E88A07">
        <w:t xml:space="preserve">pharyngeal swabs are also suitable specimens. </w:t>
      </w:r>
      <w:r w:rsidR="0A5EA2B9" w:rsidRPr="78E88A07">
        <w:t xml:space="preserve">For patients presenting with proctitis and no visible lesion, insert a swab to sample the anorectal mucosa, avoiding excess </w:t>
      </w:r>
      <w:r w:rsidR="0A5EA2B9" w:rsidRPr="003858FA">
        <w:t>faec</w:t>
      </w:r>
      <w:r w:rsidR="1DD1487C" w:rsidRPr="003858FA">
        <w:t>al</w:t>
      </w:r>
      <w:r w:rsidR="0A5EA2B9" w:rsidRPr="78E88A07">
        <w:t xml:space="preserve"> contamination</w:t>
      </w:r>
      <w:r w:rsidR="65136E5C" w:rsidRPr="1BA3EBA1">
        <w:t xml:space="preserve"> as this may affect test performance</w:t>
      </w:r>
      <w:r w:rsidR="77640218" w:rsidRPr="1BA3EBA1">
        <w:t>.</w:t>
      </w:r>
    </w:p>
    <w:p w14:paraId="4B2639A5" w14:textId="57C1238F" w:rsidR="009E104F" w:rsidRPr="006B6207" w:rsidRDefault="00B10B08" w:rsidP="008B1C79">
      <w:r w:rsidRPr="006B6207">
        <w:t>Vigorously</w:t>
      </w:r>
      <w:r w:rsidRPr="006B6207">
        <w:rPr>
          <w:spacing w:val="-2"/>
        </w:rPr>
        <w:t xml:space="preserve"> </w:t>
      </w:r>
      <w:r w:rsidRPr="006B6207">
        <w:t>rub</w:t>
      </w:r>
      <w:r w:rsidRPr="006B6207">
        <w:rPr>
          <w:spacing w:val="-4"/>
        </w:rPr>
        <w:t xml:space="preserve"> </w:t>
      </w:r>
      <w:r w:rsidRPr="006B6207">
        <w:t>the</w:t>
      </w:r>
      <w:r w:rsidRPr="006B6207">
        <w:rPr>
          <w:spacing w:val="-3"/>
        </w:rPr>
        <w:t xml:space="preserve"> </w:t>
      </w:r>
      <w:r w:rsidRPr="006B6207">
        <w:t>bottom</w:t>
      </w:r>
      <w:r w:rsidRPr="006B6207">
        <w:rPr>
          <w:spacing w:val="-2"/>
        </w:rPr>
        <w:t xml:space="preserve"> </w:t>
      </w:r>
      <w:r w:rsidRPr="006B6207">
        <w:t>of</w:t>
      </w:r>
      <w:r w:rsidRPr="006B6207">
        <w:rPr>
          <w:spacing w:val="-1"/>
        </w:rPr>
        <w:t xml:space="preserve"> </w:t>
      </w:r>
      <w:r w:rsidRPr="006B6207">
        <w:t>the</w:t>
      </w:r>
      <w:r w:rsidRPr="006B6207">
        <w:rPr>
          <w:spacing w:val="-3"/>
        </w:rPr>
        <w:t xml:space="preserve"> </w:t>
      </w:r>
      <w:r w:rsidRPr="006B6207">
        <w:t>lesion</w:t>
      </w:r>
      <w:r w:rsidRPr="006B6207">
        <w:rPr>
          <w:spacing w:val="-1"/>
        </w:rPr>
        <w:t xml:space="preserve"> </w:t>
      </w:r>
      <w:r w:rsidRPr="006B6207">
        <w:t>to</w:t>
      </w:r>
      <w:r w:rsidRPr="006B6207">
        <w:rPr>
          <w:spacing w:val="-2"/>
        </w:rPr>
        <w:t xml:space="preserve"> </w:t>
      </w:r>
      <w:r w:rsidRPr="006B6207">
        <w:t>ensure</w:t>
      </w:r>
      <w:r w:rsidRPr="006B6207">
        <w:rPr>
          <w:spacing w:val="-3"/>
        </w:rPr>
        <w:t xml:space="preserve"> </w:t>
      </w:r>
      <w:r w:rsidRPr="006B6207">
        <w:t>you</w:t>
      </w:r>
      <w:r w:rsidRPr="006B6207">
        <w:rPr>
          <w:spacing w:val="-1"/>
        </w:rPr>
        <w:t xml:space="preserve"> </w:t>
      </w:r>
      <w:r w:rsidRPr="006B6207">
        <w:t>collect</w:t>
      </w:r>
      <w:r w:rsidRPr="006B6207">
        <w:rPr>
          <w:spacing w:val="-4"/>
        </w:rPr>
        <w:t xml:space="preserve"> </w:t>
      </w:r>
      <w:r w:rsidRPr="006B6207">
        <w:t>cellular material</w:t>
      </w:r>
      <w:r w:rsidRPr="006B6207">
        <w:rPr>
          <w:spacing w:val="-1"/>
        </w:rPr>
        <w:t xml:space="preserve"> </w:t>
      </w:r>
      <w:r w:rsidRPr="006B6207">
        <w:t>from</w:t>
      </w:r>
      <w:r w:rsidRPr="006B6207">
        <w:rPr>
          <w:spacing w:val="-4"/>
        </w:rPr>
        <w:t xml:space="preserve"> </w:t>
      </w:r>
      <w:r w:rsidRPr="006B6207">
        <w:t>the</w:t>
      </w:r>
      <w:r w:rsidRPr="006B6207">
        <w:rPr>
          <w:spacing w:val="-3"/>
        </w:rPr>
        <w:t xml:space="preserve"> </w:t>
      </w:r>
      <w:r w:rsidRPr="006B6207">
        <w:t>lesion</w:t>
      </w:r>
      <w:r w:rsidRPr="006B6207">
        <w:rPr>
          <w:spacing w:val="-1"/>
        </w:rPr>
        <w:t xml:space="preserve"> </w:t>
      </w:r>
      <w:r w:rsidRPr="006B6207">
        <w:t>base</w:t>
      </w:r>
      <w:r w:rsidR="00FF15AB" w:rsidRPr="78E88A07">
        <w:t xml:space="preserve"> to ensure sufficient MPXV DNA</w:t>
      </w:r>
      <w:r w:rsidR="200467AA" w:rsidRPr="78E88A07">
        <w:t>,</w:t>
      </w:r>
      <w:r w:rsidR="00FF15AB" w:rsidRPr="78E88A07">
        <w:t xml:space="preserve"> i</w:t>
      </w:r>
      <w:r w:rsidR="644AFC52" w:rsidRPr="78E88A07">
        <w:t>f</w:t>
      </w:r>
      <w:r w:rsidR="00FF15AB" w:rsidRPr="78E88A07">
        <w:t xml:space="preserve"> present</w:t>
      </w:r>
      <w:r w:rsidR="0880254D" w:rsidRPr="78E88A07">
        <w:t>, is</w:t>
      </w:r>
      <w:r w:rsidR="00FF15AB" w:rsidRPr="78E88A07">
        <w:t xml:space="preserve"> in the sample</w:t>
      </w:r>
      <w:r w:rsidR="71962693" w:rsidRPr="78E88A07">
        <w:t xml:space="preserve"> submitted</w:t>
      </w:r>
      <w:r w:rsidR="00FF15AB" w:rsidRPr="78E88A07">
        <w:t xml:space="preserve"> for testing.</w:t>
      </w:r>
    </w:p>
    <w:p w14:paraId="157CB474" w14:textId="2564F53C" w:rsidR="00B77AB8" w:rsidRDefault="00B10B08" w:rsidP="008B1C79">
      <w:r w:rsidRPr="006B6207">
        <w:t xml:space="preserve">If there is no obvious lesion, for example, macular rash alone, discuss approaches with a </w:t>
      </w:r>
      <w:r w:rsidR="00D37500" w:rsidRPr="00636A65">
        <w:t>specialist</w:t>
      </w:r>
      <w:r w:rsidRPr="006B6207">
        <w:t xml:space="preserve"> microbiologist. </w:t>
      </w:r>
      <w:r w:rsidR="7FFC231A" w:rsidRPr="003858FA">
        <w:t>T</w:t>
      </w:r>
      <w:r w:rsidRPr="003858FA">
        <w:t>esting</w:t>
      </w:r>
      <w:r w:rsidR="6B2C60AF" w:rsidRPr="003858FA">
        <w:t xml:space="preserve"> may need to be repeated</w:t>
      </w:r>
      <w:r w:rsidRPr="006B6207">
        <w:t xml:space="preserve"> as lesions</w:t>
      </w:r>
      <w:r w:rsidRPr="006B6207">
        <w:rPr>
          <w:spacing w:val="-1"/>
        </w:rPr>
        <w:t xml:space="preserve"> </w:t>
      </w:r>
      <w:r w:rsidRPr="006B6207">
        <w:t>progress</w:t>
      </w:r>
      <w:r w:rsidRPr="006B6207">
        <w:rPr>
          <w:spacing w:val="-3"/>
        </w:rPr>
        <w:t xml:space="preserve"> </w:t>
      </w:r>
      <w:r w:rsidRPr="006B6207">
        <w:t>to</w:t>
      </w:r>
      <w:r w:rsidRPr="006B6207">
        <w:rPr>
          <w:spacing w:val="-2"/>
        </w:rPr>
        <w:t xml:space="preserve"> </w:t>
      </w:r>
      <w:r w:rsidRPr="006B6207">
        <w:t>increase</w:t>
      </w:r>
      <w:r w:rsidRPr="006B6207">
        <w:rPr>
          <w:spacing w:val="-3"/>
        </w:rPr>
        <w:t xml:space="preserve"> </w:t>
      </w:r>
      <w:r w:rsidRPr="006B6207">
        <w:t>the</w:t>
      </w:r>
      <w:r w:rsidRPr="006B6207">
        <w:rPr>
          <w:spacing w:val="-3"/>
        </w:rPr>
        <w:t xml:space="preserve"> </w:t>
      </w:r>
      <w:r w:rsidRPr="006B6207">
        <w:t>diagnostic</w:t>
      </w:r>
      <w:r w:rsidRPr="006B6207">
        <w:rPr>
          <w:spacing w:val="-3"/>
        </w:rPr>
        <w:t xml:space="preserve"> </w:t>
      </w:r>
      <w:r w:rsidRPr="006B6207">
        <w:t>yield</w:t>
      </w:r>
      <w:r w:rsidRPr="006B6207">
        <w:rPr>
          <w:spacing w:val="-1"/>
        </w:rPr>
        <w:t xml:space="preserve"> </w:t>
      </w:r>
      <w:r w:rsidRPr="006B6207">
        <w:t>and</w:t>
      </w:r>
      <w:r w:rsidRPr="006B6207">
        <w:rPr>
          <w:spacing w:val="-1"/>
        </w:rPr>
        <w:t xml:space="preserve"> </w:t>
      </w:r>
      <w:r w:rsidRPr="006B6207">
        <w:t>reduce</w:t>
      </w:r>
      <w:r w:rsidRPr="006B6207">
        <w:rPr>
          <w:spacing w:val="-3"/>
        </w:rPr>
        <w:t xml:space="preserve"> </w:t>
      </w:r>
      <w:r w:rsidRPr="006B6207">
        <w:t>the</w:t>
      </w:r>
      <w:r w:rsidRPr="006B6207">
        <w:rPr>
          <w:spacing w:val="-5"/>
        </w:rPr>
        <w:t xml:space="preserve"> </w:t>
      </w:r>
      <w:r w:rsidRPr="006B6207">
        <w:t>risk</w:t>
      </w:r>
      <w:r w:rsidRPr="006B6207">
        <w:rPr>
          <w:spacing w:val="-2"/>
        </w:rPr>
        <w:t xml:space="preserve"> </w:t>
      </w:r>
      <w:r w:rsidRPr="006B6207">
        <w:t>of</w:t>
      </w:r>
      <w:r w:rsidRPr="006B6207">
        <w:rPr>
          <w:spacing w:val="-4"/>
        </w:rPr>
        <w:t xml:space="preserve"> </w:t>
      </w:r>
      <w:r w:rsidRPr="006B6207">
        <w:t>a</w:t>
      </w:r>
      <w:r w:rsidRPr="006B6207">
        <w:rPr>
          <w:spacing w:val="-2"/>
        </w:rPr>
        <w:t xml:space="preserve"> </w:t>
      </w:r>
      <w:r w:rsidRPr="006B6207">
        <w:t>false</w:t>
      </w:r>
      <w:r w:rsidRPr="006B6207">
        <w:rPr>
          <w:spacing w:val="-3"/>
        </w:rPr>
        <w:t xml:space="preserve"> </w:t>
      </w:r>
      <w:r w:rsidRPr="006B6207">
        <w:t>negative</w:t>
      </w:r>
      <w:r w:rsidRPr="006B6207">
        <w:rPr>
          <w:spacing w:val="-3"/>
        </w:rPr>
        <w:t xml:space="preserve"> </w:t>
      </w:r>
      <w:r w:rsidRPr="006B6207">
        <w:t>result.</w:t>
      </w:r>
      <w:r w:rsidRPr="006B6207">
        <w:rPr>
          <w:spacing w:val="-3"/>
        </w:rPr>
        <w:t xml:space="preserve"> </w:t>
      </w:r>
      <w:r w:rsidRPr="006B6207">
        <w:t>Place each specimen in individual sterile containers or collection tubes.</w:t>
      </w:r>
    </w:p>
    <w:p w14:paraId="5439231B" w14:textId="31418746" w:rsidR="00B77AB8" w:rsidRPr="003858FA" w:rsidRDefault="00B77AB8" w:rsidP="008B1C79">
      <w:r w:rsidRPr="003858FA">
        <w:lastRenderedPageBreak/>
        <w:t xml:space="preserve">To collect </w:t>
      </w:r>
      <w:r w:rsidR="00B0770A" w:rsidRPr="003858FA">
        <w:t>material</w:t>
      </w:r>
      <w:r w:rsidRPr="003858FA">
        <w:t xml:space="preserve"> for testing the following is acceptable</w:t>
      </w:r>
      <w:r w:rsidR="00B943FC">
        <w:rPr>
          <w:rStyle w:val="FootnoteReference"/>
        </w:rPr>
        <w:footnoteReference w:id="4"/>
      </w:r>
      <w:r w:rsidR="00934BC1" w:rsidRPr="003858FA">
        <w:rPr>
          <w:vertAlign w:val="superscript"/>
        </w:rPr>
        <w:t>,</w:t>
      </w:r>
      <w:r w:rsidR="00934BC1">
        <w:rPr>
          <w:rStyle w:val="FootnoteReference"/>
        </w:rPr>
        <w:footnoteReference w:id="5"/>
      </w:r>
      <w:r w:rsidRPr="003858FA">
        <w:t>:</w:t>
      </w:r>
    </w:p>
    <w:p w14:paraId="168958AF" w14:textId="3A6C3077" w:rsidR="00B77AB8" w:rsidRPr="008B1C79" w:rsidRDefault="00B77AB8" w:rsidP="008B1C79">
      <w:pPr>
        <w:pStyle w:val="ListBullet2"/>
      </w:pPr>
      <w:r>
        <w:t xml:space="preserve">A dry </w:t>
      </w:r>
      <w:r w:rsidRPr="008B1C79">
        <w:t>sterile swab</w:t>
      </w:r>
      <w:r w:rsidR="0C3824E1" w:rsidRPr="008B1C79">
        <w:t xml:space="preserve"> (preferred)</w:t>
      </w:r>
    </w:p>
    <w:p w14:paraId="2395DB54" w14:textId="36192243" w:rsidR="00B0770A" w:rsidRPr="008B1C79" w:rsidRDefault="00B77AB8" w:rsidP="008B1C79">
      <w:pPr>
        <w:pStyle w:val="ListBullet2"/>
      </w:pPr>
      <w:r w:rsidRPr="008B1C79">
        <w:t>Swab containing viral transport media (VTM)</w:t>
      </w:r>
      <w:r w:rsidR="00B0770A" w:rsidRPr="008B1C79">
        <w:t xml:space="preserve"> or liquid Amies</w:t>
      </w:r>
      <w:r w:rsidRPr="008B1C79">
        <w:t xml:space="preserve"> </w:t>
      </w:r>
      <w:r w:rsidR="00B10B08" w:rsidRPr="008B1C79">
        <w:t xml:space="preserve"> </w:t>
      </w:r>
    </w:p>
    <w:p w14:paraId="3992BCA9" w14:textId="7B006EBB" w:rsidR="00B0770A" w:rsidRDefault="00B943FC" w:rsidP="008B1C79">
      <w:pPr>
        <w:pStyle w:val="ListBullet2"/>
      </w:pPr>
      <w:r w:rsidRPr="008B1C79">
        <w:t>Lesion tissue or crust</w:t>
      </w:r>
      <w:r>
        <w:t xml:space="preserve"> in a dry container</w:t>
      </w:r>
    </w:p>
    <w:p w14:paraId="4B2639AE" w14:textId="2B6E5BDB" w:rsidR="009E104F" w:rsidRPr="006B6207" w:rsidRDefault="00AF16B2" w:rsidP="008B1C79">
      <w:r>
        <w:t xml:space="preserve"> A dry </w:t>
      </w:r>
      <w:r w:rsidR="009253A1">
        <w:t xml:space="preserve">sterile </w:t>
      </w:r>
      <w:r>
        <w:t xml:space="preserve">swab is the preferred option to collect material for testing to </w:t>
      </w:r>
      <w:r w:rsidR="00281125">
        <w:t>avoid the risk of leakage during transport</w:t>
      </w:r>
      <w:r w:rsidR="003F2B0B">
        <w:t xml:space="preserve"> and </w:t>
      </w:r>
      <w:r w:rsidR="00DD3650">
        <w:t xml:space="preserve">allows for </w:t>
      </w:r>
      <w:r w:rsidR="008C0DC0">
        <w:t xml:space="preserve">laboratory staff to </w:t>
      </w:r>
      <w:r w:rsidR="00871FBD">
        <w:t xml:space="preserve">process </w:t>
      </w:r>
      <w:r w:rsidR="00A241D0">
        <w:t xml:space="preserve">the specimen </w:t>
      </w:r>
      <w:r w:rsidR="00871FBD">
        <w:t>appropriately</w:t>
      </w:r>
      <w:r w:rsidR="00281125">
        <w:t xml:space="preserve">. However, if swabs </w:t>
      </w:r>
      <w:r w:rsidR="005A2FBA">
        <w:t xml:space="preserve">in VTM or liquid Amies is being used please ensure the lid is appropriately secured. </w:t>
      </w:r>
      <w:r w:rsidR="00B0770A">
        <w:t xml:space="preserve">Use of </w:t>
      </w:r>
      <w:r w:rsidR="00CC116A">
        <w:t xml:space="preserve">bacterial </w:t>
      </w:r>
      <w:r w:rsidR="00B0770A">
        <w:t xml:space="preserve">culture swabs </w:t>
      </w:r>
      <w:r w:rsidR="00B943FC">
        <w:t xml:space="preserve">(e.g. </w:t>
      </w:r>
      <w:r w:rsidR="00B0770A">
        <w:t>containing gel media</w:t>
      </w:r>
      <w:r w:rsidR="00B943FC">
        <w:t xml:space="preserve"> for bacterial preservation)</w:t>
      </w:r>
      <w:r w:rsidR="00B0770A">
        <w:t xml:space="preserve"> is not acceptable to perform NAA testing </w:t>
      </w:r>
      <w:bookmarkStart w:id="9" w:name="_bookmark4"/>
      <w:bookmarkStart w:id="10" w:name="_bookmark5"/>
      <w:bookmarkStart w:id="11" w:name="_bookmark6"/>
      <w:bookmarkStart w:id="12" w:name="_bookmark7"/>
      <w:bookmarkEnd w:id="9"/>
      <w:bookmarkEnd w:id="10"/>
      <w:bookmarkEnd w:id="11"/>
      <w:bookmarkEnd w:id="12"/>
    </w:p>
    <w:p w14:paraId="4B2639AF" w14:textId="55FF7776" w:rsidR="009E104F" w:rsidRPr="006B6207" w:rsidRDefault="00B10B08" w:rsidP="008B1C79">
      <w:r w:rsidRPr="006B6207">
        <w:t>NAA</w:t>
      </w:r>
      <w:r w:rsidRPr="006B6207">
        <w:rPr>
          <w:spacing w:val="-3"/>
        </w:rPr>
        <w:t xml:space="preserve"> </w:t>
      </w:r>
      <w:r w:rsidRPr="006B6207">
        <w:t>of</w:t>
      </w:r>
      <w:r w:rsidRPr="006B6207">
        <w:rPr>
          <w:spacing w:val="-2"/>
        </w:rPr>
        <w:t xml:space="preserve"> </w:t>
      </w:r>
      <w:r w:rsidRPr="006B6207">
        <w:t>blood</w:t>
      </w:r>
      <w:r w:rsidRPr="006B6207">
        <w:rPr>
          <w:spacing w:val="-5"/>
        </w:rPr>
        <w:t xml:space="preserve"> </w:t>
      </w:r>
      <w:r w:rsidRPr="006B6207">
        <w:t>may</w:t>
      </w:r>
      <w:r w:rsidRPr="006B6207">
        <w:rPr>
          <w:spacing w:val="-3"/>
        </w:rPr>
        <w:t xml:space="preserve"> </w:t>
      </w:r>
      <w:r w:rsidRPr="006B6207">
        <w:t>be</w:t>
      </w:r>
      <w:r w:rsidRPr="006B6207">
        <w:rPr>
          <w:spacing w:val="-4"/>
        </w:rPr>
        <w:t xml:space="preserve"> </w:t>
      </w:r>
      <w:r w:rsidRPr="006B6207">
        <w:t>considered</w:t>
      </w:r>
      <w:r w:rsidRPr="006B6207">
        <w:rPr>
          <w:spacing w:val="-2"/>
        </w:rPr>
        <w:t xml:space="preserve"> </w:t>
      </w:r>
      <w:r w:rsidRPr="006B6207">
        <w:t>in</w:t>
      </w:r>
      <w:r w:rsidRPr="006B6207">
        <w:rPr>
          <w:spacing w:val="-5"/>
        </w:rPr>
        <w:t xml:space="preserve"> </w:t>
      </w:r>
      <w:r w:rsidRPr="006B6207">
        <w:t>specific</w:t>
      </w:r>
      <w:r w:rsidRPr="006B6207">
        <w:rPr>
          <w:spacing w:val="-1"/>
        </w:rPr>
        <w:t xml:space="preserve"> </w:t>
      </w:r>
      <w:r w:rsidRPr="006B6207">
        <w:t>cases</w:t>
      </w:r>
      <w:r w:rsidR="007934F1">
        <w:t xml:space="preserve"> </w:t>
      </w:r>
      <w:r w:rsidR="004531BE">
        <w:t>where</w:t>
      </w:r>
      <w:r w:rsidR="79E4084E" w:rsidRPr="006B6207">
        <w:t xml:space="preserve"> </w:t>
      </w:r>
      <w:r w:rsidR="004531BE">
        <w:t xml:space="preserve">discussion with a </w:t>
      </w:r>
      <w:r w:rsidR="79E4084E" w:rsidRPr="006B6207">
        <w:t xml:space="preserve">specialist </w:t>
      </w:r>
      <w:r w:rsidR="68377255" w:rsidRPr="006B6207">
        <w:t>microbiologist</w:t>
      </w:r>
      <w:r w:rsidR="004531BE">
        <w:t xml:space="preserve"> has been </w:t>
      </w:r>
      <w:r w:rsidR="00E95F6C">
        <w:t>conducted</w:t>
      </w:r>
      <w:r w:rsidRPr="006B6207">
        <w:t>.</w:t>
      </w:r>
      <w:r w:rsidRPr="006B6207">
        <w:rPr>
          <w:spacing w:val="-1"/>
        </w:rPr>
        <w:t xml:space="preserve"> </w:t>
      </w:r>
      <w:r w:rsidRPr="006B6207">
        <w:t>Whole</w:t>
      </w:r>
      <w:r w:rsidRPr="006B6207">
        <w:rPr>
          <w:spacing w:val="-4"/>
        </w:rPr>
        <w:t xml:space="preserve"> </w:t>
      </w:r>
      <w:r w:rsidRPr="006B6207">
        <w:t>blood</w:t>
      </w:r>
      <w:r w:rsidRPr="006B6207">
        <w:rPr>
          <w:spacing w:val="-5"/>
        </w:rPr>
        <w:t xml:space="preserve"> </w:t>
      </w:r>
      <w:r w:rsidRPr="006B6207">
        <w:t>or</w:t>
      </w:r>
      <w:r w:rsidRPr="006B6207">
        <w:rPr>
          <w:spacing w:val="-1"/>
        </w:rPr>
        <w:t xml:space="preserve"> </w:t>
      </w:r>
      <w:r w:rsidRPr="006B6207">
        <w:t>serum</w:t>
      </w:r>
      <w:r w:rsidRPr="006B6207">
        <w:rPr>
          <w:spacing w:val="-3"/>
        </w:rPr>
        <w:t xml:space="preserve"> </w:t>
      </w:r>
      <w:r w:rsidRPr="006B6207">
        <w:t>specimens</w:t>
      </w:r>
      <w:r w:rsidRPr="006B6207">
        <w:rPr>
          <w:spacing w:val="-4"/>
        </w:rPr>
        <w:t xml:space="preserve"> </w:t>
      </w:r>
      <w:r w:rsidRPr="006B6207">
        <w:t>can be tested by NAA to detect the presence of</w:t>
      </w:r>
      <w:r w:rsidR="006B6207">
        <w:t xml:space="preserve"> MPXV</w:t>
      </w:r>
      <w:r w:rsidRPr="006B6207">
        <w:t>. However, these are often negative due</w:t>
      </w:r>
      <w:r w:rsidRPr="006B6207">
        <w:rPr>
          <w:spacing w:val="-1"/>
        </w:rPr>
        <w:t xml:space="preserve"> </w:t>
      </w:r>
      <w:r w:rsidRPr="006B6207">
        <w:t>to the</w:t>
      </w:r>
      <w:r w:rsidRPr="006B6207">
        <w:rPr>
          <w:spacing w:val="-1"/>
        </w:rPr>
        <w:t xml:space="preserve"> </w:t>
      </w:r>
      <w:r w:rsidRPr="006B6207">
        <w:t>transient nature</w:t>
      </w:r>
      <w:r w:rsidRPr="006B6207">
        <w:rPr>
          <w:spacing w:val="-1"/>
        </w:rPr>
        <w:t xml:space="preserve"> </w:t>
      </w:r>
      <w:r w:rsidRPr="006B6207">
        <w:t>of viraemia</w:t>
      </w:r>
      <w:r w:rsidR="006B6207">
        <w:t>.</w:t>
      </w:r>
      <w:r w:rsidRPr="006B6207">
        <w:rPr>
          <w:spacing w:val="-2"/>
        </w:rPr>
        <w:t xml:space="preserve"> </w:t>
      </w:r>
      <w:r w:rsidR="006B6207">
        <w:rPr>
          <w:spacing w:val="-2"/>
        </w:rPr>
        <w:t>T</w:t>
      </w:r>
      <w:r w:rsidRPr="006B6207">
        <w:t>herefore</w:t>
      </w:r>
      <w:r w:rsidR="006B6207">
        <w:t xml:space="preserve">, </w:t>
      </w:r>
      <w:r w:rsidR="09D52762">
        <w:t>NAA testing of w</w:t>
      </w:r>
      <w:r w:rsidR="006B6207">
        <w:t xml:space="preserve">hole blood or serum specimens </w:t>
      </w:r>
      <w:r w:rsidRPr="006B6207">
        <w:t>should not</w:t>
      </w:r>
      <w:r w:rsidRPr="006B6207">
        <w:rPr>
          <w:spacing w:val="-2"/>
        </w:rPr>
        <w:t xml:space="preserve"> </w:t>
      </w:r>
      <w:r w:rsidRPr="006B6207">
        <w:t>be</w:t>
      </w:r>
      <w:r w:rsidRPr="006B6207">
        <w:rPr>
          <w:spacing w:val="-1"/>
        </w:rPr>
        <w:t xml:space="preserve"> </w:t>
      </w:r>
      <w:r w:rsidRPr="006B6207">
        <w:t>used to exclude</w:t>
      </w:r>
      <w:r w:rsidRPr="006B6207">
        <w:rPr>
          <w:spacing w:val="-1"/>
        </w:rPr>
        <w:t xml:space="preserve"> </w:t>
      </w:r>
      <w:r w:rsidR="00862DB9" w:rsidRPr="006B6207">
        <w:t>mpox</w:t>
      </w:r>
      <w:r w:rsidRPr="006B6207">
        <w:t xml:space="preserve">. </w:t>
      </w:r>
      <w:r w:rsidR="7EB11FAD" w:rsidRPr="006B6207">
        <w:t>If collected, a</w:t>
      </w:r>
      <w:r w:rsidRPr="006B6207">
        <w:t xml:space="preserve"> minimum of 5 mL of EDTA whole blood or 10 mL of serum is recommended.</w:t>
      </w:r>
    </w:p>
    <w:p w14:paraId="4B2639B0" w14:textId="4291F421" w:rsidR="009E104F" w:rsidRPr="006B6207" w:rsidRDefault="00DF00FC" w:rsidP="008B1C79">
      <w:r w:rsidRPr="00636A65">
        <w:t xml:space="preserve">Although </w:t>
      </w:r>
      <w:r w:rsidR="006143D3">
        <w:t>MPXV</w:t>
      </w:r>
      <w:r w:rsidR="00B10B08" w:rsidRPr="006B6207">
        <w:rPr>
          <w:spacing w:val="-2"/>
        </w:rPr>
        <w:t xml:space="preserve"> </w:t>
      </w:r>
      <w:r w:rsidR="00B10B08" w:rsidRPr="006B6207">
        <w:t>may</w:t>
      </w:r>
      <w:r w:rsidR="00B10B08" w:rsidRPr="006B6207">
        <w:rPr>
          <w:spacing w:val="-5"/>
        </w:rPr>
        <w:t xml:space="preserve"> </w:t>
      </w:r>
      <w:r w:rsidR="00B10B08" w:rsidRPr="006B6207">
        <w:t>be</w:t>
      </w:r>
      <w:r w:rsidR="00B10B08" w:rsidRPr="006B6207">
        <w:rPr>
          <w:spacing w:val="-4"/>
        </w:rPr>
        <w:t xml:space="preserve"> </w:t>
      </w:r>
      <w:r w:rsidR="00B10B08" w:rsidRPr="006B6207">
        <w:t>detected</w:t>
      </w:r>
      <w:r w:rsidR="00B10B08" w:rsidRPr="006B6207">
        <w:rPr>
          <w:spacing w:val="-2"/>
        </w:rPr>
        <w:t xml:space="preserve"> </w:t>
      </w:r>
      <w:r w:rsidR="00B10B08" w:rsidRPr="006B6207">
        <w:t>in</w:t>
      </w:r>
      <w:r w:rsidR="00B10B08" w:rsidRPr="006B6207">
        <w:rPr>
          <w:spacing w:val="-2"/>
        </w:rPr>
        <w:t xml:space="preserve"> </w:t>
      </w:r>
      <w:r w:rsidR="00B10B08" w:rsidRPr="006B6207">
        <w:t>semen,</w:t>
      </w:r>
      <w:r w:rsidR="00B10B08" w:rsidRPr="006B6207">
        <w:rPr>
          <w:spacing w:val="-1"/>
        </w:rPr>
        <w:t xml:space="preserve"> </w:t>
      </w:r>
      <w:r w:rsidR="00B10B08" w:rsidRPr="006B6207">
        <w:t>evidence</w:t>
      </w:r>
      <w:r w:rsidR="00B10B08" w:rsidRPr="006B6207">
        <w:rPr>
          <w:spacing w:val="-4"/>
        </w:rPr>
        <w:t xml:space="preserve"> </w:t>
      </w:r>
      <w:r w:rsidR="00B10B08" w:rsidRPr="006B6207">
        <w:t>is</w:t>
      </w:r>
      <w:r w:rsidR="00B10B08" w:rsidRPr="006B6207">
        <w:rPr>
          <w:spacing w:val="-2"/>
        </w:rPr>
        <w:t xml:space="preserve"> </w:t>
      </w:r>
      <w:r w:rsidR="00B10B08" w:rsidRPr="006B6207">
        <w:t>still</w:t>
      </w:r>
      <w:r w:rsidR="00B10B08" w:rsidRPr="006B6207">
        <w:rPr>
          <w:spacing w:val="-3"/>
        </w:rPr>
        <w:t xml:space="preserve"> </w:t>
      </w:r>
      <w:r w:rsidR="00B10B08" w:rsidRPr="006B6207">
        <w:t>emerging</w:t>
      </w:r>
      <w:r w:rsidR="00B10B08" w:rsidRPr="006B6207">
        <w:rPr>
          <w:spacing w:val="-3"/>
        </w:rPr>
        <w:t xml:space="preserve"> </w:t>
      </w:r>
      <w:r w:rsidR="00B10B08" w:rsidRPr="006B6207">
        <w:t>about</w:t>
      </w:r>
      <w:r w:rsidR="00B10B08" w:rsidRPr="006B6207">
        <w:rPr>
          <w:spacing w:val="-2"/>
        </w:rPr>
        <w:t xml:space="preserve"> </w:t>
      </w:r>
      <w:r w:rsidR="00B10B08" w:rsidRPr="006B6207">
        <w:t>the diagnostic yield of this specimen type</w:t>
      </w:r>
      <w:r w:rsidR="00216863" w:rsidRPr="00636A65">
        <w:rPr>
          <w:rStyle w:val="FootnoteReference"/>
        </w:rPr>
        <w:footnoteReference w:id="6"/>
      </w:r>
      <w:r w:rsidR="00024D93" w:rsidRPr="00636A65">
        <w:t xml:space="preserve">and </w:t>
      </w:r>
      <w:r w:rsidRPr="00636A65">
        <w:t xml:space="preserve">it is not recommended as the sole specimen type </w:t>
      </w:r>
      <w:r w:rsidR="00024D93" w:rsidRPr="00636A65">
        <w:t>for</w:t>
      </w:r>
      <w:r w:rsidR="00CA465B" w:rsidRPr="00636A65">
        <w:t xml:space="preserve"> initial diagnostic</w:t>
      </w:r>
      <w:r w:rsidR="00024D93" w:rsidRPr="00636A65">
        <w:t xml:space="preserve"> testing</w:t>
      </w:r>
      <w:r w:rsidR="00485D9D" w:rsidRPr="00636A65">
        <w:rPr>
          <w:rStyle w:val="FootnoteReference"/>
        </w:rPr>
        <w:footnoteReference w:id="7"/>
      </w:r>
      <w:r w:rsidR="006E452B" w:rsidRPr="00636A65">
        <w:rPr>
          <w:vertAlign w:val="superscript"/>
        </w:rPr>
        <w:t>,</w:t>
      </w:r>
      <w:r w:rsidR="00787545" w:rsidRPr="00636A65">
        <w:rPr>
          <w:vertAlign w:val="superscript"/>
        </w:rPr>
        <w:t xml:space="preserve"> </w:t>
      </w:r>
      <w:r w:rsidR="00485D9D" w:rsidRPr="00636A65">
        <w:rPr>
          <w:rStyle w:val="FootnoteReference"/>
        </w:rPr>
        <w:footnoteReference w:id="8"/>
      </w:r>
      <w:r w:rsidR="00485D9D" w:rsidRPr="00636A65">
        <w:rPr>
          <w:vertAlign w:val="superscript"/>
        </w:rPr>
        <w:t xml:space="preserve">, </w:t>
      </w:r>
      <w:r w:rsidR="00485D9D" w:rsidRPr="00636A65">
        <w:rPr>
          <w:rStyle w:val="FootnoteReference"/>
        </w:rPr>
        <w:footnoteReference w:id="9"/>
      </w:r>
      <w:r w:rsidR="00787545" w:rsidRPr="00636A65">
        <w:rPr>
          <w:vertAlign w:val="superscript"/>
        </w:rPr>
        <w:t xml:space="preserve">, </w:t>
      </w:r>
      <w:r w:rsidR="00787545" w:rsidRPr="00636A65">
        <w:rPr>
          <w:rStyle w:val="FootnoteReference"/>
        </w:rPr>
        <w:footnoteReference w:id="10"/>
      </w:r>
      <w:r w:rsidR="00024D93" w:rsidRPr="00636A65">
        <w:t>.</w:t>
      </w:r>
    </w:p>
    <w:p w14:paraId="0C20902C" w14:textId="7203556D" w:rsidR="3C9398A3" w:rsidRDefault="008E46F7" w:rsidP="008B1C79">
      <w:pPr>
        <w:rPr>
          <w:color w:val="751D20"/>
          <w:u w:val="single"/>
        </w:rPr>
      </w:pPr>
      <w:r w:rsidRPr="1BA3EBA1">
        <w:t xml:space="preserve">Make sure specimen containers and tubes that contain fluid </w:t>
      </w:r>
      <w:r w:rsidR="001375DC">
        <w:t>is</w:t>
      </w:r>
      <w:r w:rsidRPr="1BA3EBA1">
        <w:t xml:space="preserve"> securely</w:t>
      </w:r>
      <w:r w:rsidR="001375DC">
        <w:t xml:space="preserve"> shut</w:t>
      </w:r>
      <w:r w:rsidRPr="1BA3EBA1">
        <w:t xml:space="preserve"> to prevent leakage during transport. </w:t>
      </w:r>
      <w:r w:rsidR="3C9398A3" w:rsidRPr="1BA3EBA1">
        <w:t>Following collection, place all samples for testing of MPXV and other pathogens into specimen bags. The specimen bag should contain sufficient absorbent material (for example, cotton wool or tissue), to absorb the entire contents of the primary receptacle in case there is any leakage for samples that contain fluid</w:t>
      </w:r>
      <w:r w:rsidR="6E56EDD3" w:rsidRPr="1BA3EBA1">
        <w:t xml:space="preserve"> (including </w:t>
      </w:r>
      <w:r w:rsidR="54B96D7B" w:rsidRPr="1BA3EBA1">
        <w:t xml:space="preserve">but not limited to </w:t>
      </w:r>
      <w:r w:rsidR="6E56EDD3" w:rsidRPr="1BA3EBA1">
        <w:t>swabs placed in transport or liquid media, blood</w:t>
      </w:r>
      <w:r w:rsidR="18895264" w:rsidRPr="1BA3EBA1">
        <w:t xml:space="preserve"> or </w:t>
      </w:r>
      <w:r w:rsidR="6E56EDD3" w:rsidRPr="1BA3EBA1">
        <w:t>urine)</w:t>
      </w:r>
      <w:r w:rsidR="3C9398A3" w:rsidRPr="1BA3EBA1">
        <w:t>.</w:t>
      </w:r>
    </w:p>
    <w:p w14:paraId="62B00E29" w14:textId="47739F9C" w:rsidR="3C9398A3" w:rsidRDefault="3C9398A3" w:rsidP="008B1C79">
      <w:r w:rsidRPr="1BA3EBA1">
        <w:t>Submit specimens to the testing laboratory as soon as possible. If there is a delay in transport to the laboratory, refrigerate specimens (approximately 4 °C) for up to 7 days or freeze (–20 °C or lower) if delay is more than 7 days. Keep the specimens refrigerated during transport to the laboratory.</w:t>
      </w:r>
    </w:p>
    <w:p w14:paraId="4B2639B1" w14:textId="4301050B" w:rsidR="009E104F" w:rsidRPr="006143D3" w:rsidRDefault="003974C9" w:rsidP="008B1C79">
      <w:pPr>
        <w:pStyle w:val="Heading3"/>
      </w:pPr>
      <w:r w:rsidRPr="006143D3">
        <w:t>Specimen transport guidelines</w:t>
      </w:r>
    </w:p>
    <w:p w14:paraId="0C84FA77" w14:textId="08EEA456" w:rsidR="00224F47" w:rsidRPr="00636A65" w:rsidRDefault="00B10B08" w:rsidP="008B1C79">
      <w:r w:rsidRPr="006B6207">
        <w:t>Laboratory-based</w:t>
      </w:r>
      <w:r w:rsidRPr="006B6207">
        <w:rPr>
          <w:spacing w:val="-5"/>
        </w:rPr>
        <w:t xml:space="preserve"> </w:t>
      </w:r>
      <w:r w:rsidRPr="006B6207">
        <w:t>NAA</w:t>
      </w:r>
      <w:r w:rsidRPr="006B6207">
        <w:rPr>
          <w:spacing w:val="-3"/>
        </w:rPr>
        <w:t xml:space="preserve"> </w:t>
      </w:r>
      <w:r w:rsidRPr="006B6207">
        <w:t>testing</w:t>
      </w:r>
      <w:r w:rsidRPr="006B6207">
        <w:rPr>
          <w:spacing w:val="-2"/>
        </w:rPr>
        <w:t xml:space="preserve"> </w:t>
      </w:r>
      <w:r w:rsidRPr="006B6207">
        <w:t>for</w:t>
      </w:r>
      <w:r w:rsidRPr="006B6207">
        <w:rPr>
          <w:spacing w:val="-4"/>
        </w:rPr>
        <w:t xml:space="preserve"> </w:t>
      </w:r>
      <w:r w:rsidRPr="006B6207">
        <w:t>specimens</w:t>
      </w:r>
      <w:r w:rsidRPr="006B6207">
        <w:rPr>
          <w:spacing w:val="-4"/>
        </w:rPr>
        <w:t xml:space="preserve"> </w:t>
      </w:r>
      <w:r w:rsidRPr="47D2BE5F">
        <w:rPr>
          <w:i/>
          <w:iCs/>
        </w:rPr>
        <w:t>suspected</w:t>
      </w:r>
      <w:r w:rsidR="6B476051" w:rsidRPr="47D2BE5F">
        <w:rPr>
          <w:i/>
          <w:iCs/>
        </w:rPr>
        <w:t xml:space="preserve"> or confirmed</w:t>
      </w:r>
      <w:r w:rsidRPr="47D2BE5F">
        <w:rPr>
          <w:i/>
          <w:iCs/>
          <w:spacing w:val="-2"/>
        </w:rPr>
        <w:t xml:space="preserve"> </w:t>
      </w:r>
      <w:r w:rsidRPr="006B6207">
        <w:t>to</w:t>
      </w:r>
      <w:r w:rsidRPr="006B6207">
        <w:rPr>
          <w:spacing w:val="-5"/>
        </w:rPr>
        <w:t xml:space="preserve"> </w:t>
      </w:r>
      <w:r w:rsidRPr="006B6207">
        <w:t>contain</w:t>
      </w:r>
      <w:r w:rsidRPr="006B6207">
        <w:rPr>
          <w:spacing w:val="-3"/>
        </w:rPr>
        <w:t xml:space="preserve"> </w:t>
      </w:r>
      <w:r w:rsidR="006143D3">
        <w:rPr>
          <w:spacing w:val="-3"/>
        </w:rPr>
        <w:t>MPXV</w:t>
      </w:r>
      <w:r w:rsidRPr="006B6207">
        <w:rPr>
          <w:spacing w:val="-4"/>
        </w:rPr>
        <w:t xml:space="preserve"> </w:t>
      </w:r>
      <w:r w:rsidRPr="006B6207">
        <w:t>are</w:t>
      </w:r>
      <w:r w:rsidRPr="006B6207">
        <w:rPr>
          <w:spacing w:val="-4"/>
        </w:rPr>
        <w:t xml:space="preserve"> </w:t>
      </w:r>
      <w:r w:rsidRPr="006B6207">
        <w:t>handled</w:t>
      </w:r>
      <w:r w:rsidRPr="006B6207">
        <w:rPr>
          <w:spacing w:val="-2"/>
        </w:rPr>
        <w:t xml:space="preserve"> </w:t>
      </w:r>
      <w:r w:rsidRPr="006B6207">
        <w:t>at a different level of risk</w:t>
      </w:r>
      <w:r w:rsidRPr="006B6207">
        <w:rPr>
          <w:spacing w:val="-2"/>
        </w:rPr>
        <w:t xml:space="preserve"> </w:t>
      </w:r>
      <w:r w:rsidR="581AC49F" w:rsidRPr="006B6207">
        <w:rPr>
          <w:spacing w:val="-2"/>
        </w:rPr>
        <w:t xml:space="preserve">compared </w:t>
      </w:r>
      <w:r w:rsidRPr="006B6207">
        <w:t>to</w:t>
      </w:r>
      <w:r w:rsidRPr="006B6207">
        <w:rPr>
          <w:spacing w:val="-2"/>
        </w:rPr>
        <w:t xml:space="preserve"> </w:t>
      </w:r>
      <w:r w:rsidR="3F16009A" w:rsidRPr="006B6207">
        <w:t xml:space="preserve">MPXV </w:t>
      </w:r>
      <w:r w:rsidR="7CE48A4A" w:rsidRPr="006B6207">
        <w:t>cultures</w:t>
      </w:r>
      <w:r w:rsidRPr="006B6207">
        <w:t>. If</w:t>
      </w:r>
      <w:r w:rsidRPr="006B6207">
        <w:rPr>
          <w:spacing w:val="-2"/>
        </w:rPr>
        <w:t xml:space="preserve"> </w:t>
      </w:r>
      <w:r w:rsidRPr="006B6207">
        <w:t>there</w:t>
      </w:r>
      <w:r w:rsidRPr="006B6207">
        <w:rPr>
          <w:spacing w:val="-1"/>
        </w:rPr>
        <w:t xml:space="preserve"> </w:t>
      </w:r>
      <w:r w:rsidRPr="006B6207">
        <w:t>is doubt about</w:t>
      </w:r>
      <w:r w:rsidRPr="006B6207">
        <w:rPr>
          <w:spacing w:val="-2"/>
        </w:rPr>
        <w:t xml:space="preserve"> </w:t>
      </w:r>
      <w:r w:rsidRPr="006B6207">
        <w:t>the</w:t>
      </w:r>
      <w:r w:rsidRPr="006B6207">
        <w:rPr>
          <w:spacing w:val="-3"/>
        </w:rPr>
        <w:t xml:space="preserve"> </w:t>
      </w:r>
      <w:r w:rsidRPr="006B6207">
        <w:t>associated level</w:t>
      </w:r>
      <w:r w:rsidR="00593E14">
        <w:t xml:space="preserve"> </w:t>
      </w:r>
      <w:r w:rsidRPr="006B6207">
        <w:t xml:space="preserve">of risk, or any other questions about transport requirements, discuss these cases with the </w:t>
      </w:r>
      <w:r w:rsidR="00D37500" w:rsidRPr="00636A65">
        <w:t>specialist</w:t>
      </w:r>
      <w:r w:rsidRPr="006B6207">
        <w:t xml:space="preserve"> </w:t>
      </w:r>
      <w:r w:rsidRPr="006B6207">
        <w:lastRenderedPageBreak/>
        <w:t>microbiologist to whom the specimens are referred to before transportation.</w:t>
      </w:r>
    </w:p>
    <w:p w14:paraId="4B2639B4" w14:textId="11659667" w:rsidR="009E104F" w:rsidRPr="006B6207" w:rsidRDefault="77C7A4BA" w:rsidP="008B1C79">
      <w:r w:rsidRPr="1BA3EBA1">
        <w:t>For transport between laboratories, p</w:t>
      </w:r>
      <w:r w:rsidR="357ACDAF" w:rsidRPr="1BA3EBA1">
        <w:t>lace</w:t>
      </w:r>
      <w:r w:rsidR="357ACDAF" w:rsidRPr="47D2BE5F">
        <w:t xml:space="preserve"> bagged </w:t>
      </w:r>
      <w:r w:rsidR="357ACDAF" w:rsidRPr="1BA3EBA1">
        <w:t>specimen</w:t>
      </w:r>
      <w:r w:rsidR="30D45EF0" w:rsidRPr="1BA3EBA1">
        <w:t>s</w:t>
      </w:r>
      <w:r w:rsidR="357ACDAF" w:rsidRPr="47D2BE5F">
        <w:t xml:space="preserve"> </w:t>
      </w:r>
      <w:r w:rsidR="00593E14" w:rsidRPr="47D2BE5F">
        <w:t xml:space="preserve">into </w:t>
      </w:r>
      <w:r w:rsidR="00593E14" w:rsidRPr="78E88A07">
        <w:t>a</w:t>
      </w:r>
      <w:r w:rsidR="00B10B08" w:rsidRPr="78E88A07">
        <w:t xml:space="preserve"> second container</w:t>
      </w:r>
      <w:r w:rsidR="2C0E6E99" w:rsidRPr="47D2BE5F">
        <w:t xml:space="preserve"> or box</w:t>
      </w:r>
      <w:r w:rsidR="00B10B08" w:rsidRPr="78E88A07">
        <w:t xml:space="preserve"> before transport. For additional details on specimen packaging and transportation, refer to </w:t>
      </w:r>
      <w:r w:rsidR="00B10B08" w:rsidRPr="78E88A07">
        <w:rPr>
          <w:color w:val="212121"/>
        </w:rPr>
        <w:t xml:space="preserve">the </w:t>
      </w:r>
      <w:hyperlink r:id="rId22" w:history="1">
        <w:r w:rsidR="3EB48F5A" w:rsidRPr="47D2BE5F">
          <w:rPr>
            <w:color w:val="212121"/>
          </w:rPr>
          <w:t>Requirements for the packaging and transport of pathology specimens and associated materials (Fifth Edition 202</w:t>
        </w:r>
        <w:r w:rsidR="3EB48F5A" w:rsidRPr="47D2BE5F">
          <w:rPr>
            <w:rStyle w:val="Hyperlink"/>
          </w:rPr>
          <w:t>2</w:t>
        </w:r>
      </w:hyperlink>
      <w:r w:rsidR="3EB48F5A" w:rsidRPr="47D2BE5F">
        <w:rPr>
          <w:color w:val="212121"/>
        </w:rPr>
        <w:t>)</w:t>
      </w:r>
      <w:r w:rsidR="40EA078E" w:rsidRPr="47D2BE5F">
        <w:rPr>
          <w:color w:val="212121"/>
        </w:rPr>
        <w:t xml:space="preserve"> and </w:t>
      </w:r>
      <w:hyperlink r:id="rId23" w:history="1">
        <w:r w:rsidR="40EA078E" w:rsidRPr="47D2BE5F">
          <w:rPr>
            <w:color w:val="212121"/>
          </w:rPr>
          <w:t xml:space="preserve">Recommendations on the Transport of Dangerous Goods </w:t>
        </w:r>
        <w:r w:rsidR="006A33CA">
          <w:rPr>
            <w:rStyle w:val="Hyperlink"/>
          </w:rPr>
          <w:t>Vol</w:t>
        </w:r>
        <w:r w:rsidR="1093B58C" w:rsidRPr="47D2BE5F">
          <w:rPr>
            <w:rStyle w:val="Hyperlink"/>
          </w:rPr>
          <w:t>ume I (Twenty-third revised edition 2023)</w:t>
        </w:r>
      </w:hyperlink>
      <w:r w:rsidR="3EB48F5A" w:rsidRPr="47D2BE5F">
        <w:rPr>
          <w:color w:val="212121"/>
        </w:rPr>
        <w:t>.</w:t>
      </w:r>
      <w:hyperlink r:id="rId24" w:history="1">
        <w:r>
          <w:rPr>
            <w:rStyle w:val="Hyperlink"/>
          </w:rPr>
          <w:t>https://www.safetyandquality.gov.au/publications-and-resources/resource-library/requirements-packaging-and-transport-pathology-specimens-and-associated-materials-fourth-edition-2013</w:t>
        </w:r>
      </w:hyperlink>
      <w:r w:rsidR="3972DB4E" w:rsidRPr="47D2BE5F">
        <w:t xml:space="preserve"> Note that except for MPXV cultures, samples may be transported </w:t>
      </w:r>
      <w:r w:rsidR="0ED214E5" w:rsidRPr="47D2BE5F">
        <w:t>as category B biological hazards</w:t>
      </w:r>
      <w:r w:rsidR="7DFA4113" w:rsidRPr="47D2BE5F">
        <w:t xml:space="preserve"> (</w:t>
      </w:r>
      <w:r w:rsidR="0ED214E5" w:rsidRPr="47D2BE5F">
        <w:t>UN 3373</w:t>
      </w:r>
      <w:r w:rsidR="287CEC95" w:rsidRPr="47D2BE5F">
        <w:t>)</w:t>
      </w:r>
      <w:r w:rsidR="0ED214E5" w:rsidRPr="47D2BE5F">
        <w:t xml:space="preserve">. </w:t>
      </w:r>
      <w:r w:rsidR="3CC7F3FC" w:rsidRPr="47D2BE5F">
        <w:t>MPXV cultures should be</w:t>
      </w:r>
      <w:r w:rsidR="65857A7F" w:rsidRPr="47D2BE5F">
        <w:t xml:space="preserve"> t</w:t>
      </w:r>
      <w:r w:rsidR="3CC7F3FC" w:rsidRPr="47D2BE5F">
        <w:t>ransported as category A biological hazards</w:t>
      </w:r>
      <w:r w:rsidR="305F3169" w:rsidRPr="47D2BE5F">
        <w:t xml:space="preserve"> (UN 2814</w:t>
      </w:r>
      <w:r w:rsidR="1A31FF26" w:rsidRPr="47D2BE5F">
        <w:t>)</w:t>
      </w:r>
      <w:r w:rsidR="3CC7F3FC" w:rsidRPr="47D2BE5F">
        <w:t>.</w:t>
      </w:r>
    </w:p>
    <w:p w14:paraId="4B2639F7" w14:textId="0D460C9E" w:rsidR="009E104F" w:rsidRPr="00617DFB" w:rsidRDefault="00B10B08" w:rsidP="008B1C79">
      <w:r w:rsidRPr="00617DFB">
        <w:t>Raise</w:t>
      </w:r>
      <w:r w:rsidRPr="00617DFB">
        <w:rPr>
          <w:spacing w:val="-4"/>
        </w:rPr>
        <w:t xml:space="preserve"> </w:t>
      </w:r>
      <w:r w:rsidRPr="00617DFB">
        <w:t>any</w:t>
      </w:r>
      <w:r w:rsidRPr="00617DFB">
        <w:rPr>
          <w:spacing w:val="-3"/>
        </w:rPr>
        <w:t xml:space="preserve"> </w:t>
      </w:r>
      <w:r w:rsidRPr="00617DFB">
        <w:t>questions</w:t>
      </w:r>
      <w:r w:rsidRPr="00617DFB">
        <w:rPr>
          <w:spacing w:val="-2"/>
        </w:rPr>
        <w:t xml:space="preserve"> </w:t>
      </w:r>
      <w:r w:rsidRPr="00617DFB">
        <w:t>about</w:t>
      </w:r>
      <w:r w:rsidRPr="00617DFB">
        <w:rPr>
          <w:spacing w:val="-2"/>
        </w:rPr>
        <w:t xml:space="preserve"> </w:t>
      </w:r>
      <w:r w:rsidRPr="00617DFB">
        <w:t>specimen</w:t>
      </w:r>
      <w:r w:rsidRPr="00617DFB">
        <w:rPr>
          <w:spacing w:val="-2"/>
        </w:rPr>
        <w:t xml:space="preserve"> </w:t>
      </w:r>
      <w:r w:rsidRPr="00617DFB">
        <w:t>collection</w:t>
      </w:r>
      <w:r w:rsidRPr="00617DFB">
        <w:rPr>
          <w:spacing w:val="-2"/>
        </w:rPr>
        <w:t xml:space="preserve"> </w:t>
      </w:r>
      <w:r w:rsidRPr="00617DFB">
        <w:t>and</w:t>
      </w:r>
      <w:r w:rsidRPr="00617DFB">
        <w:rPr>
          <w:spacing w:val="-2"/>
        </w:rPr>
        <w:t xml:space="preserve"> </w:t>
      </w:r>
      <w:r w:rsidRPr="00617DFB">
        <w:t>transport</w:t>
      </w:r>
      <w:r w:rsidRPr="00617DFB">
        <w:rPr>
          <w:spacing w:val="-2"/>
        </w:rPr>
        <w:t xml:space="preserve"> </w:t>
      </w:r>
      <w:r w:rsidRPr="00617DFB">
        <w:t>with</w:t>
      </w:r>
      <w:r w:rsidRPr="00617DFB">
        <w:rPr>
          <w:spacing w:val="-2"/>
        </w:rPr>
        <w:t xml:space="preserve"> </w:t>
      </w:r>
      <w:r w:rsidRPr="00617DFB">
        <w:t>the</w:t>
      </w:r>
      <w:r w:rsidRPr="00617DFB">
        <w:rPr>
          <w:spacing w:val="-4"/>
        </w:rPr>
        <w:t xml:space="preserve"> </w:t>
      </w:r>
      <w:r w:rsidR="00D37500" w:rsidRPr="00617DFB">
        <w:t>specialist</w:t>
      </w:r>
      <w:r w:rsidRPr="00617DFB">
        <w:rPr>
          <w:spacing w:val="-2"/>
        </w:rPr>
        <w:t xml:space="preserve"> </w:t>
      </w:r>
      <w:r w:rsidRPr="00617DFB">
        <w:t>microbiologist</w:t>
      </w:r>
      <w:r w:rsidRPr="00617DFB">
        <w:rPr>
          <w:spacing w:val="-5"/>
        </w:rPr>
        <w:t xml:space="preserve"> </w:t>
      </w:r>
      <w:r w:rsidRPr="00617DFB">
        <w:t>to whom the specimen is being referred.</w:t>
      </w:r>
      <w:bookmarkStart w:id="13" w:name="Clinical_photography"/>
      <w:bookmarkStart w:id="14" w:name="_bookmark8"/>
      <w:bookmarkStart w:id="15" w:name="_bookmark9"/>
      <w:bookmarkStart w:id="16" w:name="_bookmark10"/>
      <w:bookmarkEnd w:id="13"/>
      <w:bookmarkEnd w:id="14"/>
      <w:bookmarkEnd w:id="15"/>
      <w:bookmarkEnd w:id="16"/>
    </w:p>
    <w:sectPr w:rsidR="009E104F" w:rsidRPr="00617DFB">
      <w:pgSz w:w="11910" w:h="16840"/>
      <w:pgMar w:top="1360" w:right="1040" w:bottom="1440" w:left="1020" w:header="95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3DE6" w14:textId="77777777" w:rsidR="000E5972" w:rsidRDefault="000E5972" w:rsidP="008B1C79">
      <w:r>
        <w:separator/>
      </w:r>
    </w:p>
  </w:endnote>
  <w:endnote w:type="continuationSeparator" w:id="0">
    <w:p w14:paraId="4C0BFAC8" w14:textId="77777777" w:rsidR="000E5972" w:rsidRDefault="000E5972" w:rsidP="008B1C79">
      <w:r>
        <w:continuationSeparator/>
      </w:r>
    </w:p>
  </w:endnote>
  <w:endnote w:type="continuationNotice" w:id="1">
    <w:p w14:paraId="669A1BE7" w14:textId="77777777" w:rsidR="000E5972" w:rsidRDefault="000E5972" w:rsidP="008B1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0B70" w14:textId="77777777" w:rsidR="000E5972" w:rsidRDefault="000E5972" w:rsidP="008B1C79">
      <w:r>
        <w:separator/>
      </w:r>
    </w:p>
  </w:footnote>
  <w:footnote w:type="continuationSeparator" w:id="0">
    <w:p w14:paraId="38B14D8A" w14:textId="77777777" w:rsidR="000E5972" w:rsidRDefault="000E5972" w:rsidP="008B1C79">
      <w:r>
        <w:continuationSeparator/>
      </w:r>
    </w:p>
  </w:footnote>
  <w:footnote w:type="continuationNotice" w:id="1">
    <w:p w14:paraId="4B001312" w14:textId="77777777" w:rsidR="000E5972" w:rsidRDefault="000E5972" w:rsidP="008B1C79"/>
  </w:footnote>
  <w:footnote w:id="2">
    <w:p w14:paraId="4121BAE2" w14:textId="17D05108" w:rsidR="00D37500" w:rsidRPr="006B6207" w:rsidRDefault="00D37500" w:rsidP="008B1C79">
      <w:r w:rsidRPr="006B6207">
        <w:rPr>
          <w:rStyle w:val="FootnoteReference"/>
          <w:sz w:val="18"/>
          <w:szCs w:val="18"/>
        </w:rPr>
        <w:footnoteRef/>
      </w:r>
      <w:r w:rsidRPr="006B6207">
        <w:t xml:space="preserve"> </w:t>
      </w:r>
      <w:r w:rsidRPr="006B6207">
        <w:rPr>
          <w:spacing w:val="-4"/>
        </w:rPr>
        <w:t>M</w:t>
      </w:r>
      <w:r w:rsidRPr="006B6207">
        <w:t>onkeypox</w:t>
      </w:r>
      <w:r w:rsidRPr="006B6207">
        <w:rPr>
          <w:spacing w:val="-4"/>
        </w:rPr>
        <w:t xml:space="preserve"> </w:t>
      </w:r>
      <w:r w:rsidRPr="006B6207">
        <w:t>is</w:t>
      </w:r>
      <w:r w:rsidRPr="006B6207">
        <w:rPr>
          <w:spacing w:val="-3"/>
        </w:rPr>
        <w:t xml:space="preserve"> </w:t>
      </w:r>
      <w:r w:rsidRPr="006B6207">
        <w:t>caused</w:t>
      </w:r>
      <w:r w:rsidRPr="006B6207">
        <w:rPr>
          <w:spacing w:val="-3"/>
        </w:rPr>
        <w:t xml:space="preserve"> </w:t>
      </w:r>
      <w:r w:rsidRPr="006B6207">
        <w:t>by</w:t>
      </w:r>
      <w:r w:rsidRPr="006B6207">
        <w:rPr>
          <w:spacing w:val="-2"/>
        </w:rPr>
        <w:t xml:space="preserve"> </w:t>
      </w:r>
      <w:r w:rsidRPr="006B6207">
        <w:t>viruses</w:t>
      </w:r>
      <w:r w:rsidRPr="006B6207">
        <w:rPr>
          <w:spacing w:val="-6"/>
        </w:rPr>
        <w:t xml:space="preserve"> </w:t>
      </w:r>
      <w:r w:rsidRPr="006B6207">
        <w:t>in</w:t>
      </w:r>
      <w:r w:rsidRPr="006B6207">
        <w:rPr>
          <w:spacing w:val="-3"/>
        </w:rPr>
        <w:t xml:space="preserve"> </w:t>
      </w:r>
      <w:r w:rsidRPr="006B6207">
        <w:t>the</w:t>
      </w:r>
      <w:r w:rsidRPr="006B6207">
        <w:rPr>
          <w:spacing w:val="-3"/>
        </w:rPr>
        <w:t xml:space="preserve"> </w:t>
      </w:r>
      <w:r w:rsidRPr="006B6207">
        <w:t>species</w:t>
      </w:r>
      <w:r w:rsidRPr="006B6207">
        <w:rPr>
          <w:spacing w:val="-3"/>
        </w:rPr>
        <w:t xml:space="preserve"> </w:t>
      </w:r>
      <w:r w:rsidR="00997CC0" w:rsidRPr="00EB2C93">
        <w:rPr>
          <w:i/>
          <w:iCs/>
        </w:rPr>
        <w:t>Orthopoxvirus monkeypox</w:t>
      </w:r>
      <w:r w:rsidR="00997CC0" w:rsidRPr="00EB2C93">
        <w:t xml:space="preserve"> (2023 Release, MSL #39)</w:t>
      </w:r>
      <w:r w:rsidRPr="006B6207">
        <w:rPr>
          <w:i/>
          <w:spacing w:val="-4"/>
        </w:rPr>
        <w:t xml:space="preserve"> </w:t>
      </w:r>
      <w:r w:rsidRPr="006B6207">
        <w:t>in</w:t>
      </w:r>
      <w:r w:rsidRPr="006B6207">
        <w:rPr>
          <w:spacing w:val="-2"/>
        </w:rPr>
        <w:t xml:space="preserve"> </w:t>
      </w:r>
      <w:r w:rsidRPr="006B6207">
        <w:t>the</w:t>
      </w:r>
      <w:r w:rsidRPr="006B6207">
        <w:rPr>
          <w:spacing w:val="-4"/>
        </w:rPr>
        <w:t xml:space="preserve"> </w:t>
      </w:r>
      <w:r w:rsidRPr="006B6207">
        <w:t>genus</w:t>
      </w:r>
      <w:r w:rsidRPr="006B6207">
        <w:rPr>
          <w:spacing w:val="-3"/>
        </w:rPr>
        <w:t xml:space="preserve"> </w:t>
      </w:r>
      <w:r w:rsidRPr="006B6207">
        <w:rPr>
          <w:i/>
          <w:spacing w:val="-2"/>
        </w:rPr>
        <w:t>Orthopoxvirus</w:t>
      </w:r>
      <w:r w:rsidRPr="006B6207">
        <w:rPr>
          <w:spacing w:val="-2"/>
        </w:rPr>
        <w:t>.</w:t>
      </w:r>
    </w:p>
  </w:footnote>
  <w:footnote w:id="3">
    <w:p w14:paraId="08C9D4D5" w14:textId="725F27CE" w:rsidR="002E58DF" w:rsidRPr="006B6207" w:rsidRDefault="002E58DF" w:rsidP="008B1C79">
      <w:r w:rsidRPr="006B6207">
        <w:rPr>
          <w:rStyle w:val="FootnoteReference"/>
          <w:sz w:val="18"/>
          <w:szCs w:val="18"/>
        </w:rPr>
        <w:footnoteRef/>
      </w:r>
      <w:r w:rsidRPr="006B6207">
        <w:t>For</w:t>
      </w:r>
      <w:r w:rsidRPr="006B6207">
        <w:rPr>
          <w:spacing w:val="-4"/>
        </w:rPr>
        <w:t xml:space="preserve"> </w:t>
      </w:r>
      <w:r w:rsidRPr="006B6207">
        <w:t>example,</w:t>
      </w:r>
      <w:r w:rsidRPr="006B6207">
        <w:rPr>
          <w:spacing w:val="-5"/>
        </w:rPr>
        <w:t xml:space="preserve"> </w:t>
      </w:r>
      <w:r w:rsidRPr="006B6207">
        <w:t>when</w:t>
      </w:r>
      <w:r w:rsidRPr="006B6207">
        <w:rPr>
          <w:spacing w:val="-4"/>
        </w:rPr>
        <w:t xml:space="preserve"> </w:t>
      </w:r>
      <w:r w:rsidRPr="006B6207">
        <w:t>obvious</w:t>
      </w:r>
      <w:r w:rsidRPr="006B6207">
        <w:rPr>
          <w:spacing w:val="-3"/>
        </w:rPr>
        <w:t xml:space="preserve"> </w:t>
      </w:r>
      <w:r w:rsidRPr="006B6207">
        <w:t>lesions</w:t>
      </w:r>
      <w:r w:rsidRPr="006B6207">
        <w:rPr>
          <w:spacing w:val="-4"/>
        </w:rPr>
        <w:t xml:space="preserve"> </w:t>
      </w:r>
      <w:r w:rsidRPr="006B6207">
        <w:t>are</w:t>
      </w:r>
      <w:r w:rsidRPr="006B6207">
        <w:rPr>
          <w:spacing w:val="-4"/>
        </w:rPr>
        <w:t xml:space="preserve"> </w:t>
      </w:r>
      <w:r w:rsidRPr="006B6207">
        <w:t>absent</w:t>
      </w:r>
      <w:r w:rsidRPr="006B6207">
        <w:rPr>
          <w:spacing w:val="-4"/>
        </w:rPr>
        <w:t xml:space="preserve"> </w:t>
      </w:r>
      <w:r w:rsidRPr="006B6207">
        <w:t>and</w:t>
      </w:r>
      <w:r w:rsidRPr="006B6207">
        <w:rPr>
          <w:spacing w:val="-4"/>
        </w:rPr>
        <w:t xml:space="preserve"> </w:t>
      </w:r>
      <w:r w:rsidRPr="006B6207">
        <w:t>in</w:t>
      </w:r>
      <w:r w:rsidRPr="006B6207">
        <w:rPr>
          <w:spacing w:val="-3"/>
        </w:rPr>
        <w:t xml:space="preserve"> </w:t>
      </w:r>
      <w:r w:rsidRPr="006B6207">
        <w:t>patients</w:t>
      </w:r>
      <w:r w:rsidRPr="006B6207">
        <w:rPr>
          <w:spacing w:val="-3"/>
        </w:rPr>
        <w:t xml:space="preserve"> </w:t>
      </w:r>
      <w:r w:rsidRPr="006B6207">
        <w:t>presenting</w:t>
      </w:r>
      <w:r w:rsidRPr="006B6207">
        <w:rPr>
          <w:spacing w:val="-6"/>
        </w:rPr>
        <w:t xml:space="preserve"> </w:t>
      </w:r>
      <w:r w:rsidRPr="006B6207">
        <w:t>with</w:t>
      </w:r>
      <w:r w:rsidRPr="006B6207">
        <w:rPr>
          <w:spacing w:val="-3"/>
        </w:rPr>
        <w:t xml:space="preserve"> </w:t>
      </w:r>
      <w:r w:rsidRPr="006B6207">
        <w:rPr>
          <w:spacing w:val="-2"/>
        </w:rPr>
        <w:t>proctitis.</w:t>
      </w:r>
    </w:p>
  </w:footnote>
  <w:footnote w:id="4">
    <w:p w14:paraId="4EF55A25" w14:textId="1B825412" w:rsidR="00B943FC" w:rsidRPr="00AC5D0C" w:rsidRDefault="00B943FC" w:rsidP="008B1C79">
      <w:pPr>
        <w:pStyle w:val="FootnoteText"/>
      </w:pPr>
      <w:r>
        <w:rPr>
          <w:rStyle w:val="FootnoteReference"/>
        </w:rPr>
        <w:footnoteRef/>
      </w:r>
      <w:r>
        <w:t xml:space="preserve"> </w:t>
      </w:r>
      <w:r w:rsidRPr="00B943FC">
        <w:t>https://iris.who.int/bitstream/handle/10665/354488/WHO-MPX-Laboratory-2022.1-eng.pdf</w:t>
      </w:r>
    </w:p>
  </w:footnote>
  <w:footnote w:id="5">
    <w:p w14:paraId="5F7B9834" w14:textId="5E15E951" w:rsidR="00934BC1" w:rsidRPr="00AC5D0C" w:rsidRDefault="00934BC1" w:rsidP="008B1C79">
      <w:pPr>
        <w:pStyle w:val="FootnoteText"/>
      </w:pPr>
      <w:r>
        <w:rPr>
          <w:rStyle w:val="FootnoteReference"/>
        </w:rPr>
        <w:footnoteRef/>
      </w:r>
      <w:r>
        <w:t xml:space="preserve"> </w:t>
      </w:r>
      <w:r w:rsidRPr="00934BC1">
        <w:t>https://www.cdc.gov/mpox/?CDC_AAref_Val=https://www.cdc.gov/poxvirus/mpox/pdf/MPoxTestingPatients.pdf</w:t>
      </w:r>
    </w:p>
  </w:footnote>
  <w:footnote w:id="6">
    <w:p w14:paraId="59BD247B" w14:textId="23FC4323" w:rsidR="00216863" w:rsidRPr="006B6207" w:rsidRDefault="00216863" w:rsidP="008B1C79">
      <w:r w:rsidRPr="006B6207">
        <w:rPr>
          <w:rStyle w:val="FootnoteReference"/>
          <w:sz w:val="18"/>
          <w:szCs w:val="18"/>
        </w:rPr>
        <w:footnoteRef/>
      </w:r>
      <w:r w:rsidRPr="006B6207">
        <w:t xml:space="preserve"> Antinori,</w:t>
      </w:r>
      <w:r w:rsidRPr="006B6207">
        <w:rPr>
          <w:spacing w:val="-3"/>
        </w:rPr>
        <w:t xml:space="preserve"> </w:t>
      </w:r>
      <w:r w:rsidRPr="006B6207">
        <w:t>A.,</w:t>
      </w:r>
      <w:r w:rsidRPr="006B6207">
        <w:rPr>
          <w:spacing w:val="-3"/>
        </w:rPr>
        <w:t xml:space="preserve"> </w:t>
      </w:r>
      <w:r w:rsidRPr="006B6207">
        <w:t>et</w:t>
      </w:r>
      <w:r w:rsidRPr="006B6207">
        <w:rPr>
          <w:spacing w:val="-2"/>
        </w:rPr>
        <w:t xml:space="preserve"> </w:t>
      </w:r>
      <w:r w:rsidRPr="006B6207">
        <w:t>al.</w:t>
      </w:r>
      <w:r w:rsidRPr="006B6207">
        <w:rPr>
          <w:spacing w:val="-3"/>
        </w:rPr>
        <w:t xml:space="preserve"> </w:t>
      </w:r>
      <w:r w:rsidRPr="006B6207">
        <w:t>(2022).</w:t>
      </w:r>
      <w:r w:rsidRPr="006B6207">
        <w:rPr>
          <w:spacing w:val="-3"/>
        </w:rPr>
        <w:t xml:space="preserve"> </w:t>
      </w:r>
      <w:r w:rsidRPr="006B6207">
        <w:t>"Epidemiological,</w:t>
      </w:r>
      <w:r w:rsidRPr="006B6207">
        <w:rPr>
          <w:spacing w:val="-3"/>
        </w:rPr>
        <w:t xml:space="preserve"> </w:t>
      </w:r>
      <w:r w:rsidRPr="006B6207">
        <w:t>clinical</w:t>
      </w:r>
      <w:r w:rsidRPr="006B6207">
        <w:rPr>
          <w:spacing w:val="-1"/>
        </w:rPr>
        <w:t xml:space="preserve"> </w:t>
      </w:r>
      <w:r w:rsidRPr="006B6207">
        <w:t>and</w:t>
      </w:r>
      <w:r w:rsidRPr="006B6207">
        <w:rPr>
          <w:spacing w:val="-4"/>
        </w:rPr>
        <w:t xml:space="preserve"> </w:t>
      </w:r>
      <w:r w:rsidRPr="006B6207">
        <w:t>virological</w:t>
      </w:r>
      <w:r w:rsidRPr="006B6207">
        <w:rPr>
          <w:spacing w:val="-4"/>
        </w:rPr>
        <w:t xml:space="preserve"> </w:t>
      </w:r>
      <w:r w:rsidRPr="006B6207">
        <w:t>characteristics</w:t>
      </w:r>
      <w:r w:rsidRPr="006B6207">
        <w:rPr>
          <w:spacing w:val="-1"/>
        </w:rPr>
        <w:t xml:space="preserve"> </w:t>
      </w:r>
      <w:r w:rsidRPr="006B6207">
        <w:t>of</w:t>
      </w:r>
      <w:r w:rsidRPr="006B6207">
        <w:rPr>
          <w:spacing w:val="-2"/>
        </w:rPr>
        <w:t xml:space="preserve"> </w:t>
      </w:r>
      <w:r w:rsidRPr="006B6207">
        <w:t>four</w:t>
      </w:r>
      <w:r w:rsidRPr="006B6207">
        <w:rPr>
          <w:spacing w:val="-2"/>
        </w:rPr>
        <w:t xml:space="preserve"> </w:t>
      </w:r>
      <w:r w:rsidRPr="006B6207">
        <w:t>cases</w:t>
      </w:r>
      <w:r w:rsidRPr="006B6207">
        <w:rPr>
          <w:spacing w:val="-1"/>
        </w:rPr>
        <w:t xml:space="preserve"> </w:t>
      </w:r>
      <w:r w:rsidRPr="006B6207">
        <w:t>of</w:t>
      </w:r>
      <w:r w:rsidRPr="006B6207">
        <w:rPr>
          <w:spacing w:val="-2"/>
        </w:rPr>
        <w:t xml:space="preserve"> </w:t>
      </w:r>
      <w:r w:rsidRPr="006B6207">
        <w:t>monkeypox</w:t>
      </w:r>
      <w:r w:rsidRPr="006B6207">
        <w:rPr>
          <w:spacing w:val="-2"/>
        </w:rPr>
        <w:t xml:space="preserve"> </w:t>
      </w:r>
      <w:r w:rsidRPr="006B6207">
        <w:t>support</w:t>
      </w:r>
      <w:r w:rsidRPr="006B6207">
        <w:rPr>
          <w:spacing w:val="-2"/>
        </w:rPr>
        <w:t xml:space="preserve"> </w:t>
      </w:r>
      <w:r w:rsidRPr="006B6207">
        <w:t>transmission</w:t>
      </w:r>
      <w:r w:rsidRPr="006B6207">
        <w:rPr>
          <w:spacing w:val="-1"/>
        </w:rPr>
        <w:t xml:space="preserve"> </w:t>
      </w:r>
      <w:r w:rsidRPr="006B6207">
        <w:t>through</w:t>
      </w:r>
      <w:r w:rsidRPr="006B6207">
        <w:rPr>
          <w:spacing w:val="-1"/>
        </w:rPr>
        <w:t xml:space="preserve"> </w:t>
      </w:r>
      <w:r w:rsidRPr="006B6207">
        <w:t>sexual</w:t>
      </w:r>
      <w:r w:rsidRPr="006B6207">
        <w:rPr>
          <w:spacing w:val="40"/>
        </w:rPr>
        <w:t xml:space="preserve"> </w:t>
      </w:r>
      <w:r w:rsidRPr="006B6207">
        <w:t>contact, Italy, May 2022." Euro Surveill 27(22)</w:t>
      </w:r>
    </w:p>
  </w:footnote>
  <w:footnote w:id="7">
    <w:p w14:paraId="6292D40E" w14:textId="630DEBEA" w:rsidR="00485D9D" w:rsidRPr="006B6207" w:rsidRDefault="00485D9D" w:rsidP="008B1C79">
      <w:pPr>
        <w:rPr>
          <w:sz w:val="18"/>
          <w:szCs w:val="18"/>
        </w:rPr>
      </w:pPr>
      <w:r w:rsidRPr="006B6207">
        <w:rPr>
          <w:rStyle w:val="FootnoteReference"/>
          <w:sz w:val="18"/>
          <w:szCs w:val="18"/>
        </w:rPr>
        <w:footnoteRef/>
      </w:r>
      <w:r w:rsidRPr="006B6207">
        <w:rPr>
          <w:sz w:val="18"/>
          <w:szCs w:val="18"/>
        </w:rPr>
        <w:t xml:space="preserve"> </w:t>
      </w:r>
      <w:hyperlink r:id="rId1" w:anchor="semen-testing-for-viral-dna" w:history="1">
        <w:r w:rsidRPr="006B6207">
          <w:rPr>
            <w:rStyle w:val="Hyperlink"/>
            <w:sz w:val="18"/>
            <w:szCs w:val="18"/>
          </w:rPr>
          <w:t>UKHSA: Guidance Mpox (monkeypox): diagnostic testing</w:t>
        </w:r>
      </w:hyperlink>
    </w:p>
  </w:footnote>
  <w:footnote w:id="8">
    <w:p w14:paraId="44C5AF52" w14:textId="18DAA692" w:rsidR="00485D9D" w:rsidRPr="006B6207" w:rsidRDefault="00485D9D" w:rsidP="008B1C79">
      <w:pPr>
        <w:rPr>
          <w:sz w:val="18"/>
          <w:szCs w:val="18"/>
        </w:rPr>
      </w:pPr>
      <w:r w:rsidRPr="006B6207">
        <w:rPr>
          <w:rStyle w:val="FootnoteReference"/>
          <w:sz w:val="18"/>
          <w:szCs w:val="18"/>
        </w:rPr>
        <w:footnoteRef/>
      </w:r>
      <w:r w:rsidRPr="006B6207">
        <w:rPr>
          <w:sz w:val="18"/>
          <w:szCs w:val="18"/>
        </w:rPr>
        <w:t xml:space="preserve"> </w:t>
      </w:r>
      <w:hyperlink r:id="rId2" w:anchor="diagnostics" w:history="1">
        <w:r w:rsidRPr="006B6207">
          <w:rPr>
            <w:rStyle w:val="Hyperlink"/>
            <w:sz w:val="18"/>
            <w:szCs w:val="18"/>
          </w:rPr>
          <w:t>European Centre for Disease Prevention and Control: Factsheet for health professionals on mpox (monkeypox)</w:t>
        </w:r>
      </w:hyperlink>
    </w:p>
  </w:footnote>
  <w:footnote w:id="9">
    <w:p w14:paraId="7D274422" w14:textId="5A850CF4" w:rsidR="00485D9D" w:rsidRPr="006B6207" w:rsidRDefault="00485D9D" w:rsidP="008B1C79">
      <w:r w:rsidRPr="006B6207">
        <w:rPr>
          <w:rStyle w:val="FootnoteReference"/>
          <w:sz w:val="18"/>
          <w:szCs w:val="18"/>
        </w:rPr>
        <w:footnoteRef/>
      </w:r>
      <w:r w:rsidRPr="006B6207">
        <w:t xml:space="preserve"> </w:t>
      </w:r>
      <w:hyperlink r:id="rId3" w:history="1">
        <w:r w:rsidR="00787545" w:rsidRPr="006B6207">
          <w:rPr>
            <w:rStyle w:val="Hyperlink"/>
            <w:sz w:val="18"/>
            <w:szCs w:val="18"/>
          </w:rPr>
          <w:t>Center for Disease Control and Prevention: Science Brief: Detection and Transmission of Mpox (Formerly Monkeypox) Virus During the 2022 Clade IIb Outbreak</w:t>
        </w:r>
      </w:hyperlink>
    </w:p>
  </w:footnote>
  <w:footnote w:id="10">
    <w:p w14:paraId="5F8F089A" w14:textId="71107950" w:rsidR="00787545" w:rsidRPr="006B6207" w:rsidRDefault="00787545" w:rsidP="008B1C79">
      <w:r w:rsidRPr="006B6207">
        <w:rPr>
          <w:rStyle w:val="FootnoteReference"/>
          <w:sz w:val="18"/>
          <w:szCs w:val="18"/>
        </w:rPr>
        <w:footnoteRef/>
      </w:r>
      <w:r w:rsidRPr="006B6207">
        <w:rPr>
          <w:sz w:val="18"/>
          <w:szCs w:val="18"/>
        </w:rPr>
        <w:t xml:space="preserve"> </w:t>
      </w:r>
      <w:hyperlink r:id="rId4" w:history="1">
        <w:r w:rsidRPr="006B6207">
          <w:rPr>
            <w:rStyle w:val="Hyperlink"/>
            <w:sz w:val="18"/>
            <w:szCs w:val="18"/>
          </w:rPr>
          <w:t>World Health Organization: Mpox Q&amp;A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71442"/>
      <w:docPartObj>
        <w:docPartGallery w:val="Page Numbers (Top of Page)"/>
        <w:docPartUnique/>
      </w:docPartObj>
    </w:sdtPr>
    <w:sdtEndPr>
      <w:rPr>
        <w:noProof/>
      </w:rPr>
    </w:sdtEndPr>
    <w:sdtContent>
      <w:p w14:paraId="4B263A02" w14:textId="4C975DB2" w:rsidR="009E104F" w:rsidRDefault="000F3A8F" w:rsidP="008B1C79">
        <w:pPr>
          <w:pStyle w:val="Header"/>
        </w:pPr>
        <w:r>
          <w:fldChar w:fldCharType="begin"/>
        </w:r>
        <w:r>
          <w:instrText xml:space="preserve"> PAGE   \* MERGEFORMAT </w:instrText>
        </w:r>
        <w:r>
          <w:fldChar w:fldCharType="separate"/>
        </w:r>
        <w:r w:rsidR="00FD1427">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7A7E3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4820D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35A04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66205"/>
    <w:multiLevelType w:val="hybridMultilevel"/>
    <w:tmpl w:val="602E50F8"/>
    <w:lvl w:ilvl="0" w:tplc="B224B68E">
      <w:numFmt w:val="bullet"/>
      <w:lvlText w:val="•"/>
      <w:lvlJc w:val="left"/>
      <w:pPr>
        <w:ind w:left="345" w:hanging="227"/>
      </w:pPr>
      <w:rPr>
        <w:rFonts w:ascii="Arial" w:eastAsia="Arial" w:hAnsi="Arial" w:cs="Arial" w:hint="default"/>
        <w:b w:val="0"/>
        <w:bCs w:val="0"/>
        <w:i w:val="0"/>
        <w:iCs w:val="0"/>
        <w:color w:val="2E2E30"/>
        <w:spacing w:val="0"/>
        <w:w w:val="142"/>
        <w:sz w:val="19"/>
        <w:szCs w:val="19"/>
        <w:lang w:val="en-US" w:eastAsia="en-US" w:bidi="ar-SA"/>
      </w:rPr>
    </w:lvl>
    <w:lvl w:ilvl="1" w:tplc="1D06C698">
      <w:numFmt w:val="bullet"/>
      <w:lvlText w:val="•"/>
      <w:lvlJc w:val="left"/>
      <w:pPr>
        <w:ind w:left="837" w:hanging="227"/>
      </w:pPr>
      <w:rPr>
        <w:rFonts w:hint="default"/>
        <w:lang w:val="en-US" w:eastAsia="en-US" w:bidi="ar-SA"/>
      </w:rPr>
    </w:lvl>
    <w:lvl w:ilvl="2" w:tplc="5F3CDC32">
      <w:numFmt w:val="bullet"/>
      <w:lvlText w:val="•"/>
      <w:lvlJc w:val="left"/>
      <w:pPr>
        <w:ind w:left="1335" w:hanging="227"/>
      </w:pPr>
      <w:rPr>
        <w:rFonts w:hint="default"/>
        <w:lang w:val="en-US" w:eastAsia="en-US" w:bidi="ar-SA"/>
      </w:rPr>
    </w:lvl>
    <w:lvl w:ilvl="3" w:tplc="0E12078C">
      <w:numFmt w:val="bullet"/>
      <w:lvlText w:val="•"/>
      <w:lvlJc w:val="left"/>
      <w:pPr>
        <w:ind w:left="1833" w:hanging="227"/>
      </w:pPr>
      <w:rPr>
        <w:rFonts w:hint="default"/>
        <w:lang w:val="en-US" w:eastAsia="en-US" w:bidi="ar-SA"/>
      </w:rPr>
    </w:lvl>
    <w:lvl w:ilvl="4" w:tplc="E60AB93A">
      <w:numFmt w:val="bullet"/>
      <w:lvlText w:val="•"/>
      <w:lvlJc w:val="left"/>
      <w:pPr>
        <w:ind w:left="2331" w:hanging="227"/>
      </w:pPr>
      <w:rPr>
        <w:rFonts w:hint="default"/>
        <w:lang w:val="en-US" w:eastAsia="en-US" w:bidi="ar-SA"/>
      </w:rPr>
    </w:lvl>
    <w:lvl w:ilvl="5" w:tplc="5FFCD094">
      <w:numFmt w:val="bullet"/>
      <w:lvlText w:val="•"/>
      <w:lvlJc w:val="left"/>
      <w:pPr>
        <w:ind w:left="2829" w:hanging="227"/>
      </w:pPr>
      <w:rPr>
        <w:rFonts w:hint="default"/>
        <w:lang w:val="en-US" w:eastAsia="en-US" w:bidi="ar-SA"/>
      </w:rPr>
    </w:lvl>
    <w:lvl w:ilvl="6" w:tplc="33F4A826">
      <w:numFmt w:val="bullet"/>
      <w:lvlText w:val="•"/>
      <w:lvlJc w:val="left"/>
      <w:pPr>
        <w:ind w:left="3326" w:hanging="227"/>
      </w:pPr>
      <w:rPr>
        <w:rFonts w:hint="default"/>
        <w:lang w:val="en-US" w:eastAsia="en-US" w:bidi="ar-SA"/>
      </w:rPr>
    </w:lvl>
    <w:lvl w:ilvl="7" w:tplc="28A46460">
      <w:numFmt w:val="bullet"/>
      <w:lvlText w:val="•"/>
      <w:lvlJc w:val="left"/>
      <w:pPr>
        <w:ind w:left="3824" w:hanging="227"/>
      </w:pPr>
      <w:rPr>
        <w:rFonts w:hint="default"/>
        <w:lang w:val="en-US" w:eastAsia="en-US" w:bidi="ar-SA"/>
      </w:rPr>
    </w:lvl>
    <w:lvl w:ilvl="8" w:tplc="4DF65922">
      <w:numFmt w:val="bullet"/>
      <w:lvlText w:val="•"/>
      <w:lvlJc w:val="left"/>
      <w:pPr>
        <w:ind w:left="4322" w:hanging="227"/>
      </w:pPr>
      <w:rPr>
        <w:rFonts w:hint="default"/>
        <w:lang w:val="en-US" w:eastAsia="en-US" w:bidi="ar-SA"/>
      </w:rPr>
    </w:lvl>
  </w:abstractNum>
  <w:abstractNum w:abstractNumId="4" w15:restartNumberingAfterBreak="0">
    <w:nsid w:val="13183ADE"/>
    <w:multiLevelType w:val="hybridMultilevel"/>
    <w:tmpl w:val="E528B068"/>
    <w:lvl w:ilvl="0" w:tplc="12DA773A">
      <w:numFmt w:val="bullet"/>
      <w:pStyle w:val="ListBullet2"/>
      <w:lvlText w:val="-"/>
      <w:lvlJc w:val="left"/>
      <w:pPr>
        <w:ind w:left="472" w:hanging="360"/>
      </w:pPr>
      <w:rPr>
        <w:rFonts w:ascii="Calibri Light" w:eastAsia="Calibri Light" w:hAnsi="Calibri Light" w:cs="Calibri Light" w:hint="default"/>
      </w:rPr>
    </w:lvl>
    <w:lvl w:ilvl="1" w:tplc="0C090003" w:tentative="1">
      <w:start w:val="1"/>
      <w:numFmt w:val="bullet"/>
      <w:lvlText w:val="o"/>
      <w:lvlJc w:val="left"/>
      <w:pPr>
        <w:ind w:left="1192" w:hanging="360"/>
      </w:pPr>
      <w:rPr>
        <w:rFonts w:ascii="Courier New" w:hAnsi="Courier New" w:cs="Courier New" w:hint="default"/>
      </w:rPr>
    </w:lvl>
    <w:lvl w:ilvl="2" w:tplc="0C090005" w:tentative="1">
      <w:start w:val="1"/>
      <w:numFmt w:val="bullet"/>
      <w:lvlText w:val=""/>
      <w:lvlJc w:val="left"/>
      <w:pPr>
        <w:ind w:left="1912" w:hanging="360"/>
      </w:pPr>
      <w:rPr>
        <w:rFonts w:ascii="Wingdings" w:hAnsi="Wingdings" w:hint="default"/>
      </w:rPr>
    </w:lvl>
    <w:lvl w:ilvl="3" w:tplc="0C090001" w:tentative="1">
      <w:start w:val="1"/>
      <w:numFmt w:val="bullet"/>
      <w:lvlText w:val=""/>
      <w:lvlJc w:val="left"/>
      <w:pPr>
        <w:ind w:left="2632" w:hanging="360"/>
      </w:pPr>
      <w:rPr>
        <w:rFonts w:ascii="Symbol" w:hAnsi="Symbol" w:hint="default"/>
      </w:rPr>
    </w:lvl>
    <w:lvl w:ilvl="4" w:tplc="0C090003" w:tentative="1">
      <w:start w:val="1"/>
      <w:numFmt w:val="bullet"/>
      <w:lvlText w:val="o"/>
      <w:lvlJc w:val="left"/>
      <w:pPr>
        <w:ind w:left="3352" w:hanging="360"/>
      </w:pPr>
      <w:rPr>
        <w:rFonts w:ascii="Courier New" w:hAnsi="Courier New" w:cs="Courier New" w:hint="default"/>
      </w:rPr>
    </w:lvl>
    <w:lvl w:ilvl="5" w:tplc="0C090005" w:tentative="1">
      <w:start w:val="1"/>
      <w:numFmt w:val="bullet"/>
      <w:lvlText w:val=""/>
      <w:lvlJc w:val="left"/>
      <w:pPr>
        <w:ind w:left="4072" w:hanging="360"/>
      </w:pPr>
      <w:rPr>
        <w:rFonts w:ascii="Wingdings" w:hAnsi="Wingdings" w:hint="default"/>
      </w:rPr>
    </w:lvl>
    <w:lvl w:ilvl="6" w:tplc="0C090001" w:tentative="1">
      <w:start w:val="1"/>
      <w:numFmt w:val="bullet"/>
      <w:lvlText w:val=""/>
      <w:lvlJc w:val="left"/>
      <w:pPr>
        <w:ind w:left="4792" w:hanging="360"/>
      </w:pPr>
      <w:rPr>
        <w:rFonts w:ascii="Symbol" w:hAnsi="Symbol" w:hint="default"/>
      </w:rPr>
    </w:lvl>
    <w:lvl w:ilvl="7" w:tplc="0C090003" w:tentative="1">
      <w:start w:val="1"/>
      <w:numFmt w:val="bullet"/>
      <w:lvlText w:val="o"/>
      <w:lvlJc w:val="left"/>
      <w:pPr>
        <w:ind w:left="5512" w:hanging="360"/>
      </w:pPr>
      <w:rPr>
        <w:rFonts w:ascii="Courier New" w:hAnsi="Courier New" w:cs="Courier New" w:hint="default"/>
      </w:rPr>
    </w:lvl>
    <w:lvl w:ilvl="8" w:tplc="0C090005" w:tentative="1">
      <w:start w:val="1"/>
      <w:numFmt w:val="bullet"/>
      <w:lvlText w:val=""/>
      <w:lvlJc w:val="left"/>
      <w:pPr>
        <w:ind w:left="6232" w:hanging="360"/>
      </w:pPr>
      <w:rPr>
        <w:rFonts w:ascii="Wingdings" w:hAnsi="Wingdings" w:hint="default"/>
      </w:rPr>
    </w:lvl>
  </w:abstractNum>
  <w:abstractNum w:abstractNumId="5" w15:restartNumberingAfterBreak="0">
    <w:nsid w:val="147636A4"/>
    <w:multiLevelType w:val="hybridMultilevel"/>
    <w:tmpl w:val="09346204"/>
    <w:lvl w:ilvl="0" w:tplc="CDFA931E">
      <w:numFmt w:val="bullet"/>
      <w:pStyle w:val="ListBullet"/>
      <w:lvlText w:val="•"/>
      <w:lvlJc w:val="left"/>
      <w:pPr>
        <w:ind w:left="832"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1C74E416">
      <w:numFmt w:val="bullet"/>
      <w:lvlText w:val="•"/>
      <w:lvlJc w:val="left"/>
      <w:pPr>
        <w:ind w:left="1740" w:hanging="360"/>
      </w:pPr>
      <w:rPr>
        <w:rFonts w:hint="default"/>
        <w:lang w:val="en-US" w:eastAsia="en-US" w:bidi="ar-SA"/>
      </w:rPr>
    </w:lvl>
    <w:lvl w:ilvl="2" w:tplc="A9824C5E">
      <w:numFmt w:val="bullet"/>
      <w:lvlText w:val="•"/>
      <w:lvlJc w:val="left"/>
      <w:pPr>
        <w:ind w:left="2641" w:hanging="360"/>
      </w:pPr>
      <w:rPr>
        <w:rFonts w:hint="default"/>
        <w:lang w:val="en-US" w:eastAsia="en-US" w:bidi="ar-SA"/>
      </w:rPr>
    </w:lvl>
    <w:lvl w:ilvl="3" w:tplc="43F697BC">
      <w:numFmt w:val="bullet"/>
      <w:lvlText w:val="•"/>
      <w:lvlJc w:val="left"/>
      <w:pPr>
        <w:ind w:left="3541" w:hanging="360"/>
      </w:pPr>
      <w:rPr>
        <w:rFonts w:hint="default"/>
        <w:lang w:val="en-US" w:eastAsia="en-US" w:bidi="ar-SA"/>
      </w:rPr>
    </w:lvl>
    <w:lvl w:ilvl="4" w:tplc="B1465418">
      <w:numFmt w:val="bullet"/>
      <w:lvlText w:val="•"/>
      <w:lvlJc w:val="left"/>
      <w:pPr>
        <w:ind w:left="4442" w:hanging="360"/>
      </w:pPr>
      <w:rPr>
        <w:rFonts w:hint="default"/>
        <w:lang w:val="en-US" w:eastAsia="en-US" w:bidi="ar-SA"/>
      </w:rPr>
    </w:lvl>
    <w:lvl w:ilvl="5" w:tplc="97842B42">
      <w:numFmt w:val="bullet"/>
      <w:lvlText w:val="•"/>
      <w:lvlJc w:val="left"/>
      <w:pPr>
        <w:ind w:left="5343" w:hanging="360"/>
      </w:pPr>
      <w:rPr>
        <w:rFonts w:hint="default"/>
        <w:lang w:val="en-US" w:eastAsia="en-US" w:bidi="ar-SA"/>
      </w:rPr>
    </w:lvl>
    <w:lvl w:ilvl="6" w:tplc="02DE3710">
      <w:numFmt w:val="bullet"/>
      <w:lvlText w:val="•"/>
      <w:lvlJc w:val="left"/>
      <w:pPr>
        <w:ind w:left="6243" w:hanging="360"/>
      </w:pPr>
      <w:rPr>
        <w:rFonts w:hint="default"/>
        <w:lang w:val="en-US" w:eastAsia="en-US" w:bidi="ar-SA"/>
      </w:rPr>
    </w:lvl>
    <w:lvl w:ilvl="7" w:tplc="EFE6F126">
      <w:numFmt w:val="bullet"/>
      <w:lvlText w:val="•"/>
      <w:lvlJc w:val="left"/>
      <w:pPr>
        <w:ind w:left="7144" w:hanging="360"/>
      </w:pPr>
      <w:rPr>
        <w:rFonts w:hint="default"/>
        <w:lang w:val="en-US" w:eastAsia="en-US" w:bidi="ar-SA"/>
      </w:rPr>
    </w:lvl>
    <w:lvl w:ilvl="8" w:tplc="E17E3E78">
      <w:numFmt w:val="bullet"/>
      <w:lvlText w:val="•"/>
      <w:lvlJc w:val="left"/>
      <w:pPr>
        <w:ind w:left="8045" w:hanging="360"/>
      </w:pPr>
      <w:rPr>
        <w:rFonts w:hint="default"/>
        <w:lang w:val="en-US" w:eastAsia="en-US" w:bidi="ar-SA"/>
      </w:rPr>
    </w:lvl>
  </w:abstractNum>
  <w:abstractNum w:abstractNumId="6" w15:restartNumberingAfterBreak="0">
    <w:nsid w:val="3D036BB5"/>
    <w:multiLevelType w:val="hybridMultilevel"/>
    <w:tmpl w:val="B5203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820B9E"/>
    <w:multiLevelType w:val="hybridMultilevel"/>
    <w:tmpl w:val="A846F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E376AA1"/>
    <w:multiLevelType w:val="hybridMultilevel"/>
    <w:tmpl w:val="806E61BC"/>
    <w:lvl w:ilvl="0" w:tplc="CE5421DC">
      <w:start w:val="1"/>
      <w:numFmt w:val="bullet"/>
      <w:pStyle w:val="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AC70A6"/>
    <w:multiLevelType w:val="hybridMultilevel"/>
    <w:tmpl w:val="CB66C782"/>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0" w15:restartNumberingAfterBreak="0">
    <w:nsid w:val="5C503E38"/>
    <w:multiLevelType w:val="hybridMultilevel"/>
    <w:tmpl w:val="F5624508"/>
    <w:lvl w:ilvl="0" w:tplc="D2A82FA8">
      <w:numFmt w:val="bullet"/>
      <w:pStyle w:val="ListBullet3"/>
      <w:lvlText w:val=""/>
      <w:lvlJc w:val="left"/>
      <w:pPr>
        <w:ind w:left="472" w:hanging="360"/>
      </w:pPr>
      <w:rPr>
        <w:rFonts w:ascii="Symbol" w:eastAsia="Symbol" w:hAnsi="Symbol" w:cs="Symbol" w:hint="default"/>
        <w:b w:val="0"/>
        <w:bCs w:val="0"/>
        <w:i w:val="0"/>
        <w:iCs w:val="0"/>
        <w:spacing w:val="0"/>
        <w:w w:val="100"/>
        <w:sz w:val="24"/>
        <w:szCs w:val="24"/>
        <w:lang w:val="en-US" w:eastAsia="en-US" w:bidi="ar-SA"/>
      </w:rPr>
    </w:lvl>
    <w:lvl w:ilvl="1" w:tplc="903843E4">
      <w:numFmt w:val="bullet"/>
      <w:lvlText w:val="o"/>
      <w:lvlJc w:val="left"/>
      <w:pPr>
        <w:ind w:left="1668" w:hanging="416"/>
      </w:pPr>
      <w:rPr>
        <w:rFonts w:ascii="Courier New" w:eastAsia="Courier New" w:hAnsi="Courier New" w:cs="Courier New" w:hint="default"/>
        <w:b w:val="0"/>
        <w:bCs w:val="0"/>
        <w:i w:val="0"/>
        <w:iCs w:val="0"/>
        <w:spacing w:val="0"/>
        <w:w w:val="100"/>
        <w:sz w:val="24"/>
        <w:szCs w:val="24"/>
        <w:lang w:val="en-US" w:eastAsia="en-US" w:bidi="ar-SA"/>
      </w:rPr>
    </w:lvl>
    <w:lvl w:ilvl="2" w:tplc="D450919A">
      <w:numFmt w:val="bullet"/>
      <w:lvlText w:val="•"/>
      <w:lvlJc w:val="left"/>
      <w:pPr>
        <w:ind w:left="2569" w:hanging="416"/>
      </w:pPr>
      <w:rPr>
        <w:rFonts w:hint="default"/>
        <w:lang w:val="en-US" w:eastAsia="en-US" w:bidi="ar-SA"/>
      </w:rPr>
    </w:lvl>
    <w:lvl w:ilvl="3" w:tplc="59CEC1BA">
      <w:numFmt w:val="bullet"/>
      <w:lvlText w:val="•"/>
      <w:lvlJc w:val="left"/>
      <w:pPr>
        <w:ind w:left="3479" w:hanging="416"/>
      </w:pPr>
      <w:rPr>
        <w:rFonts w:hint="default"/>
        <w:lang w:val="en-US" w:eastAsia="en-US" w:bidi="ar-SA"/>
      </w:rPr>
    </w:lvl>
    <w:lvl w:ilvl="4" w:tplc="98CAFAEC">
      <w:numFmt w:val="bullet"/>
      <w:lvlText w:val="•"/>
      <w:lvlJc w:val="left"/>
      <w:pPr>
        <w:ind w:left="4388" w:hanging="416"/>
      </w:pPr>
      <w:rPr>
        <w:rFonts w:hint="default"/>
        <w:lang w:val="en-US" w:eastAsia="en-US" w:bidi="ar-SA"/>
      </w:rPr>
    </w:lvl>
    <w:lvl w:ilvl="5" w:tplc="C756C78E">
      <w:numFmt w:val="bullet"/>
      <w:lvlText w:val="•"/>
      <w:lvlJc w:val="left"/>
      <w:pPr>
        <w:ind w:left="5298" w:hanging="416"/>
      </w:pPr>
      <w:rPr>
        <w:rFonts w:hint="default"/>
        <w:lang w:val="en-US" w:eastAsia="en-US" w:bidi="ar-SA"/>
      </w:rPr>
    </w:lvl>
    <w:lvl w:ilvl="6" w:tplc="38AC88B0">
      <w:numFmt w:val="bullet"/>
      <w:lvlText w:val="•"/>
      <w:lvlJc w:val="left"/>
      <w:pPr>
        <w:ind w:left="6208" w:hanging="416"/>
      </w:pPr>
      <w:rPr>
        <w:rFonts w:hint="default"/>
        <w:lang w:val="en-US" w:eastAsia="en-US" w:bidi="ar-SA"/>
      </w:rPr>
    </w:lvl>
    <w:lvl w:ilvl="7" w:tplc="2FD2EDE6">
      <w:numFmt w:val="bullet"/>
      <w:lvlText w:val="•"/>
      <w:lvlJc w:val="left"/>
      <w:pPr>
        <w:ind w:left="7117" w:hanging="416"/>
      </w:pPr>
      <w:rPr>
        <w:rFonts w:hint="default"/>
        <w:lang w:val="en-US" w:eastAsia="en-US" w:bidi="ar-SA"/>
      </w:rPr>
    </w:lvl>
    <w:lvl w:ilvl="8" w:tplc="0F1C00B0">
      <w:numFmt w:val="bullet"/>
      <w:lvlText w:val="•"/>
      <w:lvlJc w:val="left"/>
      <w:pPr>
        <w:ind w:left="8027" w:hanging="416"/>
      </w:pPr>
      <w:rPr>
        <w:rFonts w:hint="default"/>
        <w:lang w:val="en-US" w:eastAsia="en-US" w:bidi="ar-SA"/>
      </w:rPr>
    </w:lvl>
  </w:abstractNum>
  <w:abstractNum w:abstractNumId="11" w15:restartNumberingAfterBreak="0">
    <w:nsid w:val="6607D552"/>
    <w:multiLevelType w:val="hybridMultilevel"/>
    <w:tmpl w:val="B164E896"/>
    <w:lvl w:ilvl="0" w:tplc="8B0A692C">
      <w:start w:val="1"/>
      <w:numFmt w:val="bullet"/>
      <w:lvlText w:val=""/>
      <w:lvlJc w:val="left"/>
      <w:pPr>
        <w:ind w:left="720" w:hanging="360"/>
      </w:pPr>
      <w:rPr>
        <w:rFonts w:ascii="Symbol" w:hAnsi="Symbol" w:hint="default"/>
      </w:rPr>
    </w:lvl>
    <w:lvl w:ilvl="1" w:tplc="1618021E">
      <w:start w:val="1"/>
      <w:numFmt w:val="bullet"/>
      <w:lvlText w:val="o"/>
      <w:lvlJc w:val="left"/>
      <w:pPr>
        <w:ind w:left="1440" w:hanging="360"/>
      </w:pPr>
      <w:rPr>
        <w:rFonts w:ascii="Courier New" w:hAnsi="Courier New" w:hint="default"/>
      </w:rPr>
    </w:lvl>
    <w:lvl w:ilvl="2" w:tplc="9D52EEFA">
      <w:start w:val="1"/>
      <w:numFmt w:val="bullet"/>
      <w:lvlText w:val=""/>
      <w:lvlJc w:val="left"/>
      <w:pPr>
        <w:ind w:left="2160" w:hanging="360"/>
      </w:pPr>
      <w:rPr>
        <w:rFonts w:ascii="Wingdings" w:hAnsi="Wingdings" w:hint="default"/>
      </w:rPr>
    </w:lvl>
    <w:lvl w:ilvl="3" w:tplc="70CCA452">
      <w:start w:val="1"/>
      <w:numFmt w:val="bullet"/>
      <w:lvlText w:val=""/>
      <w:lvlJc w:val="left"/>
      <w:pPr>
        <w:ind w:left="2880" w:hanging="360"/>
      </w:pPr>
      <w:rPr>
        <w:rFonts w:ascii="Symbol" w:hAnsi="Symbol" w:hint="default"/>
      </w:rPr>
    </w:lvl>
    <w:lvl w:ilvl="4" w:tplc="45B81532">
      <w:start w:val="1"/>
      <w:numFmt w:val="bullet"/>
      <w:lvlText w:val="o"/>
      <w:lvlJc w:val="left"/>
      <w:pPr>
        <w:ind w:left="3600" w:hanging="360"/>
      </w:pPr>
      <w:rPr>
        <w:rFonts w:ascii="Courier New" w:hAnsi="Courier New" w:hint="default"/>
      </w:rPr>
    </w:lvl>
    <w:lvl w:ilvl="5" w:tplc="8F52DB18">
      <w:start w:val="1"/>
      <w:numFmt w:val="bullet"/>
      <w:lvlText w:val=""/>
      <w:lvlJc w:val="left"/>
      <w:pPr>
        <w:ind w:left="4320" w:hanging="360"/>
      </w:pPr>
      <w:rPr>
        <w:rFonts w:ascii="Wingdings" w:hAnsi="Wingdings" w:hint="default"/>
      </w:rPr>
    </w:lvl>
    <w:lvl w:ilvl="6" w:tplc="AC42F7B6">
      <w:start w:val="1"/>
      <w:numFmt w:val="bullet"/>
      <w:lvlText w:val=""/>
      <w:lvlJc w:val="left"/>
      <w:pPr>
        <w:ind w:left="5040" w:hanging="360"/>
      </w:pPr>
      <w:rPr>
        <w:rFonts w:ascii="Symbol" w:hAnsi="Symbol" w:hint="default"/>
      </w:rPr>
    </w:lvl>
    <w:lvl w:ilvl="7" w:tplc="C130E418">
      <w:start w:val="1"/>
      <w:numFmt w:val="bullet"/>
      <w:lvlText w:val="o"/>
      <w:lvlJc w:val="left"/>
      <w:pPr>
        <w:ind w:left="5760" w:hanging="360"/>
      </w:pPr>
      <w:rPr>
        <w:rFonts w:ascii="Courier New" w:hAnsi="Courier New" w:hint="default"/>
      </w:rPr>
    </w:lvl>
    <w:lvl w:ilvl="8" w:tplc="16C84808">
      <w:start w:val="1"/>
      <w:numFmt w:val="bullet"/>
      <w:lvlText w:val=""/>
      <w:lvlJc w:val="left"/>
      <w:pPr>
        <w:ind w:left="6480" w:hanging="360"/>
      </w:pPr>
      <w:rPr>
        <w:rFonts w:ascii="Wingdings" w:hAnsi="Wingdings" w:hint="default"/>
      </w:rPr>
    </w:lvl>
  </w:abstractNum>
  <w:num w:numId="1" w16cid:durableId="724911633">
    <w:abstractNumId w:val="11"/>
  </w:num>
  <w:num w:numId="2" w16cid:durableId="1010253563">
    <w:abstractNumId w:val="5"/>
  </w:num>
  <w:num w:numId="3" w16cid:durableId="1064445786">
    <w:abstractNumId w:val="10"/>
  </w:num>
  <w:num w:numId="4" w16cid:durableId="459809820">
    <w:abstractNumId w:val="9"/>
  </w:num>
  <w:num w:numId="5" w16cid:durableId="1375739020">
    <w:abstractNumId w:val="3"/>
  </w:num>
  <w:num w:numId="6" w16cid:durableId="486021896">
    <w:abstractNumId w:val="4"/>
  </w:num>
  <w:num w:numId="7" w16cid:durableId="54816433">
    <w:abstractNumId w:val="1"/>
  </w:num>
  <w:num w:numId="8" w16cid:durableId="804276206">
    <w:abstractNumId w:val="2"/>
  </w:num>
  <w:num w:numId="9" w16cid:durableId="231619381">
    <w:abstractNumId w:val="0"/>
  </w:num>
  <w:num w:numId="10" w16cid:durableId="615797175">
    <w:abstractNumId w:val="10"/>
  </w:num>
  <w:num w:numId="11" w16cid:durableId="547373767">
    <w:abstractNumId w:val="10"/>
  </w:num>
  <w:num w:numId="12" w16cid:durableId="634454647">
    <w:abstractNumId w:val="10"/>
  </w:num>
  <w:num w:numId="13" w16cid:durableId="924147298">
    <w:abstractNumId w:val="10"/>
  </w:num>
  <w:num w:numId="14" w16cid:durableId="1874922358">
    <w:abstractNumId w:val="10"/>
  </w:num>
  <w:num w:numId="15" w16cid:durableId="333847150">
    <w:abstractNumId w:val="10"/>
  </w:num>
  <w:num w:numId="16" w16cid:durableId="60712733">
    <w:abstractNumId w:val="10"/>
  </w:num>
  <w:num w:numId="17" w16cid:durableId="432407941">
    <w:abstractNumId w:val="10"/>
  </w:num>
  <w:num w:numId="18" w16cid:durableId="841703959">
    <w:abstractNumId w:val="8"/>
  </w:num>
  <w:num w:numId="19" w16cid:durableId="1060981553">
    <w:abstractNumId w:val="7"/>
  </w:num>
  <w:num w:numId="20" w16cid:durableId="1390422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4F"/>
    <w:rsid w:val="00001BBA"/>
    <w:rsid w:val="00005FD8"/>
    <w:rsid w:val="00011027"/>
    <w:rsid w:val="00020657"/>
    <w:rsid w:val="00024D93"/>
    <w:rsid w:val="00025738"/>
    <w:rsid w:val="000311D4"/>
    <w:rsid w:val="000456C7"/>
    <w:rsid w:val="00046F89"/>
    <w:rsid w:val="00052B5F"/>
    <w:rsid w:val="00060D4A"/>
    <w:rsid w:val="000628B8"/>
    <w:rsid w:val="00066A7D"/>
    <w:rsid w:val="00070B6D"/>
    <w:rsid w:val="00082586"/>
    <w:rsid w:val="000832DF"/>
    <w:rsid w:val="000848E5"/>
    <w:rsid w:val="000849A4"/>
    <w:rsid w:val="00096EC4"/>
    <w:rsid w:val="000A0361"/>
    <w:rsid w:val="000B1A5C"/>
    <w:rsid w:val="000B1A62"/>
    <w:rsid w:val="000B433F"/>
    <w:rsid w:val="000D2970"/>
    <w:rsid w:val="000E5972"/>
    <w:rsid w:val="000E63CD"/>
    <w:rsid w:val="000F3A8F"/>
    <w:rsid w:val="000F7A3B"/>
    <w:rsid w:val="001004BF"/>
    <w:rsid w:val="00102558"/>
    <w:rsid w:val="001072AE"/>
    <w:rsid w:val="00111A8E"/>
    <w:rsid w:val="00114E04"/>
    <w:rsid w:val="00115A6B"/>
    <w:rsid w:val="0011640C"/>
    <w:rsid w:val="00135E06"/>
    <w:rsid w:val="001375DC"/>
    <w:rsid w:val="0014006F"/>
    <w:rsid w:val="001556DE"/>
    <w:rsid w:val="00162293"/>
    <w:rsid w:val="001640D9"/>
    <w:rsid w:val="001649EF"/>
    <w:rsid w:val="001670B4"/>
    <w:rsid w:val="0017636C"/>
    <w:rsid w:val="00177A16"/>
    <w:rsid w:val="001879D5"/>
    <w:rsid w:val="001915E8"/>
    <w:rsid w:val="00195883"/>
    <w:rsid w:val="001B2C0A"/>
    <w:rsid w:val="001B5AE0"/>
    <w:rsid w:val="001C0F01"/>
    <w:rsid w:val="001C1C44"/>
    <w:rsid w:val="001C6C88"/>
    <w:rsid w:val="001D0F4F"/>
    <w:rsid w:val="001E041F"/>
    <w:rsid w:val="001F21AB"/>
    <w:rsid w:val="00203EDD"/>
    <w:rsid w:val="0020D8A2"/>
    <w:rsid w:val="0021521A"/>
    <w:rsid w:val="00216863"/>
    <w:rsid w:val="00224F47"/>
    <w:rsid w:val="002310BE"/>
    <w:rsid w:val="0025002B"/>
    <w:rsid w:val="00254E62"/>
    <w:rsid w:val="0025761A"/>
    <w:rsid w:val="0026284D"/>
    <w:rsid w:val="00266087"/>
    <w:rsid w:val="00273308"/>
    <w:rsid w:val="00281125"/>
    <w:rsid w:val="00284E3D"/>
    <w:rsid w:val="00286609"/>
    <w:rsid w:val="002A20C0"/>
    <w:rsid w:val="002B0D13"/>
    <w:rsid w:val="002B51FD"/>
    <w:rsid w:val="002C3817"/>
    <w:rsid w:val="002C3D53"/>
    <w:rsid w:val="002D1AB4"/>
    <w:rsid w:val="002D5D98"/>
    <w:rsid w:val="002E03BC"/>
    <w:rsid w:val="002E58DF"/>
    <w:rsid w:val="002F31E8"/>
    <w:rsid w:val="002F5E4F"/>
    <w:rsid w:val="0030200F"/>
    <w:rsid w:val="00305A84"/>
    <w:rsid w:val="00311A52"/>
    <w:rsid w:val="00312894"/>
    <w:rsid w:val="00314F9B"/>
    <w:rsid w:val="00320C67"/>
    <w:rsid w:val="00323007"/>
    <w:rsid w:val="0032398B"/>
    <w:rsid w:val="00325EB6"/>
    <w:rsid w:val="0034173C"/>
    <w:rsid w:val="00352207"/>
    <w:rsid w:val="00360860"/>
    <w:rsid w:val="0036779E"/>
    <w:rsid w:val="00372EEF"/>
    <w:rsid w:val="00377674"/>
    <w:rsid w:val="003836F8"/>
    <w:rsid w:val="0038506A"/>
    <w:rsid w:val="003858FA"/>
    <w:rsid w:val="00387C09"/>
    <w:rsid w:val="003974C9"/>
    <w:rsid w:val="003A562C"/>
    <w:rsid w:val="003C1107"/>
    <w:rsid w:val="003C6597"/>
    <w:rsid w:val="003D4944"/>
    <w:rsid w:val="003E64CC"/>
    <w:rsid w:val="003F075E"/>
    <w:rsid w:val="003F0AC4"/>
    <w:rsid w:val="003F23D8"/>
    <w:rsid w:val="003F2B0B"/>
    <w:rsid w:val="003F4D04"/>
    <w:rsid w:val="00423BC0"/>
    <w:rsid w:val="00427F86"/>
    <w:rsid w:val="004455FC"/>
    <w:rsid w:val="00446D2E"/>
    <w:rsid w:val="004531BE"/>
    <w:rsid w:val="004550E6"/>
    <w:rsid w:val="00455DF4"/>
    <w:rsid w:val="00461479"/>
    <w:rsid w:val="00462146"/>
    <w:rsid w:val="004678F0"/>
    <w:rsid w:val="00467A04"/>
    <w:rsid w:val="004753A1"/>
    <w:rsid w:val="00480B2E"/>
    <w:rsid w:val="00482826"/>
    <w:rsid w:val="004828AF"/>
    <w:rsid w:val="00482942"/>
    <w:rsid w:val="00483DBD"/>
    <w:rsid w:val="00485D9D"/>
    <w:rsid w:val="00494053"/>
    <w:rsid w:val="004956B8"/>
    <w:rsid w:val="00497AF5"/>
    <w:rsid w:val="004A51AA"/>
    <w:rsid w:val="004B6928"/>
    <w:rsid w:val="004C5890"/>
    <w:rsid w:val="004E2240"/>
    <w:rsid w:val="004F3288"/>
    <w:rsid w:val="00510475"/>
    <w:rsid w:val="00510AFA"/>
    <w:rsid w:val="00514660"/>
    <w:rsid w:val="00517E33"/>
    <w:rsid w:val="0052747A"/>
    <w:rsid w:val="00543B2D"/>
    <w:rsid w:val="00551940"/>
    <w:rsid w:val="0056149D"/>
    <w:rsid w:val="00561667"/>
    <w:rsid w:val="00570026"/>
    <w:rsid w:val="00577355"/>
    <w:rsid w:val="0057778B"/>
    <w:rsid w:val="00581246"/>
    <w:rsid w:val="00581ED2"/>
    <w:rsid w:val="0058711E"/>
    <w:rsid w:val="005879E4"/>
    <w:rsid w:val="0059101B"/>
    <w:rsid w:val="00593D62"/>
    <w:rsid w:val="00593E14"/>
    <w:rsid w:val="00596042"/>
    <w:rsid w:val="005A053F"/>
    <w:rsid w:val="005A2FBA"/>
    <w:rsid w:val="005A4609"/>
    <w:rsid w:val="005B24F6"/>
    <w:rsid w:val="005B3F71"/>
    <w:rsid w:val="005C5959"/>
    <w:rsid w:val="005C7EBB"/>
    <w:rsid w:val="005D0424"/>
    <w:rsid w:val="005E5D4F"/>
    <w:rsid w:val="005E7CC3"/>
    <w:rsid w:val="0060515C"/>
    <w:rsid w:val="00607D07"/>
    <w:rsid w:val="006118ED"/>
    <w:rsid w:val="006143D3"/>
    <w:rsid w:val="00617DFB"/>
    <w:rsid w:val="006249A6"/>
    <w:rsid w:val="00634921"/>
    <w:rsid w:val="00634EE6"/>
    <w:rsid w:val="00636A65"/>
    <w:rsid w:val="00641E92"/>
    <w:rsid w:val="0064713C"/>
    <w:rsid w:val="00650A40"/>
    <w:rsid w:val="00653C56"/>
    <w:rsid w:val="006569CF"/>
    <w:rsid w:val="00663F6E"/>
    <w:rsid w:val="00684012"/>
    <w:rsid w:val="00695E0C"/>
    <w:rsid w:val="006979DA"/>
    <w:rsid w:val="006A23E4"/>
    <w:rsid w:val="006A33CA"/>
    <w:rsid w:val="006B1F91"/>
    <w:rsid w:val="006B6207"/>
    <w:rsid w:val="006C13F3"/>
    <w:rsid w:val="006C4D86"/>
    <w:rsid w:val="006D7E2C"/>
    <w:rsid w:val="006E452B"/>
    <w:rsid w:val="006F2E0F"/>
    <w:rsid w:val="0070454D"/>
    <w:rsid w:val="007108E9"/>
    <w:rsid w:val="0071151F"/>
    <w:rsid w:val="007148D4"/>
    <w:rsid w:val="00714EE2"/>
    <w:rsid w:val="0071626B"/>
    <w:rsid w:val="0071766D"/>
    <w:rsid w:val="00724D96"/>
    <w:rsid w:val="00726C6A"/>
    <w:rsid w:val="007313E8"/>
    <w:rsid w:val="00733DA2"/>
    <w:rsid w:val="007478D6"/>
    <w:rsid w:val="0075396C"/>
    <w:rsid w:val="00753EE0"/>
    <w:rsid w:val="0075710A"/>
    <w:rsid w:val="00765C49"/>
    <w:rsid w:val="00775091"/>
    <w:rsid w:val="007821A8"/>
    <w:rsid w:val="0078482F"/>
    <w:rsid w:val="00785337"/>
    <w:rsid w:val="007854D8"/>
    <w:rsid w:val="00786E48"/>
    <w:rsid w:val="00787545"/>
    <w:rsid w:val="00791925"/>
    <w:rsid w:val="007934F1"/>
    <w:rsid w:val="007A3DDC"/>
    <w:rsid w:val="007A7969"/>
    <w:rsid w:val="007B11B9"/>
    <w:rsid w:val="007B1964"/>
    <w:rsid w:val="007C44E8"/>
    <w:rsid w:val="007C470A"/>
    <w:rsid w:val="007C6C9C"/>
    <w:rsid w:val="007F048F"/>
    <w:rsid w:val="007F2825"/>
    <w:rsid w:val="00801187"/>
    <w:rsid w:val="00812FAA"/>
    <w:rsid w:val="00816D08"/>
    <w:rsid w:val="0083176B"/>
    <w:rsid w:val="00842050"/>
    <w:rsid w:val="00842F90"/>
    <w:rsid w:val="0084586B"/>
    <w:rsid w:val="00853A23"/>
    <w:rsid w:val="0085519B"/>
    <w:rsid w:val="00862DB9"/>
    <w:rsid w:val="00871FBD"/>
    <w:rsid w:val="008739FF"/>
    <w:rsid w:val="00885980"/>
    <w:rsid w:val="008923A2"/>
    <w:rsid w:val="008A1C30"/>
    <w:rsid w:val="008A328A"/>
    <w:rsid w:val="008A4DE3"/>
    <w:rsid w:val="008B1C79"/>
    <w:rsid w:val="008C0DC0"/>
    <w:rsid w:val="008D6DD9"/>
    <w:rsid w:val="008E4109"/>
    <w:rsid w:val="008E46F7"/>
    <w:rsid w:val="008F39BB"/>
    <w:rsid w:val="008F6E75"/>
    <w:rsid w:val="00900B84"/>
    <w:rsid w:val="00901029"/>
    <w:rsid w:val="00902740"/>
    <w:rsid w:val="00903063"/>
    <w:rsid w:val="00905C22"/>
    <w:rsid w:val="00910437"/>
    <w:rsid w:val="00914518"/>
    <w:rsid w:val="009253A1"/>
    <w:rsid w:val="009265AD"/>
    <w:rsid w:val="00934BC1"/>
    <w:rsid w:val="00936FA8"/>
    <w:rsid w:val="00962314"/>
    <w:rsid w:val="00962EB0"/>
    <w:rsid w:val="009855C6"/>
    <w:rsid w:val="00990127"/>
    <w:rsid w:val="0099303E"/>
    <w:rsid w:val="00997CC0"/>
    <w:rsid w:val="009A0E8A"/>
    <w:rsid w:val="009A3E08"/>
    <w:rsid w:val="009A5CFE"/>
    <w:rsid w:val="009B2451"/>
    <w:rsid w:val="009B3CC9"/>
    <w:rsid w:val="009B683A"/>
    <w:rsid w:val="009C4E3C"/>
    <w:rsid w:val="009E104F"/>
    <w:rsid w:val="009E7526"/>
    <w:rsid w:val="009F38D4"/>
    <w:rsid w:val="009F6BFE"/>
    <w:rsid w:val="00A01198"/>
    <w:rsid w:val="00A0639B"/>
    <w:rsid w:val="00A241D0"/>
    <w:rsid w:val="00A34D30"/>
    <w:rsid w:val="00A43D9E"/>
    <w:rsid w:val="00A43EBA"/>
    <w:rsid w:val="00A503C1"/>
    <w:rsid w:val="00A515B7"/>
    <w:rsid w:val="00A52534"/>
    <w:rsid w:val="00A53874"/>
    <w:rsid w:val="00A62048"/>
    <w:rsid w:val="00A70AF9"/>
    <w:rsid w:val="00A72F39"/>
    <w:rsid w:val="00A82803"/>
    <w:rsid w:val="00A83921"/>
    <w:rsid w:val="00AA4469"/>
    <w:rsid w:val="00AB4E82"/>
    <w:rsid w:val="00AB71C4"/>
    <w:rsid w:val="00AC0350"/>
    <w:rsid w:val="00AC4FD4"/>
    <w:rsid w:val="00AC5D0C"/>
    <w:rsid w:val="00AD1D50"/>
    <w:rsid w:val="00AE21E3"/>
    <w:rsid w:val="00AE3F37"/>
    <w:rsid w:val="00AF16B2"/>
    <w:rsid w:val="00AF3DEF"/>
    <w:rsid w:val="00AF6B97"/>
    <w:rsid w:val="00AF7DA6"/>
    <w:rsid w:val="00B02550"/>
    <w:rsid w:val="00B04E70"/>
    <w:rsid w:val="00B0770A"/>
    <w:rsid w:val="00B10B08"/>
    <w:rsid w:val="00B11609"/>
    <w:rsid w:val="00B21210"/>
    <w:rsid w:val="00B325A0"/>
    <w:rsid w:val="00B326B0"/>
    <w:rsid w:val="00B3309B"/>
    <w:rsid w:val="00B3324A"/>
    <w:rsid w:val="00B36A61"/>
    <w:rsid w:val="00B36FFD"/>
    <w:rsid w:val="00B436AE"/>
    <w:rsid w:val="00B44A2D"/>
    <w:rsid w:val="00B5362B"/>
    <w:rsid w:val="00B5373F"/>
    <w:rsid w:val="00B57433"/>
    <w:rsid w:val="00B576D2"/>
    <w:rsid w:val="00B61553"/>
    <w:rsid w:val="00B70E41"/>
    <w:rsid w:val="00B77AB8"/>
    <w:rsid w:val="00B814FA"/>
    <w:rsid w:val="00B943FC"/>
    <w:rsid w:val="00BA0C75"/>
    <w:rsid w:val="00BA283A"/>
    <w:rsid w:val="00BD18C8"/>
    <w:rsid w:val="00BD319A"/>
    <w:rsid w:val="00BE6BB9"/>
    <w:rsid w:val="00BF42FA"/>
    <w:rsid w:val="00BF602C"/>
    <w:rsid w:val="00C124DE"/>
    <w:rsid w:val="00C130F7"/>
    <w:rsid w:val="00C164CF"/>
    <w:rsid w:val="00C2694D"/>
    <w:rsid w:val="00C32EDC"/>
    <w:rsid w:val="00C40B79"/>
    <w:rsid w:val="00C4325A"/>
    <w:rsid w:val="00C50FFA"/>
    <w:rsid w:val="00C55C61"/>
    <w:rsid w:val="00C66FE0"/>
    <w:rsid w:val="00C70DEC"/>
    <w:rsid w:val="00C77422"/>
    <w:rsid w:val="00C819FD"/>
    <w:rsid w:val="00C8507F"/>
    <w:rsid w:val="00C86AD6"/>
    <w:rsid w:val="00CA465B"/>
    <w:rsid w:val="00CA76F7"/>
    <w:rsid w:val="00CB0818"/>
    <w:rsid w:val="00CC116A"/>
    <w:rsid w:val="00CC2A24"/>
    <w:rsid w:val="00CD6ED8"/>
    <w:rsid w:val="00CD78D9"/>
    <w:rsid w:val="00CE34DA"/>
    <w:rsid w:val="00CE61CE"/>
    <w:rsid w:val="00CF5C6C"/>
    <w:rsid w:val="00D02A89"/>
    <w:rsid w:val="00D05F01"/>
    <w:rsid w:val="00D06944"/>
    <w:rsid w:val="00D07993"/>
    <w:rsid w:val="00D17F42"/>
    <w:rsid w:val="00D31E28"/>
    <w:rsid w:val="00D37500"/>
    <w:rsid w:val="00D4054C"/>
    <w:rsid w:val="00D4246C"/>
    <w:rsid w:val="00D47B2B"/>
    <w:rsid w:val="00D522BC"/>
    <w:rsid w:val="00D52A93"/>
    <w:rsid w:val="00D65D66"/>
    <w:rsid w:val="00D66096"/>
    <w:rsid w:val="00D70847"/>
    <w:rsid w:val="00D737BF"/>
    <w:rsid w:val="00D73EDA"/>
    <w:rsid w:val="00D778EF"/>
    <w:rsid w:val="00D86B0D"/>
    <w:rsid w:val="00D93BC6"/>
    <w:rsid w:val="00DA42BE"/>
    <w:rsid w:val="00DA5D7B"/>
    <w:rsid w:val="00DB33B8"/>
    <w:rsid w:val="00DC0BF5"/>
    <w:rsid w:val="00DC43E7"/>
    <w:rsid w:val="00DC5189"/>
    <w:rsid w:val="00DD3650"/>
    <w:rsid w:val="00DD49D8"/>
    <w:rsid w:val="00DE14E2"/>
    <w:rsid w:val="00DF00FC"/>
    <w:rsid w:val="00DF50C5"/>
    <w:rsid w:val="00E048A9"/>
    <w:rsid w:val="00E073C4"/>
    <w:rsid w:val="00E074CB"/>
    <w:rsid w:val="00E10294"/>
    <w:rsid w:val="00E1313D"/>
    <w:rsid w:val="00E21D4F"/>
    <w:rsid w:val="00E366C3"/>
    <w:rsid w:val="00E418CD"/>
    <w:rsid w:val="00E53646"/>
    <w:rsid w:val="00E57711"/>
    <w:rsid w:val="00E874E6"/>
    <w:rsid w:val="00E906A1"/>
    <w:rsid w:val="00E90811"/>
    <w:rsid w:val="00E92277"/>
    <w:rsid w:val="00E9360C"/>
    <w:rsid w:val="00E9367B"/>
    <w:rsid w:val="00E95715"/>
    <w:rsid w:val="00E95F6C"/>
    <w:rsid w:val="00EA3539"/>
    <w:rsid w:val="00EA5889"/>
    <w:rsid w:val="00EB2C93"/>
    <w:rsid w:val="00EB3281"/>
    <w:rsid w:val="00EB3FA3"/>
    <w:rsid w:val="00EB6E37"/>
    <w:rsid w:val="00EC2D49"/>
    <w:rsid w:val="00EC7364"/>
    <w:rsid w:val="00ED3469"/>
    <w:rsid w:val="00ED4DD6"/>
    <w:rsid w:val="00EE1381"/>
    <w:rsid w:val="00EE7B25"/>
    <w:rsid w:val="00EF078D"/>
    <w:rsid w:val="00EF3C8D"/>
    <w:rsid w:val="00EF6850"/>
    <w:rsid w:val="00F076A8"/>
    <w:rsid w:val="00F14FF8"/>
    <w:rsid w:val="00F177CC"/>
    <w:rsid w:val="00F22CA6"/>
    <w:rsid w:val="00F309D4"/>
    <w:rsid w:val="00F338BB"/>
    <w:rsid w:val="00F53C64"/>
    <w:rsid w:val="00F546AD"/>
    <w:rsid w:val="00F5586A"/>
    <w:rsid w:val="00F630E7"/>
    <w:rsid w:val="00F65965"/>
    <w:rsid w:val="00F674C0"/>
    <w:rsid w:val="00F73A8F"/>
    <w:rsid w:val="00F8221C"/>
    <w:rsid w:val="00F8297D"/>
    <w:rsid w:val="00F85112"/>
    <w:rsid w:val="00F879B2"/>
    <w:rsid w:val="00F90319"/>
    <w:rsid w:val="00F90D20"/>
    <w:rsid w:val="00FB4D7B"/>
    <w:rsid w:val="00FD054B"/>
    <w:rsid w:val="00FD1427"/>
    <w:rsid w:val="00FD242B"/>
    <w:rsid w:val="00FD4520"/>
    <w:rsid w:val="00FD7F33"/>
    <w:rsid w:val="00FE01E0"/>
    <w:rsid w:val="00FE186A"/>
    <w:rsid w:val="00FE4408"/>
    <w:rsid w:val="00FE6F18"/>
    <w:rsid w:val="00FE7E6C"/>
    <w:rsid w:val="00FF15AB"/>
    <w:rsid w:val="00FF2BDB"/>
    <w:rsid w:val="03E7D997"/>
    <w:rsid w:val="0457C820"/>
    <w:rsid w:val="059A7200"/>
    <w:rsid w:val="06458B62"/>
    <w:rsid w:val="065E96CF"/>
    <w:rsid w:val="07DD3E77"/>
    <w:rsid w:val="0806039A"/>
    <w:rsid w:val="0880254D"/>
    <w:rsid w:val="09D52762"/>
    <w:rsid w:val="0A27A88D"/>
    <w:rsid w:val="0A5EA2B9"/>
    <w:rsid w:val="0B6D1AD2"/>
    <w:rsid w:val="0C3824E1"/>
    <w:rsid w:val="0CC6D83B"/>
    <w:rsid w:val="0D2CAEBE"/>
    <w:rsid w:val="0DF6902D"/>
    <w:rsid w:val="0E3340D9"/>
    <w:rsid w:val="0ED214E5"/>
    <w:rsid w:val="103D7A16"/>
    <w:rsid w:val="1093B58C"/>
    <w:rsid w:val="109A22FE"/>
    <w:rsid w:val="135CAF37"/>
    <w:rsid w:val="13700500"/>
    <w:rsid w:val="13EC5FE3"/>
    <w:rsid w:val="142AF387"/>
    <w:rsid w:val="16096526"/>
    <w:rsid w:val="1644F07B"/>
    <w:rsid w:val="165124BC"/>
    <w:rsid w:val="18295C04"/>
    <w:rsid w:val="18574CEB"/>
    <w:rsid w:val="187CEF75"/>
    <w:rsid w:val="18895264"/>
    <w:rsid w:val="1A0C43D7"/>
    <w:rsid w:val="1A31FF26"/>
    <w:rsid w:val="1A652D68"/>
    <w:rsid w:val="1BA3EBA1"/>
    <w:rsid w:val="1C9DD118"/>
    <w:rsid w:val="1CF08B46"/>
    <w:rsid w:val="1D0A9D32"/>
    <w:rsid w:val="1D707751"/>
    <w:rsid w:val="1DB62063"/>
    <w:rsid w:val="1DD1487C"/>
    <w:rsid w:val="200467AA"/>
    <w:rsid w:val="20A66627"/>
    <w:rsid w:val="20F417A0"/>
    <w:rsid w:val="226A7F0A"/>
    <w:rsid w:val="23976EF9"/>
    <w:rsid w:val="2507B0E0"/>
    <w:rsid w:val="264D7E67"/>
    <w:rsid w:val="2654A5B1"/>
    <w:rsid w:val="2859CE52"/>
    <w:rsid w:val="286B901C"/>
    <w:rsid w:val="287CEC95"/>
    <w:rsid w:val="293BEEEE"/>
    <w:rsid w:val="29BF2DE0"/>
    <w:rsid w:val="29D9A0F8"/>
    <w:rsid w:val="2A11C0F4"/>
    <w:rsid w:val="2B38962F"/>
    <w:rsid w:val="2B4C12B2"/>
    <w:rsid w:val="2BCE1A4F"/>
    <w:rsid w:val="2C0E6E99"/>
    <w:rsid w:val="2C9BCC73"/>
    <w:rsid w:val="2CCA011D"/>
    <w:rsid w:val="2D1B7821"/>
    <w:rsid w:val="2D1F4DBC"/>
    <w:rsid w:val="2DE8BD45"/>
    <w:rsid w:val="2DFADC26"/>
    <w:rsid w:val="2E53ACD0"/>
    <w:rsid w:val="2F910BA5"/>
    <w:rsid w:val="2FACA35E"/>
    <w:rsid w:val="305F3169"/>
    <w:rsid w:val="30D45EF0"/>
    <w:rsid w:val="31217F5A"/>
    <w:rsid w:val="31B008C9"/>
    <w:rsid w:val="32AC1CDC"/>
    <w:rsid w:val="33117A20"/>
    <w:rsid w:val="335F3DCE"/>
    <w:rsid w:val="33A5C5F8"/>
    <w:rsid w:val="34CCB024"/>
    <w:rsid w:val="357ACDAF"/>
    <w:rsid w:val="35EE7971"/>
    <w:rsid w:val="3624508A"/>
    <w:rsid w:val="36A5BF11"/>
    <w:rsid w:val="3972DB4E"/>
    <w:rsid w:val="39AC6961"/>
    <w:rsid w:val="3A9C5F3F"/>
    <w:rsid w:val="3AA28777"/>
    <w:rsid w:val="3B0D5294"/>
    <w:rsid w:val="3C9398A3"/>
    <w:rsid w:val="3CC7F3FC"/>
    <w:rsid w:val="3E0BD083"/>
    <w:rsid w:val="3EB48F5A"/>
    <w:rsid w:val="3F16009A"/>
    <w:rsid w:val="3F50CCEA"/>
    <w:rsid w:val="3FFFAB46"/>
    <w:rsid w:val="40CF8F31"/>
    <w:rsid w:val="40EA078E"/>
    <w:rsid w:val="413C8BCE"/>
    <w:rsid w:val="415F621F"/>
    <w:rsid w:val="4267672D"/>
    <w:rsid w:val="431D8F97"/>
    <w:rsid w:val="43B3A562"/>
    <w:rsid w:val="44191707"/>
    <w:rsid w:val="45FA91AE"/>
    <w:rsid w:val="4608FB64"/>
    <w:rsid w:val="47D2BE5F"/>
    <w:rsid w:val="48780199"/>
    <w:rsid w:val="49022A1C"/>
    <w:rsid w:val="4965D254"/>
    <w:rsid w:val="4979B6D5"/>
    <w:rsid w:val="49A72BDD"/>
    <w:rsid w:val="4A6100F8"/>
    <w:rsid w:val="4AA6BA37"/>
    <w:rsid w:val="4AD7FE5B"/>
    <w:rsid w:val="4C055801"/>
    <w:rsid w:val="4C1BC086"/>
    <w:rsid w:val="4C2E02CB"/>
    <w:rsid w:val="4C4A7F7E"/>
    <w:rsid w:val="4CB9F5ED"/>
    <w:rsid w:val="4CD801AA"/>
    <w:rsid w:val="4D118BBB"/>
    <w:rsid w:val="4D7129E4"/>
    <w:rsid w:val="4ED8E8ED"/>
    <w:rsid w:val="4F7D9BE5"/>
    <w:rsid w:val="4FD82E07"/>
    <w:rsid w:val="50F2DEE4"/>
    <w:rsid w:val="54174D11"/>
    <w:rsid w:val="5452BAF1"/>
    <w:rsid w:val="54B96D7B"/>
    <w:rsid w:val="564E396A"/>
    <w:rsid w:val="56E2960B"/>
    <w:rsid w:val="572D59AA"/>
    <w:rsid w:val="581AC49F"/>
    <w:rsid w:val="58ACB404"/>
    <w:rsid w:val="59601C60"/>
    <w:rsid w:val="5969C495"/>
    <w:rsid w:val="5ABD1E3C"/>
    <w:rsid w:val="5B68C5B6"/>
    <w:rsid w:val="5D21E1CA"/>
    <w:rsid w:val="5DBA276A"/>
    <w:rsid w:val="5DF771E0"/>
    <w:rsid w:val="5F8737C0"/>
    <w:rsid w:val="62F2ECBB"/>
    <w:rsid w:val="644AFC52"/>
    <w:rsid w:val="64C63E49"/>
    <w:rsid w:val="65136E5C"/>
    <w:rsid w:val="655EE428"/>
    <w:rsid w:val="65857A7F"/>
    <w:rsid w:val="65ACC6F2"/>
    <w:rsid w:val="65CC805F"/>
    <w:rsid w:val="668C8C69"/>
    <w:rsid w:val="66E5F6C6"/>
    <w:rsid w:val="66F83088"/>
    <w:rsid w:val="68377255"/>
    <w:rsid w:val="693F878F"/>
    <w:rsid w:val="69CF2738"/>
    <w:rsid w:val="69D7EDC0"/>
    <w:rsid w:val="69F534E7"/>
    <w:rsid w:val="6A1D0FE2"/>
    <w:rsid w:val="6AFA860B"/>
    <w:rsid w:val="6B2C60AF"/>
    <w:rsid w:val="6B476051"/>
    <w:rsid w:val="6B600631"/>
    <w:rsid w:val="6C14A616"/>
    <w:rsid w:val="6C8F1597"/>
    <w:rsid w:val="6D4FC768"/>
    <w:rsid w:val="6E35D2F1"/>
    <w:rsid w:val="6E56EDD3"/>
    <w:rsid w:val="6E89BFC1"/>
    <w:rsid w:val="6F787655"/>
    <w:rsid w:val="6FAD2908"/>
    <w:rsid w:val="6FECCD18"/>
    <w:rsid w:val="7004A433"/>
    <w:rsid w:val="71962693"/>
    <w:rsid w:val="71C6A022"/>
    <w:rsid w:val="723E57BE"/>
    <w:rsid w:val="74E3C1D4"/>
    <w:rsid w:val="74E950C5"/>
    <w:rsid w:val="7718F7BE"/>
    <w:rsid w:val="77640218"/>
    <w:rsid w:val="77C7A4BA"/>
    <w:rsid w:val="780719E5"/>
    <w:rsid w:val="78E88A07"/>
    <w:rsid w:val="79E4084E"/>
    <w:rsid w:val="7A4282F9"/>
    <w:rsid w:val="7C65B08F"/>
    <w:rsid w:val="7C66EF11"/>
    <w:rsid w:val="7CB8AA21"/>
    <w:rsid w:val="7CE48A4A"/>
    <w:rsid w:val="7CE8DB62"/>
    <w:rsid w:val="7D9A7F00"/>
    <w:rsid w:val="7DFA4113"/>
    <w:rsid w:val="7E4B783E"/>
    <w:rsid w:val="7EB11FAD"/>
    <w:rsid w:val="7EF322E7"/>
    <w:rsid w:val="7F32CFB9"/>
    <w:rsid w:val="7FA41817"/>
    <w:rsid w:val="7FFC23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63975"/>
  <w15:docId w15:val="{247D25B6-3D03-4563-B5AB-60CCE780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79"/>
    <w:pPr>
      <w:spacing w:before="120" w:after="120"/>
    </w:pPr>
    <w:rPr>
      <w:rFonts w:ascii="Calibri Light" w:eastAsia="Calibri Light" w:hAnsi="Calibri Light" w:cs="Calibri Light"/>
      <w:sz w:val="24"/>
      <w:szCs w:val="24"/>
      <w:lang w:val="en-AU"/>
    </w:rPr>
  </w:style>
  <w:style w:type="paragraph" w:styleId="Heading1">
    <w:name w:val="heading 1"/>
    <w:basedOn w:val="Normal"/>
    <w:uiPriority w:val="9"/>
    <w:qFormat/>
    <w:rsid w:val="001E041F"/>
    <w:pPr>
      <w:spacing w:before="240"/>
      <w:ind w:left="112"/>
      <w:outlineLvl w:val="0"/>
    </w:pPr>
    <w:rPr>
      <w:sz w:val="36"/>
      <w:szCs w:val="26"/>
    </w:rPr>
  </w:style>
  <w:style w:type="paragraph" w:styleId="Heading2">
    <w:name w:val="heading 2"/>
    <w:basedOn w:val="Normal"/>
    <w:uiPriority w:val="9"/>
    <w:unhideWhenUsed/>
    <w:qFormat/>
    <w:rsid w:val="00B61553"/>
    <w:pPr>
      <w:outlineLvl w:val="1"/>
    </w:pPr>
    <w:rPr>
      <w:b/>
      <w:iCs/>
      <w:color w:val="244061" w:themeColor="accent1" w:themeShade="80"/>
      <w:sz w:val="28"/>
      <w:szCs w:val="25"/>
    </w:rPr>
  </w:style>
  <w:style w:type="paragraph" w:styleId="Heading3">
    <w:name w:val="heading 3"/>
    <w:basedOn w:val="Normal"/>
    <w:next w:val="Normal"/>
    <w:link w:val="Heading3Char"/>
    <w:uiPriority w:val="9"/>
    <w:unhideWhenUsed/>
    <w:qFormat/>
    <w:rsid w:val="008B1C79"/>
    <w:pPr>
      <w:keepNext/>
      <w:keepLines/>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2"/>
    </w:pPr>
    <w:rPr>
      <w:sz w:val="28"/>
      <w:szCs w:val="28"/>
    </w:rPr>
  </w:style>
  <w:style w:type="paragraph" w:styleId="ListParagraph">
    <w:name w:val="List Paragraph"/>
    <w:basedOn w:val="Normal"/>
    <w:uiPriority w:val="1"/>
    <w:qFormat/>
    <w:pPr>
      <w:ind w:left="472" w:hanging="360"/>
    </w:pPr>
  </w:style>
  <w:style w:type="paragraph" w:customStyle="1" w:styleId="TableParagraph">
    <w:name w:val="Table Paragraph"/>
    <w:basedOn w:val="Normal"/>
    <w:link w:val="TableParagraphChar"/>
    <w:uiPriority w:val="1"/>
    <w:qFormat/>
    <w:rsid w:val="00B61553"/>
    <w:pPr>
      <w:spacing w:before="4"/>
    </w:pPr>
  </w:style>
  <w:style w:type="paragraph" w:styleId="Revision">
    <w:name w:val="Revision"/>
    <w:hidden/>
    <w:uiPriority w:val="99"/>
    <w:semiHidden/>
    <w:rsid w:val="00FE01E0"/>
    <w:pPr>
      <w:widowControl/>
      <w:autoSpaceDE/>
      <w:autoSpaceDN/>
    </w:pPr>
    <w:rPr>
      <w:rFonts w:ascii="Calibri Light" w:eastAsia="Calibri Light" w:hAnsi="Calibri Light" w:cs="Calibri Light"/>
    </w:rPr>
  </w:style>
  <w:style w:type="character" w:styleId="Hyperlink">
    <w:name w:val="Hyperlink"/>
    <w:basedOn w:val="DefaultParagraphFont"/>
    <w:uiPriority w:val="99"/>
    <w:unhideWhenUsed/>
    <w:rsid w:val="00862DB9"/>
    <w:rPr>
      <w:color w:val="0000FF" w:themeColor="hyperlink"/>
      <w:u w:val="single"/>
    </w:rPr>
  </w:style>
  <w:style w:type="character" w:customStyle="1" w:styleId="UnresolvedMention1">
    <w:name w:val="Unresolved Mention1"/>
    <w:basedOn w:val="DefaultParagraphFont"/>
    <w:uiPriority w:val="99"/>
    <w:semiHidden/>
    <w:unhideWhenUsed/>
    <w:rsid w:val="00862DB9"/>
    <w:rPr>
      <w:color w:val="605E5C"/>
      <w:shd w:val="clear" w:color="auto" w:fill="E1DFDD"/>
    </w:rPr>
  </w:style>
  <w:style w:type="character" w:styleId="CommentReference">
    <w:name w:val="annotation reference"/>
    <w:basedOn w:val="DefaultParagraphFont"/>
    <w:uiPriority w:val="99"/>
    <w:semiHidden/>
    <w:unhideWhenUsed/>
    <w:rsid w:val="00F22CA6"/>
    <w:rPr>
      <w:sz w:val="16"/>
      <w:szCs w:val="16"/>
    </w:rPr>
  </w:style>
  <w:style w:type="paragraph" w:styleId="CommentText">
    <w:name w:val="annotation text"/>
    <w:basedOn w:val="Normal"/>
    <w:link w:val="CommentTextChar"/>
    <w:uiPriority w:val="99"/>
    <w:unhideWhenUsed/>
    <w:rsid w:val="00F22CA6"/>
    <w:rPr>
      <w:sz w:val="20"/>
      <w:szCs w:val="20"/>
    </w:rPr>
  </w:style>
  <w:style w:type="character" w:customStyle="1" w:styleId="CommentTextChar">
    <w:name w:val="Comment Text Char"/>
    <w:basedOn w:val="DefaultParagraphFont"/>
    <w:link w:val="CommentText"/>
    <w:uiPriority w:val="99"/>
    <w:rsid w:val="00F22CA6"/>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F22CA6"/>
    <w:rPr>
      <w:b/>
      <w:bCs/>
    </w:rPr>
  </w:style>
  <w:style w:type="character" w:customStyle="1" w:styleId="CommentSubjectChar">
    <w:name w:val="Comment Subject Char"/>
    <w:basedOn w:val="CommentTextChar"/>
    <w:link w:val="CommentSubject"/>
    <w:uiPriority w:val="99"/>
    <w:semiHidden/>
    <w:rsid w:val="00F22CA6"/>
    <w:rPr>
      <w:rFonts w:ascii="Calibri Light" w:eastAsia="Calibri Light" w:hAnsi="Calibri Light" w:cs="Calibri Light"/>
      <w:b/>
      <w:bCs/>
      <w:sz w:val="20"/>
      <w:szCs w:val="20"/>
    </w:rPr>
  </w:style>
  <w:style w:type="character" w:customStyle="1" w:styleId="Mention1">
    <w:name w:val="Mention1"/>
    <w:basedOn w:val="DefaultParagraphFont"/>
    <w:uiPriority w:val="99"/>
    <w:unhideWhenUsed/>
    <w:rsid w:val="00B36FFD"/>
    <w:rPr>
      <w:color w:val="2B579A"/>
      <w:shd w:val="clear" w:color="auto" w:fill="E1DFDD"/>
    </w:rPr>
  </w:style>
  <w:style w:type="paragraph" w:styleId="Header">
    <w:name w:val="header"/>
    <w:basedOn w:val="Normal"/>
    <w:link w:val="HeaderChar"/>
    <w:uiPriority w:val="99"/>
    <w:unhideWhenUsed/>
    <w:rsid w:val="00F90319"/>
    <w:pPr>
      <w:tabs>
        <w:tab w:val="center" w:pos="4513"/>
        <w:tab w:val="right" w:pos="9026"/>
      </w:tabs>
      <w:jc w:val="right"/>
    </w:pPr>
  </w:style>
  <w:style w:type="character" w:customStyle="1" w:styleId="HeaderChar">
    <w:name w:val="Header Char"/>
    <w:basedOn w:val="DefaultParagraphFont"/>
    <w:link w:val="Header"/>
    <w:uiPriority w:val="99"/>
    <w:rsid w:val="00F90319"/>
    <w:rPr>
      <w:rFonts w:ascii="Calibri Light" w:eastAsia="Calibri Light" w:hAnsi="Calibri Light" w:cs="Calibri Light"/>
      <w:sz w:val="24"/>
      <w:szCs w:val="24"/>
      <w:lang w:val="en-AU"/>
    </w:rPr>
  </w:style>
  <w:style w:type="paragraph" w:styleId="Footer">
    <w:name w:val="footer"/>
    <w:basedOn w:val="Normal"/>
    <w:link w:val="FooterChar"/>
    <w:uiPriority w:val="99"/>
    <w:unhideWhenUsed/>
    <w:rsid w:val="008A328A"/>
    <w:pPr>
      <w:tabs>
        <w:tab w:val="center" w:pos="4513"/>
        <w:tab w:val="right" w:pos="9026"/>
      </w:tabs>
    </w:pPr>
  </w:style>
  <w:style w:type="character" w:customStyle="1" w:styleId="FooterChar">
    <w:name w:val="Footer Char"/>
    <w:basedOn w:val="DefaultParagraphFont"/>
    <w:link w:val="Footer"/>
    <w:uiPriority w:val="99"/>
    <w:rsid w:val="008A328A"/>
    <w:rPr>
      <w:rFonts w:ascii="Calibri Light" w:eastAsia="Calibri Light" w:hAnsi="Calibri Light" w:cs="Calibri Light"/>
    </w:rPr>
  </w:style>
  <w:style w:type="character" w:customStyle="1" w:styleId="Heading3Char">
    <w:name w:val="Heading 3 Char"/>
    <w:basedOn w:val="DefaultParagraphFont"/>
    <w:link w:val="Heading3"/>
    <w:uiPriority w:val="9"/>
    <w:rsid w:val="008B1C79"/>
    <w:rPr>
      <w:rFonts w:ascii="Calibri Light" w:eastAsiaTheme="majorEastAsia" w:hAnsi="Calibri Light" w:cstheme="majorBidi"/>
      <w:color w:val="243F60" w:themeColor="accent1" w:themeShade="7F"/>
      <w:sz w:val="24"/>
      <w:szCs w:val="24"/>
    </w:rPr>
  </w:style>
  <w:style w:type="paragraph" w:styleId="FootnoteText">
    <w:name w:val="footnote text"/>
    <w:basedOn w:val="Normal"/>
    <w:link w:val="FootnoteTextChar"/>
    <w:uiPriority w:val="99"/>
    <w:unhideWhenUsed/>
    <w:rsid w:val="00551940"/>
    <w:rPr>
      <w:sz w:val="20"/>
      <w:szCs w:val="20"/>
    </w:rPr>
  </w:style>
  <w:style w:type="character" w:customStyle="1" w:styleId="FootnoteTextChar">
    <w:name w:val="Footnote Text Char"/>
    <w:basedOn w:val="DefaultParagraphFont"/>
    <w:link w:val="FootnoteText"/>
    <w:uiPriority w:val="99"/>
    <w:rsid w:val="00551940"/>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551940"/>
    <w:rPr>
      <w:vertAlign w:val="superscript"/>
    </w:rPr>
  </w:style>
  <w:style w:type="character" w:styleId="FollowedHyperlink">
    <w:name w:val="FollowedHyperlink"/>
    <w:basedOn w:val="DefaultParagraphFont"/>
    <w:uiPriority w:val="99"/>
    <w:semiHidden/>
    <w:unhideWhenUsed/>
    <w:rsid w:val="00216863"/>
    <w:rPr>
      <w:color w:val="800080" w:themeColor="followedHyperlink"/>
      <w:u w:val="single"/>
    </w:rPr>
  </w:style>
  <w:style w:type="paragraph" w:styleId="ListBullet2">
    <w:name w:val="List Bullet 2"/>
    <w:basedOn w:val="BodyText"/>
    <w:uiPriority w:val="99"/>
    <w:unhideWhenUsed/>
    <w:rsid w:val="008B1C79"/>
    <w:pPr>
      <w:numPr>
        <w:numId w:val="6"/>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06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39B"/>
    <w:rPr>
      <w:rFonts w:ascii="Segoe UI" w:eastAsia="Calibri Light" w:hAnsi="Segoe UI" w:cs="Segoe UI"/>
      <w:sz w:val="18"/>
      <w:szCs w:val="18"/>
    </w:rPr>
  </w:style>
  <w:style w:type="paragraph" w:styleId="ListBullet">
    <w:name w:val="List Bullet"/>
    <w:basedOn w:val="ListParagraph"/>
    <w:uiPriority w:val="99"/>
    <w:unhideWhenUsed/>
    <w:rsid w:val="008B1C79"/>
    <w:pPr>
      <w:numPr>
        <w:numId w:val="2"/>
      </w:numPr>
    </w:pPr>
  </w:style>
  <w:style w:type="paragraph" w:styleId="ListBullet3">
    <w:name w:val="List Bullet 3"/>
    <w:basedOn w:val="BodyText"/>
    <w:uiPriority w:val="99"/>
    <w:unhideWhenUsed/>
    <w:rsid w:val="008B1C79"/>
    <w:pPr>
      <w:numPr>
        <w:numId w:val="3"/>
      </w:numPr>
    </w:pPr>
  </w:style>
  <w:style w:type="character" w:styleId="Mention">
    <w:name w:val="Mention"/>
    <w:basedOn w:val="DefaultParagraphFont"/>
    <w:uiPriority w:val="99"/>
    <w:unhideWhenUsed/>
    <w:rsid w:val="00CD78D9"/>
    <w:rPr>
      <w:color w:val="2B579A"/>
      <w:shd w:val="clear" w:color="auto" w:fill="E1DFDD"/>
    </w:rPr>
  </w:style>
  <w:style w:type="paragraph" w:customStyle="1" w:styleId="Tablebulletlist">
    <w:name w:val="Table bullet list"/>
    <w:basedOn w:val="TableParagraph"/>
    <w:link w:val="TablebulletlistChar"/>
    <w:qFormat/>
    <w:rsid w:val="00B61553"/>
    <w:pPr>
      <w:numPr>
        <w:numId w:val="18"/>
      </w:numPr>
    </w:pPr>
  </w:style>
  <w:style w:type="character" w:customStyle="1" w:styleId="TableParagraphChar">
    <w:name w:val="Table Paragraph Char"/>
    <w:basedOn w:val="DefaultParagraphFont"/>
    <w:link w:val="TableParagraph"/>
    <w:uiPriority w:val="1"/>
    <w:rsid w:val="00B61553"/>
    <w:rPr>
      <w:rFonts w:ascii="Calibri Light" w:eastAsia="Calibri Light" w:hAnsi="Calibri Light" w:cs="Calibri Light"/>
      <w:sz w:val="24"/>
      <w:szCs w:val="24"/>
      <w:lang w:val="en-AU"/>
    </w:rPr>
  </w:style>
  <w:style w:type="character" w:customStyle="1" w:styleId="TablebulletlistChar">
    <w:name w:val="Table bullet list Char"/>
    <w:basedOn w:val="TableParagraphChar"/>
    <w:link w:val="Tablebulletlist"/>
    <w:rsid w:val="00B61553"/>
    <w:rPr>
      <w:rFonts w:ascii="Calibri Light" w:eastAsia="Calibri Light" w:hAnsi="Calibri Light" w:cs="Calibri Light"/>
      <w:sz w:val="24"/>
      <w:szCs w:val="24"/>
      <w:lang w:val="en-AU"/>
    </w:rPr>
  </w:style>
  <w:style w:type="character" w:styleId="Emphasis">
    <w:name w:val="Emphasis"/>
    <w:basedOn w:val="DefaultParagraphFont"/>
    <w:uiPriority w:val="20"/>
    <w:qFormat/>
    <w:rsid w:val="00B61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6907">
      <w:bodyDiv w:val="1"/>
      <w:marLeft w:val="0"/>
      <w:marRight w:val="0"/>
      <w:marTop w:val="0"/>
      <w:marBottom w:val="0"/>
      <w:divBdr>
        <w:top w:val="none" w:sz="0" w:space="0" w:color="auto"/>
        <w:left w:val="none" w:sz="0" w:space="0" w:color="auto"/>
        <w:bottom w:val="none" w:sz="0" w:space="0" w:color="auto"/>
        <w:right w:val="none" w:sz="0" w:space="0" w:color="auto"/>
      </w:divBdr>
    </w:div>
    <w:div w:id="330374027">
      <w:bodyDiv w:val="1"/>
      <w:marLeft w:val="0"/>
      <w:marRight w:val="0"/>
      <w:marTop w:val="0"/>
      <w:marBottom w:val="0"/>
      <w:divBdr>
        <w:top w:val="none" w:sz="0" w:space="0" w:color="auto"/>
        <w:left w:val="none" w:sz="0" w:space="0" w:color="auto"/>
        <w:bottom w:val="none" w:sz="0" w:space="0" w:color="auto"/>
        <w:right w:val="none" w:sz="0" w:space="0" w:color="auto"/>
      </w:divBdr>
    </w:div>
    <w:div w:id="839082452">
      <w:bodyDiv w:val="1"/>
      <w:marLeft w:val="0"/>
      <w:marRight w:val="0"/>
      <w:marTop w:val="0"/>
      <w:marBottom w:val="0"/>
      <w:divBdr>
        <w:top w:val="none" w:sz="0" w:space="0" w:color="auto"/>
        <w:left w:val="none" w:sz="0" w:space="0" w:color="auto"/>
        <w:bottom w:val="none" w:sz="0" w:space="0" w:color="auto"/>
        <w:right w:val="none" w:sz="0" w:space="0" w:color="auto"/>
      </w:divBdr>
    </w:div>
    <w:div w:id="1011295124">
      <w:bodyDiv w:val="1"/>
      <w:marLeft w:val="0"/>
      <w:marRight w:val="0"/>
      <w:marTop w:val="0"/>
      <w:marBottom w:val="0"/>
      <w:divBdr>
        <w:top w:val="none" w:sz="0" w:space="0" w:color="auto"/>
        <w:left w:val="none" w:sz="0" w:space="0" w:color="auto"/>
        <w:bottom w:val="none" w:sz="0" w:space="0" w:color="auto"/>
        <w:right w:val="none" w:sz="0" w:space="0" w:color="auto"/>
      </w:divBdr>
    </w:div>
    <w:div w:id="1488547219">
      <w:bodyDiv w:val="1"/>
      <w:marLeft w:val="0"/>
      <w:marRight w:val="0"/>
      <w:marTop w:val="0"/>
      <w:marBottom w:val="0"/>
      <w:divBdr>
        <w:top w:val="none" w:sz="0" w:space="0" w:color="auto"/>
        <w:left w:val="none" w:sz="0" w:space="0" w:color="auto"/>
        <w:bottom w:val="none" w:sz="0" w:space="0" w:color="auto"/>
        <w:right w:val="none" w:sz="0" w:space="0" w:color="auto"/>
      </w:divBdr>
      <w:divsChild>
        <w:div w:id="696389233">
          <w:marLeft w:val="0"/>
          <w:marRight w:val="0"/>
          <w:marTop w:val="0"/>
          <w:marBottom w:val="0"/>
          <w:divBdr>
            <w:top w:val="none" w:sz="0" w:space="0" w:color="auto"/>
            <w:left w:val="none" w:sz="0" w:space="0" w:color="auto"/>
            <w:bottom w:val="none" w:sz="0" w:space="0" w:color="auto"/>
            <w:right w:val="none" w:sz="0" w:space="0" w:color="auto"/>
          </w:divBdr>
        </w:div>
        <w:div w:id="974525510">
          <w:marLeft w:val="0"/>
          <w:marRight w:val="0"/>
          <w:marTop w:val="0"/>
          <w:marBottom w:val="0"/>
          <w:divBdr>
            <w:top w:val="none" w:sz="0" w:space="0" w:color="auto"/>
            <w:left w:val="none" w:sz="0" w:space="0" w:color="auto"/>
            <w:bottom w:val="none" w:sz="0" w:space="0" w:color="auto"/>
            <w:right w:val="none" w:sz="0" w:space="0" w:color="auto"/>
          </w:divBdr>
          <w:divsChild>
            <w:div w:id="323121889">
              <w:marLeft w:val="-75"/>
              <w:marRight w:val="0"/>
              <w:marTop w:val="30"/>
              <w:marBottom w:val="30"/>
              <w:divBdr>
                <w:top w:val="none" w:sz="0" w:space="0" w:color="auto"/>
                <w:left w:val="none" w:sz="0" w:space="0" w:color="auto"/>
                <w:bottom w:val="none" w:sz="0" w:space="0" w:color="auto"/>
                <w:right w:val="none" w:sz="0" w:space="0" w:color="auto"/>
              </w:divBdr>
              <w:divsChild>
                <w:div w:id="275065869">
                  <w:marLeft w:val="0"/>
                  <w:marRight w:val="0"/>
                  <w:marTop w:val="0"/>
                  <w:marBottom w:val="0"/>
                  <w:divBdr>
                    <w:top w:val="none" w:sz="0" w:space="0" w:color="auto"/>
                    <w:left w:val="none" w:sz="0" w:space="0" w:color="auto"/>
                    <w:bottom w:val="none" w:sz="0" w:space="0" w:color="auto"/>
                    <w:right w:val="none" w:sz="0" w:space="0" w:color="auto"/>
                  </w:divBdr>
                  <w:divsChild>
                    <w:div w:id="1204826326">
                      <w:marLeft w:val="0"/>
                      <w:marRight w:val="0"/>
                      <w:marTop w:val="0"/>
                      <w:marBottom w:val="0"/>
                      <w:divBdr>
                        <w:top w:val="none" w:sz="0" w:space="0" w:color="auto"/>
                        <w:left w:val="none" w:sz="0" w:space="0" w:color="auto"/>
                        <w:bottom w:val="none" w:sz="0" w:space="0" w:color="auto"/>
                        <w:right w:val="none" w:sz="0" w:space="0" w:color="auto"/>
                      </w:divBdr>
                    </w:div>
                  </w:divsChild>
                </w:div>
                <w:div w:id="281501881">
                  <w:marLeft w:val="0"/>
                  <w:marRight w:val="0"/>
                  <w:marTop w:val="0"/>
                  <w:marBottom w:val="0"/>
                  <w:divBdr>
                    <w:top w:val="none" w:sz="0" w:space="0" w:color="auto"/>
                    <w:left w:val="none" w:sz="0" w:space="0" w:color="auto"/>
                    <w:bottom w:val="none" w:sz="0" w:space="0" w:color="auto"/>
                    <w:right w:val="none" w:sz="0" w:space="0" w:color="auto"/>
                  </w:divBdr>
                  <w:divsChild>
                    <w:div w:id="1000814780">
                      <w:marLeft w:val="0"/>
                      <w:marRight w:val="0"/>
                      <w:marTop w:val="0"/>
                      <w:marBottom w:val="0"/>
                      <w:divBdr>
                        <w:top w:val="none" w:sz="0" w:space="0" w:color="auto"/>
                        <w:left w:val="none" w:sz="0" w:space="0" w:color="auto"/>
                        <w:bottom w:val="none" w:sz="0" w:space="0" w:color="auto"/>
                        <w:right w:val="none" w:sz="0" w:space="0" w:color="auto"/>
                      </w:divBdr>
                    </w:div>
                  </w:divsChild>
                </w:div>
                <w:div w:id="295525192">
                  <w:marLeft w:val="0"/>
                  <w:marRight w:val="0"/>
                  <w:marTop w:val="0"/>
                  <w:marBottom w:val="0"/>
                  <w:divBdr>
                    <w:top w:val="none" w:sz="0" w:space="0" w:color="auto"/>
                    <w:left w:val="none" w:sz="0" w:space="0" w:color="auto"/>
                    <w:bottom w:val="none" w:sz="0" w:space="0" w:color="auto"/>
                    <w:right w:val="none" w:sz="0" w:space="0" w:color="auto"/>
                  </w:divBdr>
                  <w:divsChild>
                    <w:div w:id="2107651156">
                      <w:marLeft w:val="0"/>
                      <w:marRight w:val="0"/>
                      <w:marTop w:val="0"/>
                      <w:marBottom w:val="0"/>
                      <w:divBdr>
                        <w:top w:val="none" w:sz="0" w:space="0" w:color="auto"/>
                        <w:left w:val="none" w:sz="0" w:space="0" w:color="auto"/>
                        <w:bottom w:val="none" w:sz="0" w:space="0" w:color="auto"/>
                        <w:right w:val="none" w:sz="0" w:space="0" w:color="auto"/>
                      </w:divBdr>
                    </w:div>
                  </w:divsChild>
                </w:div>
                <w:div w:id="381053114">
                  <w:marLeft w:val="0"/>
                  <w:marRight w:val="0"/>
                  <w:marTop w:val="0"/>
                  <w:marBottom w:val="0"/>
                  <w:divBdr>
                    <w:top w:val="none" w:sz="0" w:space="0" w:color="auto"/>
                    <w:left w:val="none" w:sz="0" w:space="0" w:color="auto"/>
                    <w:bottom w:val="none" w:sz="0" w:space="0" w:color="auto"/>
                    <w:right w:val="none" w:sz="0" w:space="0" w:color="auto"/>
                  </w:divBdr>
                  <w:divsChild>
                    <w:div w:id="216477536">
                      <w:marLeft w:val="0"/>
                      <w:marRight w:val="0"/>
                      <w:marTop w:val="0"/>
                      <w:marBottom w:val="0"/>
                      <w:divBdr>
                        <w:top w:val="none" w:sz="0" w:space="0" w:color="auto"/>
                        <w:left w:val="none" w:sz="0" w:space="0" w:color="auto"/>
                        <w:bottom w:val="none" w:sz="0" w:space="0" w:color="auto"/>
                        <w:right w:val="none" w:sz="0" w:space="0" w:color="auto"/>
                      </w:divBdr>
                    </w:div>
                  </w:divsChild>
                </w:div>
                <w:div w:id="436219182">
                  <w:marLeft w:val="0"/>
                  <w:marRight w:val="0"/>
                  <w:marTop w:val="0"/>
                  <w:marBottom w:val="0"/>
                  <w:divBdr>
                    <w:top w:val="none" w:sz="0" w:space="0" w:color="auto"/>
                    <w:left w:val="none" w:sz="0" w:space="0" w:color="auto"/>
                    <w:bottom w:val="none" w:sz="0" w:space="0" w:color="auto"/>
                    <w:right w:val="none" w:sz="0" w:space="0" w:color="auto"/>
                  </w:divBdr>
                  <w:divsChild>
                    <w:div w:id="958999255">
                      <w:marLeft w:val="0"/>
                      <w:marRight w:val="0"/>
                      <w:marTop w:val="0"/>
                      <w:marBottom w:val="0"/>
                      <w:divBdr>
                        <w:top w:val="none" w:sz="0" w:space="0" w:color="auto"/>
                        <w:left w:val="none" w:sz="0" w:space="0" w:color="auto"/>
                        <w:bottom w:val="none" w:sz="0" w:space="0" w:color="auto"/>
                        <w:right w:val="none" w:sz="0" w:space="0" w:color="auto"/>
                      </w:divBdr>
                    </w:div>
                  </w:divsChild>
                </w:div>
                <w:div w:id="482432817">
                  <w:marLeft w:val="0"/>
                  <w:marRight w:val="0"/>
                  <w:marTop w:val="0"/>
                  <w:marBottom w:val="0"/>
                  <w:divBdr>
                    <w:top w:val="none" w:sz="0" w:space="0" w:color="auto"/>
                    <w:left w:val="none" w:sz="0" w:space="0" w:color="auto"/>
                    <w:bottom w:val="none" w:sz="0" w:space="0" w:color="auto"/>
                    <w:right w:val="none" w:sz="0" w:space="0" w:color="auto"/>
                  </w:divBdr>
                  <w:divsChild>
                    <w:div w:id="1790122907">
                      <w:marLeft w:val="0"/>
                      <w:marRight w:val="0"/>
                      <w:marTop w:val="0"/>
                      <w:marBottom w:val="0"/>
                      <w:divBdr>
                        <w:top w:val="none" w:sz="0" w:space="0" w:color="auto"/>
                        <w:left w:val="none" w:sz="0" w:space="0" w:color="auto"/>
                        <w:bottom w:val="none" w:sz="0" w:space="0" w:color="auto"/>
                        <w:right w:val="none" w:sz="0" w:space="0" w:color="auto"/>
                      </w:divBdr>
                    </w:div>
                  </w:divsChild>
                </w:div>
                <w:div w:id="501896441">
                  <w:marLeft w:val="0"/>
                  <w:marRight w:val="0"/>
                  <w:marTop w:val="0"/>
                  <w:marBottom w:val="0"/>
                  <w:divBdr>
                    <w:top w:val="none" w:sz="0" w:space="0" w:color="auto"/>
                    <w:left w:val="none" w:sz="0" w:space="0" w:color="auto"/>
                    <w:bottom w:val="none" w:sz="0" w:space="0" w:color="auto"/>
                    <w:right w:val="none" w:sz="0" w:space="0" w:color="auto"/>
                  </w:divBdr>
                  <w:divsChild>
                    <w:div w:id="1589848154">
                      <w:marLeft w:val="0"/>
                      <w:marRight w:val="0"/>
                      <w:marTop w:val="0"/>
                      <w:marBottom w:val="0"/>
                      <w:divBdr>
                        <w:top w:val="none" w:sz="0" w:space="0" w:color="auto"/>
                        <w:left w:val="none" w:sz="0" w:space="0" w:color="auto"/>
                        <w:bottom w:val="none" w:sz="0" w:space="0" w:color="auto"/>
                        <w:right w:val="none" w:sz="0" w:space="0" w:color="auto"/>
                      </w:divBdr>
                    </w:div>
                  </w:divsChild>
                </w:div>
                <w:div w:id="510681619">
                  <w:marLeft w:val="0"/>
                  <w:marRight w:val="0"/>
                  <w:marTop w:val="0"/>
                  <w:marBottom w:val="0"/>
                  <w:divBdr>
                    <w:top w:val="none" w:sz="0" w:space="0" w:color="auto"/>
                    <w:left w:val="none" w:sz="0" w:space="0" w:color="auto"/>
                    <w:bottom w:val="none" w:sz="0" w:space="0" w:color="auto"/>
                    <w:right w:val="none" w:sz="0" w:space="0" w:color="auto"/>
                  </w:divBdr>
                  <w:divsChild>
                    <w:div w:id="1442726600">
                      <w:marLeft w:val="0"/>
                      <w:marRight w:val="0"/>
                      <w:marTop w:val="0"/>
                      <w:marBottom w:val="0"/>
                      <w:divBdr>
                        <w:top w:val="none" w:sz="0" w:space="0" w:color="auto"/>
                        <w:left w:val="none" w:sz="0" w:space="0" w:color="auto"/>
                        <w:bottom w:val="none" w:sz="0" w:space="0" w:color="auto"/>
                        <w:right w:val="none" w:sz="0" w:space="0" w:color="auto"/>
                      </w:divBdr>
                    </w:div>
                  </w:divsChild>
                </w:div>
                <w:div w:id="575825782">
                  <w:marLeft w:val="0"/>
                  <w:marRight w:val="0"/>
                  <w:marTop w:val="0"/>
                  <w:marBottom w:val="0"/>
                  <w:divBdr>
                    <w:top w:val="none" w:sz="0" w:space="0" w:color="auto"/>
                    <w:left w:val="none" w:sz="0" w:space="0" w:color="auto"/>
                    <w:bottom w:val="none" w:sz="0" w:space="0" w:color="auto"/>
                    <w:right w:val="none" w:sz="0" w:space="0" w:color="auto"/>
                  </w:divBdr>
                  <w:divsChild>
                    <w:div w:id="1704361440">
                      <w:marLeft w:val="0"/>
                      <w:marRight w:val="0"/>
                      <w:marTop w:val="0"/>
                      <w:marBottom w:val="0"/>
                      <w:divBdr>
                        <w:top w:val="none" w:sz="0" w:space="0" w:color="auto"/>
                        <w:left w:val="none" w:sz="0" w:space="0" w:color="auto"/>
                        <w:bottom w:val="none" w:sz="0" w:space="0" w:color="auto"/>
                        <w:right w:val="none" w:sz="0" w:space="0" w:color="auto"/>
                      </w:divBdr>
                    </w:div>
                  </w:divsChild>
                </w:div>
                <w:div w:id="800997616">
                  <w:marLeft w:val="0"/>
                  <w:marRight w:val="0"/>
                  <w:marTop w:val="0"/>
                  <w:marBottom w:val="0"/>
                  <w:divBdr>
                    <w:top w:val="none" w:sz="0" w:space="0" w:color="auto"/>
                    <w:left w:val="none" w:sz="0" w:space="0" w:color="auto"/>
                    <w:bottom w:val="none" w:sz="0" w:space="0" w:color="auto"/>
                    <w:right w:val="none" w:sz="0" w:space="0" w:color="auto"/>
                  </w:divBdr>
                  <w:divsChild>
                    <w:div w:id="1518813">
                      <w:marLeft w:val="0"/>
                      <w:marRight w:val="0"/>
                      <w:marTop w:val="0"/>
                      <w:marBottom w:val="0"/>
                      <w:divBdr>
                        <w:top w:val="none" w:sz="0" w:space="0" w:color="auto"/>
                        <w:left w:val="none" w:sz="0" w:space="0" w:color="auto"/>
                        <w:bottom w:val="none" w:sz="0" w:space="0" w:color="auto"/>
                        <w:right w:val="none" w:sz="0" w:space="0" w:color="auto"/>
                      </w:divBdr>
                    </w:div>
                  </w:divsChild>
                </w:div>
                <w:div w:id="855462236">
                  <w:marLeft w:val="0"/>
                  <w:marRight w:val="0"/>
                  <w:marTop w:val="0"/>
                  <w:marBottom w:val="0"/>
                  <w:divBdr>
                    <w:top w:val="none" w:sz="0" w:space="0" w:color="auto"/>
                    <w:left w:val="none" w:sz="0" w:space="0" w:color="auto"/>
                    <w:bottom w:val="none" w:sz="0" w:space="0" w:color="auto"/>
                    <w:right w:val="none" w:sz="0" w:space="0" w:color="auto"/>
                  </w:divBdr>
                  <w:divsChild>
                    <w:div w:id="1194417487">
                      <w:marLeft w:val="0"/>
                      <w:marRight w:val="0"/>
                      <w:marTop w:val="0"/>
                      <w:marBottom w:val="0"/>
                      <w:divBdr>
                        <w:top w:val="none" w:sz="0" w:space="0" w:color="auto"/>
                        <w:left w:val="none" w:sz="0" w:space="0" w:color="auto"/>
                        <w:bottom w:val="none" w:sz="0" w:space="0" w:color="auto"/>
                        <w:right w:val="none" w:sz="0" w:space="0" w:color="auto"/>
                      </w:divBdr>
                    </w:div>
                  </w:divsChild>
                </w:div>
                <w:div w:id="905608622">
                  <w:marLeft w:val="0"/>
                  <w:marRight w:val="0"/>
                  <w:marTop w:val="0"/>
                  <w:marBottom w:val="0"/>
                  <w:divBdr>
                    <w:top w:val="none" w:sz="0" w:space="0" w:color="auto"/>
                    <w:left w:val="none" w:sz="0" w:space="0" w:color="auto"/>
                    <w:bottom w:val="none" w:sz="0" w:space="0" w:color="auto"/>
                    <w:right w:val="none" w:sz="0" w:space="0" w:color="auto"/>
                  </w:divBdr>
                  <w:divsChild>
                    <w:div w:id="745807101">
                      <w:marLeft w:val="0"/>
                      <w:marRight w:val="0"/>
                      <w:marTop w:val="0"/>
                      <w:marBottom w:val="0"/>
                      <w:divBdr>
                        <w:top w:val="none" w:sz="0" w:space="0" w:color="auto"/>
                        <w:left w:val="none" w:sz="0" w:space="0" w:color="auto"/>
                        <w:bottom w:val="none" w:sz="0" w:space="0" w:color="auto"/>
                        <w:right w:val="none" w:sz="0" w:space="0" w:color="auto"/>
                      </w:divBdr>
                    </w:div>
                  </w:divsChild>
                </w:div>
                <w:div w:id="1028801097">
                  <w:marLeft w:val="0"/>
                  <w:marRight w:val="0"/>
                  <w:marTop w:val="0"/>
                  <w:marBottom w:val="0"/>
                  <w:divBdr>
                    <w:top w:val="none" w:sz="0" w:space="0" w:color="auto"/>
                    <w:left w:val="none" w:sz="0" w:space="0" w:color="auto"/>
                    <w:bottom w:val="none" w:sz="0" w:space="0" w:color="auto"/>
                    <w:right w:val="none" w:sz="0" w:space="0" w:color="auto"/>
                  </w:divBdr>
                  <w:divsChild>
                    <w:div w:id="958561961">
                      <w:marLeft w:val="0"/>
                      <w:marRight w:val="0"/>
                      <w:marTop w:val="0"/>
                      <w:marBottom w:val="0"/>
                      <w:divBdr>
                        <w:top w:val="none" w:sz="0" w:space="0" w:color="auto"/>
                        <w:left w:val="none" w:sz="0" w:space="0" w:color="auto"/>
                        <w:bottom w:val="none" w:sz="0" w:space="0" w:color="auto"/>
                        <w:right w:val="none" w:sz="0" w:space="0" w:color="auto"/>
                      </w:divBdr>
                    </w:div>
                  </w:divsChild>
                </w:div>
                <w:div w:id="1046444928">
                  <w:marLeft w:val="0"/>
                  <w:marRight w:val="0"/>
                  <w:marTop w:val="0"/>
                  <w:marBottom w:val="0"/>
                  <w:divBdr>
                    <w:top w:val="none" w:sz="0" w:space="0" w:color="auto"/>
                    <w:left w:val="none" w:sz="0" w:space="0" w:color="auto"/>
                    <w:bottom w:val="none" w:sz="0" w:space="0" w:color="auto"/>
                    <w:right w:val="none" w:sz="0" w:space="0" w:color="auto"/>
                  </w:divBdr>
                  <w:divsChild>
                    <w:div w:id="470831061">
                      <w:marLeft w:val="0"/>
                      <w:marRight w:val="0"/>
                      <w:marTop w:val="0"/>
                      <w:marBottom w:val="0"/>
                      <w:divBdr>
                        <w:top w:val="none" w:sz="0" w:space="0" w:color="auto"/>
                        <w:left w:val="none" w:sz="0" w:space="0" w:color="auto"/>
                        <w:bottom w:val="none" w:sz="0" w:space="0" w:color="auto"/>
                        <w:right w:val="none" w:sz="0" w:space="0" w:color="auto"/>
                      </w:divBdr>
                    </w:div>
                  </w:divsChild>
                </w:div>
                <w:div w:id="1076628916">
                  <w:marLeft w:val="0"/>
                  <w:marRight w:val="0"/>
                  <w:marTop w:val="0"/>
                  <w:marBottom w:val="0"/>
                  <w:divBdr>
                    <w:top w:val="none" w:sz="0" w:space="0" w:color="auto"/>
                    <w:left w:val="none" w:sz="0" w:space="0" w:color="auto"/>
                    <w:bottom w:val="none" w:sz="0" w:space="0" w:color="auto"/>
                    <w:right w:val="none" w:sz="0" w:space="0" w:color="auto"/>
                  </w:divBdr>
                  <w:divsChild>
                    <w:div w:id="1788426616">
                      <w:marLeft w:val="0"/>
                      <w:marRight w:val="0"/>
                      <w:marTop w:val="0"/>
                      <w:marBottom w:val="0"/>
                      <w:divBdr>
                        <w:top w:val="none" w:sz="0" w:space="0" w:color="auto"/>
                        <w:left w:val="none" w:sz="0" w:space="0" w:color="auto"/>
                        <w:bottom w:val="none" w:sz="0" w:space="0" w:color="auto"/>
                        <w:right w:val="none" w:sz="0" w:space="0" w:color="auto"/>
                      </w:divBdr>
                    </w:div>
                  </w:divsChild>
                </w:div>
                <w:div w:id="1108622875">
                  <w:marLeft w:val="0"/>
                  <w:marRight w:val="0"/>
                  <w:marTop w:val="0"/>
                  <w:marBottom w:val="0"/>
                  <w:divBdr>
                    <w:top w:val="none" w:sz="0" w:space="0" w:color="auto"/>
                    <w:left w:val="none" w:sz="0" w:space="0" w:color="auto"/>
                    <w:bottom w:val="none" w:sz="0" w:space="0" w:color="auto"/>
                    <w:right w:val="none" w:sz="0" w:space="0" w:color="auto"/>
                  </w:divBdr>
                  <w:divsChild>
                    <w:div w:id="1107506285">
                      <w:marLeft w:val="0"/>
                      <w:marRight w:val="0"/>
                      <w:marTop w:val="0"/>
                      <w:marBottom w:val="0"/>
                      <w:divBdr>
                        <w:top w:val="none" w:sz="0" w:space="0" w:color="auto"/>
                        <w:left w:val="none" w:sz="0" w:space="0" w:color="auto"/>
                        <w:bottom w:val="none" w:sz="0" w:space="0" w:color="auto"/>
                        <w:right w:val="none" w:sz="0" w:space="0" w:color="auto"/>
                      </w:divBdr>
                    </w:div>
                  </w:divsChild>
                </w:div>
                <w:div w:id="1113017347">
                  <w:marLeft w:val="0"/>
                  <w:marRight w:val="0"/>
                  <w:marTop w:val="0"/>
                  <w:marBottom w:val="0"/>
                  <w:divBdr>
                    <w:top w:val="none" w:sz="0" w:space="0" w:color="auto"/>
                    <w:left w:val="none" w:sz="0" w:space="0" w:color="auto"/>
                    <w:bottom w:val="none" w:sz="0" w:space="0" w:color="auto"/>
                    <w:right w:val="none" w:sz="0" w:space="0" w:color="auto"/>
                  </w:divBdr>
                  <w:divsChild>
                    <w:div w:id="2107187688">
                      <w:marLeft w:val="0"/>
                      <w:marRight w:val="0"/>
                      <w:marTop w:val="0"/>
                      <w:marBottom w:val="0"/>
                      <w:divBdr>
                        <w:top w:val="none" w:sz="0" w:space="0" w:color="auto"/>
                        <w:left w:val="none" w:sz="0" w:space="0" w:color="auto"/>
                        <w:bottom w:val="none" w:sz="0" w:space="0" w:color="auto"/>
                        <w:right w:val="none" w:sz="0" w:space="0" w:color="auto"/>
                      </w:divBdr>
                    </w:div>
                  </w:divsChild>
                </w:div>
                <w:div w:id="1209759196">
                  <w:marLeft w:val="0"/>
                  <w:marRight w:val="0"/>
                  <w:marTop w:val="0"/>
                  <w:marBottom w:val="0"/>
                  <w:divBdr>
                    <w:top w:val="none" w:sz="0" w:space="0" w:color="auto"/>
                    <w:left w:val="none" w:sz="0" w:space="0" w:color="auto"/>
                    <w:bottom w:val="none" w:sz="0" w:space="0" w:color="auto"/>
                    <w:right w:val="none" w:sz="0" w:space="0" w:color="auto"/>
                  </w:divBdr>
                  <w:divsChild>
                    <w:div w:id="1305893429">
                      <w:marLeft w:val="0"/>
                      <w:marRight w:val="0"/>
                      <w:marTop w:val="0"/>
                      <w:marBottom w:val="0"/>
                      <w:divBdr>
                        <w:top w:val="none" w:sz="0" w:space="0" w:color="auto"/>
                        <w:left w:val="none" w:sz="0" w:space="0" w:color="auto"/>
                        <w:bottom w:val="none" w:sz="0" w:space="0" w:color="auto"/>
                        <w:right w:val="none" w:sz="0" w:space="0" w:color="auto"/>
                      </w:divBdr>
                    </w:div>
                  </w:divsChild>
                </w:div>
                <w:div w:id="1272853897">
                  <w:marLeft w:val="0"/>
                  <w:marRight w:val="0"/>
                  <w:marTop w:val="0"/>
                  <w:marBottom w:val="0"/>
                  <w:divBdr>
                    <w:top w:val="none" w:sz="0" w:space="0" w:color="auto"/>
                    <w:left w:val="none" w:sz="0" w:space="0" w:color="auto"/>
                    <w:bottom w:val="none" w:sz="0" w:space="0" w:color="auto"/>
                    <w:right w:val="none" w:sz="0" w:space="0" w:color="auto"/>
                  </w:divBdr>
                  <w:divsChild>
                    <w:div w:id="1294363430">
                      <w:marLeft w:val="0"/>
                      <w:marRight w:val="0"/>
                      <w:marTop w:val="0"/>
                      <w:marBottom w:val="0"/>
                      <w:divBdr>
                        <w:top w:val="none" w:sz="0" w:space="0" w:color="auto"/>
                        <w:left w:val="none" w:sz="0" w:space="0" w:color="auto"/>
                        <w:bottom w:val="none" w:sz="0" w:space="0" w:color="auto"/>
                        <w:right w:val="none" w:sz="0" w:space="0" w:color="auto"/>
                      </w:divBdr>
                    </w:div>
                  </w:divsChild>
                </w:div>
                <w:div w:id="1312445162">
                  <w:marLeft w:val="0"/>
                  <w:marRight w:val="0"/>
                  <w:marTop w:val="0"/>
                  <w:marBottom w:val="0"/>
                  <w:divBdr>
                    <w:top w:val="none" w:sz="0" w:space="0" w:color="auto"/>
                    <w:left w:val="none" w:sz="0" w:space="0" w:color="auto"/>
                    <w:bottom w:val="none" w:sz="0" w:space="0" w:color="auto"/>
                    <w:right w:val="none" w:sz="0" w:space="0" w:color="auto"/>
                  </w:divBdr>
                  <w:divsChild>
                    <w:div w:id="2033216268">
                      <w:marLeft w:val="0"/>
                      <w:marRight w:val="0"/>
                      <w:marTop w:val="0"/>
                      <w:marBottom w:val="0"/>
                      <w:divBdr>
                        <w:top w:val="none" w:sz="0" w:space="0" w:color="auto"/>
                        <w:left w:val="none" w:sz="0" w:space="0" w:color="auto"/>
                        <w:bottom w:val="none" w:sz="0" w:space="0" w:color="auto"/>
                        <w:right w:val="none" w:sz="0" w:space="0" w:color="auto"/>
                      </w:divBdr>
                    </w:div>
                  </w:divsChild>
                </w:div>
                <w:div w:id="1351637265">
                  <w:marLeft w:val="0"/>
                  <w:marRight w:val="0"/>
                  <w:marTop w:val="0"/>
                  <w:marBottom w:val="0"/>
                  <w:divBdr>
                    <w:top w:val="none" w:sz="0" w:space="0" w:color="auto"/>
                    <w:left w:val="none" w:sz="0" w:space="0" w:color="auto"/>
                    <w:bottom w:val="none" w:sz="0" w:space="0" w:color="auto"/>
                    <w:right w:val="none" w:sz="0" w:space="0" w:color="auto"/>
                  </w:divBdr>
                  <w:divsChild>
                    <w:div w:id="768165027">
                      <w:marLeft w:val="0"/>
                      <w:marRight w:val="0"/>
                      <w:marTop w:val="0"/>
                      <w:marBottom w:val="0"/>
                      <w:divBdr>
                        <w:top w:val="none" w:sz="0" w:space="0" w:color="auto"/>
                        <w:left w:val="none" w:sz="0" w:space="0" w:color="auto"/>
                        <w:bottom w:val="none" w:sz="0" w:space="0" w:color="auto"/>
                        <w:right w:val="none" w:sz="0" w:space="0" w:color="auto"/>
                      </w:divBdr>
                    </w:div>
                  </w:divsChild>
                </w:div>
                <w:div w:id="1371800734">
                  <w:marLeft w:val="0"/>
                  <w:marRight w:val="0"/>
                  <w:marTop w:val="0"/>
                  <w:marBottom w:val="0"/>
                  <w:divBdr>
                    <w:top w:val="none" w:sz="0" w:space="0" w:color="auto"/>
                    <w:left w:val="none" w:sz="0" w:space="0" w:color="auto"/>
                    <w:bottom w:val="none" w:sz="0" w:space="0" w:color="auto"/>
                    <w:right w:val="none" w:sz="0" w:space="0" w:color="auto"/>
                  </w:divBdr>
                  <w:divsChild>
                    <w:div w:id="285619186">
                      <w:marLeft w:val="0"/>
                      <w:marRight w:val="0"/>
                      <w:marTop w:val="0"/>
                      <w:marBottom w:val="0"/>
                      <w:divBdr>
                        <w:top w:val="none" w:sz="0" w:space="0" w:color="auto"/>
                        <w:left w:val="none" w:sz="0" w:space="0" w:color="auto"/>
                        <w:bottom w:val="none" w:sz="0" w:space="0" w:color="auto"/>
                        <w:right w:val="none" w:sz="0" w:space="0" w:color="auto"/>
                      </w:divBdr>
                    </w:div>
                  </w:divsChild>
                </w:div>
                <w:div w:id="1409497345">
                  <w:marLeft w:val="0"/>
                  <w:marRight w:val="0"/>
                  <w:marTop w:val="0"/>
                  <w:marBottom w:val="0"/>
                  <w:divBdr>
                    <w:top w:val="none" w:sz="0" w:space="0" w:color="auto"/>
                    <w:left w:val="none" w:sz="0" w:space="0" w:color="auto"/>
                    <w:bottom w:val="none" w:sz="0" w:space="0" w:color="auto"/>
                    <w:right w:val="none" w:sz="0" w:space="0" w:color="auto"/>
                  </w:divBdr>
                  <w:divsChild>
                    <w:div w:id="155073646">
                      <w:marLeft w:val="0"/>
                      <w:marRight w:val="0"/>
                      <w:marTop w:val="0"/>
                      <w:marBottom w:val="0"/>
                      <w:divBdr>
                        <w:top w:val="none" w:sz="0" w:space="0" w:color="auto"/>
                        <w:left w:val="none" w:sz="0" w:space="0" w:color="auto"/>
                        <w:bottom w:val="none" w:sz="0" w:space="0" w:color="auto"/>
                        <w:right w:val="none" w:sz="0" w:space="0" w:color="auto"/>
                      </w:divBdr>
                    </w:div>
                  </w:divsChild>
                </w:div>
                <w:div w:id="1444496054">
                  <w:marLeft w:val="0"/>
                  <w:marRight w:val="0"/>
                  <w:marTop w:val="0"/>
                  <w:marBottom w:val="0"/>
                  <w:divBdr>
                    <w:top w:val="none" w:sz="0" w:space="0" w:color="auto"/>
                    <w:left w:val="none" w:sz="0" w:space="0" w:color="auto"/>
                    <w:bottom w:val="none" w:sz="0" w:space="0" w:color="auto"/>
                    <w:right w:val="none" w:sz="0" w:space="0" w:color="auto"/>
                  </w:divBdr>
                  <w:divsChild>
                    <w:div w:id="2026864174">
                      <w:marLeft w:val="0"/>
                      <w:marRight w:val="0"/>
                      <w:marTop w:val="0"/>
                      <w:marBottom w:val="0"/>
                      <w:divBdr>
                        <w:top w:val="none" w:sz="0" w:space="0" w:color="auto"/>
                        <w:left w:val="none" w:sz="0" w:space="0" w:color="auto"/>
                        <w:bottom w:val="none" w:sz="0" w:space="0" w:color="auto"/>
                        <w:right w:val="none" w:sz="0" w:space="0" w:color="auto"/>
                      </w:divBdr>
                    </w:div>
                  </w:divsChild>
                </w:div>
                <w:div w:id="1505626548">
                  <w:marLeft w:val="0"/>
                  <w:marRight w:val="0"/>
                  <w:marTop w:val="0"/>
                  <w:marBottom w:val="0"/>
                  <w:divBdr>
                    <w:top w:val="none" w:sz="0" w:space="0" w:color="auto"/>
                    <w:left w:val="none" w:sz="0" w:space="0" w:color="auto"/>
                    <w:bottom w:val="none" w:sz="0" w:space="0" w:color="auto"/>
                    <w:right w:val="none" w:sz="0" w:space="0" w:color="auto"/>
                  </w:divBdr>
                  <w:divsChild>
                    <w:div w:id="2124229060">
                      <w:marLeft w:val="0"/>
                      <w:marRight w:val="0"/>
                      <w:marTop w:val="0"/>
                      <w:marBottom w:val="0"/>
                      <w:divBdr>
                        <w:top w:val="none" w:sz="0" w:space="0" w:color="auto"/>
                        <w:left w:val="none" w:sz="0" w:space="0" w:color="auto"/>
                        <w:bottom w:val="none" w:sz="0" w:space="0" w:color="auto"/>
                        <w:right w:val="none" w:sz="0" w:space="0" w:color="auto"/>
                      </w:divBdr>
                    </w:div>
                  </w:divsChild>
                </w:div>
                <w:div w:id="1544365209">
                  <w:marLeft w:val="0"/>
                  <w:marRight w:val="0"/>
                  <w:marTop w:val="0"/>
                  <w:marBottom w:val="0"/>
                  <w:divBdr>
                    <w:top w:val="none" w:sz="0" w:space="0" w:color="auto"/>
                    <w:left w:val="none" w:sz="0" w:space="0" w:color="auto"/>
                    <w:bottom w:val="none" w:sz="0" w:space="0" w:color="auto"/>
                    <w:right w:val="none" w:sz="0" w:space="0" w:color="auto"/>
                  </w:divBdr>
                  <w:divsChild>
                    <w:div w:id="1818493744">
                      <w:marLeft w:val="0"/>
                      <w:marRight w:val="0"/>
                      <w:marTop w:val="0"/>
                      <w:marBottom w:val="0"/>
                      <w:divBdr>
                        <w:top w:val="none" w:sz="0" w:space="0" w:color="auto"/>
                        <w:left w:val="none" w:sz="0" w:space="0" w:color="auto"/>
                        <w:bottom w:val="none" w:sz="0" w:space="0" w:color="auto"/>
                        <w:right w:val="none" w:sz="0" w:space="0" w:color="auto"/>
                      </w:divBdr>
                    </w:div>
                  </w:divsChild>
                </w:div>
                <w:div w:id="1770930886">
                  <w:marLeft w:val="0"/>
                  <w:marRight w:val="0"/>
                  <w:marTop w:val="0"/>
                  <w:marBottom w:val="0"/>
                  <w:divBdr>
                    <w:top w:val="none" w:sz="0" w:space="0" w:color="auto"/>
                    <w:left w:val="none" w:sz="0" w:space="0" w:color="auto"/>
                    <w:bottom w:val="none" w:sz="0" w:space="0" w:color="auto"/>
                    <w:right w:val="none" w:sz="0" w:space="0" w:color="auto"/>
                  </w:divBdr>
                  <w:divsChild>
                    <w:div w:id="146556866">
                      <w:marLeft w:val="0"/>
                      <w:marRight w:val="0"/>
                      <w:marTop w:val="0"/>
                      <w:marBottom w:val="0"/>
                      <w:divBdr>
                        <w:top w:val="none" w:sz="0" w:space="0" w:color="auto"/>
                        <w:left w:val="none" w:sz="0" w:space="0" w:color="auto"/>
                        <w:bottom w:val="none" w:sz="0" w:space="0" w:color="auto"/>
                        <w:right w:val="none" w:sz="0" w:space="0" w:color="auto"/>
                      </w:divBdr>
                    </w:div>
                  </w:divsChild>
                </w:div>
                <w:div w:id="2050951151">
                  <w:marLeft w:val="0"/>
                  <w:marRight w:val="0"/>
                  <w:marTop w:val="0"/>
                  <w:marBottom w:val="0"/>
                  <w:divBdr>
                    <w:top w:val="none" w:sz="0" w:space="0" w:color="auto"/>
                    <w:left w:val="none" w:sz="0" w:space="0" w:color="auto"/>
                    <w:bottom w:val="none" w:sz="0" w:space="0" w:color="auto"/>
                    <w:right w:val="none" w:sz="0" w:space="0" w:color="auto"/>
                  </w:divBdr>
                  <w:divsChild>
                    <w:div w:id="13815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4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monkeypox-virus-infection-cdna-national-guidelines-for-public-health-units?language=en" TargetMode="External"/><Relationship Id="rId18" Type="http://schemas.openxmlformats.org/officeDocument/2006/relationships/hyperlink" Target="https://www.health.gov.au/resources/publications/monkeypox-virus-infection-cdna-national-guidelines-for-public-health-units?language=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pesticide-registration/disinfectants-emerging-viral-pathogens-evps-list-q" TargetMode="External"/><Relationship Id="rId7" Type="http://schemas.openxmlformats.org/officeDocument/2006/relationships/settings" Target="settings.xml"/><Relationship Id="rId12" Type="http://schemas.openxmlformats.org/officeDocument/2006/relationships/hyperlink" Target="https://www.health.gov.au/resources/publications/monkeypox-virus-infection-cdna-national-guidelines-for-public-health-units?language=en" TargetMode="External"/><Relationship Id="rId17" Type="http://schemas.openxmlformats.org/officeDocument/2006/relationships/hyperlink" Target="https://www.health.gov.au/resources/publications/monkeypox-virus-infection-cdna-national-guidelines-for-public-health-units?language=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resources/publications/monkeypox-laboratory-case-definition" TargetMode="External"/><Relationship Id="rId20" Type="http://schemas.openxmlformats.org/officeDocument/2006/relationships/hyperlink" Target="https://www.epa.gov/pesticide-registration/disinfectants-emerging-viral-pathogens-evps-list-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afetyandquality.gov.au/publications-and-resources/resource-library/requirements-packaging-and-transport-pathology-specimens-and-associated-materials-fourth-edition-2013" TargetMode="External"/><Relationship Id="rId5" Type="http://schemas.openxmlformats.org/officeDocument/2006/relationships/numbering" Target="numbering.xml"/><Relationship Id="rId15" Type="http://schemas.openxmlformats.org/officeDocument/2006/relationships/hyperlink" Target="https://www.health.gov.au/resources/publications/monkeypox-laboratory-case-definition" TargetMode="External"/><Relationship Id="rId23" Type="http://schemas.openxmlformats.org/officeDocument/2006/relationships/hyperlink" Target="https://unece.org/sites/default/files/2023-08/ST-SG-AC10-1r23e_Vol1_WEB.pdf" TargetMode="External"/><Relationship Id="rId10" Type="http://schemas.openxmlformats.org/officeDocument/2006/relationships/endnotes" Target="endnotes.xml"/><Relationship Id="rId19" Type="http://schemas.openxmlformats.org/officeDocument/2006/relationships/hyperlink" Target="https://www.tga.gov.au/disinfectants-sterilants-and-sanitary-produ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afetyandquality.gov.au/sites/default/files/2023-02/requirements_for_the_packaging_and_transport_of_pathology_specimens_and_associated_materials_fifth_edition_202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chive.cdc.gov/www_cdc_gov/poxvirus/mpox/about/science-behind-transmission.html" TargetMode="External"/><Relationship Id="rId2" Type="http://schemas.openxmlformats.org/officeDocument/2006/relationships/hyperlink" Target="https://www.ecdc.europa.eu/en/all-topics-z/monkeypox/factsheet-health-professionals" TargetMode="External"/><Relationship Id="rId1" Type="http://schemas.openxmlformats.org/officeDocument/2006/relationships/hyperlink" Target="https://www.gov.uk/guidance/monkeypox-diagnostic-testing" TargetMode="External"/><Relationship Id="rId4" Type="http://schemas.openxmlformats.org/officeDocument/2006/relationships/hyperlink" Target="https://www.who.int/news-room/questions-and-answers/item/mp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2A936665-8300-4D94-ADB9-CA24C03D0DE0}">
  <ds:schemaRefs>
    <ds:schemaRef ds:uri="http://schemas.openxmlformats.org/officeDocument/2006/bibliography"/>
  </ds:schemaRefs>
</ds:datastoreItem>
</file>

<file path=customXml/itemProps2.xml><?xml version="1.0" encoding="utf-8"?>
<ds:datastoreItem xmlns:ds="http://schemas.openxmlformats.org/officeDocument/2006/customXml" ds:itemID="{7DD33577-3975-4A25-9C90-94EBC889A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0E23A-E439-4643-A56F-134BB40507B3}">
  <ds:schemaRefs>
    <ds:schemaRef ds:uri="http://schemas.microsoft.com/sharepoint/v3/contenttype/forms"/>
  </ds:schemaRefs>
</ds:datastoreItem>
</file>

<file path=customXml/itemProps4.xml><?xml version="1.0" encoding="utf-8"?>
<ds:datastoreItem xmlns:ds="http://schemas.openxmlformats.org/officeDocument/2006/customXml" ds:itemID="{AC5B0253-DB05-462A-BA34-B81DE978A2A0}">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1648</Words>
  <Characters>9762</Characters>
  <Application>Microsoft Office Word</Application>
  <DocSecurity>0</DocSecurity>
  <Lines>177</Lines>
  <Paragraphs>83</Paragraphs>
  <ScaleCrop>false</ScaleCrop>
  <HeadingPairs>
    <vt:vector size="2" baseType="variant">
      <vt:variant>
        <vt:lpstr>Title</vt:lpstr>
      </vt:variant>
      <vt:variant>
        <vt:i4>1</vt:i4>
      </vt:variant>
    </vt:vector>
  </HeadingPairs>
  <TitlesOfParts>
    <vt:vector size="1" baseType="lpstr">
      <vt:lpstr>PHNL guidance on monkeypox patient referral, specimen collection and test requesting for general practitioners and sexual health physicians</vt:lpstr>
    </vt:vector>
  </TitlesOfParts>
  <Manager/>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PHNL guidance on monkeypox patient referral, specimen collection and test requesting for general practitioners and sexual health physicians</dc:title>
  <dc:subject>Communicable diseases</dc:subject>
  <cp:keywords>Communicable diseases; Monkeypox (MPX)</cp:keywords>
  <cp:revision>7</cp:revision>
  <cp:lastPrinted>2025-06-26T08:02:00Z</cp:lastPrinted>
  <dcterms:created xsi:type="dcterms:W3CDTF">2025-06-26T05:08:00Z</dcterms:created>
  <dcterms:modified xsi:type="dcterms:W3CDTF">2025-06-26T08:03:00Z</dcterms:modified>
</cp:coreProperties>
</file>