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AEAC" w14:textId="77777777" w:rsidR="00E24911" w:rsidRPr="00E24911" w:rsidRDefault="00E24911" w:rsidP="00E24911">
      <w:pPr>
        <w:spacing w:after="330" w:line="240" w:lineRule="auto"/>
        <w:outlineLvl w:val="0"/>
        <w:rPr>
          <w:rFonts w:asciiTheme="minorHAnsi" w:eastAsia="Times New Roman" w:hAnsiTheme="minorHAnsi" w:cstheme="minorHAnsi"/>
          <w:color w:val="000000"/>
          <w:kern w:val="36"/>
          <w:sz w:val="39"/>
          <w:szCs w:val="39"/>
          <w:lang w:eastAsia="en-AU"/>
        </w:rPr>
      </w:pPr>
      <w:r w:rsidRPr="00E24911">
        <w:rPr>
          <w:rFonts w:asciiTheme="minorHAnsi" w:eastAsia="Times New Roman" w:hAnsiTheme="minorHAnsi" w:cstheme="minorHAnsi"/>
          <w:color w:val="000000"/>
          <w:kern w:val="36"/>
          <w:sz w:val="39"/>
          <w:szCs w:val="39"/>
          <w:lang w:eastAsia="en-AU"/>
        </w:rPr>
        <w:t>National High Security Quarantine Laboratory Guideline for Management of Quarantinable Viral Haemorrhagic Fevers</w:t>
      </w:r>
    </w:p>
    <w:p w14:paraId="4B2FD62C" w14:textId="77777777" w:rsidR="00E24911" w:rsidRPr="006D5FF2" w:rsidRDefault="00E24911" w:rsidP="006D5FF2">
      <w:pPr>
        <w:rPr>
          <w:rFonts w:asciiTheme="minorHAnsi" w:hAnsiTheme="minorHAnsi" w:cstheme="minorHAnsi"/>
          <w:sz w:val="22"/>
          <w:szCs w:val="22"/>
          <w:lang w:eastAsia="en-AU"/>
        </w:rPr>
      </w:pPr>
      <w:r w:rsidRPr="006D5FF2">
        <w:rPr>
          <w:rFonts w:asciiTheme="minorHAnsi" w:hAnsiTheme="minorHAnsi" w:cstheme="minorHAnsi"/>
          <w:sz w:val="22"/>
          <w:szCs w:val="22"/>
          <w:lang w:eastAsia="en-AU"/>
        </w:rPr>
        <w:t>The National High Security Quarantine Laboratory (NHSQL) is operated by the Victorian Infectious Diseases Reference Laboratory (VIDRL) and is located at The Doherty Institute, 792 Elizabeth Street Melbourne Vic 3000.</w:t>
      </w:r>
    </w:p>
    <w:p w14:paraId="05384016" w14:textId="77777777" w:rsidR="00E24911" w:rsidRPr="00E24911" w:rsidRDefault="00E24911" w:rsidP="00E24911">
      <w:pPr>
        <w:spacing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The NHSQL undertakes diagnostic testing for the four quarantinable viral haemorrhagic fevers (VHF) in a physical containment level 4 (PC4) facility. VIDRL can also undertake other testing for any of the human quarantinable diseases if requested. Information on the laboratory testing of samples from persons with a suspected VHF is provided below.</w:t>
      </w:r>
    </w:p>
    <w:p w14:paraId="59FF4742" w14:textId="1A81AB51" w:rsidR="00E24911" w:rsidRPr="00E24911" w:rsidRDefault="00E24911" w:rsidP="00E24911">
      <w:pPr>
        <w:spacing w:before="240"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Telephone contact with the VIDRL on-call </w:t>
      </w:r>
      <w:r w:rsidR="006932E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</w:t>
      </w: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edical </w:t>
      </w:r>
      <w:r w:rsidR="006932E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Microbiologist</w:t>
      </w:r>
      <w:r w:rsidR="006932E2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is essential before any specimen referral.</w:t>
      </w:r>
    </w:p>
    <w:p w14:paraId="315DA2D1" w14:textId="4215FB74" w:rsidR="00E24911" w:rsidRPr="00E24911" w:rsidRDefault="00E24911" w:rsidP="00E24911">
      <w:pPr>
        <w:spacing w:before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The VIDRL on-call </w:t>
      </w:r>
      <w:r w:rsidR="006932E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</w:t>
      </w:r>
      <w:r w:rsidR="006932E2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edical </w:t>
      </w:r>
      <w:r w:rsidR="006932E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Microbiologist</w:t>
      </w:r>
      <w:r w:rsidR="006932E2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can be contacted on mobile 0438 599 437. In case of difficulty back-up is provided by the VIDRL on-call laboratory manager (0438 599 439), and the Royal Melbourne Hospital Switchboard (03 9342 7000).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4911" w:rsidRPr="006D5FF2" w14:paraId="6897E60A" w14:textId="77777777" w:rsidTr="00E24911">
        <w:tc>
          <w:tcPr>
            <w:tcW w:w="4508" w:type="dxa"/>
          </w:tcPr>
          <w:p w14:paraId="703BFEB8" w14:textId="77777777" w:rsidR="00E24911" w:rsidRPr="006D5FF2" w:rsidRDefault="00E24911" w:rsidP="00E249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FF2">
              <w:rPr>
                <w:rFonts w:asciiTheme="minorHAnsi" w:hAnsiTheme="minorHAnsi" w:cstheme="minorHAnsi"/>
                <w:b/>
                <w:sz w:val="22"/>
                <w:szCs w:val="22"/>
              </w:rPr>
              <w:t>Tests available</w:t>
            </w:r>
          </w:p>
        </w:tc>
        <w:tc>
          <w:tcPr>
            <w:tcW w:w="4508" w:type="dxa"/>
          </w:tcPr>
          <w:p w14:paraId="48A7CE08" w14:textId="77777777" w:rsidR="00E24911" w:rsidRPr="006D5FF2" w:rsidRDefault="00E24911" w:rsidP="00E249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FF2">
              <w:rPr>
                <w:rFonts w:asciiTheme="minorHAnsi" w:hAnsiTheme="minorHAnsi" w:cstheme="minorHAnsi"/>
                <w:b/>
                <w:sz w:val="22"/>
                <w:szCs w:val="22"/>
              </w:rPr>
              <w:t>Specimen type</w:t>
            </w:r>
          </w:p>
        </w:tc>
      </w:tr>
      <w:tr w:rsidR="00E24911" w:rsidRPr="006D5FF2" w14:paraId="4AE2A3C9" w14:textId="77777777" w:rsidTr="00E24911">
        <w:tc>
          <w:tcPr>
            <w:tcW w:w="4508" w:type="dxa"/>
          </w:tcPr>
          <w:p w14:paraId="2661055F" w14:textId="77777777" w:rsidR="00E24911" w:rsidRPr="006D5FF2" w:rsidRDefault="00E24911" w:rsidP="00E24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FF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Detection of haemorrhagic fever viruses (Ebola, Marburg, Lassa, Crimean-Congo, Rift Valley Fever) by nucleic acid.</w:t>
            </w:r>
          </w:p>
        </w:tc>
        <w:tc>
          <w:tcPr>
            <w:tcW w:w="4508" w:type="dxa"/>
          </w:tcPr>
          <w:p w14:paraId="7317CB06" w14:textId="46CAE98B" w:rsidR="00E24911" w:rsidRPr="00E24911" w:rsidRDefault="00E24911" w:rsidP="006D5FF2">
            <w:pPr>
              <w:numPr>
                <w:ilvl w:val="0"/>
                <w:numId w:val="4"/>
              </w:numPr>
              <w:spacing w:after="90" w:line="300" w:lineRule="atLeast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</w:pPr>
            <w:r w:rsidRPr="00E24911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Acute serum or </w:t>
            </w:r>
            <w:r w:rsidR="00011A8E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EDTA </w:t>
            </w:r>
            <w:r w:rsidRPr="00E24911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plasma </w:t>
            </w:r>
          </w:p>
          <w:p w14:paraId="72D4AA40" w14:textId="77777777" w:rsidR="00E24911" w:rsidRPr="00E24911" w:rsidRDefault="00E24911" w:rsidP="006D5FF2">
            <w:pPr>
              <w:numPr>
                <w:ilvl w:val="0"/>
                <w:numId w:val="4"/>
              </w:numPr>
              <w:spacing w:after="90" w:line="300" w:lineRule="atLeast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</w:pPr>
            <w:r w:rsidRPr="00E24911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Throat </w:t>
            </w:r>
            <w:r w:rsidR="006D5FF2" w:rsidRPr="006D5FF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>s</w:t>
            </w:r>
            <w:r w:rsidRPr="00E24911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wab </w:t>
            </w:r>
          </w:p>
          <w:p w14:paraId="639449DE" w14:textId="77777777" w:rsidR="00E24911" w:rsidRPr="006D5FF2" w:rsidRDefault="00E24911" w:rsidP="006D5FF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FF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>+/- Urine</w:t>
            </w:r>
          </w:p>
        </w:tc>
      </w:tr>
      <w:tr w:rsidR="00E24911" w:rsidRPr="006D5FF2" w14:paraId="73C95018" w14:textId="77777777" w:rsidTr="00E24911">
        <w:tc>
          <w:tcPr>
            <w:tcW w:w="4508" w:type="dxa"/>
          </w:tcPr>
          <w:p w14:paraId="73B24390" w14:textId="77777777" w:rsidR="00E24911" w:rsidRPr="006D5FF2" w:rsidRDefault="00E24911" w:rsidP="00E24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FF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Haemorrhagic fever virus serology (Ebola, Marburg, Las</w:t>
            </w:r>
            <w:r w:rsidR="001345A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</w:t>
            </w:r>
            <w:r w:rsidRPr="006D5FF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a, Crimean-Congo, Rift Valle</w:t>
            </w:r>
            <w:r w:rsidR="001345A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y</w:t>
            </w:r>
            <w:r w:rsidRPr="006D5FF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Fever viruses).*</w:t>
            </w:r>
          </w:p>
        </w:tc>
        <w:tc>
          <w:tcPr>
            <w:tcW w:w="4508" w:type="dxa"/>
          </w:tcPr>
          <w:p w14:paraId="18D6DA95" w14:textId="77777777" w:rsidR="006D5FF2" w:rsidRPr="006D5FF2" w:rsidRDefault="006D5FF2" w:rsidP="006D5FF2">
            <w:pPr>
              <w:numPr>
                <w:ilvl w:val="0"/>
                <w:numId w:val="3"/>
              </w:numPr>
              <w:spacing w:after="90" w:line="300" w:lineRule="atLeast"/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</w:pPr>
            <w:r w:rsidRPr="006D5FF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 xml:space="preserve">Acute serum </w:t>
            </w:r>
          </w:p>
          <w:p w14:paraId="058C55EE" w14:textId="77777777" w:rsidR="00E24911" w:rsidRPr="006D5FF2" w:rsidRDefault="006D5FF2" w:rsidP="006D5FF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FF2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AU"/>
              </w:rPr>
              <w:t>Convalescent serum</w:t>
            </w:r>
          </w:p>
        </w:tc>
      </w:tr>
    </w:tbl>
    <w:p w14:paraId="0D12913F" w14:textId="77777777" w:rsidR="006D5FF2" w:rsidRPr="006D5FF2" w:rsidRDefault="002A2F3B" w:rsidP="006D5FF2">
      <w:pPr>
        <w:spacing w:before="240" w:after="240" w:line="300" w:lineRule="atLeast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*</w:t>
      </w:r>
      <w:r w:rsidR="006D5FF2" w:rsidRPr="006D5FF2">
        <w:rPr>
          <w:rFonts w:asciiTheme="minorHAnsi" w:hAnsiTheme="minorHAnsi" w:cstheme="minorHAnsi"/>
          <w:color w:val="222222"/>
          <w:sz w:val="20"/>
          <w:szCs w:val="20"/>
        </w:rPr>
        <w:t>Serology is only an adjunct to direct detection of VHF viruses.</w:t>
      </w:r>
    </w:p>
    <w:p w14:paraId="1C5AE05A" w14:textId="77777777" w:rsidR="006D5FF2" w:rsidRPr="006D5FF2" w:rsidRDefault="006D5FF2" w:rsidP="006D5FF2">
      <w:pPr>
        <w:pStyle w:val="Heading2"/>
        <w:rPr>
          <w:rFonts w:asciiTheme="minorHAnsi" w:hAnsiTheme="minorHAnsi" w:cstheme="minorHAnsi"/>
          <w:color w:val="000000"/>
          <w:sz w:val="33"/>
          <w:szCs w:val="33"/>
        </w:rPr>
      </w:pPr>
      <w:r w:rsidRPr="006D5FF2">
        <w:rPr>
          <w:rFonts w:asciiTheme="minorHAnsi" w:hAnsiTheme="minorHAnsi" w:cstheme="minorHAnsi"/>
        </w:rPr>
        <w:t>Specimen collection and transport</w:t>
      </w:r>
    </w:p>
    <w:p w14:paraId="655D9497" w14:textId="7D653A41" w:rsidR="006D5FF2" w:rsidRPr="002A2F3B" w:rsidRDefault="006D5FF2" w:rsidP="006D5FF2">
      <w:pPr>
        <w:spacing w:before="240" w:after="24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When a patient with suspected quarantinable viral haemorrhagic fever is identified, </w:t>
      </w:r>
      <w:r w:rsidR="00766386" w:rsidRPr="00766386">
        <w:rPr>
          <w:rFonts w:asciiTheme="minorHAnsi" w:hAnsiTheme="minorHAnsi" w:cstheme="minorHAnsi"/>
          <w:color w:val="222222"/>
          <w:sz w:val="22"/>
          <w:szCs w:val="22"/>
        </w:rPr>
        <w:t xml:space="preserve">the VIDRL on-call Medical Microbiologist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should be notified through the relevant State or Territory Chief Quarantine Officer. </w:t>
      </w:r>
      <w:r w:rsidR="00766386">
        <w:rPr>
          <w:rFonts w:asciiTheme="minorHAnsi" w:hAnsiTheme="minorHAnsi" w:cstheme="minorHAnsi"/>
          <w:color w:val="222222"/>
          <w:sz w:val="22"/>
          <w:szCs w:val="22"/>
        </w:rPr>
        <w:t>D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irect contact with the </w:t>
      </w:r>
      <w:r w:rsidR="00766386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VIDRL on-call </w:t>
      </w:r>
      <w:r w:rsidR="00766386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</w:t>
      </w:r>
      <w:r w:rsidR="00766386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edical </w:t>
      </w:r>
      <w:r w:rsidR="00766386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Microbiologist</w:t>
      </w:r>
      <w:r w:rsidR="00766386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is essential to arrange receipt of specimens and for advice regarding specimen collection, safe </w:t>
      </w:r>
      <w:proofErr w:type="gramStart"/>
      <w:r w:rsidRPr="002A2F3B">
        <w:rPr>
          <w:rFonts w:asciiTheme="minorHAnsi" w:hAnsiTheme="minorHAnsi" w:cstheme="minorHAnsi"/>
          <w:color w:val="222222"/>
          <w:sz w:val="22"/>
          <w:szCs w:val="22"/>
        </w:rPr>
        <w:t>packaging</w:t>
      </w:r>
      <w:proofErr w:type="gramEnd"/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and transport.</w:t>
      </w:r>
    </w:p>
    <w:p w14:paraId="521A5206" w14:textId="77777777" w:rsidR="006D5FF2" w:rsidRPr="002A2F3B" w:rsidRDefault="006D5FF2" w:rsidP="006D5FF2">
      <w:pPr>
        <w:spacing w:before="240" w:after="24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The essential specimens to be submitted for virus detection are a sample of venous blood, and a throat swab. If post mortem specimens are available, serum, liver, spleen and kidney tissues are desirable.</w:t>
      </w:r>
    </w:p>
    <w:p w14:paraId="56C9A2F8" w14:textId="77777777" w:rsidR="006D5FF2" w:rsidRPr="006D5FF2" w:rsidRDefault="006D5FF2" w:rsidP="006D5FF2">
      <w:pPr>
        <w:pStyle w:val="Heading3"/>
        <w:rPr>
          <w:rFonts w:asciiTheme="minorHAnsi" w:hAnsiTheme="minorHAnsi" w:cstheme="minorHAnsi"/>
          <w:color w:val="000000"/>
          <w:sz w:val="30"/>
          <w:szCs w:val="30"/>
        </w:rPr>
      </w:pPr>
      <w:r w:rsidRPr="006D5FF2">
        <w:rPr>
          <w:rFonts w:asciiTheme="minorHAnsi" w:hAnsiTheme="minorHAnsi" w:cstheme="minorHAnsi"/>
        </w:rPr>
        <w:t>The following procedures should be followed:</w:t>
      </w:r>
    </w:p>
    <w:p w14:paraId="0C4116FC" w14:textId="129C7936" w:rsidR="001B6AA5" w:rsidRDefault="001B6AA5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Appropriate personal protection equipment (PPE) should be worn during specimen collection and staff collecting specimens from persons under investigation for Ebola virus disease should </w:t>
      </w: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refer to the </w:t>
      </w:r>
      <w:r w:rsidR="00AC5F53">
        <w:rPr>
          <w:rFonts w:asciiTheme="minorHAnsi" w:hAnsiTheme="minorHAnsi" w:cstheme="minorHAnsi"/>
          <w:color w:val="222222"/>
          <w:sz w:val="22"/>
          <w:szCs w:val="22"/>
        </w:rPr>
        <w:t>Infection prevention and control principles and recommendations for Ebola virus disease level 2 PPE guidelines</w:t>
      </w:r>
      <w:r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107DE86D" w14:textId="3DCC3A46" w:rsidR="006D5FF2" w:rsidRPr="002A2F3B" w:rsidRDefault="006D5FF2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Venous blood samples must be collected with extreme care to avoid self-inoculation. Ten millilitres of clotted blood should be </w:t>
      </w:r>
      <w:r w:rsidR="00517CAD">
        <w:rPr>
          <w:rFonts w:asciiTheme="minorHAnsi" w:hAnsiTheme="minorHAnsi" w:cstheme="minorHAnsi"/>
          <w:color w:val="222222"/>
          <w:sz w:val="22"/>
          <w:szCs w:val="22"/>
        </w:rPr>
        <w:t>collected in an EDTA tube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. Needles should not be recapped, bent, broken, removed from disposable syringes or otherwise handled. Blood-taking equipment </w:t>
      </w:r>
      <w:r w:rsidR="00D02B0B">
        <w:rPr>
          <w:rFonts w:asciiTheme="minorHAnsi" w:hAnsiTheme="minorHAnsi" w:cstheme="minorHAnsi"/>
          <w:color w:val="222222"/>
          <w:sz w:val="22"/>
          <w:szCs w:val="22"/>
        </w:rPr>
        <w:t>must</w:t>
      </w:r>
      <w:r w:rsidR="00D02B0B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be placed into a puncture-proof approved sharps container. When full the container </w:t>
      </w:r>
      <w:r w:rsidR="00D02B0B">
        <w:rPr>
          <w:rFonts w:asciiTheme="minorHAnsi" w:hAnsiTheme="minorHAnsi" w:cstheme="minorHAnsi"/>
          <w:color w:val="222222"/>
          <w:sz w:val="22"/>
          <w:szCs w:val="22"/>
        </w:rPr>
        <w:t>must</w:t>
      </w:r>
      <w:r w:rsidR="00D02B0B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be placed in a plastic bag, sealed and the outside wiped over with 0.5% hypochlorite, marked with the nature of the contents, and then autoclaved or incinerated.</w:t>
      </w:r>
    </w:p>
    <w:p w14:paraId="44542938" w14:textId="0D524167" w:rsidR="006D5FF2" w:rsidRPr="002A2F3B" w:rsidRDefault="006D5FF2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Throat swabs should be </w:t>
      </w:r>
      <w:r w:rsidR="00612DE3">
        <w:rPr>
          <w:rFonts w:asciiTheme="minorHAnsi" w:hAnsiTheme="minorHAnsi" w:cstheme="minorHAnsi"/>
          <w:color w:val="222222"/>
          <w:sz w:val="22"/>
          <w:szCs w:val="22"/>
        </w:rPr>
        <w:t>collected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and placed in a collection tube with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1 ml viral transport medium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 xml:space="preserve"> (VTM)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or equivalent transport medium. A dry swab </w:t>
      </w:r>
      <w:r w:rsidR="00D02B0B">
        <w:rPr>
          <w:rFonts w:asciiTheme="minorHAnsi" w:hAnsiTheme="minorHAnsi" w:cstheme="minorHAnsi"/>
          <w:color w:val="222222"/>
          <w:sz w:val="22"/>
          <w:szCs w:val="22"/>
        </w:rPr>
        <w:t>may be used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if no VTM is available.</w:t>
      </w:r>
    </w:p>
    <w:p w14:paraId="6BBE25A7" w14:textId="4D7C6852" w:rsidR="006D5FF2" w:rsidRPr="002A2F3B" w:rsidRDefault="006D5FF2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The outside of each specimen container should be swabbed with disinfectant (5000 ppm available chlorine) and a label </w:t>
      </w:r>
      <w:r w:rsidR="00466E2E">
        <w:rPr>
          <w:rFonts w:asciiTheme="minorHAnsi" w:hAnsiTheme="minorHAnsi" w:cstheme="minorHAnsi"/>
          <w:color w:val="222222"/>
          <w:sz w:val="22"/>
          <w:szCs w:val="22"/>
        </w:rPr>
        <w:t>must</w:t>
      </w:r>
      <w:r w:rsidR="00466E2E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be attached bearing the patient’s name, hospital identification, </w:t>
      </w:r>
      <w:r w:rsidR="00517CAD">
        <w:rPr>
          <w:rFonts w:asciiTheme="minorHAnsi" w:hAnsiTheme="minorHAnsi" w:cstheme="minorHAnsi"/>
          <w:color w:val="222222"/>
          <w:sz w:val="22"/>
          <w:szCs w:val="22"/>
        </w:rPr>
        <w:t xml:space="preserve">and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the date of </w:t>
      </w:r>
      <w:r w:rsidR="00642BD6" w:rsidRPr="002A2F3B">
        <w:rPr>
          <w:rFonts w:asciiTheme="minorHAnsi" w:hAnsiTheme="minorHAnsi" w:cstheme="minorHAnsi"/>
          <w:color w:val="222222"/>
          <w:sz w:val="22"/>
          <w:szCs w:val="22"/>
        </w:rPr>
        <w:t>collection</w:t>
      </w:r>
      <w:r w:rsidR="00642BD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 The specimens </w:t>
      </w:r>
      <w:r w:rsidR="00466E2E">
        <w:rPr>
          <w:rFonts w:asciiTheme="minorHAnsi" w:hAnsiTheme="minorHAnsi" w:cstheme="minorHAnsi"/>
          <w:color w:val="222222"/>
          <w:sz w:val="22"/>
          <w:szCs w:val="22"/>
        </w:rPr>
        <w:t>must</w:t>
      </w:r>
      <w:r w:rsidR="00466E2E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be double bagged in secure, </w:t>
      </w:r>
      <w:proofErr w:type="gramStart"/>
      <w:r w:rsidRPr="002A2F3B">
        <w:rPr>
          <w:rFonts w:asciiTheme="minorHAnsi" w:hAnsiTheme="minorHAnsi" w:cstheme="minorHAnsi"/>
          <w:color w:val="222222"/>
          <w:sz w:val="22"/>
          <w:szCs w:val="22"/>
        </w:rPr>
        <w:t>airtight</w:t>
      </w:r>
      <w:proofErr w:type="gramEnd"/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and watertight bags, which have been similarly labelled. Bags containing specimens should be sponged with disinfectant before they are removed from the patient’s room.</w:t>
      </w:r>
    </w:p>
    <w:p w14:paraId="78B76F7A" w14:textId="2F78C819" w:rsidR="006D5FF2" w:rsidRDefault="006D5FF2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Samples should be classified as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 Category A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>biological hazard, assigned to UN2814 with the shipping name “I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nfectious substances affecting humans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>”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(Haemorrhagic fever viruses)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. They should be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handled as required by International Air Transport Instruction (IATA)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 Hazard Class 6.2 and packaging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instruction 602.</w:t>
      </w:r>
    </w:p>
    <w:p w14:paraId="47A143EB" w14:textId="77777777" w:rsidR="00642BD6" w:rsidRPr="002A2F3B" w:rsidRDefault="00642BD6" w:rsidP="002A2F3B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</w:p>
    <w:p w14:paraId="303C863F" w14:textId="77777777" w:rsidR="006D5FF2" w:rsidRPr="006D5FF2" w:rsidRDefault="006D5FF2" w:rsidP="006D5FF2">
      <w:pPr>
        <w:pStyle w:val="Heading3"/>
        <w:rPr>
          <w:rFonts w:asciiTheme="minorHAnsi" w:hAnsiTheme="minorHAnsi" w:cstheme="minorHAnsi"/>
          <w:color w:val="000000"/>
          <w:sz w:val="30"/>
          <w:szCs w:val="30"/>
        </w:rPr>
      </w:pPr>
      <w:r w:rsidRPr="006D5FF2">
        <w:rPr>
          <w:rFonts w:asciiTheme="minorHAnsi" w:hAnsiTheme="minorHAnsi" w:cstheme="minorHAnsi"/>
        </w:rPr>
        <w:t>In general, the specimens should be packaged as follows:</w:t>
      </w:r>
    </w:p>
    <w:p w14:paraId="1CF6DA28" w14:textId="184EB90D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Place the specimens for transport in a tightly sealed, watertight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 xml:space="preserve"> collection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container, such as a screw-cap plastic tube, </w:t>
      </w:r>
      <w:r w:rsidRPr="001F57B6">
        <w:rPr>
          <w:rFonts w:asciiTheme="minorHAnsi" w:hAnsiTheme="minorHAnsi" w:cstheme="minorHAnsi"/>
          <w:color w:val="222222"/>
          <w:sz w:val="22"/>
          <w:szCs w:val="22"/>
        </w:rPr>
        <w:t xml:space="preserve">and seal the cap with </w:t>
      </w:r>
      <w:r w:rsidR="00517CAD">
        <w:rPr>
          <w:rFonts w:asciiTheme="minorHAnsi" w:hAnsiTheme="minorHAnsi" w:cstheme="minorHAnsi"/>
          <w:color w:val="222222"/>
          <w:sz w:val="22"/>
          <w:szCs w:val="22"/>
        </w:rPr>
        <w:t>Parafilm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451BFE02" w14:textId="65D64055" w:rsidR="006D5FF2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Wrap the primary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collection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container in sufficient absorbent material (</w:t>
      </w:r>
      <w:proofErr w:type="spellStart"/>
      <w:r w:rsidRPr="002A2F3B">
        <w:rPr>
          <w:rFonts w:asciiTheme="minorHAnsi" w:hAnsiTheme="minorHAnsi" w:cstheme="minorHAnsi"/>
          <w:color w:val="222222"/>
          <w:sz w:val="22"/>
          <w:szCs w:val="22"/>
        </w:rPr>
        <w:t>eg.</w:t>
      </w:r>
      <w:proofErr w:type="spellEnd"/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tissue) to absorb the entire contents in case the container leaks or breaks.</w:t>
      </w:r>
      <w:r w:rsidR="00A24D3C">
        <w:rPr>
          <w:rFonts w:asciiTheme="minorHAnsi" w:hAnsiTheme="minorHAnsi" w:cstheme="minorHAnsi"/>
          <w:color w:val="222222"/>
          <w:sz w:val="22"/>
          <w:szCs w:val="22"/>
        </w:rPr>
        <w:t xml:space="preserve"> Double bagging should be applied at this stage.</w:t>
      </w:r>
    </w:p>
    <w:p w14:paraId="5DEC6585" w14:textId="75B4D3BE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Place the </w:t>
      </w:r>
      <w:r w:rsidR="00634F92">
        <w:rPr>
          <w:rFonts w:asciiTheme="minorHAnsi" w:hAnsiTheme="minorHAnsi" w:cstheme="minorHAnsi"/>
          <w:color w:val="222222"/>
          <w:sz w:val="22"/>
          <w:szCs w:val="22"/>
        </w:rPr>
        <w:t>double-bagged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primary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collection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container in a durable, watertight screw-cap mailing tube or metal can. This secondary container should be sealed with tape. Several primary containers 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>(</w:t>
      </w:r>
      <w:proofErr w:type="spellStart"/>
      <w:r w:rsidR="001F57B6">
        <w:rPr>
          <w:rFonts w:asciiTheme="minorHAnsi" w:hAnsiTheme="minorHAnsi" w:cstheme="minorHAnsi"/>
          <w:color w:val="222222"/>
          <w:sz w:val="22"/>
          <w:szCs w:val="22"/>
        </w:rPr>
        <w:t>eg.</w:t>
      </w:r>
      <w:proofErr w:type="spellEnd"/>
      <w:r w:rsidR="001F57B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42BD6">
        <w:rPr>
          <w:rFonts w:asciiTheme="minorHAnsi" w:hAnsiTheme="minorHAnsi" w:cstheme="minorHAnsi"/>
          <w:color w:val="222222"/>
          <w:sz w:val="22"/>
          <w:szCs w:val="22"/>
        </w:rPr>
        <w:t>b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 xml:space="preserve">lood sample and swab sample)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may be placed in one secondary container to a maximum of 50ml of specimen material.</w:t>
      </w:r>
    </w:p>
    <w:p w14:paraId="50FF9481" w14:textId="77777777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On the outside of the secondary container, attach the specimen labels and other relevant information.</w:t>
      </w:r>
    </w:p>
    <w:p w14:paraId="77F0F5FF" w14:textId="77777777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Place the second container in a secure box or mailing tube addressed to: </w:t>
      </w:r>
    </w:p>
    <w:p w14:paraId="721A2F5F" w14:textId="77777777" w:rsidR="006D5FF2" w:rsidRPr="002A2F3B" w:rsidRDefault="006D5FF2" w:rsidP="00642BD6">
      <w:pPr>
        <w:pStyle w:val="ListParagraph"/>
        <w:spacing w:after="90" w:line="300" w:lineRule="atLeast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National High Security Quarantine Laboratory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Victorian Infectious Diseases Reference Laboratory (VIDRL)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The Doherty Institute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792 Elizabeth Street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Melbourne Vic 3000</w:t>
      </w:r>
    </w:p>
    <w:p w14:paraId="7198338A" w14:textId="77777777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Transport for specimen for virus isolation chilled on wet or dry ice as appropriate, depending on the duration of shipping.</w:t>
      </w:r>
    </w:p>
    <w:p w14:paraId="76FE21DA" w14:textId="3AE33EE5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A competent door-to-door courier should be used. Since individual commercial and non-commercial carriers or shipping services may apply different regulations for transporting biologic specimens, contact a representative of the chosen carrier beforehand to ensure all necessary formalities are fulfilled.</w:t>
      </w:r>
    </w:p>
    <w:p w14:paraId="0E65979E" w14:textId="5815BDB2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lastRenderedPageBreak/>
        <w:t>Notify the on-call VIDRL medical microbiologist of the dispatch of the specimen with flight time and number, courier or airway bill number</w:t>
      </w:r>
      <w:r w:rsidR="001D535B">
        <w:rPr>
          <w:rFonts w:asciiTheme="minorHAnsi" w:hAnsiTheme="minorHAnsi" w:cstheme="minorHAnsi"/>
          <w:color w:val="222222"/>
          <w:sz w:val="22"/>
          <w:szCs w:val="22"/>
        </w:rPr>
        <w:t xml:space="preserve"> as required for transport of a </w:t>
      </w:r>
      <w:r w:rsidR="00890D75">
        <w:rPr>
          <w:rFonts w:asciiTheme="minorHAnsi" w:hAnsiTheme="minorHAnsi" w:cstheme="minorHAnsi"/>
          <w:color w:val="222222"/>
          <w:sz w:val="22"/>
          <w:szCs w:val="22"/>
        </w:rPr>
        <w:t xml:space="preserve">Tier 1 </w:t>
      </w:r>
      <w:r w:rsidR="001D535B">
        <w:rPr>
          <w:rFonts w:asciiTheme="minorHAnsi" w:hAnsiTheme="minorHAnsi" w:cstheme="minorHAnsi"/>
          <w:color w:val="222222"/>
          <w:sz w:val="22"/>
          <w:szCs w:val="22"/>
        </w:rPr>
        <w:t>security sensitive biological agent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A763FC5" w14:textId="77777777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If transport is by air, a dangerous goods declaration must be made. Refer to the IATA Dangerous Goods regulations.</w:t>
      </w:r>
    </w:p>
    <w:p w14:paraId="55794B52" w14:textId="308F5A7F" w:rsidR="006D5FF2" w:rsidRPr="00544502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B237CF">
        <w:rPr>
          <w:rFonts w:asciiTheme="minorHAnsi" w:hAnsiTheme="minorHAnsi" w:cstheme="minorHAnsi"/>
          <w:color w:val="222222"/>
          <w:sz w:val="22"/>
          <w:szCs w:val="22"/>
        </w:rPr>
        <w:t>Specimen delivery is to the foyer specimen receiving area at the Doherty Institute, accessed from Elizabeth Street where there are two short-term delivery parking spaces. </w:t>
      </w:r>
      <w:r w:rsidR="00634F92" w:rsidRPr="003C32AB">
        <w:rPr>
          <w:rFonts w:asciiTheme="minorHAnsi" w:hAnsiTheme="minorHAnsi" w:cstheme="minorHAnsi"/>
          <w:sz w:val="22"/>
          <w:szCs w:val="22"/>
        </w:rPr>
        <w:t xml:space="preserve">For </w:t>
      </w:r>
      <w:proofErr w:type="spellStart"/>
      <w:r w:rsidR="00634F92" w:rsidRPr="003C32AB">
        <w:rPr>
          <w:rFonts w:asciiTheme="minorHAnsi" w:hAnsiTheme="minorHAnsi" w:cstheme="minorHAnsi"/>
          <w:sz w:val="22"/>
          <w:szCs w:val="22"/>
        </w:rPr>
        <w:t>out-of</w:t>
      </w:r>
      <w:proofErr w:type="spellEnd"/>
      <w:r w:rsidR="00634F92" w:rsidRPr="003C32AB">
        <w:rPr>
          <w:rFonts w:asciiTheme="minorHAnsi" w:hAnsiTheme="minorHAnsi" w:cstheme="minorHAnsi"/>
          <w:sz w:val="22"/>
          <w:szCs w:val="22"/>
        </w:rPr>
        <w:t xml:space="preserve"> hours testing, the specimen should be handed to the VIDRL on-call scientist or on-call laboratory manager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 (0438599439)</w:t>
      </w:r>
      <w:r w:rsidR="00634F92" w:rsidRPr="003C32AB">
        <w:rPr>
          <w:rFonts w:asciiTheme="minorHAnsi" w:hAnsiTheme="minorHAnsi" w:cstheme="minorHAnsi"/>
          <w:sz w:val="22"/>
          <w:szCs w:val="22"/>
        </w:rPr>
        <w:t xml:space="preserve"> in</w:t>
      </w:r>
      <w:r w:rsidR="00634F92" w:rsidRPr="00B237CF">
        <w:rPr>
          <w:rFonts w:asciiTheme="minorHAnsi" w:hAnsiTheme="minorHAnsi" w:cstheme="minorHAnsi"/>
          <w:color w:val="222222"/>
          <w:sz w:val="22"/>
          <w:szCs w:val="22"/>
        </w:rPr>
        <w:t xml:space="preserve"> foyer specimen receiving area at the Doherty Institute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, </w:t>
      </w:r>
      <w:r w:rsidR="00634F92" w:rsidRPr="003C32AB">
        <w:rPr>
          <w:rFonts w:asciiTheme="minorHAnsi" w:hAnsiTheme="minorHAnsi" w:cstheme="minorHAnsi"/>
          <w:sz w:val="22"/>
          <w:szCs w:val="22"/>
        </w:rPr>
        <w:t>who will have appropriate identification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4B7211" w14:textId="1F4EA489" w:rsidR="00EE1115" w:rsidRPr="00544502" w:rsidRDefault="00544502" w:rsidP="00E5242A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</w:rPr>
      </w:pPr>
      <w:r w:rsidRPr="00544502">
        <w:rPr>
          <w:rFonts w:asciiTheme="minorHAnsi" w:hAnsiTheme="minorHAnsi" w:cstheme="minorHAnsi"/>
          <w:sz w:val="22"/>
          <w:szCs w:val="22"/>
        </w:rPr>
        <w:t xml:space="preserve">Full details of the contact person for reporting of results should be provided on the specimen form, including name and contact number.  </w:t>
      </w:r>
    </w:p>
    <w:sectPr w:rsidR="00EE1115" w:rsidRPr="00544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32C"/>
    <w:multiLevelType w:val="multilevel"/>
    <w:tmpl w:val="19A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B722D"/>
    <w:multiLevelType w:val="hybridMultilevel"/>
    <w:tmpl w:val="EB76C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5A52"/>
    <w:multiLevelType w:val="hybridMultilevel"/>
    <w:tmpl w:val="A47A8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57AA0"/>
    <w:multiLevelType w:val="multilevel"/>
    <w:tmpl w:val="3F6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3249"/>
    <w:multiLevelType w:val="multilevel"/>
    <w:tmpl w:val="BF5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437BE"/>
    <w:multiLevelType w:val="multilevel"/>
    <w:tmpl w:val="598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C0ECD"/>
    <w:multiLevelType w:val="hybridMultilevel"/>
    <w:tmpl w:val="13FC23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E83BF9"/>
    <w:multiLevelType w:val="hybridMultilevel"/>
    <w:tmpl w:val="04E6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1849">
    <w:abstractNumId w:val="5"/>
  </w:num>
  <w:num w:numId="2" w16cid:durableId="1295719272">
    <w:abstractNumId w:val="3"/>
  </w:num>
  <w:num w:numId="3" w16cid:durableId="512960559">
    <w:abstractNumId w:val="7"/>
  </w:num>
  <w:num w:numId="4" w16cid:durableId="461312135">
    <w:abstractNumId w:val="1"/>
  </w:num>
  <w:num w:numId="5" w16cid:durableId="934244688">
    <w:abstractNumId w:val="4"/>
  </w:num>
  <w:num w:numId="6" w16cid:durableId="1473984144">
    <w:abstractNumId w:val="0"/>
  </w:num>
  <w:num w:numId="7" w16cid:durableId="226184819">
    <w:abstractNumId w:val="2"/>
  </w:num>
  <w:num w:numId="8" w16cid:durableId="1419204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15"/>
    <w:rsid w:val="00004B8B"/>
    <w:rsid w:val="00011A8E"/>
    <w:rsid w:val="001345AD"/>
    <w:rsid w:val="001B6AA5"/>
    <w:rsid w:val="001D535B"/>
    <w:rsid w:val="001F57B6"/>
    <w:rsid w:val="00280050"/>
    <w:rsid w:val="002A2F3B"/>
    <w:rsid w:val="003763EF"/>
    <w:rsid w:val="003A5351"/>
    <w:rsid w:val="003C32AB"/>
    <w:rsid w:val="00466E2E"/>
    <w:rsid w:val="004C6170"/>
    <w:rsid w:val="00517CAD"/>
    <w:rsid w:val="00544502"/>
    <w:rsid w:val="00612DE3"/>
    <w:rsid w:val="00634F92"/>
    <w:rsid w:val="00642BD6"/>
    <w:rsid w:val="0068589B"/>
    <w:rsid w:val="006932E2"/>
    <w:rsid w:val="006D554A"/>
    <w:rsid w:val="006D5FF2"/>
    <w:rsid w:val="00766386"/>
    <w:rsid w:val="00890D75"/>
    <w:rsid w:val="0098112A"/>
    <w:rsid w:val="00A24D3C"/>
    <w:rsid w:val="00AC5F53"/>
    <w:rsid w:val="00B237CF"/>
    <w:rsid w:val="00D02B0B"/>
    <w:rsid w:val="00D1617A"/>
    <w:rsid w:val="00E24911"/>
    <w:rsid w:val="00E96829"/>
    <w:rsid w:val="00EC0EB9"/>
    <w:rsid w:val="00EC50F3"/>
    <w:rsid w:val="00EE1115"/>
    <w:rsid w:val="00F14D6C"/>
    <w:rsid w:val="00F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6A4F"/>
  <w15:chartTrackingRefBased/>
  <w15:docId w15:val="{DD9FC89A-2B33-4835-B2B1-6CF6D9E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911"/>
    <w:pPr>
      <w:spacing w:after="330" w:line="240" w:lineRule="auto"/>
      <w:outlineLvl w:val="0"/>
    </w:pPr>
    <w:rPr>
      <w:rFonts w:ascii="Open Sans" w:eastAsia="Times New Roman" w:hAnsi="Open Sans"/>
      <w:color w:val="000000"/>
      <w:kern w:val="36"/>
      <w:sz w:val="39"/>
      <w:szCs w:val="39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E1115"/>
    <w:rPr>
      <w:i/>
      <w:iCs/>
    </w:rPr>
  </w:style>
  <w:style w:type="character" w:customStyle="1" w:styleId="scayt-misspell-word">
    <w:name w:val="scayt-misspell-word"/>
    <w:basedOn w:val="DefaultParagraphFont"/>
    <w:rsid w:val="00EE1115"/>
  </w:style>
  <w:style w:type="character" w:customStyle="1" w:styleId="Heading1Char">
    <w:name w:val="Heading 1 Char"/>
    <w:basedOn w:val="DefaultParagraphFont"/>
    <w:link w:val="Heading1"/>
    <w:uiPriority w:val="9"/>
    <w:rsid w:val="00E24911"/>
    <w:rPr>
      <w:rFonts w:ascii="Open Sans" w:eastAsia="Times New Roman" w:hAnsi="Open Sans"/>
      <w:color w:val="000000"/>
      <w:kern w:val="36"/>
      <w:sz w:val="39"/>
      <w:szCs w:val="39"/>
      <w:lang w:eastAsia="en-AU"/>
    </w:rPr>
  </w:style>
  <w:style w:type="paragraph" w:customStyle="1" w:styleId="strapline1">
    <w:name w:val="strapline1"/>
    <w:basedOn w:val="Normal"/>
    <w:rsid w:val="00E24911"/>
    <w:pPr>
      <w:spacing w:after="120" w:line="240" w:lineRule="auto"/>
    </w:pPr>
    <w:rPr>
      <w:rFonts w:ascii="Open Sans" w:eastAsia="Times New Roman" w:hAnsi="Open Sans"/>
      <w:color w:val="000000"/>
      <w:lang w:eastAsia="en-AU"/>
    </w:rPr>
  </w:style>
  <w:style w:type="table" w:styleId="TableGrid">
    <w:name w:val="Table Grid"/>
    <w:basedOn w:val="TableNormal"/>
    <w:uiPriority w:val="39"/>
    <w:rsid w:val="00E2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F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F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6D5F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2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6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46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88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5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5306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2022-10-27T22:50:00Z</dcterms:created>
  <dcterms:modified xsi:type="dcterms:W3CDTF">2022-11-03T00:17:00Z</dcterms:modified>
</cp:coreProperties>
</file>