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04EFA368" w14:textId="77777777" w:rsidTr="00800DEB">
        <w:tc>
          <w:tcPr>
            <w:tcW w:w="2547" w:type="dxa"/>
          </w:tcPr>
          <w:p w14:paraId="7D142D5D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6B5B7232" wp14:editId="2E38E8BE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0A1D3AAE" w14:textId="2796E62A" w:rsidR="00800DEB" w:rsidRDefault="00E65F07" w:rsidP="00800DEB">
            <w:pPr>
              <w:pStyle w:val="Title"/>
            </w:pPr>
            <w:r w:rsidRPr="00E65F07">
              <w:t>Poliovirus</w:t>
            </w:r>
          </w:p>
          <w:p w14:paraId="1E60DC49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785C79CF" w14:textId="3B1D49FE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E65F07">
        <w:t>p</w:t>
      </w:r>
      <w:r w:rsidR="00E65F07" w:rsidRPr="00E65F07">
        <w:t>oliovirus</w:t>
      </w:r>
      <w:r>
        <w:t>,</w:t>
      </w:r>
      <w:r w:rsidRPr="00872414">
        <w:t xml:space="preserve"> 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3"/>
        <w:gridCol w:w="4865"/>
        <w:gridCol w:w="1340"/>
        <w:gridCol w:w="1842"/>
      </w:tblGrid>
      <w:tr w:rsidR="00800DEB" w:rsidRPr="00872414" w14:paraId="55B0B027" w14:textId="77777777" w:rsidTr="00536A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BA00C6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10BC681A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778" w:type="pct"/>
            <w:hideMark/>
          </w:tcPr>
          <w:p w14:paraId="26F25B74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937" w:type="pct"/>
            <w:hideMark/>
          </w:tcPr>
          <w:p w14:paraId="3AAB38D9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800DEB" w:rsidRPr="00872414" w14:paraId="0ECF792A" w14:textId="77777777" w:rsidTr="00E65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62A168" w14:textId="2AE0FCBA" w:rsidR="00800DEB" w:rsidRPr="00E65F07" w:rsidRDefault="00E65F07" w:rsidP="00650561">
            <w:pPr>
              <w:pStyle w:val="TableText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1.5</w:t>
            </w:r>
          </w:p>
        </w:tc>
        <w:tc>
          <w:tcPr>
            <w:tcW w:w="0" w:type="auto"/>
          </w:tcPr>
          <w:p w14:paraId="40D6F96F" w14:textId="66735B5E" w:rsidR="00800DEB" w:rsidRPr="00E65F07" w:rsidRDefault="00E65F07" w:rsidP="00E65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Change of disease name. Changed from ‘poliomyelitis’ to ‘poliovirus infection’ to more accurately reflect both the notifiable paralytic and non-paralytic infections.</w:t>
            </w:r>
          </w:p>
        </w:tc>
        <w:tc>
          <w:tcPr>
            <w:tcW w:w="778" w:type="pct"/>
          </w:tcPr>
          <w:p w14:paraId="122BEB79" w14:textId="77777777" w:rsidR="00800DEB" w:rsidRPr="00E65F07" w:rsidRDefault="00800DEB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</w:p>
        </w:tc>
        <w:tc>
          <w:tcPr>
            <w:tcW w:w="937" w:type="pct"/>
          </w:tcPr>
          <w:p w14:paraId="39F533C2" w14:textId="2381FE84" w:rsidR="00800DEB" w:rsidRPr="00E65F07" w:rsidRDefault="00E65F07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7 July 2015</w:t>
            </w:r>
          </w:p>
        </w:tc>
      </w:tr>
      <w:tr w:rsidR="00800DEB" w:rsidRPr="00872414" w14:paraId="6D4F95B1" w14:textId="77777777" w:rsidTr="00E65F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67F203" w14:textId="3C700CB7" w:rsidR="00800DEB" w:rsidRPr="00E65F07" w:rsidRDefault="00E65F07" w:rsidP="00650561">
            <w:pPr>
              <w:pStyle w:val="TableText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1.4</w:t>
            </w:r>
          </w:p>
        </w:tc>
        <w:tc>
          <w:tcPr>
            <w:tcW w:w="0" w:type="auto"/>
          </w:tcPr>
          <w:p w14:paraId="27BFB42D" w14:textId="77777777" w:rsidR="00E65F07" w:rsidRPr="00E65F07" w:rsidRDefault="00E65F07" w:rsidP="00E65F07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Corrections to Poliomyelitis paralytic infection. Changed National Poliovirus Reference Laboratory to National Enterovirus Reference Laboratory; and changed Polio Expert Committee to Polio Expert Panel.</w:t>
            </w:r>
          </w:p>
          <w:p w14:paraId="006FF5E6" w14:textId="77777777" w:rsidR="00E65F07" w:rsidRPr="00E65F07" w:rsidRDefault="00E65F07" w:rsidP="00E65F07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</w:p>
          <w:p w14:paraId="56BC27F1" w14:textId="6999469C" w:rsidR="00800DEB" w:rsidRPr="00E65F07" w:rsidRDefault="00E65F07" w:rsidP="00E65F07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In Poliomyelitis paralytic infection case definition, spelt AFP in full; and corrected the title of WHO publication.</w:t>
            </w:r>
          </w:p>
        </w:tc>
        <w:tc>
          <w:tcPr>
            <w:tcW w:w="778" w:type="pct"/>
          </w:tcPr>
          <w:p w14:paraId="414D9D7D" w14:textId="77777777" w:rsidR="00E65F07" w:rsidRPr="00E65F07" w:rsidRDefault="00E65F07" w:rsidP="00E65F07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CDWG</w:t>
            </w:r>
          </w:p>
          <w:p w14:paraId="0B553400" w14:textId="599FA6A4" w:rsidR="00800DEB" w:rsidRPr="00E65F07" w:rsidRDefault="00E65F07" w:rsidP="00E65F07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2 October 2013</w:t>
            </w:r>
          </w:p>
        </w:tc>
        <w:tc>
          <w:tcPr>
            <w:tcW w:w="937" w:type="pct"/>
          </w:tcPr>
          <w:p w14:paraId="5EB8A99B" w14:textId="7809C19E" w:rsidR="00800DEB" w:rsidRPr="00E65F07" w:rsidRDefault="00E65F07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1 January 2014</w:t>
            </w:r>
          </w:p>
        </w:tc>
      </w:tr>
      <w:tr w:rsidR="00E65F07" w:rsidRPr="00872414" w14:paraId="7D3D7B2C" w14:textId="77777777" w:rsidTr="00E65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272DF0" w14:textId="5402B88D" w:rsidR="00E65F07" w:rsidRPr="00E65F07" w:rsidRDefault="00E65F07" w:rsidP="00650561">
            <w:pPr>
              <w:pStyle w:val="TableText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1.3</w:t>
            </w:r>
          </w:p>
        </w:tc>
        <w:tc>
          <w:tcPr>
            <w:tcW w:w="0" w:type="auto"/>
          </w:tcPr>
          <w:p w14:paraId="3121B3AE" w14:textId="77777777" w:rsidR="00E65F07" w:rsidRPr="00E65F07" w:rsidRDefault="00E65F07" w:rsidP="00E65F0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Changes to Non-Paralytic</w:t>
            </w:r>
          </w:p>
          <w:p w14:paraId="74F6DF5E" w14:textId="77777777" w:rsidR="00E65F07" w:rsidRPr="00E65F07" w:rsidRDefault="00E65F07" w:rsidP="00E65F0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Laboratory definitive evidence</w:t>
            </w:r>
          </w:p>
          <w:p w14:paraId="3DE40C17" w14:textId="77777777" w:rsidR="00E65F07" w:rsidRPr="00E65F07" w:rsidRDefault="00E65F07" w:rsidP="00E65F0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Changed National Poliovirus Reference Laboratory to National Enterovirus Reference Laboratory.</w:t>
            </w:r>
          </w:p>
          <w:p w14:paraId="6548E684" w14:textId="38C04D2A" w:rsidR="00E65F07" w:rsidRPr="00E65F07" w:rsidRDefault="00E65F07" w:rsidP="00E65F0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Sabin-like poliovirus infection</w:t>
            </w:r>
          </w:p>
          <w:p w14:paraId="71676A66" w14:textId="445D1DB9" w:rsidR="00E65F07" w:rsidRPr="00E65F07" w:rsidRDefault="00E65F07" w:rsidP="00E65F0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Added “except where there has been vaccination with Sabin oral polio vaccine in the six weeks* prior to the date of specimen collection.”</w:t>
            </w:r>
          </w:p>
          <w:p w14:paraId="161A2037" w14:textId="5DB76052" w:rsidR="00E65F07" w:rsidRPr="00E65F07" w:rsidRDefault="00E65F07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Added * Note: This period may be longer for immunocompromised individuals.</w:t>
            </w:r>
          </w:p>
        </w:tc>
        <w:tc>
          <w:tcPr>
            <w:tcW w:w="778" w:type="pct"/>
          </w:tcPr>
          <w:p w14:paraId="021D7E50" w14:textId="77777777" w:rsidR="00E65F07" w:rsidRPr="00E65F07" w:rsidRDefault="00E65F07" w:rsidP="00E65F0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CDWG</w:t>
            </w:r>
          </w:p>
          <w:p w14:paraId="03529129" w14:textId="40837B1C" w:rsidR="00E65F07" w:rsidRPr="00E65F07" w:rsidRDefault="00E65F07" w:rsidP="00E65F0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2 October 2013</w:t>
            </w:r>
          </w:p>
        </w:tc>
        <w:tc>
          <w:tcPr>
            <w:tcW w:w="937" w:type="pct"/>
          </w:tcPr>
          <w:p w14:paraId="119787B2" w14:textId="7391A857" w:rsidR="00E65F07" w:rsidRPr="00E65F07" w:rsidRDefault="00E65F07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1 January 2014</w:t>
            </w:r>
          </w:p>
        </w:tc>
      </w:tr>
      <w:tr w:rsidR="00E65F07" w:rsidRPr="00872414" w14:paraId="427933D9" w14:textId="77777777" w:rsidTr="00E65F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0919CB" w14:textId="07CCC0B0" w:rsidR="00E65F07" w:rsidRPr="00E65F07" w:rsidRDefault="00E65F07" w:rsidP="00650561">
            <w:pPr>
              <w:pStyle w:val="TableText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1.2</w:t>
            </w:r>
          </w:p>
        </w:tc>
        <w:tc>
          <w:tcPr>
            <w:tcW w:w="0" w:type="auto"/>
          </w:tcPr>
          <w:p w14:paraId="23A0D65A" w14:textId="77777777" w:rsidR="00E65F07" w:rsidRPr="00E65F07" w:rsidRDefault="00E65F07" w:rsidP="00E65F07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 xml:space="preserve">In line with the recent WHO changes to the case definition, the following text under </w:t>
            </w:r>
            <w:r w:rsidRPr="00E65F07">
              <w:rPr>
                <w:b/>
                <w:bCs/>
                <w:sz w:val="20"/>
                <w:szCs w:val="22"/>
                <w:lang w:eastAsia="en-AU"/>
              </w:rPr>
              <w:t>Vaccine</w:t>
            </w:r>
            <w:r w:rsidRPr="00E65F07">
              <w:rPr>
                <w:sz w:val="20"/>
                <w:szCs w:val="22"/>
                <w:lang w:eastAsia="en-AU"/>
              </w:rPr>
              <w:t xml:space="preserve"> </w:t>
            </w:r>
            <w:r w:rsidRPr="00E65F07">
              <w:rPr>
                <w:b/>
                <w:bCs/>
                <w:sz w:val="20"/>
                <w:szCs w:val="22"/>
                <w:lang w:eastAsia="en-AU"/>
              </w:rPr>
              <w:t>derived poliovirus (VDPV) infection</w:t>
            </w:r>
          </w:p>
          <w:p w14:paraId="6C4BF24A" w14:textId="77777777" w:rsidR="00E65F07" w:rsidRPr="00E65F07" w:rsidRDefault="00E65F07" w:rsidP="00E65F07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</w:p>
          <w:p w14:paraId="389AF88B" w14:textId="77777777" w:rsidR="00E65F07" w:rsidRPr="00E65F07" w:rsidRDefault="00E65F07" w:rsidP="00E65F07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 xml:space="preserve">1. Isolation of poliovirus (confirmed in the National Poliovirus Reference Laboratory) OR detection of </w:t>
            </w:r>
            <w:r w:rsidRPr="00E65F07">
              <w:rPr>
                <w:sz w:val="20"/>
                <w:szCs w:val="22"/>
                <w:lang w:eastAsia="en-AU"/>
              </w:rPr>
              <w:lastRenderedPageBreak/>
              <w:t>poliovirus by nucleic acid testing (confirmed in the National Poliovirus Reference Laboratory)</w:t>
            </w:r>
          </w:p>
          <w:p w14:paraId="2C3DC97C" w14:textId="77777777" w:rsidR="00E65F07" w:rsidRPr="00E65F07" w:rsidRDefault="00E65F07" w:rsidP="00E65F07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AND</w:t>
            </w:r>
          </w:p>
          <w:p w14:paraId="6D7A23CD" w14:textId="0C70920E" w:rsidR="00E65F07" w:rsidRDefault="00E65F07" w:rsidP="00E65F07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2. Detection of a vaccine derived poliovirus according to the current definition of the World Health Organization (reported by the National Poliovirus Reference Laboratory).</w:t>
            </w:r>
          </w:p>
          <w:p w14:paraId="559FC913" w14:textId="77777777" w:rsidR="00E65F07" w:rsidRPr="00E65F07" w:rsidRDefault="00E65F07" w:rsidP="00E65F07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</w:p>
          <w:p w14:paraId="01BC73CD" w14:textId="77777777" w:rsidR="00E65F07" w:rsidRPr="00E65F07" w:rsidRDefault="00E65F07" w:rsidP="00E65F07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Has been change to:</w:t>
            </w:r>
          </w:p>
          <w:p w14:paraId="642F7376" w14:textId="499D7CB2" w:rsidR="00E65F07" w:rsidRPr="00E65F07" w:rsidRDefault="00E65F07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Isolation of poliovirus (confirmed in the National Poliovirus Reference Laboratory) OR detection of poliovirus by nucleic acid testing (confirmed in the National Poliovirus Reference Laboratory), characterised as a vaccine derived poliovirus according to the current definition of the World Health Organization (reported by the National Poliovirus Reference Laboratory).</w:t>
            </w:r>
          </w:p>
        </w:tc>
        <w:tc>
          <w:tcPr>
            <w:tcW w:w="778" w:type="pct"/>
          </w:tcPr>
          <w:p w14:paraId="0E157191" w14:textId="77777777" w:rsidR="00E65F07" w:rsidRPr="00E65F07" w:rsidRDefault="00E65F07" w:rsidP="00E65F07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lastRenderedPageBreak/>
              <w:t>CDWG</w:t>
            </w:r>
          </w:p>
          <w:p w14:paraId="0B6D533B" w14:textId="2905C67A" w:rsidR="00E65F07" w:rsidRPr="00E65F07" w:rsidRDefault="00E65F07" w:rsidP="00E65F07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1 December 2010</w:t>
            </w:r>
          </w:p>
        </w:tc>
        <w:tc>
          <w:tcPr>
            <w:tcW w:w="937" w:type="pct"/>
          </w:tcPr>
          <w:p w14:paraId="7C1EBE58" w14:textId="6DE38706" w:rsidR="00E65F07" w:rsidRPr="00E65F07" w:rsidRDefault="00E65F07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1 July 2011</w:t>
            </w:r>
          </w:p>
        </w:tc>
      </w:tr>
      <w:tr w:rsidR="00E65F07" w:rsidRPr="00872414" w14:paraId="34D0AEBF" w14:textId="77777777" w:rsidTr="00E65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2DCD3B" w14:textId="7A17D54B" w:rsidR="00E65F07" w:rsidRPr="00E65F07" w:rsidRDefault="00E65F07" w:rsidP="00650561">
            <w:pPr>
              <w:pStyle w:val="TableText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1.1</w:t>
            </w:r>
          </w:p>
        </w:tc>
        <w:tc>
          <w:tcPr>
            <w:tcW w:w="0" w:type="auto"/>
          </w:tcPr>
          <w:p w14:paraId="03541583" w14:textId="77777777" w:rsidR="00E65F07" w:rsidRPr="00E65F07" w:rsidRDefault="00E65F07" w:rsidP="00E65F0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The case definition has been split into two parts – ‘Poliomyelitis (paralytic infection)’ and ‘poliovirus (</w:t>
            </w:r>
            <w:proofErr w:type="spellStart"/>
            <w:r w:rsidRPr="00E65F07">
              <w:rPr>
                <w:sz w:val="20"/>
                <w:szCs w:val="22"/>
                <w:lang w:eastAsia="en-AU"/>
              </w:rPr>
              <w:t>non paralytic</w:t>
            </w:r>
            <w:proofErr w:type="spellEnd"/>
            <w:r w:rsidRPr="00E65F07">
              <w:rPr>
                <w:sz w:val="20"/>
                <w:szCs w:val="22"/>
                <w:lang w:eastAsia="en-AU"/>
              </w:rPr>
              <w:t>) infection.</w:t>
            </w:r>
          </w:p>
          <w:p w14:paraId="4BC9FC95" w14:textId="77777777" w:rsidR="00E65F07" w:rsidRPr="00E65F07" w:rsidRDefault="00E65F07" w:rsidP="00E65F0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</w:p>
          <w:p w14:paraId="1EEBD09A" w14:textId="77777777" w:rsidR="00E65F07" w:rsidRPr="00E65F07" w:rsidRDefault="00E65F07" w:rsidP="00E65F0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Isolation of viruses and detection by nucleic acid testing under laboratory definitive evidence for both 'Poliomyelitis (paralytic infection)' and 'Poliovirus (non-paralytic) infection' to be confirmed by the National Poliovirus Reference Laboratory instead of the WHO Western Pacific Regional Poliovirus Reference Laboratory.</w:t>
            </w:r>
          </w:p>
          <w:p w14:paraId="57AE60B6" w14:textId="77777777" w:rsidR="00E65F07" w:rsidRPr="00E65F07" w:rsidRDefault="00E65F07" w:rsidP="00E65F0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</w:p>
          <w:p w14:paraId="57C10BDE" w14:textId="77777777" w:rsidR="00E65F07" w:rsidRPr="00E65F07" w:rsidRDefault="00E65F07" w:rsidP="00E65F0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Under laboratory definitive evidence for 'Poliomyelitis (paralytic infection)' a third category of "vaccine derived poliovirus (VDPV) infection" has been added to the existing "wild type" and “vaccine associated" infection categories.</w:t>
            </w:r>
          </w:p>
          <w:p w14:paraId="23F1371D" w14:textId="77777777" w:rsidR="00E65F07" w:rsidRPr="00E65F07" w:rsidRDefault="00E65F07" w:rsidP="00E65F0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</w:p>
          <w:p w14:paraId="77DC29D9" w14:textId="77777777" w:rsidR="00E65F07" w:rsidRPr="00E65F07" w:rsidRDefault="00E65F07" w:rsidP="00E65F0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Under clinical evidence for 'Poliomyelitis (paralytic infection)' the World Health Organization (WHO) clinical case definition ("Any child under 15 years of age with acute flaccid paralysis (including Guillain-Barré syndrome) or any person of any age with paralytic illness if polio is suspected") was adopted on the advice of the Polio Expert Committee (PEC).</w:t>
            </w:r>
          </w:p>
          <w:p w14:paraId="543E73A0" w14:textId="77777777" w:rsidR="00E65F07" w:rsidRPr="00E65F07" w:rsidRDefault="00E65F07" w:rsidP="00E65F0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</w:p>
          <w:p w14:paraId="7AE69C76" w14:textId="77777777" w:rsidR="00E65F07" w:rsidRPr="00E65F07" w:rsidRDefault="00E65F07" w:rsidP="00E65F0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Under clinical evidence for 'Poliomyelitis (paralytic infection)' a footnote was added providing the WHO definition of acute flaccid paralysis as recommended by PEC.</w:t>
            </w:r>
          </w:p>
          <w:p w14:paraId="7C0D44D0" w14:textId="77777777" w:rsidR="00E65F07" w:rsidRPr="00E65F07" w:rsidRDefault="00E65F07" w:rsidP="00E65F0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</w:p>
          <w:p w14:paraId="09272448" w14:textId="75503E4B" w:rsidR="00E65F07" w:rsidRPr="00E65F07" w:rsidRDefault="00E65F07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 xml:space="preserve">Under clinical evidence for 'Poliomyelitis (paralytic infection)' the wording " For a case to be classified </w:t>
            </w:r>
            <w:r w:rsidRPr="00E65F07">
              <w:rPr>
                <w:sz w:val="20"/>
                <w:szCs w:val="22"/>
                <w:lang w:eastAsia="en-AU"/>
              </w:rPr>
              <w:lastRenderedPageBreak/>
              <w:t>as VAPP the determination must be made by the Polio Expert Committee" was added.</w:t>
            </w:r>
          </w:p>
        </w:tc>
        <w:tc>
          <w:tcPr>
            <w:tcW w:w="778" w:type="pct"/>
          </w:tcPr>
          <w:p w14:paraId="5F52740E" w14:textId="77777777" w:rsidR="00E65F07" w:rsidRPr="00E65F07" w:rsidRDefault="00E65F07" w:rsidP="00E65F0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lastRenderedPageBreak/>
              <w:t>CDWG</w:t>
            </w:r>
          </w:p>
          <w:p w14:paraId="3DA79B73" w14:textId="6EF62536" w:rsidR="00E65F07" w:rsidRPr="00E65F07" w:rsidRDefault="00E65F07" w:rsidP="00E65F0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29 June 2010</w:t>
            </w:r>
          </w:p>
        </w:tc>
        <w:tc>
          <w:tcPr>
            <w:tcW w:w="937" w:type="pct"/>
          </w:tcPr>
          <w:p w14:paraId="62035494" w14:textId="3E505249" w:rsidR="00E65F07" w:rsidRPr="00E65F07" w:rsidRDefault="00E65F07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1 January 2011</w:t>
            </w:r>
          </w:p>
        </w:tc>
      </w:tr>
      <w:tr w:rsidR="00E65F07" w:rsidRPr="00872414" w14:paraId="4261D158" w14:textId="77777777" w:rsidTr="00E65F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0BD5CE" w14:textId="56AB5822" w:rsidR="00E65F07" w:rsidRPr="00E65F07" w:rsidRDefault="00E65F07" w:rsidP="00650561">
            <w:pPr>
              <w:pStyle w:val="TableText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1.0</w:t>
            </w:r>
          </w:p>
        </w:tc>
        <w:tc>
          <w:tcPr>
            <w:tcW w:w="0" w:type="auto"/>
          </w:tcPr>
          <w:p w14:paraId="691618B3" w14:textId="18BB29E0" w:rsidR="00E65F07" w:rsidRPr="00E65F07" w:rsidRDefault="00E65F07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Initial case definition</w:t>
            </w:r>
          </w:p>
        </w:tc>
        <w:tc>
          <w:tcPr>
            <w:tcW w:w="778" w:type="pct"/>
          </w:tcPr>
          <w:p w14:paraId="0FBE7534" w14:textId="6CC1312B" w:rsidR="00E65F07" w:rsidRPr="00E65F07" w:rsidRDefault="00E65F07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2004</w:t>
            </w:r>
          </w:p>
        </w:tc>
        <w:tc>
          <w:tcPr>
            <w:tcW w:w="937" w:type="pct"/>
          </w:tcPr>
          <w:p w14:paraId="18A30E21" w14:textId="005A9258" w:rsidR="00E65F07" w:rsidRPr="00E65F07" w:rsidRDefault="00E65F07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E65F07">
              <w:rPr>
                <w:sz w:val="20"/>
                <w:szCs w:val="22"/>
                <w:lang w:eastAsia="en-AU"/>
              </w:rPr>
              <w:t>2004</w:t>
            </w:r>
          </w:p>
        </w:tc>
      </w:tr>
    </w:tbl>
    <w:p w14:paraId="3C358290" w14:textId="7EBE4319" w:rsidR="00E65F07" w:rsidRPr="00E65F07" w:rsidRDefault="00E65F07" w:rsidP="00E65F07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E65F07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6BDEB470" w14:textId="77777777" w:rsidR="00E65F07" w:rsidRPr="00E65F07" w:rsidRDefault="00E65F07" w:rsidP="00E65F07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E65F07">
        <w:rPr>
          <w:rFonts w:ascii="Helvetica" w:hAnsi="Helvetica" w:cs="Helvetica"/>
          <w:color w:val="222222"/>
          <w:sz w:val="20"/>
          <w:szCs w:val="20"/>
          <w:lang w:eastAsia="en-AU"/>
        </w:rPr>
        <w:t>Both </w:t>
      </w:r>
      <w:r w:rsidRPr="00E65F07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confirmed cases</w:t>
      </w:r>
      <w:r w:rsidRPr="00E65F07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E65F07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probable cases</w:t>
      </w:r>
      <w:r w:rsidRPr="00E65F07">
        <w:rPr>
          <w:rFonts w:ascii="Helvetica" w:hAnsi="Helvetica" w:cs="Helvetica"/>
          <w:color w:val="222222"/>
          <w:sz w:val="20"/>
          <w:szCs w:val="20"/>
          <w:lang w:eastAsia="en-AU"/>
        </w:rPr>
        <w:t> should be notified.</w:t>
      </w:r>
    </w:p>
    <w:p w14:paraId="59BD1CA1" w14:textId="77777777" w:rsidR="00E65F07" w:rsidRPr="00E65F07" w:rsidRDefault="00E65F07" w:rsidP="00E65F07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E65F07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470034B7" w14:textId="77777777" w:rsidR="00E65F07" w:rsidRPr="00E65F07" w:rsidRDefault="00E65F07" w:rsidP="00E65F07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E65F07">
        <w:rPr>
          <w:rFonts w:ascii="Helvetica" w:hAnsi="Helvetica" w:cs="Helvetica"/>
          <w:color w:val="222222"/>
          <w:sz w:val="20"/>
          <w:szCs w:val="20"/>
          <w:lang w:eastAsia="en-AU"/>
        </w:rPr>
        <w:t>A confirmed case requires </w:t>
      </w:r>
      <w:r w:rsidRPr="00E65F07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definitive evidence</w:t>
      </w:r>
      <w:r w:rsidRPr="00E65F07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E65F07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clinical evidence</w:t>
      </w:r>
      <w:r w:rsidRPr="00E65F07">
        <w:rPr>
          <w:rFonts w:ascii="Helvetica" w:hAnsi="Helvetica" w:cs="Helvetica"/>
          <w:color w:val="222222"/>
          <w:sz w:val="20"/>
          <w:szCs w:val="20"/>
          <w:lang w:eastAsia="en-AU"/>
        </w:rPr>
        <w:t>.</w:t>
      </w:r>
    </w:p>
    <w:p w14:paraId="6DF31D5B" w14:textId="77777777" w:rsidR="00E65F07" w:rsidRPr="00E65F07" w:rsidRDefault="00E65F07" w:rsidP="00E65F07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E65F07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22BA13D6" w14:textId="77777777" w:rsidR="00E65F07" w:rsidRPr="00E65F07" w:rsidRDefault="00E65F07" w:rsidP="00E65F07">
      <w:pPr>
        <w:shd w:val="clear" w:color="auto" w:fill="FFFFFF"/>
        <w:spacing w:before="240" w:after="120"/>
        <w:outlineLvl w:val="3"/>
        <w:rPr>
          <w:rFonts w:ascii="Open Sans" w:hAnsi="Open Sans" w:cs="Open Sans"/>
          <w:color w:val="000000"/>
          <w:sz w:val="24"/>
          <w:lang w:eastAsia="en-AU"/>
        </w:rPr>
      </w:pPr>
      <w:r w:rsidRPr="00E65F07">
        <w:rPr>
          <w:rFonts w:ascii="Open Sans" w:hAnsi="Open Sans" w:cs="Open Sans"/>
          <w:color w:val="000000"/>
          <w:sz w:val="24"/>
          <w:lang w:eastAsia="en-AU"/>
        </w:rPr>
        <w:t>Wild poliovirus infection</w:t>
      </w:r>
    </w:p>
    <w:p w14:paraId="5797C23F" w14:textId="77777777" w:rsidR="00E65F07" w:rsidRPr="00E65F07" w:rsidRDefault="00E65F07" w:rsidP="00E65F07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E65F07">
        <w:rPr>
          <w:rFonts w:ascii="Helvetica" w:hAnsi="Helvetica" w:cs="Helvetica"/>
          <w:color w:val="222222"/>
          <w:sz w:val="20"/>
          <w:szCs w:val="20"/>
          <w:lang w:eastAsia="en-AU"/>
        </w:rPr>
        <w:t>Isolation of wild poliovirus (confirmed in the National Enterovirus Reference Laboratory) OR detection of wild poliovirus by nucleic acid testing (confirmed in the National Enterovirus Reference Laboratory).</w:t>
      </w:r>
    </w:p>
    <w:p w14:paraId="7403CBFE" w14:textId="77777777" w:rsidR="00E65F07" w:rsidRPr="00E65F07" w:rsidRDefault="00E65F07" w:rsidP="00E65F07">
      <w:pPr>
        <w:shd w:val="clear" w:color="auto" w:fill="FFFFFF"/>
        <w:spacing w:after="120"/>
        <w:outlineLvl w:val="3"/>
        <w:rPr>
          <w:rFonts w:ascii="Open Sans" w:hAnsi="Open Sans" w:cs="Open Sans"/>
          <w:color w:val="000000"/>
          <w:sz w:val="24"/>
          <w:lang w:eastAsia="en-AU"/>
        </w:rPr>
      </w:pPr>
      <w:r w:rsidRPr="00E65F07">
        <w:rPr>
          <w:rFonts w:ascii="Open Sans" w:hAnsi="Open Sans" w:cs="Open Sans"/>
          <w:color w:val="000000"/>
          <w:sz w:val="24"/>
          <w:lang w:eastAsia="en-AU"/>
        </w:rPr>
        <w:t>Vaccine-associated paralytic poliomyelitis (</w:t>
      </w:r>
      <w:r w:rsidRPr="00E65F07">
        <w:rPr>
          <w:rFonts w:ascii="Open Sans" w:hAnsi="Open Sans" w:cs="Open Sans"/>
          <w:i/>
          <w:iCs/>
          <w:color w:val="000000"/>
          <w:sz w:val="24"/>
          <w:lang w:eastAsia="en-AU"/>
        </w:rPr>
        <w:t>VAPP</w:t>
      </w:r>
      <w:r w:rsidRPr="00E65F07">
        <w:rPr>
          <w:rFonts w:ascii="Open Sans" w:hAnsi="Open Sans" w:cs="Open Sans"/>
          <w:color w:val="000000"/>
          <w:sz w:val="24"/>
          <w:lang w:eastAsia="en-AU"/>
        </w:rPr>
        <w:t>)</w:t>
      </w:r>
    </w:p>
    <w:p w14:paraId="50B5B8B2" w14:textId="77777777" w:rsidR="00E65F07" w:rsidRPr="00E65F07" w:rsidRDefault="00E65F07" w:rsidP="00E65F07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E65F07">
        <w:rPr>
          <w:rFonts w:ascii="Helvetica" w:hAnsi="Helvetica" w:cs="Helvetica"/>
          <w:color w:val="222222"/>
          <w:sz w:val="20"/>
          <w:szCs w:val="20"/>
          <w:lang w:eastAsia="en-AU"/>
        </w:rPr>
        <w:t>Isolation of Sabin-like poliovirus (confirmed in the National Enterovirus Reference Laboratory) OR detection of Sabin-like poliovirus by nucleic acid testing (confirmed in the National Enterovirus Reference Laboratory).</w:t>
      </w:r>
    </w:p>
    <w:p w14:paraId="667B7461" w14:textId="77777777" w:rsidR="00E65F07" w:rsidRPr="00E65F07" w:rsidRDefault="00E65F07" w:rsidP="00E65F07">
      <w:pPr>
        <w:shd w:val="clear" w:color="auto" w:fill="FFFFFF"/>
        <w:spacing w:after="120"/>
        <w:outlineLvl w:val="3"/>
        <w:rPr>
          <w:rFonts w:ascii="Open Sans" w:hAnsi="Open Sans" w:cs="Open Sans"/>
          <w:color w:val="000000"/>
          <w:sz w:val="24"/>
          <w:lang w:eastAsia="en-AU"/>
        </w:rPr>
      </w:pPr>
      <w:r w:rsidRPr="00E65F07">
        <w:rPr>
          <w:rFonts w:ascii="Open Sans" w:hAnsi="Open Sans" w:cs="Open Sans"/>
          <w:color w:val="000000"/>
          <w:sz w:val="24"/>
          <w:lang w:eastAsia="en-AU"/>
        </w:rPr>
        <w:t>Vaccine derived poliovirus (VDPV) infection</w:t>
      </w:r>
    </w:p>
    <w:p w14:paraId="292CA6C6" w14:textId="77777777" w:rsidR="00E65F07" w:rsidRPr="00E65F07" w:rsidRDefault="00E65F07" w:rsidP="00E65F07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E65F07">
        <w:rPr>
          <w:rFonts w:ascii="Helvetica" w:hAnsi="Helvetica" w:cs="Helvetica"/>
          <w:color w:val="222222"/>
          <w:sz w:val="20"/>
          <w:szCs w:val="20"/>
          <w:lang w:eastAsia="en-AU"/>
        </w:rPr>
        <w:t>Isolation of poliovirus (confirmed in the National Enterovirus Reference Laboratory) OR detection of poliovirus by nucleic acid testing (confirmed in the National Enterovirus Reference Laboratory), characterised as a vaccine derived poliovirus according to the current definition of the World Health Organization (reported by the National Enterovirus Reference Laboratory).</w:t>
      </w:r>
    </w:p>
    <w:p w14:paraId="3106C53C" w14:textId="77777777" w:rsidR="00E65F07" w:rsidRPr="00E65F07" w:rsidRDefault="00E65F07" w:rsidP="00E65F07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E65F07">
        <w:rPr>
          <w:rFonts w:ascii="Open Sans" w:hAnsi="Open Sans" w:cs="Open Sans"/>
          <w:color w:val="000000"/>
          <w:sz w:val="27"/>
          <w:szCs w:val="27"/>
          <w:lang w:eastAsia="en-AU"/>
        </w:rPr>
        <w:t>Clinical evidence</w:t>
      </w:r>
    </w:p>
    <w:p w14:paraId="6BC95753" w14:textId="77777777" w:rsidR="00E65F07" w:rsidRPr="00E65F07" w:rsidRDefault="00E65F07" w:rsidP="00E65F07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E65F07">
        <w:rPr>
          <w:rFonts w:ascii="Helvetica" w:hAnsi="Helvetica" w:cs="Helvetica"/>
          <w:color w:val="222222"/>
          <w:sz w:val="20"/>
          <w:szCs w:val="20"/>
          <w:lang w:eastAsia="en-AU"/>
        </w:rPr>
        <w:t>Any child under 15 years of age with acute flaccid paralysis* (including Guillain-Barré syndrome) or any person of any age with paralytic illness if polio is suspected.</w:t>
      </w:r>
    </w:p>
    <w:p w14:paraId="262804C3" w14:textId="77777777" w:rsidR="00E65F07" w:rsidRPr="00E65F07" w:rsidRDefault="00E65F07" w:rsidP="00E65F07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E65F07">
        <w:rPr>
          <w:rFonts w:ascii="Helvetica" w:hAnsi="Helvetica" w:cs="Helvetica"/>
          <w:color w:val="222222"/>
          <w:sz w:val="20"/>
          <w:szCs w:val="20"/>
          <w:lang w:eastAsia="en-AU"/>
        </w:rPr>
        <w:t>For a case to be classified as VAPP the determination must be made by the Polio Expert Panel.</w:t>
      </w:r>
    </w:p>
    <w:p w14:paraId="684B7F2F" w14:textId="77777777" w:rsidR="00E65F07" w:rsidRPr="00E65F07" w:rsidRDefault="00E65F07" w:rsidP="00E65F07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E65F07">
        <w:rPr>
          <w:rFonts w:ascii="Open Sans" w:hAnsi="Open Sans" w:cs="Open Sans"/>
          <w:color w:val="000000"/>
          <w:sz w:val="27"/>
          <w:szCs w:val="27"/>
          <w:lang w:eastAsia="en-AU"/>
        </w:rPr>
        <w:t>Probable case</w:t>
      </w:r>
    </w:p>
    <w:p w14:paraId="335B1FD1" w14:textId="77777777" w:rsidR="00E65F07" w:rsidRPr="00E65F07" w:rsidRDefault="00E65F07" w:rsidP="00E65F07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E65F07">
        <w:rPr>
          <w:rFonts w:ascii="Helvetica" w:hAnsi="Helvetica" w:cs="Helvetica"/>
          <w:color w:val="222222"/>
          <w:sz w:val="20"/>
          <w:szCs w:val="20"/>
          <w:lang w:eastAsia="en-AU"/>
        </w:rPr>
        <w:t>A probable case of poliomyelitis (paralytic infection) requires clinical evidence AND the case not discarded as non-polio paralytic illness by the Polio Expert Panel.</w:t>
      </w:r>
    </w:p>
    <w:p w14:paraId="49E0646D" w14:textId="77777777" w:rsidR="00E65F07" w:rsidRPr="00E65F07" w:rsidRDefault="00E65F07" w:rsidP="00536A7B">
      <w:pPr>
        <w:keepNext/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E65F07">
        <w:rPr>
          <w:rFonts w:ascii="Open Sans" w:hAnsi="Open Sans" w:cs="Open Sans"/>
          <w:color w:val="000000"/>
          <w:sz w:val="27"/>
          <w:szCs w:val="27"/>
          <w:lang w:eastAsia="en-AU"/>
        </w:rPr>
        <w:lastRenderedPageBreak/>
        <w:t>Clinical evidence</w:t>
      </w:r>
    </w:p>
    <w:p w14:paraId="407978B9" w14:textId="77777777" w:rsidR="00E65F07" w:rsidRPr="00E65F07" w:rsidRDefault="00E65F07" w:rsidP="00536A7B">
      <w:pPr>
        <w:keepNext/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E65F07">
        <w:rPr>
          <w:rFonts w:ascii="Helvetica" w:hAnsi="Helvetica" w:cs="Helvetica"/>
          <w:color w:val="222222"/>
          <w:sz w:val="20"/>
          <w:szCs w:val="20"/>
          <w:lang w:eastAsia="en-AU"/>
        </w:rPr>
        <w:t>As with confirmed case.</w:t>
      </w:r>
    </w:p>
    <w:p w14:paraId="0F1923DB" w14:textId="77777777" w:rsidR="00E65F07" w:rsidRPr="00E65F07" w:rsidRDefault="00E65F07" w:rsidP="00E65F07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E65F07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* Acute flaccid paralysis syndrome is characterised by rapid onset of weakness of an individual’s extremities, often including weakness of the muscles of respiration and swallowing, progressing to maximum severity within 1-10 days. The term “flaccid” indicates the absence of spasticity or other signs of disordered central nervous system (CNS) motor tracts such as </w:t>
      </w:r>
      <w:proofErr w:type="spellStart"/>
      <w:r w:rsidRPr="00E65F07">
        <w:rPr>
          <w:rFonts w:ascii="Helvetica" w:hAnsi="Helvetica" w:cs="Helvetica"/>
          <w:color w:val="222222"/>
          <w:sz w:val="20"/>
          <w:szCs w:val="20"/>
          <w:lang w:eastAsia="en-AU"/>
        </w:rPr>
        <w:t>hyperflexia</w:t>
      </w:r>
      <w:proofErr w:type="spellEnd"/>
      <w:r w:rsidRPr="00E65F07">
        <w:rPr>
          <w:rFonts w:ascii="Helvetica" w:hAnsi="Helvetica" w:cs="Helvetica"/>
          <w:color w:val="222222"/>
          <w:sz w:val="20"/>
          <w:szCs w:val="20"/>
          <w:lang w:eastAsia="en-AU"/>
        </w:rPr>
        <w:t>, clonus, or extensor plantar responses. (Excerpt from </w:t>
      </w:r>
      <w:r w:rsidRPr="00E65F07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Acute onset flaccid paralysis</w:t>
      </w:r>
      <w:r w:rsidRPr="00E65F07">
        <w:rPr>
          <w:rFonts w:ascii="Helvetica" w:hAnsi="Helvetica" w:cs="Helvetica"/>
          <w:color w:val="222222"/>
          <w:sz w:val="20"/>
          <w:szCs w:val="20"/>
          <w:lang w:eastAsia="en-AU"/>
        </w:rPr>
        <w:t>; World Health Organization 1993; WHO/MNH/EPI/93.3. Geneva)</w:t>
      </w:r>
    </w:p>
    <w:p w14:paraId="44EB7FCB" w14:textId="7E4C0373" w:rsidR="00E65F07" w:rsidRPr="00E65F07" w:rsidRDefault="00536A7B" w:rsidP="00E65F07">
      <w:pPr>
        <w:rPr>
          <w:rFonts w:ascii="Times New Roman" w:hAnsi="Times New Roman"/>
          <w:sz w:val="24"/>
          <w:lang w:eastAsia="en-AU"/>
        </w:rPr>
      </w:pPr>
      <w:hyperlink r:id="rId12" w:anchor="top" w:history="1"/>
      <w:r w:rsidR="00E65F07" w:rsidRPr="00E65F07">
        <w:rPr>
          <w:rFonts w:ascii="Open Sans" w:hAnsi="Open Sans" w:cs="Open Sans"/>
          <w:color w:val="000000"/>
          <w:sz w:val="36"/>
          <w:szCs w:val="36"/>
          <w:lang w:eastAsia="en-AU"/>
        </w:rPr>
        <w:t>2. Poliovirus (non-paralytic) infection</w:t>
      </w:r>
    </w:p>
    <w:p w14:paraId="19925F5F" w14:textId="77777777" w:rsidR="00E65F07" w:rsidRPr="00E65F07" w:rsidRDefault="00E65F07" w:rsidP="00E65F07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E65F07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1F618413" w14:textId="77777777" w:rsidR="00E65F07" w:rsidRPr="00E65F07" w:rsidRDefault="00E65F07" w:rsidP="00E65F07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E65F07">
        <w:rPr>
          <w:rFonts w:ascii="Helvetica" w:hAnsi="Helvetica" w:cs="Helvetica"/>
          <w:color w:val="222222"/>
          <w:sz w:val="20"/>
          <w:szCs w:val="20"/>
          <w:lang w:eastAsia="en-AU"/>
        </w:rPr>
        <w:t>Isolation or detection of poliovirus from clinical specimens with laboratory definitive evidence should be notified.</w:t>
      </w:r>
    </w:p>
    <w:p w14:paraId="7B148818" w14:textId="77777777" w:rsidR="00E65F07" w:rsidRPr="00E65F07" w:rsidRDefault="00E65F07" w:rsidP="00E65F07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E65F07">
        <w:rPr>
          <w:rFonts w:ascii="Helvetica" w:hAnsi="Helvetica" w:cs="Helvetica"/>
          <w:color w:val="222222"/>
          <w:sz w:val="20"/>
          <w:szCs w:val="20"/>
          <w:lang w:eastAsia="en-AU"/>
        </w:rPr>
        <w:t>This case definition should be used for asymptomatic patients or patients with illness not consistent with acute flaccid paralysis.</w:t>
      </w:r>
    </w:p>
    <w:p w14:paraId="5DB5ED97" w14:textId="77777777" w:rsidR="00E65F07" w:rsidRPr="00E65F07" w:rsidRDefault="00E65F07" w:rsidP="00E65F07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E65F07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276890D9" w14:textId="77777777" w:rsidR="00E65F07" w:rsidRPr="00E65F07" w:rsidRDefault="00E65F07" w:rsidP="00E65F07">
      <w:pPr>
        <w:shd w:val="clear" w:color="auto" w:fill="FFFFFF"/>
        <w:spacing w:before="240" w:after="120"/>
        <w:outlineLvl w:val="3"/>
        <w:rPr>
          <w:rFonts w:ascii="Open Sans" w:hAnsi="Open Sans" w:cs="Open Sans"/>
          <w:color w:val="000000"/>
          <w:sz w:val="24"/>
          <w:lang w:eastAsia="en-AU"/>
        </w:rPr>
      </w:pPr>
      <w:r w:rsidRPr="00E65F07">
        <w:rPr>
          <w:rFonts w:ascii="Open Sans" w:hAnsi="Open Sans" w:cs="Open Sans"/>
          <w:color w:val="000000"/>
          <w:sz w:val="24"/>
          <w:lang w:eastAsia="en-AU"/>
        </w:rPr>
        <w:t>Wild poliovirus infection</w:t>
      </w:r>
    </w:p>
    <w:p w14:paraId="7189AA3F" w14:textId="77777777" w:rsidR="00E65F07" w:rsidRPr="00E65F07" w:rsidRDefault="00E65F07" w:rsidP="00E65F07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E65F07">
        <w:rPr>
          <w:rFonts w:ascii="Helvetica" w:hAnsi="Helvetica" w:cs="Helvetica"/>
          <w:color w:val="222222"/>
          <w:sz w:val="20"/>
          <w:szCs w:val="20"/>
          <w:lang w:eastAsia="en-AU"/>
        </w:rPr>
        <w:t>Isolation of wild poliovirus (confirmed in the National Enterovirus Reference Laboratory) OR detection of wild poliovirus by nucleic acid testing (confirmed in the National Enterovirus Reference Laboratory).</w:t>
      </w:r>
    </w:p>
    <w:p w14:paraId="495535C9" w14:textId="77777777" w:rsidR="00E65F07" w:rsidRPr="00E65F07" w:rsidRDefault="00E65F07" w:rsidP="00E65F07">
      <w:pPr>
        <w:shd w:val="clear" w:color="auto" w:fill="FFFFFF"/>
        <w:spacing w:after="120"/>
        <w:outlineLvl w:val="3"/>
        <w:rPr>
          <w:rFonts w:ascii="Open Sans" w:hAnsi="Open Sans" w:cs="Open Sans"/>
          <w:color w:val="000000"/>
          <w:sz w:val="24"/>
          <w:lang w:eastAsia="en-AU"/>
        </w:rPr>
      </w:pPr>
      <w:r w:rsidRPr="00E65F07">
        <w:rPr>
          <w:rFonts w:ascii="Open Sans" w:hAnsi="Open Sans" w:cs="Open Sans"/>
          <w:color w:val="000000"/>
          <w:sz w:val="24"/>
          <w:lang w:eastAsia="en-AU"/>
        </w:rPr>
        <w:t>Sabin-like poliovirus infection</w:t>
      </w:r>
    </w:p>
    <w:p w14:paraId="64FD4672" w14:textId="77777777" w:rsidR="00E65F07" w:rsidRPr="00E65F07" w:rsidRDefault="00E65F07" w:rsidP="00E65F07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E65F07">
        <w:rPr>
          <w:rFonts w:ascii="Helvetica" w:hAnsi="Helvetica" w:cs="Helvetica"/>
          <w:color w:val="222222"/>
          <w:sz w:val="20"/>
          <w:szCs w:val="20"/>
          <w:lang w:eastAsia="en-AU"/>
        </w:rPr>
        <w:t>Isolation of Sabin-like poliovirus (confirmed in the National Enterovirus Reference Laboratory) OR detection of Sabin-like poliovirus by nucleic acid testing (confirmed in the National Enterovirus Reference Laboratory) except where there has been vaccination with Sabin oral polio vaccine in the six weeks</w:t>
      </w:r>
      <w:r w:rsidRPr="00E65F07">
        <w:rPr>
          <w:rFonts w:ascii="Helvetica" w:hAnsi="Helvetica" w:cs="Helvetica"/>
          <w:color w:val="222222"/>
          <w:sz w:val="15"/>
          <w:szCs w:val="15"/>
          <w:vertAlign w:val="superscript"/>
          <w:lang w:eastAsia="en-AU"/>
        </w:rPr>
        <w:t>#</w:t>
      </w:r>
      <w:r w:rsidRPr="00E65F07">
        <w:rPr>
          <w:rFonts w:ascii="Helvetica" w:hAnsi="Helvetica" w:cs="Helvetica"/>
          <w:color w:val="222222"/>
          <w:sz w:val="20"/>
          <w:szCs w:val="20"/>
          <w:lang w:eastAsia="en-AU"/>
        </w:rPr>
        <w:t> prior to the date of specimen collection.</w:t>
      </w:r>
    </w:p>
    <w:p w14:paraId="638468DD" w14:textId="77777777" w:rsidR="00E65F07" w:rsidRPr="00E65F07" w:rsidRDefault="00E65F07" w:rsidP="00E65F07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E65F07">
        <w:rPr>
          <w:rFonts w:ascii="Helvetica" w:hAnsi="Helvetica" w:cs="Helvetica"/>
          <w:color w:val="222222"/>
          <w:sz w:val="15"/>
          <w:szCs w:val="15"/>
          <w:vertAlign w:val="superscript"/>
          <w:lang w:eastAsia="en-AU"/>
        </w:rPr>
        <w:t>#</w:t>
      </w:r>
      <w:r w:rsidRPr="00E65F07">
        <w:rPr>
          <w:rFonts w:ascii="Helvetica" w:hAnsi="Helvetica" w:cs="Helvetica"/>
          <w:color w:val="222222"/>
          <w:sz w:val="20"/>
          <w:szCs w:val="20"/>
          <w:lang w:eastAsia="en-AU"/>
        </w:rPr>
        <w:t> Note: This period may be longer for immunocompromised individuals</w:t>
      </w:r>
    </w:p>
    <w:p w14:paraId="69B7E43D" w14:textId="77777777" w:rsidR="00E65F07" w:rsidRPr="00E65F07" w:rsidRDefault="00E65F07" w:rsidP="00E65F07">
      <w:pPr>
        <w:shd w:val="clear" w:color="auto" w:fill="FFFFFF"/>
        <w:spacing w:after="120"/>
        <w:outlineLvl w:val="3"/>
        <w:rPr>
          <w:rFonts w:ascii="Open Sans" w:hAnsi="Open Sans" w:cs="Open Sans"/>
          <w:color w:val="000000"/>
          <w:sz w:val="24"/>
          <w:lang w:eastAsia="en-AU"/>
        </w:rPr>
      </w:pPr>
      <w:r w:rsidRPr="00E65F07">
        <w:rPr>
          <w:rFonts w:ascii="Open Sans" w:hAnsi="Open Sans" w:cs="Open Sans"/>
          <w:color w:val="000000"/>
          <w:sz w:val="24"/>
          <w:lang w:eastAsia="en-AU"/>
        </w:rPr>
        <w:t>Vaccine derived poliovirus (VDPV) infection</w:t>
      </w:r>
    </w:p>
    <w:p w14:paraId="1A488678" w14:textId="6B5393C2" w:rsidR="009E0B84" w:rsidRPr="00E65F07" w:rsidRDefault="00E65F07" w:rsidP="00E65F07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E65F07">
        <w:rPr>
          <w:rFonts w:ascii="Helvetica" w:hAnsi="Helvetica" w:cs="Helvetica"/>
          <w:color w:val="222222"/>
          <w:sz w:val="20"/>
          <w:szCs w:val="20"/>
          <w:lang w:eastAsia="en-AU"/>
        </w:rPr>
        <w:t>Isolation of poliovirus (confirmed in the National Enterovirus Reference Laboratory) OR detection of poliovirus by nucleic acid testing (confirmed in the National Enterovirus Reference Laboratory), characterised as a vaccine derived poliovirus according to the current definition of the World Health Organization (reported by the National Enterovirus Reference Laboratory).</w:t>
      </w:r>
    </w:p>
    <w:sectPr w:rsidR="009E0B84" w:rsidRPr="00E65F07" w:rsidSect="00022629">
      <w:footerReference w:type="default" r:id="rId13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ADBEF" w14:textId="77777777" w:rsidR="00E65F07" w:rsidRDefault="00E65F07" w:rsidP="006B56BB">
      <w:r>
        <w:separator/>
      </w:r>
    </w:p>
    <w:p w14:paraId="3F743073" w14:textId="77777777" w:rsidR="00E65F07" w:rsidRDefault="00E65F07"/>
  </w:endnote>
  <w:endnote w:type="continuationSeparator" w:id="0">
    <w:p w14:paraId="52A974CC" w14:textId="77777777" w:rsidR="00E65F07" w:rsidRDefault="00E65F07" w:rsidP="006B56BB">
      <w:r>
        <w:continuationSeparator/>
      </w:r>
    </w:p>
    <w:p w14:paraId="49F2A2FB" w14:textId="77777777" w:rsidR="00E65F07" w:rsidRDefault="00E65F07"/>
  </w:endnote>
  <w:endnote w:type="continuationNotice" w:id="1">
    <w:p w14:paraId="08B809E6" w14:textId="77777777" w:rsidR="00E65F07" w:rsidRDefault="00E65F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BF28AE" w14:textId="6DE374DF" w:rsidR="00CD407A" w:rsidRDefault="00E65F07">
            <w:pPr>
              <w:pStyle w:val="Footer"/>
              <w:jc w:val="right"/>
            </w:pPr>
            <w:r w:rsidRPr="00E65F07">
              <w:t xml:space="preserve">Poliovirus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2887919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58F2C" w14:textId="77777777" w:rsidR="00E65F07" w:rsidRDefault="00E65F07" w:rsidP="006B56BB">
      <w:r>
        <w:separator/>
      </w:r>
    </w:p>
    <w:p w14:paraId="7F927621" w14:textId="77777777" w:rsidR="00E65F07" w:rsidRDefault="00E65F07"/>
  </w:footnote>
  <w:footnote w:type="continuationSeparator" w:id="0">
    <w:p w14:paraId="6E2C0A5B" w14:textId="77777777" w:rsidR="00E65F07" w:rsidRDefault="00E65F07" w:rsidP="006B56BB">
      <w:r>
        <w:continuationSeparator/>
      </w:r>
    </w:p>
    <w:p w14:paraId="2A964A6F" w14:textId="77777777" w:rsidR="00E65F07" w:rsidRDefault="00E65F07"/>
  </w:footnote>
  <w:footnote w:type="continuationNotice" w:id="1">
    <w:p w14:paraId="6BEAEFEF" w14:textId="77777777" w:rsidR="00E65F07" w:rsidRDefault="00E65F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07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36A7B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65F07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EE1873D"/>
  <w15:docId w15:val="{85C6E991-58BB-4B9B-99EB-68E04E56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link w:val="Heading2Char"/>
    <w:uiPriority w:val="9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E65F07"/>
    <w:rPr>
      <w:rFonts w:ascii="Arial" w:hAnsi="Arial" w:cs="Arial"/>
      <w:bCs/>
      <w:iCs/>
      <w:color w:val="358189"/>
      <w:sz w:val="32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65F07"/>
    <w:rPr>
      <w:rFonts w:ascii="Arial" w:hAnsi="Arial" w:cs="Arial"/>
      <w:bCs/>
      <w:color w:val="358189"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65F07"/>
    <w:rPr>
      <w:rFonts w:ascii="Arial" w:hAnsi="Arial"/>
      <w:b/>
      <w:bCs/>
      <w:i/>
      <w:color w:val="414141"/>
      <w:sz w:val="24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65F07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1.health.gov.au/internet/main/publishing.nsf/Content/cda-surveil-nndss-casedefs-cd_polio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C6417-ADBB-487B-9091-DC3471F064B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36487dd-ec90-4f99-8970-1318e5f29791"/>
    <ds:schemaRef ds:uri="http://purl.org/dc/terms/"/>
    <ds:schemaRef ds:uri="dcf7b372-aaaa-46d8-9da6-ade9aab953d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001E05-9AD6-4C49-94A0-78F017EF0255}"/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7</TotalTime>
  <Pages>4</Pages>
  <Words>1004</Words>
  <Characters>6509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Poliovirus – Surveillance case definition</dc:title>
  <dc:creator>Communicable Diseases Network Australia</dc:creator>
  <cp:keywords>Communicable diseases</cp:keywords>
  <dcterms:created xsi:type="dcterms:W3CDTF">2022-06-08T01:18:00Z</dcterms:created>
  <dcterms:modified xsi:type="dcterms:W3CDTF">2022-06-08T05:00:00Z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