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09E0B84" w:rsidRDefault="00613912" w14:paraId="6FDEEF07" w14:textId="2015AC7A">
      <w:pPr>
        <w:pStyle w:val="Subtitle"/>
        <w:rPr>
          <w:b/>
          <w:iCs w:val="0"/>
          <w:color w:val="auto"/>
          <w:spacing w:val="0"/>
          <w:kern w:val="28"/>
          <w:sz w:val="48"/>
          <w:szCs w:val="52"/>
        </w:rPr>
      </w:pPr>
      <w:r w:rsidRPr="00613912">
        <w:rPr>
          <w:b/>
          <w:iCs w:val="0"/>
          <w:color w:val="auto"/>
          <w:spacing w:val="0"/>
          <w:kern w:val="28"/>
          <w:sz w:val="48"/>
          <w:szCs w:val="52"/>
        </w:rPr>
        <w:t>Q fever (</w:t>
      </w:r>
      <w:r w:rsidRPr="00613912">
        <w:rPr>
          <w:b/>
          <w:i/>
          <w:color w:val="auto"/>
          <w:spacing w:val="0"/>
          <w:kern w:val="28"/>
          <w:sz w:val="48"/>
          <w:szCs w:val="52"/>
        </w:rPr>
        <w:t xml:space="preserve">Coxiella </w:t>
      </w:r>
      <w:proofErr w:type="spellStart"/>
      <w:r w:rsidRPr="00613912">
        <w:rPr>
          <w:b/>
          <w:i/>
          <w:color w:val="auto"/>
          <w:spacing w:val="0"/>
          <w:kern w:val="28"/>
          <w:sz w:val="48"/>
          <w:szCs w:val="52"/>
        </w:rPr>
        <w:t>burnetii</w:t>
      </w:r>
      <w:proofErr w:type="spellEnd"/>
      <w:r w:rsidRPr="00613912">
        <w:rPr>
          <w:b/>
          <w:iCs w:val="0"/>
          <w:color w:val="auto"/>
          <w:spacing w:val="0"/>
          <w:kern w:val="28"/>
          <w:sz w:val="48"/>
          <w:szCs w:val="52"/>
        </w:rPr>
        <w:t>)</w:t>
      </w:r>
    </w:p>
    <w:p w:rsidR="00177AD2" w:rsidP="009E0B84" w:rsidRDefault="009E0B84" w14:paraId="5684C824" w14:textId="77777777">
      <w:pPr>
        <w:pStyle w:val="Subtitle"/>
      </w:pPr>
      <w:r>
        <w:t>Laboratory case definition</w:t>
      </w:r>
    </w:p>
    <w:p w:rsidR="009E0B84" w:rsidP="009E0B84" w:rsidRDefault="009E0B84" w14:paraId="3EFEFCCC" w14:textId="52B1D49E">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proofErr w:type="spellStart"/>
      <w:r w:rsidRPr="0BB4DC40" w:rsidR="009E0B84">
        <w:rPr>
          <w:i w:val="1"/>
          <w:iCs w:val="1"/>
        </w:rPr>
        <w:t>coxiella</w:t>
      </w:r>
      <w:proofErr w:type="spellEnd"/>
      <w:r w:rsidRPr="0BB4DC40" w:rsidR="009E0B84">
        <w:rPr>
          <w:i w:val="1"/>
          <w:iCs w:val="1"/>
        </w:rPr>
        <w:t xml:space="preserve"> burnetii</w:t>
      </w:r>
      <w:r w:rsidR="00613912">
        <w:rPr/>
        <w:t xml:space="preserve">. </w:t>
      </w:r>
    </w:p>
    <w:p w:rsidRPr="009E0B84" w:rsidR="009E0B84" w:rsidP="009E0B84" w:rsidRDefault="009E0B84" w14:paraId="25192276" w14:textId="77777777">
      <w:pPr>
        <w:spacing w:after="120"/>
      </w:pPr>
      <w:r w:rsidRPr="009E0B84">
        <w:rPr>
          <w:b/>
          <w:bCs/>
        </w:rPr>
        <w:t>Authorisation:</w:t>
      </w:r>
      <w:r w:rsidRPr="009E0B84">
        <w:t> </w:t>
      </w:r>
      <w:r w:rsidRPr="009E0B84">
        <w:tab/>
      </w:r>
      <w:r w:rsidRPr="009E0B84">
        <w:t>PHLN</w:t>
      </w:r>
    </w:p>
    <w:p w:rsidR="009E0B84" w:rsidP="00613912" w:rsidRDefault="009E0B84" w14:paraId="504BD166" w14:textId="65AA823F">
      <w:r w:rsidRPr="009E0B84">
        <w:rPr>
          <w:b/>
          <w:bCs/>
        </w:rPr>
        <w:t>Consensus date:</w:t>
      </w:r>
      <w:r w:rsidRPr="009E0B84">
        <w:t> </w:t>
      </w:r>
      <w:r w:rsidRPr="009E0B84">
        <w:tab/>
      </w:r>
      <w:r w:rsidRPr="00613912" w:rsidR="00613912">
        <w:t>27 November 2017</w:t>
      </w:r>
    </w:p>
    <w:p w:rsidRPr="009E0B84" w:rsidR="009E0B84" w:rsidP="009E0B84" w:rsidRDefault="009E0B84" w14:paraId="07AD094E" w14:textId="77777777">
      <w:pPr>
        <w:pBdr>
          <w:bottom w:val="single" w:color="auto" w:sz="6" w:space="1"/>
        </w:pBdr>
      </w:pPr>
    </w:p>
    <w:p w:rsidR="009E0B84" w:rsidP="009E0B84" w:rsidRDefault="009E0B84" w14:paraId="144AA13F" w14:textId="77777777">
      <w:pPr>
        <w:pStyle w:val="Paragraphtext"/>
      </w:pPr>
    </w:p>
    <w:p w:rsidRPr="00613912" w:rsidR="00613912" w:rsidP="00613912" w:rsidRDefault="00613912" w14:paraId="2670AF10" w14:textId="77777777">
      <w:pPr>
        <w:shd w:val="clear" w:color="auto" w:fill="FFFFFF"/>
        <w:spacing w:before="240" w:after="120"/>
        <w:outlineLvl w:val="1"/>
        <w:rPr>
          <w:rFonts w:ascii="Open Sans" w:hAnsi="Open Sans" w:cs="Open Sans"/>
          <w:sz w:val="36"/>
          <w:szCs w:val="36"/>
          <w:lang w:eastAsia="en-AU"/>
        </w:rPr>
      </w:pPr>
      <w:r w:rsidRPr="00613912">
        <w:rPr>
          <w:rFonts w:ascii="Open Sans" w:hAnsi="Open Sans" w:cs="Open Sans"/>
          <w:sz w:val="36"/>
          <w:szCs w:val="36"/>
          <w:lang w:eastAsia="en-AU"/>
        </w:rPr>
        <w:t>1 PHLN Summary Laboratory Definition</w:t>
      </w:r>
    </w:p>
    <w:p w:rsidRPr="00613912" w:rsidR="00613912" w:rsidP="00613912" w:rsidRDefault="00613912" w14:paraId="4BF8B5CE" w14:textId="77777777">
      <w:pPr>
        <w:shd w:val="clear" w:color="auto" w:fill="FFFFFF"/>
        <w:spacing w:before="240" w:after="120"/>
        <w:outlineLvl w:val="2"/>
        <w:rPr>
          <w:rFonts w:ascii="Open Sans" w:hAnsi="Open Sans" w:cs="Open Sans"/>
          <w:sz w:val="27"/>
          <w:szCs w:val="27"/>
          <w:lang w:eastAsia="en-AU"/>
        </w:rPr>
      </w:pPr>
      <w:r w:rsidRPr="00613912">
        <w:rPr>
          <w:rFonts w:ascii="Open Sans" w:hAnsi="Open Sans" w:cs="Open Sans"/>
          <w:sz w:val="27"/>
          <w:szCs w:val="27"/>
          <w:lang w:eastAsia="en-AU"/>
        </w:rPr>
        <w:t>1.1 Condition:</w:t>
      </w:r>
    </w:p>
    <w:p w:rsidRPr="00613912" w:rsidR="00613912" w:rsidP="0BB4DC40" w:rsidRDefault="00613912" w14:paraId="1F637422" w14:textId="26C69EF2">
      <w:pPr>
        <w:shd w:val="clear" w:color="auto" w:fill="FFFFFF" w:themeFill="background1"/>
        <w:spacing w:before="240" w:after="120"/>
        <w:outlineLvl w:val="3"/>
        <w:rPr>
          <w:rFonts w:ascii="Helvetica" w:hAnsi="Helvetica" w:eastAsia="Helvetica" w:cs="Helvetica"/>
          <w:i w:val="1"/>
          <w:iCs w:val="1"/>
          <w:sz w:val="20"/>
          <w:szCs w:val="20"/>
          <w:lang w:eastAsia="en-AU"/>
        </w:rPr>
      </w:pPr>
      <w:r w:rsidRPr="0BB4DC40" w:rsidR="00613912">
        <w:rPr>
          <w:rFonts w:ascii="Helvetica" w:hAnsi="Helvetica" w:eastAsia="Helvetica" w:cs="Helvetica"/>
          <w:sz w:val="20"/>
          <w:szCs w:val="20"/>
          <w:lang w:eastAsia="en-AU"/>
        </w:rPr>
        <w:t xml:space="preserve">Acute Q Fever </w:t>
      </w:r>
    </w:p>
    <w:p w:rsidRPr="00613912" w:rsidR="00613912" w:rsidP="00613912" w:rsidRDefault="00613912" w14:paraId="456AFD17" w14:textId="77777777">
      <w:pPr>
        <w:shd w:val="clear" w:color="auto" w:fill="FFFFFF"/>
        <w:spacing w:before="240" w:after="120"/>
        <w:outlineLvl w:val="3"/>
        <w:rPr>
          <w:rFonts w:ascii="Open Sans" w:hAnsi="Open Sans" w:cs="Open Sans"/>
          <w:sz w:val="24"/>
          <w:lang w:eastAsia="en-AU"/>
        </w:rPr>
      </w:pPr>
      <w:r w:rsidRPr="00613912">
        <w:rPr>
          <w:rFonts w:ascii="Open Sans" w:hAnsi="Open Sans" w:cs="Open Sans"/>
          <w:sz w:val="24"/>
          <w:lang w:eastAsia="en-AU"/>
        </w:rPr>
        <w:t>1.1.1 Laboratory Definitive Criteria</w:t>
      </w:r>
    </w:p>
    <w:p w:rsidRPr="00613912" w:rsidR="00613912" w:rsidP="00613912" w:rsidRDefault="00613912" w14:paraId="347C32CC" w14:textId="77777777">
      <w:pPr>
        <w:numPr>
          <w:ilvl w:val="0"/>
          <w:numId w:val="20"/>
        </w:numPr>
        <w:shd w:val="clear" w:color="auto" w:fill="FFFFFF"/>
        <w:spacing w:after="90" w:line="300" w:lineRule="atLeast"/>
        <w:rPr>
          <w:rFonts w:ascii="Helvetica" w:hAnsi="Helvetica" w:cs="Helvetica"/>
          <w:sz w:val="20"/>
          <w:szCs w:val="20"/>
          <w:lang w:eastAsia="en-AU"/>
        </w:rPr>
      </w:pPr>
      <w:r w:rsidRPr="00613912">
        <w:rPr>
          <w:rFonts w:ascii="Helvetica" w:hAnsi="Helvetica" w:cs="Helvetica"/>
          <w:sz w:val="20"/>
          <w:szCs w:val="20"/>
          <w:lang w:eastAsia="en-AU"/>
        </w:rPr>
        <w:t>Isolation of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OR</w:t>
      </w:r>
    </w:p>
    <w:p w:rsidRPr="00613912" w:rsidR="00613912" w:rsidP="00613912" w:rsidRDefault="00613912" w14:paraId="1BB594FA" w14:textId="77777777">
      <w:pPr>
        <w:numPr>
          <w:ilvl w:val="0"/>
          <w:numId w:val="20"/>
        </w:numPr>
        <w:shd w:val="clear" w:color="auto" w:fill="FFFFFF"/>
        <w:spacing w:after="90" w:line="300" w:lineRule="atLeast"/>
        <w:rPr>
          <w:rFonts w:ascii="Helvetica" w:hAnsi="Helvetica" w:cs="Helvetica"/>
          <w:sz w:val="20"/>
          <w:szCs w:val="20"/>
          <w:lang w:eastAsia="en-AU"/>
        </w:rPr>
      </w:pPr>
      <w:r w:rsidRPr="00613912">
        <w:rPr>
          <w:rFonts w:ascii="Helvetica" w:hAnsi="Helvetica" w:cs="Helvetica"/>
          <w:sz w:val="20"/>
          <w:szCs w:val="20"/>
          <w:lang w:eastAsia="en-AU"/>
        </w:rPr>
        <w:t>Detection of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by nucleic acid amplification test (NAAT); OR</w:t>
      </w:r>
    </w:p>
    <w:p w:rsidRPr="00613912" w:rsidR="00613912" w:rsidP="00613912" w:rsidRDefault="00613912" w14:paraId="2020FEA2" w14:textId="77777777">
      <w:pPr>
        <w:numPr>
          <w:ilvl w:val="0"/>
          <w:numId w:val="20"/>
        </w:numPr>
        <w:shd w:val="clear" w:color="auto" w:fill="FFFFFF"/>
        <w:spacing w:after="90" w:line="300" w:lineRule="atLeast"/>
        <w:rPr>
          <w:rFonts w:ascii="Helvetica" w:hAnsi="Helvetica" w:cs="Helvetica"/>
          <w:sz w:val="20"/>
          <w:szCs w:val="20"/>
          <w:lang w:eastAsia="en-AU"/>
        </w:rPr>
      </w:pPr>
      <w:r w:rsidRPr="00613912">
        <w:rPr>
          <w:rFonts w:ascii="Helvetica" w:hAnsi="Helvetica" w:cs="Helvetica"/>
          <w:sz w:val="20"/>
          <w:szCs w:val="20"/>
          <w:lang w:eastAsia="en-AU"/>
        </w:rPr>
        <w:t>Seroconversion or 4-fold or greater increase in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antibody titre to phase II antigen by complement fixation (CF) assay or by indirect immunofluorescent (IFA) IgG antibody assay in paired sera.</w:t>
      </w:r>
    </w:p>
    <w:p w:rsidRPr="00613912" w:rsidR="00613912" w:rsidP="00613912" w:rsidRDefault="00613912" w14:paraId="2CD54F17"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1.1.2 Laboratory Suggestive Criteria</w:t>
      </w:r>
    </w:p>
    <w:p w:rsidRPr="00613912" w:rsidR="00613912" w:rsidP="00613912" w:rsidRDefault="00613912" w14:paraId="0E47EEB7" w14:textId="77777777">
      <w:pPr>
        <w:numPr>
          <w:ilvl w:val="0"/>
          <w:numId w:val="21"/>
        </w:numPr>
        <w:shd w:val="clear" w:color="auto" w:fill="FFFFFF"/>
        <w:spacing w:after="90" w:line="300" w:lineRule="atLeast"/>
        <w:rPr>
          <w:rFonts w:ascii="Helvetica" w:hAnsi="Helvetica" w:cs="Helvetica"/>
          <w:sz w:val="20"/>
          <w:szCs w:val="20"/>
          <w:lang w:eastAsia="en-AU"/>
        </w:rPr>
      </w:pPr>
      <w:r w:rsidRPr="00613912">
        <w:rPr>
          <w:rFonts w:ascii="Helvetica" w:hAnsi="Helvetica" w:cs="Helvetica"/>
          <w:sz w:val="20"/>
          <w:szCs w:val="20"/>
          <w:lang w:eastAsia="en-AU"/>
        </w:rPr>
        <w:t>IgM antibody to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phase II antigen</w:t>
      </w:r>
    </w:p>
    <w:p w:rsidRPr="00613912" w:rsidR="00613912" w:rsidP="00613912" w:rsidRDefault="00613912" w14:paraId="789D8F49" w14:textId="77777777">
      <w:pPr>
        <w:numPr>
          <w:ilvl w:val="0"/>
          <w:numId w:val="21"/>
        </w:numPr>
        <w:shd w:val="clear" w:color="auto" w:fill="FFFFFF"/>
        <w:spacing w:after="90" w:line="300" w:lineRule="atLeast"/>
        <w:rPr>
          <w:rFonts w:ascii="Helvetica" w:hAnsi="Helvetica" w:cs="Helvetica"/>
          <w:sz w:val="20"/>
          <w:szCs w:val="20"/>
          <w:lang w:eastAsia="en-AU"/>
        </w:rPr>
      </w:pPr>
      <w:r w:rsidRPr="00613912">
        <w:rPr>
          <w:rFonts w:ascii="Helvetica" w:hAnsi="Helvetica" w:cs="Helvetica"/>
          <w:sz w:val="20"/>
          <w:szCs w:val="20"/>
          <w:lang w:eastAsia="en-AU"/>
        </w:rPr>
        <w:t>Single convalescent IgG antibody to phase II antigen &gt; 1:128 by IFA assay</w:t>
      </w:r>
    </w:p>
    <w:p w:rsidRPr="00613912" w:rsidR="00613912" w:rsidP="00613912" w:rsidRDefault="00613912" w14:paraId="4F8ED52F"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1.1.3 Special Considerations / Guide for Use</w:t>
      </w:r>
    </w:p>
    <w:p w:rsidRPr="00613912" w:rsidR="00613912" w:rsidP="00613912" w:rsidRDefault="00613912" w14:paraId="35955B0B" w14:textId="77777777">
      <w:pPr>
        <w:numPr>
          <w:ilvl w:val="0"/>
          <w:numId w:val="22"/>
        </w:numPr>
        <w:shd w:val="clear" w:color="auto" w:fill="FFFFFF"/>
        <w:spacing w:after="90" w:line="300" w:lineRule="atLeast"/>
        <w:rPr>
          <w:rFonts w:ascii="Helvetica" w:hAnsi="Helvetica" w:cs="Helvetica"/>
          <w:sz w:val="20"/>
          <w:szCs w:val="20"/>
          <w:lang w:eastAsia="en-AU"/>
        </w:rPr>
      </w:pPr>
      <w:r w:rsidRPr="00613912">
        <w:rPr>
          <w:rFonts w:ascii="Helvetica" w:hAnsi="Helvetica" w:cs="Helvetica"/>
          <w:sz w:val="20"/>
          <w:szCs w:val="20"/>
          <w:lang w:eastAsia="en-AU"/>
        </w:rPr>
        <w:t>Detection by NAAT with negative serology results confirm acute Q fever, however serial serological testing is required to monitor for chronic infection.</w:t>
      </w:r>
    </w:p>
    <w:p w:rsidRPr="00613912" w:rsidR="00613912" w:rsidP="00613912" w:rsidRDefault="00613912" w14:paraId="3DD28F36" w14:textId="77777777">
      <w:pPr>
        <w:shd w:val="clear" w:color="auto" w:fill="FFFFFF"/>
        <w:spacing w:after="120"/>
        <w:outlineLvl w:val="2"/>
        <w:rPr>
          <w:rFonts w:ascii="Open Sans" w:hAnsi="Open Sans" w:cs="Open Sans"/>
          <w:sz w:val="27"/>
          <w:szCs w:val="27"/>
          <w:lang w:eastAsia="en-AU"/>
        </w:rPr>
      </w:pPr>
      <w:r w:rsidRPr="00613912">
        <w:rPr>
          <w:rFonts w:ascii="Open Sans" w:hAnsi="Open Sans" w:cs="Open Sans"/>
          <w:sz w:val="27"/>
          <w:szCs w:val="27"/>
          <w:lang w:eastAsia="en-AU"/>
        </w:rPr>
        <w:t>1.2 Condition:</w:t>
      </w:r>
    </w:p>
    <w:p w:rsidRPr="00613912" w:rsidR="00613912" w:rsidP="00613912" w:rsidRDefault="00613912" w14:paraId="51CCD8C4"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 xml:space="preserve">Chronic Q Fever </w:t>
      </w:r>
      <w:proofErr w:type="gramStart"/>
      <w:r w:rsidRPr="00613912">
        <w:rPr>
          <w:rFonts w:ascii="Helvetica" w:hAnsi="Helvetica" w:cs="Helvetica"/>
          <w:sz w:val="20"/>
          <w:szCs w:val="20"/>
          <w:lang w:eastAsia="en-AU"/>
        </w:rPr>
        <w:t>-  </w:t>
      </w:r>
      <w:r w:rsidRPr="00613912">
        <w:rPr>
          <w:rFonts w:ascii="Helvetica" w:hAnsi="Helvetica" w:cs="Helvetica"/>
          <w:i/>
          <w:iCs/>
          <w:sz w:val="20"/>
          <w:szCs w:val="20"/>
          <w:lang w:eastAsia="en-AU"/>
        </w:rPr>
        <w:t>Coxiella</w:t>
      </w:r>
      <w:proofErr w:type="gramEnd"/>
      <w:r w:rsidRPr="00613912">
        <w:rPr>
          <w:rFonts w:ascii="Helvetica" w:hAnsi="Helvetica" w:cs="Helvetica"/>
          <w:i/>
          <w:iCs/>
          <w:sz w:val="20"/>
          <w:szCs w:val="20"/>
          <w:lang w:eastAsia="en-AU"/>
        </w:rPr>
        <w:t xml:space="preserve"> </w:t>
      </w:r>
      <w:proofErr w:type="spellStart"/>
      <w:r w:rsidRPr="00613912">
        <w:rPr>
          <w:rFonts w:ascii="Helvetica" w:hAnsi="Helvetica" w:cs="Helvetica"/>
          <w:i/>
          <w:iCs/>
          <w:sz w:val="20"/>
          <w:szCs w:val="20"/>
          <w:lang w:eastAsia="en-AU"/>
        </w:rPr>
        <w:t>burnetii</w:t>
      </w:r>
      <w:proofErr w:type="spellEnd"/>
    </w:p>
    <w:p w:rsidRPr="00613912" w:rsidR="00613912" w:rsidP="00613912" w:rsidRDefault="00613912" w14:paraId="3AA4C25A" w14:textId="77777777">
      <w:pPr>
        <w:keepNext/>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lastRenderedPageBreak/>
        <w:t>1.2.1 Laboratory Definitive Criteria</w:t>
      </w:r>
    </w:p>
    <w:p w:rsidRPr="00613912" w:rsidR="00613912" w:rsidP="00613912" w:rsidRDefault="00613912" w14:paraId="5DC0C6CB" w14:textId="77777777">
      <w:pPr>
        <w:numPr>
          <w:ilvl w:val="0"/>
          <w:numId w:val="23"/>
        </w:numPr>
        <w:shd w:val="clear" w:color="auto" w:fill="FFFFFF"/>
        <w:spacing w:after="90" w:line="300" w:lineRule="atLeast"/>
        <w:rPr>
          <w:rFonts w:ascii="Helvetica" w:hAnsi="Helvetica" w:cs="Helvetica"/>
          <w:sz w:val="20"/>
          <w:szCs w:val="20"/>
          <w:lang w:eastAsia="en-AU"/>
        </w:rPr>
      </w:pPr>
      <w:r w:rsidRPr="00613912">
        <w:rPr>
          <w:rFonts w:ascii="Helvetica" w:hAnsi="Helvetica" w:cs="Helvetica"/>
          <w:sz w:val="20"/>
          <w:szCs w:val="20"/>
          <w:lang w:eastAsia="en-AU"/>
        </w:rPr>
        <w:t>Isolation of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xml:space="preserve"> in heart tissue, </w:t>
      </w:r>
      <w:proofErr w:type="gramStart"/>
      <w:r w:rsidRPr="00613912">
        <w:rPr>
          <w:rFonts w:ascii="Helvetica" w:hAnsi="Helvetica" w:cs="Helvetica"/>
          <w:sz w:val="20"/>
          <w:szCs w:val="20"/>
          <w:lang w:eastAsia="en-AU"/>
        </w:rPr>
        <w:t>bone</w:t>
      </w:r>
      <w:proofErr w:type="gramEnd"/>
      <w:r w:rsidRPr="00613912">
        <w:rPr>
          <w:rFonts w:ascii="Helvetica" w:hAnsi="Helvetica" w:cs="Helvetica"/>
          <w:sz w:val="20"/>
          <w:szCs w:val="20"/>
          <w:lang w:eastAsia="en-AU"/>
        </w:rPr>
        <w:t xml:space="preserve"> or vascular graft; OR</w:t>
      </w:r>
    </w:p>
    <w:p w:rsidRPr="00613912" w:rsidR="00613912" w:rsidP="00613912" w:rsidRDefault="00613912" w14:paraId="47973A41" w14:textId="77777777">
      <w:pPr>
        <w:numPr>
          <w:ilvl w:val="0"/>
          <w:numId w:val="23"/>
        </w:numPr>
        <w:shd w:val="clear" w:color="auto" w:fill="FFFFFF"/>
        <w:spacing w:after="90" w:line="300" w:lineRule="atLeast"/>
        <w:rPr>
          <w:rFonts w:ascii="Helvetica" w:hAnsi="Helvetica" w:cs="Helvetica"/>
          <w:sz w:val="20"/>
          <w:szCs w:val="20"/>
          <w:lang w:eastAsia="en-AU"/>
        </w:rPr>
      </w:pPr>
      <w:r w:rsidRPr="00613912">
        <w:rPr>
          <w:rFonts w:ascii="Helvetica" w:hAnsi="Helvetica" w:cs="Helvetica"/>
          <w:sz w:val="20"/>
          <w:szCs w:val="20"/>
          <w:lang w:eastAsia="en-AU"/>
        </w:rPr>
        <w:t>Detection of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xml:space="preserve"> by nucleic acid amplification test (NAAT) of heart tissue, </w:t>
      </w:r>
      <w:proofErr w:type="gramStart"/>
      <w:r w:rsidRPr="00613912">
        <w:rPr>
          <w:rFonts w:ascii="Helvetica" w:hAnsi="Helvetica" w:cs="Helvetica"/>
          <w:sz w:val="20"/>
          <w:szCs w:val="20"/>
          <w:lang w:eastAsia="en-AU"/>
        </w:rPr>
        <w:t>bone</w:t>
      </w:r>
      <w:proofErr w:type="gramEnd"/>
      <w:r w:rsidRPr="00613912">
        <w:rPr>
          <w:rFonts w:ascii="Helvetica" w:hAnsi="Helvetica" w:cs="Helvetica"/>
          <w:sz w:val="20"/>
          <w:szCs w:val="20"/>
          <w:lang w:eastAsia="en-AU"/>
        </w:rPr>
        <w:t xml:space="preserve"> or vascular graft.</w:t>
      </w:r>
    </w:p>
    <w:p w:rsidRPr="00613912" w:rsidR="00613912" w:rsidP="00613912" w:rsidRDefault="00613912" w14:paraId="0FA2A7A8"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1.2.2 Laboratory Suggestive Criteria</w:t>
      </w:r>
    </w:p>
    <w:p w:rsidRPr="00613912" w:rsidR="00613912" w:rsidP="00613912" w:rsidRDefault="00613912" w14:paraId="6E069BEA" w14:textId="77777777">
      <w:pPr>
        <w:numPr>
          <w:ilvl w:val="0"/>
          <w:numId w:val="24"/>
        </w:numPr>
        <w:shd w:val="clear" w:color="auto" w:fill="FFFFFF"/>
        <w:spacing w:after="90" w:line="300" w:lineRule="atLeast"/>
        <w:rPr>
          <w:rFonts w:ascii="Helvetica" w:hAnsi="Helvetica" w:cs="Helvetica"/>
          <w:sz w:val="20"/>
          <w:szCs w:val="20"/>
          <w:lang w:eastAsia="en-AU"/>
        </w:rPr>
      </w:pPr>
      <w:r w:rsidRPr="00613912">
        <w:rPr>
          <w:rFonts w:ascii="Helvetica" w:hAnsi="Helvetica" w:cs="Helvetica"/>
          <w:sz w:val="20"/>
          <w:szCs w:val="20"/>
          <w:lang w:eastAsia="en-AU"/>
        </w:rPr>
        <w:t>IgG antibody to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phase I antigen &gt;1:1024 by IFA assay</w:t>
      </w:r>
    </w:p>
    <w:p w:rsidRPr="00613912" w:rsidR="00613912" w:rsidP="00613912" w:rsidRDefault="00613912" w14:paraId="0E984F94" w14:textId="77777777">
      <w:pPr>
        <w:numPr>
          <w:ilvl w:val="0"/>
          <w:numId w:val="24"/>
        </w:numPr>
        <w:shd w:val="clear" w:color="auto" w:fill="FFFFFF"/>
        <w:spacing w:after="90" w:line="300" w:lineRule="atLeast"/>
        <w:rPr>
          <w:rFonts w:ascii="Helvetica" w:hAnsi="Helvetica" w:cs="Helvetica"/>
          <w:sz w:val="20"/>
          <w:szCs w:val="20"/>
          <w:lang w:eastAsia="en-AU"/>
        </w:rPr>
      </w:pPr>
      <w:r w:rsidRPr="00613912">
        <w:rPr>
          <w:rFonts w:ascii="Helvetica" w:hAnsi="Helvetica" w:cs="Helvetica"/>
          <w:sz w:val="20"/>
          <w:szCs w:val="20"/>
          <w:lang w:eastAsia="en-AU"/>
        </w:rPr>
        <w:t>Isolation of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in blood</w:t>
      </w:r>
    </w:p>
    <w:p w:rsidR="00613912" w:rsidP="00613912" w:rsidRDefault="00613912" w14:paraId="0431A614" w14:textId="3D250386">
      <w:pPr>
        <w:numPr>
          <w:ilvl w:val="0"/>
          <w:numId w:val="24"/>
        </w:numPr>
        <w:shd w:val="clear" w:color="auto" w:fill="FFFFFF"/>
        <w:spacing w:after="90" w:line="300" w:lineRule="atLeast"/>
        <w:rPr>
          <w:rFonts w:ascii="Helvetica" w:hAnsi="Helvetica" w:cs="Helvetica"/>
          <w:sz w:val="20"/>
          <w:szCs w:val="20"/>
          <w:lang w:eastAsia="en-AU"/>
        </w:rPr>
      </w:pPr>
      <w:r w:rsidRPr="00613912">
        <w:rPr>
          <w:rFonts w:ascii="Helvetica" w:hAnsi="Helvetica" w:cs="Helvetica"/>
          <w:sz w:val="20"/>
          <w:szCs w:val="20"/>
          <w:lang w:eastAsia="en-AU"/>
        </w:rPr>
        <w:t>Detection of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by nucleic acid amplification test (NAAT) in blood</w:t>
      </w:r>
    </w:p>
    <w:p w:rsidRPr="00613912" w:rsidR="00613912" w:rsidP="00613912" w:rsidRDefault="00613912" w14:paraId="5005127B" w14:textId="77777777">
      <w:pPr>
        <w:shd w:val="clear" w:color="auto" w:fill="FFFFFF"/>
        <w:spacing w:after="90" w:line="300" w:lineRule="atLeast"/>
        <w:rPr>
          <w:rFonts w:ascii="Helvetica" w:hAnsi="Helvetica" w:cs="Helvetica"/>
          <w:sz w:val="20"/>
          <w:szCs w:val="20"/>
          <w:lang w:eastAsia="en-AU"/>
        </w:rPr>
      </w:pPr>
    </w:p>
    <w:p w:rsidRPr="00613912" w:rsidR="00613912" w:rsidP="00613912" w:rsidRDefault="00613912" w14:paraId="7FBD016A" w14:textId="77777777">
      <w:pPr>
        <w:shd w:val="clear" w:color="auto" w:fill="FFFFFF"/>
        <w:spacing w:after="120"/>
        <w:outlineLvl w:val="1"/>
        <w:rPr>
          <w:rFonts w:ascii="Open Sans" w:hAnsi="Open Sans" w:cs="Open Sans"/>
          <w:sz w:val="36"/>
          <w:szCs w:val="36"/>
          <w:lang w:eastAsia="en-AU"/>
        </w:rPr>
      </w:pPr>
      <w:r w:rsidRPr="00613912">
        <w:rPr>
          <w:rFonts w:ascii="Open Sans" w:hAnsi="Open Sans" w:cs="Open Sans"/>
          <w:sz w:val="36"/>
          <w:szCs w:val="36"/>
          <w:lang w:eastAsia="en-AU"/>
        </w:rPr>
        <w:t>2. Introduction</w:t>
      </w:r>
    </w:p>
    <w:p w:rsidRPr="00613912" w:rsidR="00613912" w:rsidP="00613912" w:rsidRDefault="00613912" w14:paraId="4F022125" w14:textId="1FF31C19">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Q fever in its acute primary and various chronic forms is the commonest and most serious zoonosis in Australia with an annual notification rate of 2.1 cases per 100,000 population</w:t>
      </w:r>
      <w:r w:rsidRPr="00613912">
        <w:rPr>
          <w:rFonts w:ascii="Helvetica" w:hAnsi="Helvetica" w:cs="Helvetica"/>
          <w:sz w:val="15"/>
          <w:szCs w:val="15"/>
          <w:vertAlign w:val="superscript"/>
          <w:lang w:eastAsia="en-AU"/>
        </w:rPr>
        <w:t>1</w:t>
      </w:r>
      <w:r w:rsidRPr="00613912">
        <w:rPr>
          <w:rFonts w:ascii="Helvetica" w:hAnsi="Helvetica" w:cs="Helvetica"/>
          <w:sz w:val="20"/>
          <w:szCs w:val="20"/>
          <w:lang w:eastAsia="en-AU"/>
        </w:rPr>
        <w:t>. It is probable that many mild acute cases are not recognised.</w:t>
      </w:r>
    </w:p>
    <w:p w:rsidRPr="00613912" w:rsidR="00613912" w:rsidP="00613912" w:rsidRDefault="00613912" w14:paraId="1FBE6102" w14:textId="719530E8">
      <w:pPr>
        <w:shd w:val="clear" w:color="auto" w:fill="FFFFFF"/>
        <w:spacing w:before="240" w:after="240" w:line="300" w:lineRule="atLeast"/>
        <w:rPr>
          <w:rFonts w:ascii="Helvetica" w:hAnsi="Helvetica" w:cs="Helvetica"/>
          <w:sz w:val="20"/>
          <w:szCs w:val="20"/>
          <w:lang w:eastAsia="en-AU"/>
        </w:rPr>
      </w:pPr>
      <w:r w:rsidRPr="00613912">
        <w:rPr>
          <w:rFonts w:ascii="Helvetica" w:hAnsi="Helvetica" w:cs="Helvetica"/>
          <w:sz w:val="20"/>
          <w:szCs w:val="20"/>
          <w:lang w:eastAsia="en-AU"/>
        </w:rPr>
        <w:t>The causative organism of Q fever is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It has a world-wide distribution. There are reservoirs of infection in wild animals and their ticks, but these are mostly of little significance for humans. Domestic ruminants are the principal source of human infection. In female animals, after an initial infection,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xml:space="preserve"> later recrudesces during pregnancy and multiplies in the placenta at the end of parturition. It is then shed in large numbers in the products of conception. Organisms may also be excreted in the milk for a long period. Companion animals such as cats and dogs may sometimes be infected </w:t>
      </w:r>
      <w:proofErr w:type="gramStart"/>
      <w:r w:rsidRPr="00613912">
        <w:rPr>
          <w:rFonts w:ascii="Helvetica" w:hAnsi="Helvetica" w:cs="Helvetica"/>
          <w:sz w:val="20"/>
          <w:szCs w:val="20"/>
          <w:lang w:eastAsia="en-AU"/>
        </w:rPr>
        <w:t>and also</w:t>
      </w:r>
      <w:proofErr w:type="gramEnd"/>
      <w:r w:rsidRPr="00613912">
        <w:rPr>
          <w:rFonts w:ascii="Helvetica" w:hAnsi="Helvetica" w:cs="Helvetica"/>
          <w:sz w:val="20"/>
          <w:szCs w:val="20"/>
          <w:lang w:eastAsia="en-AU"/>
        </w:rPr>
        <w:t xml:space="preserve"> shed the organism at parturition. The epidemiology and occupational prevalence of the disease in meat and livestock workers and subsidiary trades reflects this natural history of infection in cattle, </w:t>
      </w:r>
      <w:proofErr w:type="gramStart"/>
      <w:r w:rsidRPr="00613912">
        <w:rPr>
          <w:rFonts w:ascii="Helvetica" w:hAnsi="Helvetica" w:cs="Helvetica"/>
          <w:sz w:val="20"/>
          <w:szCs w:val="20"/>
          <w:lang w:eastAsia="en-AU"/>
        </w:rPr>
        <w:t>sheep</w:t>
      </w:r>
      <w:proofErr w:type="gramEnd"/>
      <w:r w:rsidRPr="00613912">
        <w:rPr>
          <w:rFonts w:ascii="Helvetica" w:hAnsi="Helvetica" w:cs="Helvetica"/>
          <w:sz w:val="20"/>
          <w:szCs w:val="20"/>
          <w:lang w:eastAsia="en-AU"/>
        </w:rPr>
        <w:t xml:space="preserve"> and goats. However, Q fever is by no means confined to occupationally exposed groups. The compact extracellular form of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xml:space="preserve"> is highly resistant to drying and </w:t>
      </w:r>
      <w:proofErr w:type="gramStart"/>
      <w:r w:rsidRPr="00613912">
        <w:rPr>
          <w:rFonts w:ascii="Helvetica" w:hAnsi="Helvetica" w:cs="Helvetica"/>
          <w:sz w:val="20"/>
          <w:szCs w:val="20"/>
          <w:lang w:eastAsia="en-AU"/>
        </w:rPr>
        <w:t>sunlight, and</w:t>
      </w:r>
      <w:proofErr w:type="gramEnd"/>
      <w:r w:rsidRPr="00613912">
        <w:rPr>
          <w:rFonts w:ascii="Helvetica" w:hAnsi="Helvetica" w:cs="Helvetica"/>
          <w:sz w:val="20"/>
          <w:szCs w:val="20"/>
          <w:lang w:eastAsia="en-AU"/>
        </w:rPr>
        <w:t xml:space="preserve"> survives well in dust and aerosols. Contaminated dust may be carried on fomites (</w:t>
      </w:r>
      <w:proofErr w:type="spellStart"/>
      <w:r w:rsidRPr="00613912">
        <w:rPr>
          <w:rFonts w:ascii="Helvetica" w:hAnsi="Helvetica" w:cs="Helvetica"/>
          <w:sz w:val="20"/>
          <w:szCs w:val="20"/>
          <w:lang w:eastAsia="en-AU"/>
        </w:rPr>
        <w:t>eg.</w:t>
      </w:r>
      <w:proofErr w:type="spellEnd"/>
      <w:r w:rsidRPr="00613912">
        <w:rPr>
          <w:rFonts w:ascii="Helvetica" w:hAnsi="Helvetica" w:cs="Helvetica"/>
          <w:sz w:val="20"/>
          <w:szCs w:val="20"/>
          <w:lang w:eastAsia="en-AU"/>
        </w:rPr>
        <w:t>, straw, work clothing) and liberated in microenvironments at a distance from its animal source. In addition, there are many recorded examples of direct dust-borne spread to residents in urban areas near abattoirs, feed lots or pastures with numerous parturient animals. Despite its environmental stability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is destroyed at temperatures between 60-700 C and pasteurisation of infected milk destroys the organism.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is also inactivated by phenol, cresol mixtures, 70% ethanol-water mixtures and 5% chloroform. Although there has been a single report of formalin resistance, this has not been confirmed. Low concentrations of formalin consistently inactivate the organism during the preparation of Q fever vaccine.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is a facultative intracellular parasite that can be isolated by animal inoculation or by inoculation of tissue culture cells</w:t>
      </w:r>
      <w:r w:rsidRPr="00613912">
        <w:rPr>
          <w:rFonts w:ascii="Helvetica" w:hAnsi="Helvetica" w:cs="Helvetica"/>
          <w:sz w:val="15"/>
          <w:szCs w:val="15"/>
          <w:vertAlign w:val="superscript"/>
          <w:lang w:eastAsia="en-AU"/>
        </w:rPr>
        <w:t>2</w:t>
      </w:r>
      <w:r w:rsidRPr="00613912">
        <w:rPr>
          <w:rFonts w:ascii="Helvetica" w:hAnsi="Helvetica" w:cs="Helvetica"/>
          <w:sz w:val="20"/>
          <w:szCs w:val="20"/>
          <w:lang w:eastAsia="en-AU"/>
        </w:rPr>
        <w:t>. It can also be grown in specialized cell-free media although this technique is not used for diagnosis</w:t>
      </w:r>
      <w:r w:rsidRPr="00613912">
        <w:rPr>
          <w:rFonts w:ascii="Helvetica" w:hAnsi="Helvetica" w:cs="Helvetica"/>
          <w:sz w:val="15"/>
          <w:szCs w:val="15"/>
          <w:vertAlign w:val="superscript"/>
          <w:lang w:eastAsia="en-AU"/>
        </w:rPr>
        <w:t>3</w:t>
      </w:r>
      <w:r w:rsidRPr="00613912">
        <w:rPr>
          <w:rFonts w:ascii="Helvetica" w:hAnsi="Helvetica" w:cs="Helvetica"/>
          <w:sz w:val="20"/>
          <w:szCs w:val="20"/>
          <w:lang w:eastAsia="en-AU"/>
        </w:rPr>
        <w:t>. Serological diagnosis of Q fever depends on the detection of antibodies to cell wall lipopolysaccharide (LPS</w:t>
      </w:r>
      <w:r w:rsidRPr="00613912">
        <w:rPr>
          <w:rFonts w:ascii="Helvetica" w:hAnsi="Helvetica" w:cs="Helvetica"/>
          <w:sz w:val="15"/>
          <w:szCs w:val="15"/>
          <w:vertAlign w:val="superscript"/>
          <w:lang w:eastAsia="en-AU"/>
        </w:rPr>
        <w:t>4</w:t>
      </w:r>
      <w:r w:rsidRPr="00613912">
        <w:rPr>
          <w:rFonts w:ascii="Helvetica" w:hAnsi="Helvetica" w:cs="Helvetica"/>
          <w:sz w:val="20"/>
          <w:szCs w:val="20"/>
          <w:lang w:eastAsia="en-AU"/>
        </w:rPr>
        <w:t>). Expression of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xml:space="preserve"> LPS is subject to phase variation; when first harvested from the spleens of infected </w:t>
      </w:r>
      <w:proofErr w:type="gramStart"/>
      <w:r w:rsidRPr="00613912">
        <w:rPr>
          <w:rFonts w:ascii="Helvetica" w:hAnsi="Helvetica" w:cs="Helvetica"/>
          <w:sz w:val="20"/>
          <w:szCs w:val="20"/>
          <w:lang w:eastAsia="en-AU"/>
        </w:rPr>
        <w:t>animals</w:t>
      </w:r>
      <w:proofErr w:type="gramEnd"/>
      <w:r w:rsidRPr="00613912">
        <w:rPr>
          <w:rFonts w:ascii="Helvetica" w:hAnsi="Helvetica" w:cs="Helvetica"/>
          <w:sz w:val="20"/>
          <w:szCs w:val="20"/>
          <w:lang w:eastAsia="en-AU"/>
        </w:rPr>
        <w:t xml:space="preserve"> phase I antigen is expressed while hen egg yolk sac passage results in expression of phase II antigen</w:t>
      </w:r>
      <w:r w:rsidRPr="00613912">
        <w:rPr>
          <w:rFonts w:ascii="Helvetica" w:hAnsi="Helvetica" w:cs="Helvetica"/>
          <w:sz w:val="15"/>
          <w:szCs w:val="15"/>
          <w:vertAlign w:val="superscript"/>
          <w:lang w:eastAsia="en-AU"/>
        </w:rPr>
        <w:t>5</w:t>
      </w:r>
      <w:r w:rsidRPr="00613912">
        <w:rPr>
          <w:rFonts w:ascii="Helvetica" w:hAnsi="Helvetica" w:cs="Helvetica"/>
          <w:sz w:val="20"/>
          <w:szCs w:val="20"/>
          <w:lang w:eastAsia="en-AU"/>
        </w:rPr>
        <w:t>. Paradoxically, antibodies to phase II antigen are detected early in infection whereas those to phase I are detected later.</w:t>
      </w:r>
    </w:p>
    <w:p w:rsidRPr="00613912" w:rsidR="00613912" w:rsidP="00613912" w:rsidRDefault="00613912" w14:paraId="659C5806" w14:textId="77777777">
      <w:pPr>
        <w:keepNext/>
        <w:shd w:val="clear" w:color="auto" w:fill="FFFFFF"/>
        <w:spacing w:after="120"/>
        <w:outlineLvl w:val="1"/>
        <w:rPr>
          <w:rFonts w:ascii="Open Sans" w:hAnsi="Open Sans" w:cs="Open Sans"/>
          <w:sz w:val="36"/>
          <w:szCs w:val="36"/>
          <w:lang w:eastAsia="en-AU"/>
        </w:rPr>
      </w:pPr>
      <w:r w:rsidRPr="00613912">
        <w:rPr>
          <w:rFonts w:ascii="Open Sans" w:hAnsi="Open Sans" w:cs="Open Sans"/>
          <w:sz w:val="36"/>
          <w:szCs w:val="36"/>
          <w:lang w:eastAsia="en-AU"/>
        </w:rPr>
        <w:lastRenderedPageBreak/>
        <w:t>3. Laboratory diagnosis of Q fever</w:t>
      </w:r>
    </w:p>
    <w:p w:rsidRPr="00613912" w:rsidR="00613912" w:rsidP="00613912" w:rsidRDefault="00613912" w14:paraId="39E9D744" w14:textId="77777777">
      <w:pPr>
        <w:shd w:val="clear" w:color="auto" w:fill="FFFFFF"/>
        <w:spacing w:before="240" w:after="120"/>
        <w:outlineLvl w:val="2"/>
        <w:rPr>
          <w:rFonts w:ascii="Open Sans" w:hAnsi="Open Sans" w:cs="Open Sans"/>
          <w:sz w:val="27"/>
          <w:szCs w:val="27"/>
          <w:lang w:eastAsia="en-AU"/>
        </w:rPr>
      </w:pPr>
      <w:r w:rsidRPr="00613912">
        <w:rPr>
          <w:rFonts w:ascii="Open Sans" w:hAnsi="Open Sans" w:cs="Open Sans"/>
          <w:sz w:val="27"/>
          <w:szCs w:val="27"/>
          <w:lang w:eastAsia="en-AU"/>
        </w:rPr>
        <w:t xml:space="preserve">3.1 Direct detection of C. </w:t>
      </w:r>
      <w:proofErr w:type="spellStart"/>
      <w:r w:rsidRPr="00613912">
        <w:rPr>
          <w:rFonts w:ascii="Open Sans" w:hAnsi="Open Sans" w:cs="Open Sans"/>
          <w:sz w:val="27"/>
          <w:szCs w:val="27"/>
          <w:lang w:eastAsia="en-AU"/>
        </w:rPr>
        <w:t>burnetii</w:t>
      </w:r>
      <w:proofErr w:type="spellEnd"/>
    </w:p>
    <w:p w:rsidRPr="00613912" w:rsidR="00613912" w:rsidP="00613912" w:rsidRDefault="00613912" w14:paraId="5AF4138F"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Stains and direct immunofluorescence for light microscopy and electron microscopy are not performed routinely and will not be discussed further.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are highly infectious and unfixed tissue samples for examination for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xml:space="preserve"> should be handled in a biohazard cabinet until fixed with formalin, dehydrated </w:t>
      </w:r>
      <w:proofErr w:type="gramStart"/>
      <w:r w:rsidRPr="00613912">
        <w:rPr>
          <w:rFonts w:ascii="Helvetica" w:hAnsi="Helvetica" w:cs="Helvetica"/>
          <w:sz w:val="20"/>
          <w:szCs w:val="20"/>
          <w:lang w:eastAsia="en-AU"/>
        </w:rPr>
        <w:t>methanol</w:t>
      </w:r>
      <w:proofErr w:type="gramEnd"/>
      <w:r w:rsidRPr="00613912">
        <w:rPr>
          <w:rFonts w:ascii="Helvetica" w:hAnsi="Helvetica" w:cs="Helvetica"/>
          <w:sz w:val="20"/>
          <w:szCs w:val="20"/>
          <w:lang w:eastAsia="en-AU"/>
        </w:rPr>
        <w:t xml:space="preserve"> or acetone.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cultures are risk level 3 organisms and should only be handled by immune staff in a PC3 facility.</w:t>
      </w:r>
    </w:p>
    <w:p w:rsidRPr="00613912" w:rsidR="00613912" w:rsidP="00613912" w:rsidRDefault="00613912" w14:paraId="609F3634" w14:textId="77777777">
      <w:pPr>
        <w:shd w:val="clear" w:color="auto" w:fill="FFFFFF"/>
        <w:spacing w:after="120"/>
        <w:outlineLvl w:val="2"/>
        <w:rPr>
          <w:rFonts w:ascii="Open Sans" w:hAnsi="Open Sans" w:cs="Open Sans"/>
          <w:sz w:val="27"/>
          <w:szCs w:val="27"/>
          <w:lang w:eastAsia="en-AU"/>
        </w:rPr>
      </w:pPr>
      <w:r w:rsidRPr="00613912">
        <w:rPr>
          <w:rFonts w:ascii="Open Sans" w:hAnsi="Open Sans" w:cs="Open Sans"/>
          <w:sz w:val="27"/>
          <w:szCs w:val="27"/>
          <w:lang w:eastAsia="en-AU"/>
        </w:rPr>
        <w:t>3.2 Polymerase chain amplification</w:t>
      </w:r>
    </w:p>
    <w:p w:rsidRPr="00613912" w:rsidR="00613912" w:rsidP="00613912" w:rsidRDefault="00613912" w14:paraId="56EF6040" w14:textId="3AC5D25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Polymerase chain amplification of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i/>
          <w:iCs/>
          <w:sz w:val="20"/>
          <w:szCs w:val="20"/>
          <w:lang w:eastAsia="en-AU"/>
        </w:rPr>
        <w:t> </w:t>
      </w:r>
      <w:r w:rsidRPr="00613912">
        <w:rPr>
          <w:rFonts w:ascii="Helvetica" w:hAnsi="Helvetica" w:cs="Helvetica"/>
          <w:sz w:val="20"/>
          <w:szCs w:val="20"/>
          <w:lang w:eastAsia="en-AU"/>
        </w:rPr>
        <w:t>genomic sequences in whole blood or buffy coat specimens offers a sensitive and safe method of detection</w:t>
      </w:r>
      <w:r w:rsidRPr="00613912">
        <w:rPr>
          <w:rFonts w:ascii="Helvetica" w:hAnsi="Helvetica" w:cs="Helvetica"/>
          <w:sz w:val="15"/>
          <w:szCs w:val="15"/>
          <w:vertAlign w:val="superscript"/>
          <w:lang w:eastAsia="en-AU"/>
        </w:rPr>
        <w:t>2</w:t>
      </w:r>
      <w:r w:rsidRPr="00613912">
        <w:rPr>
          <w:rFonts w:ascii="Helvetica" w:hAnsi="Helvetica" w:cs="Helvetica"/>
          <w:sz w:val="20"/>
          <w:szCs w:val="20"/>
          <w:lang w:eastAsia="en-AU"/>
        </w:rPr>
        <w:t>. The initial extraction of the DNA involves procedures – proteinase K treatment, chloroform phenol extraction, heating over 900 C – which inactivate viable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w:t>
      </w:r>
    </w:p>
    <w:p w:rsidRPr="00613912" w:rsidR="00613912" w:rsidP="00613912" w:rsidRDefault="00613912" w14:paraId="384C5EA7"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Suitable Specimens</w:t>
      </w:r>
    </w:p>
    <w:p w:rsidRPr="00613912" w:rsidR="00613912" w:rsidP="00613912" w:rsidRDefault="00613912" w14:paraId="64D7F99E"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Tissue, whole blood, serum.</w:t>
      </w:r>
    </w:p>
    <w:p w:rsidRPr="00613912" w:rsidR="00613912" w:rsidP="00613912" w:rsidRDefault="00613912" w14:paraId="4C901124"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Test Sensitivity and Specificity</w:t>
      </w:r>
    </w:p>
    <w:p w:rsidRPr="00613912" w:rsidR="00613912" w:rsidP="00613912" w:rsidRDefault="00613912" w14:paraId="4DEE7DC0" w14:textId="0113B80A">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This method has &gt;90% sensitivity compared with serodiagnosis early in infection. It is highly specific. Sensitivity decreases with progression of the illness with no detection after day 17</w:t>
      </w:r>
      <w:r w:rsidRPr="00613912">
        <w:rPr>
          <w:rFonts w:ascii="Helvetica" w:hAnsi="Helvetica" w:cs="Helvetica"/>
          <w:sz w:val="15"/>
          <w:szCs w:val="15"/>
          <w:vertAlign w:val="superscript"/>
          <w:lang w:eastAsia="en-AU"/>
        </w:rPr>
        <w:t>6</w:t>
      </w:r>
      <w:r w:rsidRPr="00613912">
        <w:rPr>
          <w:rFonts w:ascii="Helvetica" w:hAnsi="Helvetica" w:cs="Helvetica"/>
          <w:sz w:val="20"/>
          <w:szCs w:val="20"/>
          <w:lang w:eastAsia="en-AU"/>
        </w:rPr>
        <w:t>. However, sensitivity in chronic Q fever is only 50-60%</w:t>
      </w:r>
      <w:r w:rsidRPr="00613912">
        <w:rPr>
          <w:rFonts w:ascii="Helvetica" w:hAnsi="Helvetica" w:cs="Helvetica"/>
          <w:sz w:val="15"/>
          <w:szCs w:val="15"/>
          <w:vertAlign w:val="superscript"/>
          <w:lang w:eastAsia="en-AU"/>
        </w:rPr>
        <w:t>7,8</w:t>
      </w:r>
      <w:r w:rsidRPr="00613912">
        <w:rPr>
          <w:rFonts w:ascii="Helvetica" w:hAnsi="Helvetica" w:cs="Helvetica"/>
          <w:sz w:val="20"/>
          <w:szCs w:val="20"/>
          <w:lang w:eastAsia="en-AU"/>
        </w:rPr>
        <w:t>.</w:t>
      </w:r>
    </w:p>
    <w:p w:rsidRPr="00613912" w:rsidR="00613912" w:rsidP="00613912" w:rsidRDefault="00613912" w14:paraId="515B0943"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Suitable Test acceptance/validation criteria</w:t>
      </w:r>
    </w:p>
    <w:p w:rsidRPr="00613912" w:rsidR="00613912" w:rsidP="00613912" w:rsidRDefault="00613912" w14:paraId="2C7F395D"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In run and positive and negative control (non-template controls), extraction control.</w:t>
      </w:r>
    </w:p>
    <w:p w:rsidRPr="00613912" w:rsidR="00613912" w:rsidP="00613912" w:rsidRDefault="00613912" w14:paraId="27C87F73"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Suitable internal controls</w:t>
      </w:r>
    </w:p>
    <w:p w:rsidRPr="00613912" w:rsidR="00613912" w:rsidP="00613912" w:rsidRDefault="00613912" w14:paraId="51CE3060" w14:textId="322F74AA">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Q fever vaccine (</w:t>
      </w:r>
      <w:proofErr w:type="spellStart"/>
      <w:r w:rsidRPr="00613912">
        <w:rPr>
          <w:rFonts w:ascii="Helvetica" w:hAnsi="Helvetica" w:cs="Helvetica"/>
          <w:sz w:val="20"/>
          <w:szCs w:val="20"/>
          <w:lang w:eastAsia="en-AU"/>
        </w:rPr>
        <w:t>Qvax</w:t>
      </w:r>
      <w:proofErr w:type="spellEnd"/>
      <w:r w:rsidRPr="00613912">
        <w:rPr>
          <w:rFonts w:ascii="Helvetica" w:hAnsi="Helvetica" w:cs="Helvetica"/>
          <w:sz w:val="20"/>
          <w:szCs w:val="20"/>
          <w:lang w:eastAsia="en-AU"/>
        </w:rPr>
        <w:t> </w:t>
      </w:r>
      <w:r w:rsidRPr="00613912">
        <w:rPr>
          <w:rFonts w:ascii="Helvetica" w:hAnsi="Helvetica" w:cs="Helvetica"/>
          <w:sz w:val="15"/>
          <w:szCs w:val="15"/>
          <w:vertAlign w:val="superscript"/>
          <w:lang w:eastAsia="en-AU"/>
        </w:rPr>
        <w:t>®</w:t>
      </w:r>
      <w:r w:rsidRPr="00613912">
        <w:rPr>
          <w:rFonts w:ascii="Helvetica" w:hAnsi="Helvetica" w:cs="Helvetica"/>
          <w:sz w:val="20"/>
          <w:szCs w:val="20"/>
          <w:lang w:eastAsia="en-AU"/>
        </w:rPr>
        <w:t xml:space="preserve">, CSL Ltd, Melbourne) suspension or preferably an “artificial target” – a construct with the same primer and probe sites but with an added restriction enzyme site </w:t>
      </w:r>
      <w:proofErr w:type="gramStart"/>
      <w:r w:rsidRPr="00613912">
        <w:rPr>
          <w:rFonts w:ascii="Helvetica" w:hAnsi="Helvetica" w:cs="Helvetica"/>
          <w:sz w:val="20"/>
          <w:szCs w:val="20"/>
          <w:lang w:eastAsia="en-AU"/>
        </w:rPr>
        <w:t>not present</w:t>
      </w:r>
      <w:proofErr w:type="gramEnd"/>
      <w:r w:rsidRPr="00613912">
        <w:rPr>
          <w:rFonts w:ascii="Helvetica" w:hAnsi="Helvetica" w:cs="Helvetica"/>
          <w:sz w:val="20"/>
          <w:szCs w:val="20"/>
          <w:lang w:eastAsia="en-AU"/>
        </w:rPr>
        <w:t xml:space="preserve"> in the native DNA amplicon. Use of the uridine-UNG system gives an additional way of detecting specimen or amplicon contamination</w:t>
      </w:r>
      <w:r w:rsidRPr="00613912">
        <w:rPr>
          <w:rFonts w:ascii="Helvetica" w:hAnsi="Helvetica" w:cs="Helvetica"/>
          <w:sz w:val="15"/>
          <w:szCs w:val="15"/>
          <w:vertAlign w:val="superscript"/>
          <w:lang w:eastAsia="en-AU"/>
        </w:rPr>
        <w:t>3</w:t>
      </w:r>
      <w:r w:rsidRPr="00613912">
        <w:rPr>
          <w:rFonts w:ascii="Helvetica" w:hAnsi="Helvetica" w:cs="Helvetica"/>
          <w:sz w:val="20"/>
          <w:szCs w:val="20"/>
          <w:lang w:eastAsia="en-AU"/>
        </w:rPr>
        <w:t>.</w:t>
      </w:r>
    </w:p>
    <w:p w:rsidRPr="00613912" w:rsidR="00613912" w:rsidP="00613912" w:rsidRDefault="00613912" w14:paraId="6E22A54B"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Suitable external QA program</w:t>
      </w:r>
    </w:p>
    <w:p w:rsidRPr="00613912" w:rsidR="00613912" w:rsidP="00613912" w:rsidRDefault="00613912" w14:paraId="422C26F5"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Not currently available</w:t>
      </w:r>
    </w:p>
    <w:p w:rsidRPr="00613912" w:rsidR="00613912" w:rsidP="00613912" w:rsidRDefault="00613912" w14:paraId="32DF5075" w14:textId="77777777">
      <w:pPr>
        <w:shd w:val="clear" w:color="auto" w:fill="FFFFFF"/>
        <w:spacing w:after="120"/>
        <w:outlineLvl w:val="2"/>
        <w:rPr>
          <w:rFonts w:ascii="Open Sans" w:hAnsi="Open Sans" w:cs="Open Sans"/>
          <w:sz w:val="27"/>
          <w:szCs w:val="27"/>
          <w:lang w:eastAsia="en-AU"/>
        </w:rPr>
      </w:pPr>
      <w:r w:rsidRPr="00613912">
        <w:rPr>
          <w:rFonts w:ascii="Open Sans" w:hAnsi="Open Sans" w:cs="Open Sans"/>
          <w:sz w:val="27"/>
          <w:szCs w:val="27"/>
          <w:lang w:eastAsia="en-AU"/>
        </w:rPr>
        <w:t>3.3 Serological diagnosis</w:t>
      </w:r>
    </w:p>
    <w:p w:rsidRPr="00613912" w:rsidR="00613912" w:rsidP="00613912" w:rsidRDefault="00613912" w14:paraId="3C1E6EF9" w14:textId="77777777">
      <w:pPr>
        <w:shd w:val="clear" w:color="auto" w:fill="FFFFFF"/>
        <w:spacing w:before="240" w:after="120"/>
        <w:outlineLvl w:val="3"/>
        <w:rPr>
          <w:rFonts w:ascii="Open Sans" w:hAnsi="Open Sans" w:cs="Open Sans"/>
          <w:sz w:val="24"/>
          <w:lang w:eastAsia="en-AU"/>
        </w:rPr>
      </w:pPr>
      <w:r w:rsidRPr="00613912">
        <w:rPr>
          <w:rFonts w:ascii="Open Sans" w:hAnsi="Open Sans" w:cs="Open Sans"/>
          <w:sz w:val="24"/>
          <w:lang w:eastAsia="en-AU"/>
        </w:rPr>
        <w:t>Complement Fixation Tests</w:t>
      </w:r>
    </w:p>
    <w:p w:rsidRPr="00613912" w:rsidR="00613912" w:rsidP="00613912" w:rsidRDefault="00613912" w14:paraId="296EAEE4" w14:textId="4FFE79DA">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 xml:space="preserve">Historically, the most frequently used technique was </w:t>
      </w:r>
      <w:proofErr w:type="gramStart"/>
      <w:r w:rsidRPr="00613912">
        <w:rPr>
          <w:rFonts w:ascii="Helvetica" w:hAnsi="Helvetica" w:cs="Helvetica"/>
          <w:sz w:val="20"/>
          <w:szCs w:val="20"/>
          <w:lang w:eastAsia="en-AU"/>
        </w:rPr>
        <w:t>complement</w:t>
      </w:r>
      <w:proofErr w:type="gramEnd"/>
      <w:r w:rsidRPr="00613912">
        <w:rPr>
          <w:rFonts w:ascii="Helvetica" w:hAnsi="Helvetica" w:cs="Helvetica"/>
          <w:sz w:val="20"/>
          <w:szCs w:val="20"/>
          <w:lang w:eastAsia="en-AU"/>
        </w:rPr>
        <w:t xml:space="preserve"> fixation with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Phase 2 antigen, and later, in addition, with Phase 1 antigen. Phase 2 antibody is the first to be detected and phase 1 antibody is invariably present in chronic Q fever infection, including endocarditis, with or without phase 2 antibody</w:t>
      </w:r>
      <w:r w:rsidRPr="00613912">
        <w:rPr>
          <w:rFonts w:ascii="Helvetica" w:hAnsi="Helvetica" w:cs="Helvetica"/>
          <w:sz w:val="15"/>
          <w:szCs w:val="15"/>
          <w:vertAlign w:val="superscript"/>
          <w:lang w:eastAsia="en-AU"/>
        </w:rPr>
        <w:t>9,10</w:t>
      </w:r>
      <w:r w:rsidRPr="00613912">
        <w:rPr>
          <w:rFonts w:ascii="Helvetica" w:hAnsi="Helvetica" w:cs="Helvetica"/>
          <w:sz w:val="20"/>
          <w:szCs w:val="20"/>
          <w:lang w:eastAsia="en-AU"/>
        </w:rPr>
        <w:t xml:space="preserve">. Examination of acute and convalescent sera fulfils the most reliable </w:t>
      </w:r>
      <w:r w:rsidRPr="00613912">
        <w:rPr>
          <w:rFonts w:ascii="Helvetica" w:hAnsi="Helvetica" w:cs="Helvetica"/>
          <w:sz w:val="20"/>
          <w:szCs w:val="20"/>
          <w:lang w:eastAsia="en-AU"/>
        </w:rPr>
        <w:lastRenderedPageBreak/>
        <w:t>criteria for an acute infection: a four-fold or greater rise of (CF) antibody (phase 2) between the paired sera is diagnostic. The technique has the limitations that it is labour intensive and does not measure IgM so that a positive result may not be obtained until late in the disease</w:t>
      </w:r>
      <w:r w:rsidRPr="00613912">
        <w:rPr>
          <w:rFonts w:ascii="Helvetica" w:hAnsi="Helvetica" w:cs="Helvetica"/>
          <w:sz w:val="15"/>
          <w:szCs w:val="15"/>
          <w:vertAlign w:val="superscript"/>
          <w:lang w:eastAsia="en-AU"/>
        </w:rPr>
        <w:t>1</w:t>
      </w:r>
      <w:r w:rsidRPr="00613912">
        <w:rPr>
          <w:rFonts w:ascii="Helvetica" w:hAnsi="Helvetica" w:cs="Helvetica"/>
          <w:sz w:val="20"/>
          <w:szCs w:val="20"/>
          <w:lang w:eastAsia="en-AU"/>
        </w:rPr>
        <w:t>. Also, it does not measure IgA antibody which may be important in Q fever endocarditis.</w:t>
      </w:r>
    </w:p>
    <w:p w:rsidRPr="00613912" w:rsidR="00613912" w:rsidP="00613912" w:rsidRDefault="00613912" w14:paraId="16381E33" w14:textId="77777777">
      <w:pPr>
        <w:shd w:val="clear" w:color="auto" w:fill="FFFFFF"/>
        <w:spacing w:before="240" w:after="120"/>
        <w:outlineLvl w:val="3"/>
        <w:rPr>
          <w:rFonts w:ascii="Open Sans" w:hAnsi="Open Sans" w:cs="Open Sans"/>
          <w:sz w:val="24"/>
          <w:lang w:eastAsia="en-AU"/>
        </w:rPr>
      </w:pPr>
      <w:r w:rsidRPr="00613912">
        <w:rPr>
          <w:rFonts w:ascii="Open Sans" w:hAnsi="Open Sans" w:cs="Open Sans"/>
          <w:sz w:val="24"/>
          <w:lang w:eastAsia="en-AU"/>
        </w:rPr>
        <w:t>Suitable specimens</w:t>
      </w:r>
    </w:p>
    <w:p w:rsidRPr="00613912" w:rsidR="00613912" w:rsidP="00613912" w:rsidRDefault="00613912" w14:paraId="01EB34F1"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Clotted blood. Ideally acute and convalescent samples should be provided, especially in acute Q fever, to monitor titre changes.</w:t>
      </w:r>
    </w:p>
    <w:p w:rsidRPr="00613912" w:rsidR="00613912" w:rsidP="00613912" w:rsidRDefault="00613912" w14:paraId="375AADAF"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Test Sensitivity and specificity</w:t>
      </w:r>
    </w:p>
    <w:p w:rsidRPr="00613912" w:rsidR="00613912" w:rsidP="00613912" w:rsidRDefault="00613912" w14:paraId="2CC5EBE5" w14:textId="5FFBB219">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CFT measures mainly IgG so may not be positive early in acute Q fever when the patient first presents and only IgM antibody may be present. The test should be repeated in 2-4 weeks and run in parallel with the first sample to determine titre changes. Sensitivity of a four-</w:t>
      </w:r>
      <w:proofErr w:type="gramStart"/>
      <w:r w:rsidRPr="00613912">
        <w:rPr>
          <w:rFonts w:ascii="Helvetica" w:hAnsi="Helvetica" w:cs="Helvetica"/>
          <w:sz w:val="20"/>
          <w:szCs w:val="20"/>
          <w:lang w:eastAsia="en-AU"/>
        </w:rPr>
        <w:t>fold  rise</w:t>
      </w:r>
      <w:proofErr w:type="gramEnd"/>
      <w:r w:rsidRPr="00613912">
        <w:rPr>
          <w:rFonts w:ascii="Helvetica" w:hAnsi="Helvetica" w:cs="Helvetica"/>
          <w:sz w:val="20"/>
          <w:szCs w:val="20"/>
          <w:lang w:eastAsia="en-AU"/>
        </w:rPr>
        <w:t xml:space="preserve"> in titre has been estimated in two studies as 73% and 77.8% respectively and specificity has been estimated as 90%</w:t>
      </w:r>
      <w:r w:rsidRPr="00613912">
        <w:rPr>
          <w:rFonts w:ascii="Helvetica" w:hAnsi="Helvetica" w:cs="Helvetica"/>
          <w:sz w:val="15"/>
          <w:szCs w:val="15"/>
          <w:vertAlign w:val="superscript"/>
          <w:lang w:eastAsia="en-AU"/>
        </w:rPr>
        <w:t>11,12</w:t>
      </w:r>
      <w:r w:rsidRPr="00613912">
        <w:rPr>
          <w:rFonts w:ascii="Helvetica" w:hAnsi="Helvetica" w:cs="Helvetica"/>
          <w:sz w:val="20"/>
          <w:szCs w:val="20"/>
          <w:lang w:eastAsia="en-AU"/>
        </w:rPr>
        <w:t>.</w:t>
      </w:r>
    </w:p>
    <w:p w:rsidRPr="00613912" w:rsidR="00613912" w:rsidP="00613912" w:rsidRDefault="00613912" w14:paraId="3FF76817"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Suitable test acceptance/validation criteria</w:t>
      </w:r>
    </w:p>
    <w:p w:rsidRPr="00613912" w:rsidR="00613912" w:rsidP="00613912" w:rsidRDefault="00613912" w14:paraId="1161012A"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Use of internal and external controls and test performance should comply with method.</w:t>
      </w:r>
    </w:p>
    <w:p w:rsidRPr="00613912" w:rsidR="00613912" w:rsidP="00613912" w:rsidRDefault="00613912" w14:paraId="517674AF"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Suitable internal controls</w:t>
      </w:r>
    </w:p>
    <w:p w:rsidRPr="00613912" w:rsidR="00613912" w:rsidP="00613912" w:rsidRDefault="00613912" w14:paraId="486741E7"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Known positive serum sample tested with each batch; result should be within one dilution of known titre.</w:t>
      </w:r>
    </w:p>
    <w:p w:rsidRPr="00613912" w:rsidR="00613912" w:rsidP="00613912" w:rsidRDefault="00613912" w14:paraId="3C581D13"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Suitable external QA program</w:t>
      </w:r>
    </w:p>
    <w:p w:rsidRPr="00613912" w:rsidR="00613912" w:rsidP="00613912" w:rsidRDefault="00613912" w14:paraId="1B6039CC"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RCPA QAP</w:t>
      </w:r>
    </w:p>
    <w:p w:rsidRPr="00613912" w:rsidR="00613912" w:rsidP="00613912" w:rsidRDefault="00613912" w14:paraId="5595FD0F" w14:textId="77777777">
      <w:pPr>
        <w:shd w:val="clear" w:color="auto" w:fill="FFFFFF"/>
        <w:spacing w:after="120"/>
        <w:outlineLvl w:val="2"/>
        <w:rPr>
          <w:rFonts w:ascii="Open Sans" w:hAnsi="Open Sans" w:cs="Open Sans"/>
          <w:sz w:val="27"/>
          <w:szCs w:val="27"/>
          <w:lang w:eastAsia="en-AU"/>
        </w:rPr>
      </w:pPr>
      <w:r w:rsidRPr="00613912">
        <w:rPr>
          <w:rFonts w:ascii="Open Sans" w:hAnsi="Open Sans" w:cs="Open Sans"/>
          <w:sz w:val="27"/>
          <w:szCs w:val="27"/>
          <w:lang w:eastAsia="en-AU"/>
        </w:rPr>
        <w:t>3.4 Enzyme immunoassay (EIA) Testing</w:t>
      </w:r>
    </w:p>
    <w:p w:rsidRPr="00613912" w:rsidR="00613912" w:rsidP="00613912" w:rsidRDefault="00613912" w14:paraId="7619F9E5" w14:textId="62E7E185">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 xml:space="preserve">Commercial kits are available to measure IgM and IgG antibodies to phase 2 antigen. If only a single convalescent serum is available it may be difficult to distinguish persistent IgM from a past infection from that of a current infection, as not all Q fever cases make the IgM to IgG switch. IgM has been observed to persist for over 600 days after an acute Q fever infection. While acute primary Q fever is confirmed with reasonable efficiency with the EIA test it is unwise to rely solely on this method if chronic Q fever infection is suspected and where interpretation </w:t>
      </w:r>
      <w:proofErr w:type="gramStart"/>
      <w:r w:rsidRPr="00613912">
        <w:rPr>
          <w:rFonts w:ascii="Helvetica" w:hAnsi="Helvetica" w:cs="Helvetica"/>
          <w:sz w:val="20"/>
          <w:szCs w:val="20"/>
          <w:lang w:eastAsia="en-AU"/>
        </w:rPr>
        <w:t>has to</w:t>
      </w:r>
      <w:proofErr w:type="gramEnd"/>
      <w:r w:rsidRPr="00613912">
        <w:rPr>
          <w:rFonts w:ascii="Helvetica" w:hAnsi="Helvetica" w:cs="Helvetica"/>
          <w:sz w:val="20"/>
          <w:szCs w:val="20"/>
          <w:lang w:eastAsia="en-AU"/>
        </w:rPr>
        <w:t xml:space="preserve"> be based on the height of titres to Phase 1 and 2 antigens in the IgG and IgA classes. These tests are not quantitative so should be used only as a screening test to select samples for the more labour intensive CFT or IFA testing</w:t>
      </w:r>
      <w:r w:rsidRPr="00613912">
        <w:rPr>
          <w:rFonts w:ascii="Helvetica" w:hAnsi="Helvetica" w:cs="Helvetica"/>
          <w:sz w:val="15"/>
          <w:szCs w:val="15"/>
          <w:vertAlign w:val="superscript"/>
          <w:lang w:eastAsia="en-AU"/>
        </w:rPr>
        <w:t>1</w:t>
      </w:r>
      <w:r w:rsidRPr="00613912">
        <w:rPr>
          <w:rFonts w:ascii="Helvetica" w:hAnsi="Helvetica" w:cs="Helvetica"/>
          <w:sz w:val="20"/>
          <w:szCs w:val="20"/>
          <w:lang w:eastAsia="en-AU"/>
        </w:rPr>
        <w:t>.</w:t>
      </w:r>
    </w:p>
    <w:p w:rsidRPr="00613912" w:rsidR="00613912" w:rsidP="00613912" w:rsidRDefault="00613912" w14:paraId="5D94B10A"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Suitable specimens</w:t>
      </w:r>
    </w:p>
    <w:p w:rsidRPr="00613912" w:rsidR="00613912" w:rsidP="00613912" w:rsidRDefault="00613912" w14:paraId="2C58A75F"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Clotted blood. Ideally acute and convalescent samples should be collected and tested in parallel.</w:t>
      </w:r>
    </w:p>
    <w:p w:rsidRPr="00613912" w:rsidR="00613912" w:rsidP="00613912" w:rsidRDefault="00613912" w14:paraId="6019C013"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Test sensitivity and specificity</w:t>
      </w:r>
    </w:p>
    <w:p w:rsidRPr="00613912" w:rsidR="00613912" w:rsidP="00613912" w:rsidRDefault="00613912" w14:paraId="56EA8D91" w14:textId="754250C0">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Published data suggest that EIA is highly sensitive and specific</w:t>
      </w:r>
      <w:r w:rsidRPr="00613912">
        <w:rPr>
          <w:rFonts w:ascii="Helvetica" w:hAnsi="Helvetica" w:cs="Helvetica"/>
          <w:sz w:val="15"/>
          <w:szCs w:val="15"/>
          <w:vertAlign w:val="superscript"/>
          <w:lang w:eastAsia="en-AU"/>
        </w:rPr>
        <w:t>13,14</w:t>
      </w:r>
      <w:r w:rsidRPr="00613912">
        <w:rPr>
          <w:rFonts w:ascii="Helvetica" w:hAnsi="Helvetica" w:cs="Helvetica"/>
          <w:sz w:val="20"/>
          <w:szCs w:val="20"/>
          <w:lang w:eastAsia="en-AU"/>
        </w:rPr>
        <w:t>. Data regarding commercial assays should be sought from the manufacturer.</w:t>
      </w:r>
    </w:p>
    <w:p w:rsidRPr="00613912" w:rsidR="00613912" w:rsidP="00613912" w:rsidRDefault="00613912" w14:paraId="7F45C665"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lastRenderedPageBreak/>
        <w:t>Suitable test acceptance/validation criteria</w:t>
      </w:r>
    </w:p>
    <w:p w:rsidRPr="00613912" w:rsidR="00613912" w:rsidP="00613912" w:rsidRDefault="00613912" w14:paraId="32D8FEE9"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Follow manufacturer’s instructions.</w:t>
      </w:r>
    </w:p>
    <w:p w:rsidRPr="00613912" w:rsidR="00613912" w:rsidP="00613912" w:rsidRDefault="00613912" w14:paraId="49B811FA"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Suitable internal controls</w:t>
      </w:r>
    </w:p>
    <w:p w:rsidRPr="00613912" w:rsidR="00613912" w:rsidP="00613912" w:rsidRDefault="00613912" w14:paraId="35967BC9"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Known positive serum sample and the kit controls should be tested with each batch; results should be within one dilution of the known titre.</w:t>
      </w:r>
    </w:p>
    <w:p w:rsidRPr="00613912" w:rsidR="00613912" w:rsidP="00613912" w:rsidRDefault="00613912" w14:paraId="6917B14C"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Suitable external QC program</w:t>
      </w:r>
    </w:p>
    <w:p w:rsidRPr="00613912" w:rsidR="00613912" w:rsidP="00613912" w:rsidRDefault="00613912" w14:paraId="4CF9A44C"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RCPA QAP.</w:t>
      </w:r>
    </w:p>
    <w:p w:rsidRPr="00613912" w:rsidR="00613912" w:rsidP="00613912" w:rsidRDefault="00613912" w14:paraId="2020E2D6" w14:textId="77777777">
      <w:pPr>
        <w:shd w:val="clear" w:color="auto" w:fill="FFFFFF"/>
        <w:spacing w:after="120"/>
        <w:outlineLvl w:val="2"/>
        <w:rPr>
          <w:rFonts w:ascii="Open Sans" w:hAnsi="Open Sans" w:cs="Open Sans"/>
          <w:sz w:val="27"/>
          <w:szCs w:val="27"/>
          <w:lang w:eastAsia="en-AU"/>
        </w:rPr>
      </w:pPr>
      <w:r w:rsidRPr="00613912">
        <w:rPr>
          <w:rFonts w:ascii="Open Sans" w:hAnsi="Open Sans" w:cs="Open Sans"/>
          <w:sz w:val="27"/>
          <w:szCs w:val="27"/>
          <w:lang w:eastAsia="en-AU"/>
        </w:rPr>
        <w:t>3.5 IFA testing</w:t>
      </w:r>
    </w:p>
    <w:p w:rsidRPr="00613912" w:rsidR="00613912" w:rsidP="00613912" w:rsidRDefault="00613912" w14:paraId="28AADC73" w14:textId="68C41E64">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 xml:space="preserve">IFA tests are of </w:t>
      </w:r>
      <w:proofErr w:type="gramStart"/>
      <w:r w:rsidRPr="00613912">
        <w:rPr>
          <w:rFonts w:ascii="Helvetica" w:hAnsi="Helvetica" w:cs="Helvetica"/>
          <w:sz w:val="20"/>
          <w:szCs w:val="20"/>
          <w:lang w:eastAsia="en-AU"/>
        </w:rPr>
        <w:t>particular value</w:t>
      </w:r>
      <w:proofErr w:type="gramEnd"/>
      <w:r w:rsidRPr="00613912">
        <w:rPr>
          <w:rFonts w:ascii="Helvetica" w:hAnsi="Helvetica" w:cs="Helvetica"/>
          <w:sz w:val="20"/>
          <w:szCs w:val="20"/>
          <w:lang w:eastAsia="en-AU"/>
        </w:rPr>
        <w:t xml:space="preserve"> for confirmation of acute infection and for diagnosis of chronic infection. The technique involves titrating sera by immunofluorescence (IFA) on microdots of </w:t>
      </w:r>
      <w:r w:rsidRPr="00613912">
        <w:rPr>
          <w:rFonts w:ascii="Helvetica" w:hAnsi="Helvetica" w:cs="Helvetica"/>
          <w:i/>
          <w:iCs/>
          <w:sz w:val="20"/>
          <w:szCs w:val="20"/>
          <w:lang w:eastAsia="en-AU"/>
        </w:rPr>
        <w:t xml:space="preserve">C.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xml:space="preserve"> expressing phase 1 or phase 2 antigens with conjugates directed against IgG, </w:t>
      </w:r>
      <w:proofErr w:type="gramStart"/>
      <w:r w:rsidRPr="00613912">
        <w:rPr>
          <w:rFonts w:ascii="Helvetica" w:hAnsi="Helvetica" w:cs="Helvetica"/>
          <w:sz w:val="20"/>
          <w:szCs w:val="20"/>
          <w:lang w:eastAsia="en-AU"/>
        </w:rPr>
        <w:t>IgM</w:t>
      </w:r>
      <w:proofErr w:type="gramEnd"/>
      <w:r w:rsidRPr="00613912">
        <w:rPr>
          <w:rFonts w:ascii="Helvetica" w:hAnsi="Helvetica" w:cs="Helvetica"/>
          <w:sz w:val="20"/>
          <w:szCs w:val="20"/>
          <w:lang w:eastAsia="en-AU"/>
        </w:rPr>
        <w:t xml:space="preserve"> and IgA immunoglobulin classes</w:t>
      </w:r>
      <w:r w:rsidRPr="00613912">
        <w:rPr>
          <w:rFonts w:ascii="Helvetica" w:hAnsi="Helvetica" w:cs="Helvetica"/>
          <w:sz w:val="15"/>
          <w:szCs w:val="15"/>
          <w:vertAlign w:val="superscript"/>
          <w:lang w:eastAsia="en-AU"/>
        </w:rPr>
        <w:t>5</w:t>
      </w:r>
      <w:r w:rsidRPr="00613912">
        <w:rPr>
          <w:rFonts w:ascii="Helvetica" w:hAnsi="Helvetica" w:cs="Helvetica"/>
          <w:sz w:val="20"/>
          <w:szCs w:val="20"/>
          <w:lang w:eastAsia="en-AU"/>
        </w:rPr>
        <w:t>. Commercial IFA slides are available for IgM and IgG detection (</w:t>
      </w:r>
      <w:proofErr w:type="spellStart"/>
      <w:r w:rsidRPr="00613912">
        <w:rPr>
          <w:rFonts w:ascii="Helvetica" w:hAnsi="Helvetica" w:cs="Helvetica"/>
          <w:sz w:val="20"/>
          <w:szCs w:val="20"/>
          <w:lang w:eastAsia="en-AU"/>
        </w:rPr>
        <w:t>BioMerieux</w:t>
      </w:r>
      <w:proofErr w:type="spellEnd"/>
      <w:r w:rsidRPr="00613912">
        <w:rPr>
          <w:rFonts w:ascii="Helvetica" w:hAnsi="Helvetica" w:cs="Helvetica"/>
          <w:sz w:val="20"/>
          <w:szCs w:val="20"/>
          <w:lang w:eastAsia="en-AU"/>
        </w:rPr>
        <w:t xml:space="preserve"> </w:t>
      </w:r>
      <w:proofErr w:type="spellStart"/>
      <w:r w:rsidRPr="00613912">
        <w:rPr>
          <w:rFonts w:ascii="Helvetica" w:hAnsi="Helvetica" w:cs="Helvetica"/>
          <w:sz w:val="20"/>
          <w:szCs w:val="20"/>
          <w:lang w:eastAsia="en-AU"/>
        </w:rPr>
        <w:t>SpotIF</w:t>
      </w:r>
      <w:proofErr w:type="spellEnd"/>
      <w:r w:rsidRPr="00613912">
        <w:rPr>
          <w:rFonts w:ascii="Helvetica" w:hAnsi="Helvetica" w:cs="Helvetica"/>
          <w:sz w:val="20"/>
          <w:szCs w:val="20"/>
          <w:lang w:eastAsia="en-AU"/>
        </w:rPr>
        <w:t xml:space="preserve"> and </w:t>
      </w:r>
      <w:proofErr w:type="spellStart"/>
      <w:r w:rsidRPr="00613912">
        <w:rPr>
          <w:rFonts w:ascii="Helvetica" w:hAnsi="Helvetica" w:cs="Helvetica"/>
          <w:sz w:val="20"/>
          <w:szCs w:val="20"/>
          <w:lang w:eastAsia="en-AU"/>
        </w:rPr>
        <w:t>Fluoline</w:t>
      </w:r>
      <w:proofErr w:type="spellEnd"/>
      <w:r w:rsidRPr="00613912">
        <w:rPr>
          <w:rFonts w:ascii="Helvetica" w:hAnsi="Helvetica" w:cs="Helvetica"/>
          <w:sz w:val="20"/>
          <w:szCs w:val="20"/>
          <w:lang w:eastAsia="en-AU"/>
        </w:rPr>
        <w:t xml:space="preserve">-M &amp;G immunofluorescent stain). IgA slides can be made in house with cultured </w:t>
      </w:r>
      <w:proofErr w:type="spellStart"/>
      <w:r w:rsidRPr="00613912">
        <w:rPr>
          <w:rFonts w:ascii="Helvetica" w:hAnsi="Helvetica" w:cs="Helvetica"/>
          <w:sz w:val="20"/>
          <w:szCs w:val="20"/>
          <w:lang w:eastAsia="en-AU"/>
        </w:rPr>
        <w:t>coxiella</w:t>
      </w:r>
      <w:proofErr w:type="spellEnd"/>
      <w:r w:rsidRPr="00613912">
        <w:rPr>
          <w:rFonts w:ascii="Helvetica" w:hAnsi="Helvetica" w:cs="Helvetica"/>
          <w:sz w:val="20"/>
          <w:szCs w:val="20"/>
          <w:lang w:eastAsia="en-AU"/>
        </w:rPr>
        <w:t xml:space="preserve"> (using PC3 facilities for preparation ex IMVS).</w:t>
      </w:r>
    </w:p>
    <w:p w:rsidRPr="00613912" w:rsidR="00613912" w:rsidP="00613912" w:rsidRDefault="00613912" w14:paraId="3DD7DDCD"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Suitable Specimens</w:t>
      </w:r>
    </w:p>
    <w:p w:rsidRPr="00613912" w:rsidR="00613912" w:rsidP="00613912" w:rsidRDefault="00613912" w14:paraId="1D64D9E4"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Clotted blood. Sequential samples should be tested in parallel.</w:t>
      </w:r>
    </w:p>
    <w:p w:rsidRPr="00613912" w:rsidR="00613912" w:rsidP="00613912" w:rsidRDefault="00613912" w14:paraId="4107C031"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Test Sensitivity and Specificity</w:t>
      </w:r>
    </w:p>
    <w:p w:rsidRPr="00613912" w:rsidR="00613912" w:rsidP="00613912" w:rsidRDefault="00613912" w14:paraId="6164F2C3"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The microdot phase 1 and 2 IgM, and IgG and the IgA tests are highly sensitive and specific for the detection of Q fever antibodies.</w:t>
      </w:r>
    </w:p>
    <w:p w:rsidRPr="00613912" w:rsidR="00613912" w:rsidP="00613912" w:rsidRDefault="00613912" w14:paraId="78C2104F"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Suitable test acceptance/validation criteria</w:t>
      </w:r>
    </w:p>
    <w:p w:rsidRPr="00613912" w:rsidR="00613912" w:rsidP="00613912" w:rsidRDefault="00613912" w14:paraId="47F88F00"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As determined by the method requirements. &gt;1+ fluorescence is preferred to determine positivity.</w:t>
      </w:r>
    </w:p>
    <w:p w:rsidRPr="00613912" w:rsidR="00613912" w:rsidP="00613912" w:rsidRDefault="00613912" w14:paraId="2592C6D9" w14:textId="77777777">
      <w:pPr>
        <w:shd w:val="clear" w:color="auto" w:fill="FFFFFF"/>
        <w:spacing w:after="120"/>
        <w:outlineLvl w:val="3"/>
        <w:rPr>
          <w:rFonts w:ascii="Open Sans" w:hAnsi="Open Sans" w:cs="Open Sans"/>
          <w:sz w:val="24"/>
          <w:lang w:eastAsia="en-AU"/>
        </w:rPr>
      </w:pPr>
      <w:r w:rsidRPr="00613912">
        <w:rPr>
          <w:rFonts w:ascii="Open Sans" w:hAnsi="Open Sans" w:cs="Open Sans"/>
          <w:sz w:val="24"/>
          <w:lang w:eastAsia="en-AU"/>
        </w:rPr>
        <w:t>Suitable internal controls</w:t>
      </w:r>
    </w:p>
    <w:p w:rsidRPr="00613912" w:rsidR="00613912" w:rsidP="00613912" w:rsidRDefault="00613912" w14:paraId="48BA056E" w14:textId="6F73B67E">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Previous known positive of known titre to the specific antibody being sought.</w:t>
      </w:r>
    </w:p>
    <w:p w:rsidRPr="00613912" w:rsidR="00613912" w:rsidP="00613912" w:rsidRDefault="00613912" w14:paraId="236F2395" w14:textId="77777777">
      <w:pPr>
        <w:shd w:val="clear" w:color="auto" w:fill="FFFFFF"/>
        <w:spacing w:before="240" w:after="120"/>
        <w:outlineLvl w:val="3"/>
        <w:rPr>
          <w:rFonts w:ascii="Open Sans" w:hAnsi="Open Sans" w:cs="Open Sans"/>
          <w:sz w:val="24"/>
          <w:lang w:eastAsia="en-AU"/>
        </w:rPr>
      </w:pPr>
      <w:r w:rsidRPr="00613912">
        <w:rPr>
          <w:rFonts w:ascii="Open Sans" w:hAnsi="Open Sans" w:cs="Open Sans"/>
          <w:sz w:val="24"/>
          <w:lang w:eastAsia="en-AU"/>
        </w:rPr>
        <w:t>Suitable external QC program</w:t>
      </w:r>
    </w:p>
    <w:p w:rsidRPr="00613912" w:rsidR="00613912" w:rsidP="00613912" w:rsidRDefault="00613912" w14:paraId="79B4BDB4"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Not currently available.</w:t>
      </w:r>
    </w:p>
    <w:p w:rsidRPr="00613912" w:rsidR="00613912" w:rsidP="00613912" w:rsidRDefault="00613912" w14:paraId="25DE9389" w14:textId="77777777">
      <w:pPr>
        <w:shd w:val="clear" w:color="auto" w:fill="FFFFFF"/>
        <w:spacing w:after="120"/>
        <w:outlineLvl w:val="1"/>
        <w:rPr>
          <w:rFonts w:ascii="Open Sans" w:hAnsi="Open Sans" w:cs="Open Sans"/>
          <w:sz w:val="36"/>
          <w:szCs w:val="36"/>
          <w:lang w:eastAsia="en-AU"/>
        </w:rPr>
      </w:pPr>
      <w:r w:rsidRPr="00613912">
        <w:rPr>
          <w:rFonts w:ascii="Open Sans" w:hAnsi="Open Sans" w:cs="Open Sans"/>
          <w:sz w:val="36"/>
          <w:szCs w:val="36"/>
          <w:lang w:eastAsia="en-AU"/>
        </w:rPr>
        <w:t>4. Summary</w:t>
      </w:r>
    </w:p>
    <w:p w:rsidRPr="00613912" w:rsidR="00613912" w:rsidP="00613912" w:rsidRDefault="00613912" w14:paraId="66CEAD08" w14:textId="77777777">
      <w:pPr>
        <w:shd w:val="clear" w:color="auto" w:fill="FFFFFF"/>
        <w:spacing w:after="240" w:line="300" w:lineRule="atLeast"/>
        <w:rPr>
          <w:rFonts w:ascii="Helvetica" w:hAnsi="Helvetica" w:cs="Helvetica"/>
          <w:sz w:val="20"/>
          <w:szCs w:val="20"/>
          <w:lang w:eastAsia="en-AU"/>
        </w:rPr>
      </w:pPr>
      <w:r w:rsidRPr="00613912">
        <w:rPr>
          <w:rFonts w:ascii="Helvetica" w:hAnsi="Helvetica" w:cs="Helvetica"/>
          <w:sz w:val="20"/>
          <w:szCs w:val="20"/>
          <w:lang w:eastAsia="en-AU"/>
        </w:rPr>
        <w:t>The diagnosis of Q fever is complicated by the presence of acute and chronic presentations and the differing kinetics of class specific antibody responses to phase 1 and phase 2 antigens in these infections.</w:t>
      </w:r>
    </w:p>
    <w:p w:rsidRPr="00613912" w:rsidR="00613912" w:rsidP="00613912" w:rsidRDefault="00613912" w14:paraId="21D109F0" w14:textId="77777777">
      <w:pPr>
        <w:keepNext/>
        <w:shd w:val="clear" w:color="auto" w:fill="FFFFFF"/>
        <w:spacing w:after="120"/>
        <w:outlineLvl w:val="1"/>
        <w:rPr>
          <w:rFonts w:ascii="Open Sans" w:hAnsi="Open Sans" w:cs="Open Sans"/>
          <w:sz w:val="36"/>
          <w:szCs w:val="36"/>
          <w:lang w:eastAsia="en-AU"/>
        </w:rPr>
      </w:pPr>
      <w:r w:rsidRPr="00613912">
        <w:rPr>
          <w:rFonts w:ascii="Open Sans" w:hAnsi="Open Sans" w:cs="Open Sans"/>
          <w:sz w:val="36"/>
          <w:szCs w:val="36"/>
          <w:lang w:eastAsia="en-AU"/>
        </w:rPr>
        <w:lastRenderedPageBreak/>
        <w:t>References</w:t>
      </w:r>
    </w:p>
    <w:p w:rsidRPr="00613912" w:rsidR="00613912" w:rsidP="00613912" w:rsidRDefault="00613912" w14:paraId="6B770398" w14:textId="77777777">
      <w:pPr>
        <w:keepNext/>
        <w:numPr>
          <w:ilvl w:val="0"/>
          <w:numId w:val="25"/>
        </w:numPr>
        <w:shd w:val="clear" w:color="auto" w:fill="FFFFFF"/>
        <w:spacing w:after="90" w:line="300" w:lineRule="atLeast"/>
        <w:rPr>
          <w:rFonts w:ascii="Helvetica" w:hAnsi="Helvetica" w:cs="Helvetica"/>
          <w:sz w:val="20"/>
          <w:szCs w:val="20"/>
          <w:lang w:eastAsia="en-AU"/>
        </w:rPr>
      </w:pPr>
      <w:bookmarkStart w:name="01" w:id="0"/>
      <w:bookmarkEnd w:id="0"/>
      <w:r w:rsidRPr="00613912">
        <w:rPr>
          <w:rFonts w:ascii="Helvetica" w:hAnsi="Helvetica" w:cs="Helvetica"/>
          <w:sz w:val="20"/>
          <w:szCs w:val="20"/>
          <w:lang w:eastAsia="en-AU"/>
        </w:rPr>
        <w:t xml:space="preserve">NNDSS, 1 January to 31 March 2017. CDI, 2017; </w:t>
      </w:r>
      <w:proofErr w:type="gramStart"/>
      <w:r w:rsidRPr="00613912">
        <w:rPr>
          <w:rFonts w:ascii="Helvetica" w:hAnsi="Helvetica" w:cs="Helvetica"/>
          <w:sz w:val="20"/>
          <w:szCs w:val="20"/>
          <w:lang w:eastAsia="en-AU"/>
        </w:rPr>
        <w:t>41:E</w:t>
      </w:r>
      <w:proofErr w:type="gramEnd"/>
      <w:r w:rsidRPr="00613912">
        <w:rPr>
          <w:rFonts w:ascii="Helvetica" w:hAnsi="Helvetica" w:cs="Helvetica"/>
          <w:sz w:val="20"/>
          <w:szCs w:val="20"/>
          <w:lang w:eastAsia="en-AU"/>
        </w:rPr>
        <w:t>183-189.</w:t>
      </w:r>
    </w:p>
    <w:p w:rsidRPr="00613912" w:rsidR="00613912" w:rsidP="00613912" w:rsidRDefault="00613912" w14:paraId="4FD1BC07" w14:textId="77777777">
      <w:pPr>
        <w:numPr>
          <w:ilvl w:val="0"/>
          <w:numId w:val="25"/>
        </w:numPr>
        <w:shd w:val="clear" w:color="auto" w:fill="FFFFFF"/>
        <w:spacing w:after="90" w:line="300" w:lineRule="atLeast"/>
        <w:rPr>
          <w:rFonts w:ascii="Helvetica" w:hAnsi="Helvetica" w:cs="Helvetica"/>
          <w:sz w:val="20"/>
          <w:szCs w:val="20"/>
          <w:lang w:eastAsia="en-AU"/>
        </w:rPr>
      </w:pPr>
      <w:bookmarkStart w:name="02" w:id="1"/>
      <w:bookmarkEnd w:id="1"/>
      <w:r w:rsidRPr="00613912">
        <w:rPr>
          <w:rFonts w:ascii="Helvetica" w:hAnsi="Helvetica" w:cs="Helvetica"/>
          <w:sz w:val="20"/>
          <w:szCs w:val="20"/>
          <w:lang w:eastAsia="en-AU"/>
        </w:rPr>
        <w:t xml:space="preserve">Graves SR, </w:t>
      </w:r>
      <w:proofErr w:type="spellStart"/>
      <w:r w:rsidRPr="00613912">
        <w:rPr>
          <w:rFonts w:ascii="Helvetica" w:hAnsi="Helvetica" w:cs="Helvetica"/>
          <w:sz w:val="20"/>
          <w:szCs w:val="20"/>
          <w:lang w:eastAsia="en-AU"/>
        </w:rPr>
        <w:t>Massung</w:t>
      </w:r>
      <w:proofErr w:type="spellEnd"/>
      <w:r w:rsidRPr="00613912">
        <w:rPr>
          <w:rFonts w:ascii="Helvetica" w:hAnsi="Helvetica" w:cs="Helvetica"/>
          <w:sz w:val="20"/>
          <w:szCs w:val="20"/>
          <w:lang w:eastAsia="en-AU"/>
        </w:rPr>
        <w:t xml:space="preserve"> RF. Coxiella. In: Manual of Clinical Microbiology 11th Edition ASM Press, 2015.</w:t>
      </w:r>
    </w:p>
    <w:p w:rsidRPr="00613912" w:rsidR="00613912" w:rsidP="00613912" w:rsidRDefault="00613912" w14:paraId="3C274244" w14:textId="77777777">
      <w:pPr>
        <w:numPr>
          <w:ilvl w:val="0"/>
          <w:numId w:val="25"/>
        </w:numPr>
        <w:shd w:val="clear" w:color="auto" w:fill="FFFFFF"/>
        <w:spacing w:after="90" w:line="300" w:lineRule="atLeast"/>
        <w:rPr>
          <w:rFonts w:ascii="Helvetica" w:hAnsi="Helvetica" w:cs="Helvetica"/>
          <w:sz w:val="20"/>
          <w:szCs w:val="20"/>
          <w:lang w:eastAsia="en-AU"/>
        </w:rPr>
      </w:pPr>
      <w:bookmarkStart w:name="03" w:id="2"/>
      <w:bookmarkEnd w:id="2"/>
      <w:proofErr w:type="spellStart"/>
      <w:r w:rsidRPr="00613912">
        <w:rPr>
          <w:rFonts w:ascii="Helvetica" w:hAnsi="Helvetica" w:cs="Helvetica"/>
          <w:sz w:val="20"/>
          <w:szCs w:val="20"/>
          <w:lang w:eastAsia="en-AU"/>
        </w:rPr>
        <w:t>Omsland</w:t>
      </w:r>
      <w:proofErr w:type="spellEnd"/>
      <w:r w:rsidRPr="00613912">
        <w:rPr>
          <w:rFonts w:ascii="Helvetica" w:hAnsi="Helvetica" w:cs="Helvetica"/>
          <w:sz w:val="20"/>
          <w:szCs w:val="20"/>
          <w:lang w:eastAsia="en-AU"/>
        </w:rPr>
        <w:t xml:space="preserve"> A, </w:t>
      </w:r>
      <w:proofErr w:type="spellStart"/>
      <w:r w:rsidRPr="00613912">
        <w:rPr>
          <w:rFonts w:ascii="Helvetica" w:hAnsi="Helvetica" w:cs="Helvetica"/>
          <w:sz w:val="20"/>
          <w:szCs w:val="20"/>
          <w:lang w:eastAsia="en-AU"/>
        </w:rPr>
        <w:t>Beare</w:t>
      </w:r>
      <w:proofErr w:type="spellEnd"/>
      <w:r w:rsidRPr="00613912">
        <w:rPr>
          <w:rFonts w:ascii="Helvetica" w:hAnsi="Helvetica" w:cs="Helvetica"/>
          <w:sz w:val="20"/>
          <w:szCs w:val="20"/>
          <w:lang w:eastAsia="en-AU"/>
        </w:rPr>
        <w:t xml:space="preserve"> PA, Hill J, Cockrell DC, Howe D, Hansen B, Samuel JE, Heinzen RA. Isolation from animal tissue and genetic transformation of Coxiella </w:t>
      </w:r>
      <w:proofErr w:type="spellStart"/>
      <w:r w:rsidRPr="00613912">
        <w:rPr>
          <w:rFonts w:ascii="Helvetica" w:hAnsi="Helvetica" w:cs="Helvetica"/>
          <w:sz w:val="20"/>
          <w:szCs w:val="20"/>
          <w:lang w:eastAsia="en-AU"/>
        </w:rPr>
        <w:t>burnetii</w:t>
      </w:r>
      <w:proofErr w:type="spellEnd"/>
      <w:r w:rsidRPr="00613912">
        <w:rPr>
          <w:rFonts w:ascii="Helvetica" w:hAnsi="Helvetica" w:cs="Helvetica"/>
          <w:sz w:val="20"/>
          <w:szCs w:val="20"/>
          <w:lang w:eastAsia="en-AU"/>
        </w:rPr>
        <w:t xml:space="preserve"> are facilitated by an improved axenic growth medium. Appl Environ Microbiol. 2011 Jun;77(11):3720-5.</w:t>
      </w:r>
    </w:p>
    <w:p w:rsidRPr="00613912" w:rsidR="00613912" w:rsidP="00613912" w:rsidRDefault="00613912" w14:paraId="49260FDB" w14:textId="77777777">
      <w:pPr>
        <w:numPr>
          <w:ilvl w:val="0"/>
          <w:numId w:val="25"/>
        </w:numPr>
        <w:shd w:val="clear" w:color="auto" w:fill="FFFFFF"/>
        <w:spacing w:after="90" w:line="300" w:lineRule="atLeast"/>
        <w:rPr>
          <w:rFonts w:ascii="Helvetica" w:hAnsi="Helvetica" w:cs="Helvetica"/>
          <w:sz w:val="20"/>
          <w:szCs w:val="20"/>
          <w:lang w:eastAsia="en-AU"/>
        </w:rPr>
      </w:pPr>
      <w:bookmarkStart w:name="04" w:id="3"/>
      <w:bookmarkEnd w:id="3"/>
      <w:r w:rsidRPr="00613912">
        <w:rPr>
          <w:rFonts w:ascii="Helvetica" w:hAnsi="Helvetica" w:cs="Helvetica"/>
          <w:sz w:val="20"/>
          <w:szCs w:val="20"/>
          <w:lang w:eastAsia="en-AU"/>
        </w:rPr>
        <w:t xml:space="preserve">Vishwanath S, </w:t>
      </w:r>
      <w:proofErr w:type="spellStart"/>
      <w:r w:rsidRPr="00613912">
        <w:rPr>
          <w:rFonts w:ascii="Helvetica" w:hAnsi="Helvetica" w:cs="Helvetica"/>
          <w:sz w:val="20"/>
          <w:szCs w:val="20"/>
          <w:lang w:eastAsia="en-AU"/>
        </w:rPr>
        <w:t>Hackstadt</w:t>
      </w:r>
      <w:proofErr w:type="spellEnd"/>
      <w:r w:rsidRPr="00613912">
        <w:rPr>
          <w:rFonts w:ascii="Helvetica" w:hAnsi="Helvetica" w:cs="Helvetica"/>
          <w:sz w:val="20"/>
          <w:szCs w:val="20"/>
          <w:lang w:eastAsia="en-AU"/>
        </w:rPr>
        <w:t xml:space="preserve"> T. Lipopolysaccharide phase </w:t>
      </w:r>
      <w:proofErr w:type="spellStart"/>
      <w:r w:rsidRPr="00613912">
        <w:rPr>
          <w:rFonts w:ascii="Helvetica" w:hAnsi="Helvetica" w:cs="Helvetica"/>
          <w:sz w:val="20"/>
          <w:szCs w:val="20"/>
          <w:lang w:eastAsia="en-AU"/>
        </w:rPr>
        <w:t>varitation</w:t>
      </w:r>
      <w:proofErr w:type="spellEnd"/>
      <w:r w:rsidRPr="00613912">
        <w:rPr>
          <w:rFonts w:ascii="Helvetica" w:hAnsi="Helvetica" w:cs="Helvetica"/>
          <w:sz w:val="20"/>
          <w:szCs w:val="20"/>
          <w:lang w:eastAsia="en-AU"/>
        </w:rPr>
        <w:t xml:space="preserve"> determines the complement-mediated serum susceptibility of Coxiella </w:t>
      </w:r>
      <w:proofErr w:type="spellStart"/>
      <w:r w:rsidRPr="00613912">
        <w:rPr>
          <w:rFonts w:ascii="Helvetica" w:hAnsi="Helvetica" w:cs="Helvetica"/>
          <w:sz w:val="20"/>
          <w:szCs w:val="20"/>
          <w:lang w:eastAsia="en-AU"/>
        </w:rPr>
        <w:t>burnetii</w:t>
      </w:r>
      <w:proofErr w:type="spellEnd"/>
      <w:r w:rsidRPr="00613912">
        <w:rPr>
          <w:rFonts w:ascii="Helvetica" w:hAnsi="Helvetica" w:cs="Helvetica"/>
          <w:sz w:val="20"/>
          <w:szCs w:val="20"/>
          <w:lang w:eastAsia="en-AU"/>
        </w:rPr>
        <w:t xml:space="preserve">. Infect </w:t>
      </w:r>
      <w:proofErr w:type="spellStart"/>
      <w:r w:rsidRPr="00613912">
        <w:rPr>
          <w:rFonts w:ascii="Helvetica" w:hAnsi="Helvetica" w:cs="Helvetica"/>
          <w:sz w:val="20"/>
          <w:szCs w:val="20"/>
          <w:lang w:eastAsia="en-AU"/>
        </w:rPr>
        <w:t>Immun</w:t>
      </w:r>
      <w:proofErr w:type="spellEnd"/>
      <w:r w:rsidRPr="00613912">
        <w:rPr>
          <w:rFonts w:ascii="Helvetica" w:hAnsi="Helvetica" w:cs="Helvetica"/>
          <w:sz w:val="20"/>
          <w:szCs w:val="20"/>
          <w:lang w:eastAsia="en-AU"/>
        </w:rPr>
        <w:t xml:space="preserve"> 1988; 56:40-44.</w:t>
      </w:r>
    </w:p>
    <w:p w:rsidRPr="00613912" w:rsidR="00613912" w:rsidP="00613912" w:rsidRDefault="00613912" w14:paraId="543B26A4" w14:textId="77777777">
      <w:pPr>
        <w:numPr>
          <w:ilvl w:val="0"/>
          <w:numId w:val="25"/>
        </w:numPr>
        <w:shd w:val="clear" w:color="auto" w:fill="FFFFFF"/>
        <w:spacing w:after="90" w:line="300" w:lineRule="atLeast"/>
        <w:rPr>
          <w:rFonts w:ascii="Helvetica" w:hAnsi="Helvetica" w:cs="Helvetica"/>
          <w:sz w:val="20"/>
          <w:szCs w:val="20"/>
          <w:lang w:eastAsia="en-AU"/>
        </w:rPr>
      </w:pPr>
      <w:bookmarkStart w:name="05" w:id="4"/>
      <w:bookmarkEnd w:id="4"/>
      <w:r w:rsidRPr="00613912">
        <w:rPr>
          <w:rFonts w:ascii="Helvetica" w:hAnsi="Helvetica" w:cs="Helvetica"/>
          <w:sz w:val="20"/>
          <w:szCs w:val="20"/>
          <w:lang w:eastAsia="en-AU"/>
        </w:rPr>
        <w:t xml:space="preserve">Williams JC et all Infect </w:t>
      </w:r>
      <w:proofErr w:type="spellStart"/>
      <w:r w:rsidRPr="00613912">
        <w:rPr>
          <w:rFonts w:ascii="Helvetica" w:hAnsi="Helvetica" w:cs="Helvetica"/>
          <w:sz w:val="20"/>
          <w:szCs w:val="20"/>
          <w:lang w:eastAsia="en-AU"/>
        </w:rPr>
        <w:t>Immun</w:t>
      </w:r>
      <w:proofErr w:type="spellEnd"/>
      <w:r w:rsidRPr="00613912">
        <w:rPr>
          <w:rFonts w:ascii="Helvetica" w:hAnsi="Helvetica" w:cs="Helvetica"/>
          <w:sz w:val="20"/>
          <w:szCs w:val="20"/>
          <w:lang w:eastAsia="en-AU"/>
        </w:rPr>
        <w:t xml:space="preserve"> 1984; 43:421-428.</w:t>
      </w:r>
    </w:p>
    <w:p w:rsidRPr="00613912" w:rsidR="00613912" w:rsidP="00613912" w:rsidRDefault="00613912" w14:paraId="7C46327F" w14:textId="77777777">
      <w:pPr>
        <w:numPr>
          <w:ilvl w:val="0"/>
          <w:numId w:val="25"/>
        </w:numPr>
        <w:shd w:val="clear" w:color="auto" w:fill="FFFFFF"/>
        <w:spacing w:after="90" w:line="300" w:lineRule="atLeast"/>
        <w:rPr>
          <w:rFonts w:ascii="Helvetica" w:hAnsi="Helvetica" w:cs="Helvetica"/>
          <w:sz w:val="20"/>
          <w:szCs w:val="20"/>
          <w:lang w:eastAsia="en-AU"/>
        </w:rPr>
      </w:pPr>
      <w:bookmarkStart w:name="06" w:id="5"/>
      <w:bookmarkEnd w:id="5"/>
      <w:proofErr w:type="spellStart"/>
      <w:r w:rsidRPr="00613912">
        <w:rPr>
          <w:rFonts w:ascii="Helvetica" w:hAnsi="Helvetica" w:cs="Helvetica"/>
          <w:sz w:val="20"/>
          <w:szCs w:val="20"/>
          <w:lang w:eastAsia="en-AU"/>
        </w:rPr>
        <w:t>Schneeberger</w:t>
      </w:r>
      <w:proofErr w:type="spellEnd"/>
      <w:r w:rsidRPr="00613912">
        <w:rPr>
          <w:rFonts w:ascii="Helvetica" w:hAnsi="Helvetica" w:cs="Helvetica"/>
          <w:sz w:val="20"/>
          <w:szCs w:val="20"/>
          <w:lang w:eastAsia="en-AU"/>
        </w:rPr>
        <w:t xml:space="preserve"> PM, </w:t>
      </w:r>
      <w:proofErr w:type="spellStart"/>
      <w:r w:rsidRPr="00613912">
        <w:rPr>
          <w:rFonts w:ascii="Helvetica" w:hAnsi="Helvetica" w:cs="Helvetica"/>
          <w:sz w:val="20"/>
          <w:szCs w:val="20"/>
          <w:lang w:eastAsia="en-AU"/>
        </w:rPr>
        <w:t>Hermans</w:t>
      </w:r>
      <w:proofErr w:type="spellEnd"/>
      <w:r w:rsidRPr="00613912">
        <w:rPr>
          <w:rFonts w:ascii="Helvetica" w:hAnsi="Helvetica" w:cs="Helvetica"/>
          <w:sz w:val="20"/>
          <w:szCs w:val="20"/>
          <w:lang w:eastAsia="en-AU"/>
        </w:rPr>
        <w:t xml:space="preserve"> MH, van </w:t>
      </w:r>
      <w:proofErr w:type="spellStart"/>
      <w:r w:rsidRPr="00613912">
        <w:rPr>
          <w:rFonts w:ascii="Helvetica" w:hAnsi="Helvetica" w:cs="Helvetica"/>
          <w:sz w:val="20"/>
          <w:szCs w:val="20"/>
          <w:lang w:eastAsia="en-AU"/>
        </w:rPr>
        <w:t>Hannen</w:t>
      </w:r>
      <w:proofErr w:type="spellEnd"/>
      <w:r w:rsidRPr="00613912">
        <w:rPr>
          <w:rFonts w:ascii="Helvetica" w:hAnsi="Helvetica" w:cs="Helvetica"/>
          <w:sz w:val="20"/>
          <w:szCs w:val="20"/>
          <w:lang w:eastAsia="en-AU"/>
        </w:rPr>
        <w:t xml:space="preserve"> EJ, </w:t>
      </w:r>
      <w:proofErr w:type="spellStart"/>
      <w:r w:rsidRPr="00613912">
        <w:rPr>
          <w:rFonts w:ascii="Helvetica" w:hAnsi="Helvetica" w:cs="Helvetica"/>
          <w:sz w:val="20"/>
          <w:szCs w:val="20"/>
          <w:lang w:eastAsia="en-AU"/>
        </w:rPr>
        <w:t>Schellekens</w:t>
      </w:r>
      <w:proofErr w:type="spellEnd"/>
      <w:r w:rsidRPr="00613912">
        <w:rPr>
          <w:rFonts w:ascii="Helvetica" w:hAnsi="Helvetica" w:cs="Helvetica"/>
          <w:sz w:val="20"/>
          <w:szCs w:val="20"/>
          <w:lang w:eastAsia="en-AU"/>
        </w:rPr>
        <w:t xml:space="preserve"> JJ, </w:t>
      </w:r>
      <w:proofErr w:type="spellStart"/>
      <w:r w:rsidRPr="00613912">
        <w:rPr>
          <w:rFonts w:ascii="Helvetica" w:hAnsi="Helvetica" w:cs="Helvetica"/>
          <w:sz w:val="20"/>
          <w:szCs w:val="20"/>
          <w:lang w:eastAsia="en-AU"/>
        </w:rPr>
        <w:t>Leenders</w:t>
      </w:r>
      <w:proofErr w:type="spellEnd"/>
      <w:r w:rsidRPr="00613912">
        <w:rPr>
          <w:rFonts w:ascii="Helvetica" w:hAnsi="Helvetica" w:cs="Helvetica"/>
          <w:sz w:val="20"/>
          <w:szCs w:val="20"/>
          <w:lang w:eastAsia="en-AU"/>
        </w:rPr>
        <w:t xml:space="preserve"> AC, </w:t>
      </w:r>
      <w:proofErr w:type="spellStart"/>
      <w:r w:rsidRPr="00613912">
        <w:rPr>
          <w:rFonts w:ascii="Helvetica" w:hAnsi="Helvetica" w:cs="Helvetica"/>
          <w:sz w:val="20"/>
          <w:szCs w:val="20"/>
          <w:lang w:eastAsia="en-AU"/>
        </w:rPr>
        <w:t>Wever</w:t>
      </w:r>
      <w:proofErr w:type="spellEnd"/>
      <w:r w:rsidRPr="00613912">
        <w:rPr>
          <w:rFonts w:ascii="Helvetica" w:hAnsi="Helvetica" w:cs="Helvetica"/>
          <w:sz w:val="20"/>
          <w:szCs w:val="20"/>
          <w:lang w:eastAsia="en-AU"/>
        </w:rPr>
        <w:t xml:space="preserve"> PC. Real-time PCR with serum samples is indispensable for early diagnosis of acute Q fever. Clin Vaccine Immunol. 2010 Feb;17(2):286-90. </w:t>
      </w:r>
      <w:proofErr w:type="spellStart"/>
      <w:r w:rsidRPr="00613912">
        <w:rPr>
          <w:rFonts w:ascii="Helvetica" w:hAnsi="Helvetica" w:cs="Helvetica"/>
          <w:sz w:val="20"/>
          <w:szCs w:val="20"/>
          <w:lang w:eastAsia="en-AU"/>
        </w:rPr>
        <w:t>doi</w:t>
      </w:r>
      <w:proofErr w:type="spellEnd"/>
      <w:r w:rsidRPr="00613912">
        <w:rPr>
          <w:rFonts w:ascii="Helvetica" w:hAnsi="Helvetica" w:cs="Helvetica"/>
          <w:sz w:val="20"/>
          <w:szCs w:val="20"/>
          <w:lang w:eastAsia="en-AU"/>
        </w:rPr>
        <w:t xml:space="preserve">: 10.1128/CVI.00454-09. </w:t>
      </w:r>
      <w:proofErr w:type="spellStart"/>
      <w:r w:rsidRPr="00613912">
        <w:rPr>
          <w:rFonts w:ascii="Helvetica" w:hAnsi="Helvetica" w:cs="Helvetica"/>
          <w:sz w:val="20"/>
          <w:szCs w:val="20"/>
          <w:lang w:eastAsia="en-AU"/>
        </w:rPr>
        <w:t>Epub</w:t>
      </w:r>
      <w:proofErr w:type="spellEnd"/>
      <w:r w:rsidRPr="00613912">
        <w:rPr>
          <w:rFonts w:ascii="Helvetica" w:hAnsi="Helvetica" w:cs="Helvetica"/>
          <w:sz w:val="20"/>
          <w:szCs w:val="20"/>
          <w:lang w:eastAsia="en-AU"/>
        </w:rPr>
        <w:t xml:space="preserve"> 2009 Dec 23. PubMed PMID: 20032219; PubMed Central PMCID: PMC2815520.</w:t>
      </w:r>
    </w:p>
    <w:p w:rsidRPr="00613912" w:rsidR="00613912" w:rsidP="00613912" w:rsidRDefault="00613912" w14:paraId="2C0C38EF" w14:textId="77777777">
      <w:pPr>
        <w:numPr>
          <w:ilvl w:val="0"/>
          <w:numId w:val="25"/>
        </w:numPr>
        <w:shd w:val="clear" w:color="auto" w:fill="FFFFFF"/>
        <w:spacing w:after="90" w:line="300" w:lineRule="atLeast"/>
        <w:rPr>
          <w:rFonts w:ascii="Helvetica" w:hAnsi="Helvetica" w:cs="Helvetica"/>
          <w:sz w:val="20"/>
          <w:szCs w:val="20"/>
          <w:lang w:eastAsia="en-AU"/>
        </w:rPr>
      </w:pPr>
      <w:bookmarkStart w:name="07" w:id="6"/>
      <w:bookmarkEnd w:id="6"/>
      <w:proofErr w:type="spellStart"/>
      <w:r w:rsidRPr="00613912">
        <w:rPr>
          <w:rFonts w:ascii="Helvetica" w:hAnsi="Helvetica" w:cs="Helvetica"/>
          <w:sz w:val="20"/>
          <w:szCs w:val="20"/>
          <w:lang w:eastAsia="en-AU"/>
        </w:rPr>
        <w:t>Fenollar</w:t>
      </w:r>
      <w:proofErr w:type="spellEnd"/>
      <w:r w:rsidRPr="00613912">
        <w:rPr>
          <w:rFonts w:ascii="Helvetica" w:hAnsi="Helvetica" w:cs="Helvetica"/>
          <w:sz w:val="20"/>
          <w:szCs w:val="20"/>
          <w:lang w:eastAsia="en-AU"/>
        </w:rPr>
        <w:t xml:space="preserve"> F, Fournier PE, </w:t>
      </w:r>
      <w:proofErr w:type="spellStart"/>
      <w:r w:rsidRPr="00613912">
        <w:rPr>
          <w:rFonts w:ascii="Helvetica" w:hAnsi="Helvetica" w:cs="Helvetica"/>
          <w:sz w:val="20"/>
          <w:szCs w:val="20"/>
          <w:lang w:eastAsia="en-AU"/>
        </w:rPr>
        <w:t>Raoult</w:t>
      </w:r>
      <w:proofErr w:type="spellEnd"/>
      <w:r w:rsidRPr="00613912">
        <w:rPr>
          <w:rFonts w:ascii="Helvetica" w:hAnsi="Helvetica" w:cs="Helvetica"/>
          <w:sz w:val="20"/>
          <w:szCs w:val="20"/>
          <w:lang w:eastAsia="en-AU"/>
        </w:rPr>
        <w:t xml:space="preserve"> D. 2004. Molecular detection of Coxiella </w:t>
      </w:r>
      <w:proofErr w:type="spellStart"/>
      <w:r w:rsidRPr="00613912">
        <w:rPr>
          <w:rFonts w:ascii="Helvetica" w:hAnsi="Helvetica" w:cs="Helvetica"/>
          <w:sz w:val="20"/>
          <w:szCs w:val="20"/>
          <w:lang w:eastAsia="en-AU"/>
        </w:rPr>
        <w:t>burnetii</w:t>
      </w:r>
      <w:proofErr w:type="spellEnd"/>
      <w:r w:rsidRPr="00613912">
        <w:rPr>
          <w:rFonts w:ascii="Helvetica" w:hAnsi="Helvetica" w:cs="Helvetica"/>
          <w:sz w:val="20"/>
          <w:szCs w:val="20"/>
          <w:lang w:eastAsia="en-AU"/>
        </w:rPr>
        <w:t xml:space="preserve"> in the sera of patients with Q fever endocarditis or vascular infection. J. Clin. Microbiol. 42:4919–4924.</w:t>
      </w:r>
    </w:p>
    <w:p w:rsidRPr="00613912" w:rsidR="00613912" w:rsidP="00613912" w:rsidRDefault="00613912" w14:paraId="6BF0F9F8" w14:textId="77777777">
      <w:pPr>
        <w:numPr>
          <w:ilvl w:val="0"/>
          <w:numId w:val="25"/>
        </w:numPr>
        <w:shd w:val="clear" w:color="auto" w:fill="FFFFFF"/>
        <w:spacing w:after="90" w:line="300" w:lineRule="atLeast"/>
        <w:rPr>
          <w:rFonts w:ascii="Helvetica" w:hAnsi="Helvetica" w:cs="Helvetica"/>
          <w:sz w:val="20"/>
          <w:szCs w:val="20"/>
          <w:lang w:eastAsia="en-AU"/>
        </w:rPr>
      </w:pPr>
      <w:bookmarkStart w:name="08" w:id="7"/>
      <w:bookmarkEnd w:id="7"/>
      <w:proofErr w:type="spellStart"/>
      <w:r w:rsidRPr="00613912">
        <w:rPr>
          <w:rFonts w:ascii="Helvetica" w:hAnsi="Helvetica" w:cs="Helvetica"/>
          <w:sz w:val="20"/>
          <w:szCs w:val="20"/>
          <w:lang w:eastAsia="en-AU"/>
        </w:rPr>
        <w:t>Musso</w:t>
      </w:r>
      <w:proofErr w:type="spellEnd"/>
      <w:r w:rsidRPr="00613912">
        <w:rPr>
          <w:rFonts w:ascii="Helvetica" w:hAnsi="Helvetica" w:cs="Helvetica"/>
          <w:sz w:val="20"/>
          <w:szCs w:val="20"/>
          <w:lang w:eastAsia="en-AU"/>
        </w:rPr>
        <w:t xml:space="preserve"> D, </w:t>
      </w:r>
      <w:proofErr w:type="spellStart"/>
      <w:r w:rsidRPr="00613912">
        <w:rPr>
          <w:rFonts w:ascii="Helvetica" w:hAnsi="Helvetica" w:cs="Helvetica"/>
          <w:sz w:val="20"/>
          <w:szCs w:val="20"/>
          <w:lang w:eastAsia="en-AU"/>
        </w:rPr>
        <w:t>Raoult</w:t>
      </w:r>
      <w:proofErr w:type="spellEnd"/>
      <w:r w:rsidRPr="00613912">
        <w:rPr>
          <w:rFonts w:ascii="Helvetica" w:hAnsi="Helvetica" w:cs="Helvetica"/>
          <w:sz w:val="20"/>
          <w:szCs w:val="20"/>
          <w:lang w:eastAsia="en-AU"/>
        </w:rPr>
        <w:t xml:space="preserve"> D. 1995. </w:t>
      </w:r>
      <w:r w:rsidRPr="00613912">
        <w:rPr>
          <w:rFonts w:ascii="Helvetica" w:hAnsi="Helvetica" w:cs="Helvetica"/>
          <w:i/>
          <w:iCs/>
          <w:sz w:val="20"/>
          <w:szCs w:val="20"/>
          <w:lang w:eastAsia="en-AU"/>
        </w:rPr>
        <w:t xml:space="preserve">Coxiella </w:t>
      </w:r>
      <w:proofErr w:type="spellStart"/>
      <w:r w:rsidRPr="00613912">
        <w:rPr>
          <w:rFonts w:ascii="Helvetica" w:hAnsi="Helvetica" w:cs="Helvetica"/>
          <w:i/>
          <w:iCs/>
          <w:sz w:val="20"/>
          <w:szCs w:val="20"/>
          <w:lang w:eastAsia="en-AU"/>
        </w:rPr>
        <w:t>burnetii</w:t>
      </w:r>
      <w:proofErr w:type="spellEnd"/>
      <w:r w:rsidRPr="00613912">
        <w:rPr>
          <w:rFonts w:ascii="Helvetica" w:hAnsi="Helvetica" w:cs="Helvetica"/>
          <w:sz w:val="20"/>
          <w:szCs w:val="20"/>
          <w:lang w:eastAsia="en-AU"/>
        </w:rPr>
        <w:t> blood cultures from acute and chronic Q-fever patients. J. Clin. Microbiol. 33:3129 –3132.</w:t>
      </w:r>
    </w:p>
    <w:p w:rsidRPr="00613912" w:rsidR="00613912" w:rsidP="00613912" w:rsidRDefault="00613912" w14:paraId="16B2946F" w14:textId="77777777">
      <w:pPr>
        <w:numPr>
          <w:ilvl w:val="0"/>
          <w:numId w:val="25"/>
        </w:numPr>
        <w:shd w:val="clear" w:color="auto" w:fill="FFFFFF"/>
        <w:spacing w:after="90" w:line="300" w:lineRule="atLeast"/>
        <w:rPr>
          <w:rFonts w:ascii="Helvetica" w:hAnsi="Helvetica" w:cs="Helvetica"/>
          <w:sz w:val="20"/>
          <w:szCs w:val="20"/>
          <w:lang w:eastAsia="en-AU"/>
        </w:rPr>
      </w:pPr>
      <w:bookmarkStart w:name="09" w:id="8"/>
      <w:bookmarkEnd w:id="8"/>
      <w:r w:rsidRPr="00613912">
        <w:rPr>
          <w:rFonts w:ascii="Helvetica" w:hAnsi="Helvetica" w:cs="Helvetica"/>
          <w:sz w:val="20"/>
          <w:szCs w:val="20"/>
          <w:lang w:eastAsia="en-AU"/>
        </w:rPr>
        <w:t xml:space="preserve">Dupuis G, </w:t>
      </w:r>
      <w:proofErr w:type="spellStart"/>
      <w:r w:rsidRPr="00613912">
        <w:rPr>
          <w:rFonts w:ascii="Helvetica" w:hAnsi="Helvetica" w:cs="Helvetica"/>
          <w:sz w:val="20"/>
          <w:szCs w:val="20"/>
          <w:lang w:eastAsia="en-AU"/>
        </w:rPr>
        <w:t>Péter</w:t>
      </w:r>
      <w:proofErr w:type="spellEnd"/>
      <w:r w:rsidRPr="00613912">
        <w:rPr>
          <w:rFonts w:ascii="Helvetica" w:hAnsi="Helvetica" w:cs="Helvetica"/>
          <w:sz w:val="20"/>
          <w:szCs w:val="20"/>
          <w:lang w:eastAsia="en-AU"/>
        </w:rPr>
        <w:t xml:space="preserve"> O, Peacock M, </w:t>
      </w:r>
      <w:proofErr w:type="spellStart"/>
      <w:r w:rsidRPr="00613912">
        <w:rPr>
          <w:rFonts w:ascii="Helvetica" w:hAnsi="Helvetica" w:cs="Helvetica"/>
          <w:sz w:val="20"/>
          <w:szCs w:val="20"/>
          <w:lang w:eastAsia="en-AU"/>
        </w:rPr>
        <w:t>Burgdorfer</w:t>
      </w:r>
      <w:proofErr w:type="spellEnd"/>
      <w:r w:rsidRPr="00613912">
        <w:rPr>
          <w:rFonts w:ascii="Helvetica" w:hAnsi="Helvetica" w:cs="Helvetica"/>
          <w:sz w:val="20"/>
          <w:szCs w:val="20"/>
          <w:lang w:eastAsia="en-AU"/>
        </w:rPr>
        <w:t xml:space="preserve"> W, Haller E. Immunoglobulin responses in acute Q fever. J Clin Microbiol. 1985 Oct;22(4):484-7</w:t>
      </w:r>
    </w:p>
    <w:p w:rsidRPr="00613912" w:rsidR="00613912" w:rsidP="00613912" w:rsidRDefault="00613912" w14:paraId="5BF52B2F" w14:textId="77777777">
      <w:pPr>
        <w:numPr>
          <w:ilvl w:val="0"/>
          <w:numId w:val="25"/>
        </w:numPr>
        <w:shd w:val="clear" w:color="auto" w:fill="FFFFFF"/>
        <w:spacing w:after="90" w:line="300" w:lineRule="atLeast"/>
        <w:rPr>
          <w:rFonts w:ascii="Helvetica" w:hAnsi="Helvetica" w:cs="Helvetica"/>
          <w:sz w:val="20"/>
          <w:szCs w:val="20"/>
          <w:lang w:eastAsia="en-AU"/>
        </w:rPr>
      </w:pPr>
      <w:bookmarkStart w:name="10" w:id="9"/>
      <w:bookmarkEnd w:id="9"/>
      <w:r w:rsidRPr="00613912">
        <w:rPr>
          <w:rFonts w:ascii="Helvetica" w:hAnsi="Helvetica" w:cs="Helvetica"/>
          <w:sz w:val="20"/>
          <w:szCs w:val="20"/>
          <w:lang w:eastAsia="en-AU"/>
        </w:rPr>
        <w:t xml:space="preserve">Dupuis G, </w:t>
      </w:r>
      <w:proofErr w:type="spellStart"/>
      <w:r w:rsidRPr="00613912">
        <w:rPr>
          <w:rFonts w:ascii="Helvetica" w:hAnsi="Helvetica" w:cs="Helvetica"/>
          <w:sz w:val="20"/>
          <w:szCs w:val="20"/>
          <w:lang w:eastAsia="en-AU"/>
        </w:rPr>
        <w:t>Péter</w:t>
      </w:r>
      <w:proofErr w:type="spellEnd"/>
      <w:r w:rsidRPr="00613912">
        <w:rPr>
          <w:rFonts w:ascii="Helvetica" w:hAnsi="Helvetica" w:cs="Helvetica"/>
          <w:sz w:val="20"/>
          <w:szCs w:val="20"/>
          <w:lang w:eastAsia="en-AU"/>
        </w:rPr>
        <w:t xml:space="preserve"> O, </w:t>
      </w:r>
      <w:proofErr w:type="spellStart"/>
      <w:r w:rsidRPr="00613912">
        <w:rPr>
          <w:rFonts w:ascii="Helvetica" w:hAnsi="Helvetica" w:cs="Helvetica"/>
          <w:sz w:val="20"/>
          <w:szCs w:val="20"/>
          <w:lang w:eastAsia="en-AU"/>
        </w:rPr>
        <w:t>Lüthy</w:t>
      </w:r>
      <w:proofErr w:type="spellEnd"/>
      <w:r w:rsidRPr="00613912">
        <w:rPr>
          <w:rFonts w:ascii="Helvetica" w:hAnsi="Helvetica" w:cs="Helvetica"/>
          <w:sz w:val="20"/>
          <w:szCs w:val="20"/>
          <w:lang w:eastAsia="en-AU"/>
        </w:rPr>
        <w:t xml:space="preserve"> R, Nicolet J, Peacock M, </w:t>
      </w:r>
      <w:proofErr w:type="spellStart"/>
      <w:r w:rsidRPr="00613912">
        <w:rPr>
          <w:rFonts w:ascii="Helvetica" w:hAnsi="Helvetica" w:cs="Helvetica"/>
          <w:sz w:val="20"/>
          <w:szCs w:val="20"/>
          <w:lang w:eastAsia="en-AU"/>
        </w:rPr>
        <w:t>Burgdorfer</w:t>
      </w:r>
      <w:proofErr w:type="spellEnd"/>
      <w:r w:rsidRPr="00613912">
        <w:rPr>
          <w:rFonts w:ascii="Helvetica" w:hAnsi="Helvetica" w:cs="Helvetica"/>
          <w:sz w:val="20"/>
          <w:szCs w:val="20"/>
          <w:lang w:eastAsia="en-AU"/>
        </w:rPr>
        <w:t xml:space="preserve"> W. Serological diagnosis of Q fever endocarditis. Eur Heart J. 1986 Dec;7(12):1062-6.</w:t>
      </w:r>
    </w:p>
    <w:p w:rsidRPr="00613912" w:rsidR="00613912" w:rsidP="00613912" w:rsidRDefault="00613912" w14:paraId="67868124" w14:textId="77777777">
      <w:pPr>
        <w:numPr>
          <w:ilvl w:val="0"/>
          <w:numId w:val="25"/>
        </w:numPr>
        <w:shd w:val="clear" w:color="auto" w:fill="FFFFFF"/>
        <w:spacing w:after="90" w:line="300" w:lineRule="atLeast"/>
        <w:rPr>
          <w:rFonts w:ascii="Helvetica" w:hAnsi="Helvetica" w:cs="Helvetica"/>
          <w:sz w:val="20"/>
          <w:szCs w:val="20"/>
          <w:lang w:eastAsia="en-AU"/>
        </w:rPr>
      </w:pPr>
      <w:bookmarkStart w:name="11" w:id="10"/>
      <w:bookmarkEnd w:id="10"/>
      <w:proofErr w:type="spellStart"/>
      <w:r w:rsidRPr="00613912">
        <w:rPr>
          <w:rFonts w:ascii="Helvetica" w:hAnsi="Helvetica" w:cs="Helvetica"/>
          <w:sz w:val="20"/>
          <w:szCs w:val="20"/>
          <w:lang w:eastAsia="en-AU"/>
        </w:rPr>
        <w:t>Péter</w:t>
      </w:r>
      <w:proofErr w:type="spellEnd"/>
      <w:r w:rsidRPr="00613912">
        <w:rPr>
          <w:rFonts w:ascii="Helvetica" w:hAnsi="Helvetica" w:cs="Helvetica"/>
          <w:sz w:val="20"/>
          <w:szCs w:val="20"/>
          <w:lang w:eastAsia="en-AU"/>
        </w:rPr>
        <w:t xml:space="preserve"> O, Dupuis G, Peacock MG, </w:t>
      </w:r>
      <w:proofErr w:type="spellStart"/>
      <w:r w:rsidRPr="00613912">
        <w:rPr>
          <w:rFonts w:ascii="Helvetica" w:hAnsi="Helvetica" w:cs="Helvetica"/>
          <w:sz w:val="20"/>
          <w:szCs w:val="20"/>
          <w:lang w:eastAsia="en-AU"/>
        </w:rPr>
        <w:t>Burgdorfer</w:t>
      </w:r>
      <w:proofErr w:type="spellEnd"/>
      <w:r w:rsidRPr="00613912">
        <w:rPr>
          <w:rFonts w:ascii="Helvetica" w:hAnsi="Helvetica" w:cs="Helvetica"/>
          <w:sz w:val="20"/>
          <w:szCs w:val="20"/>
          <w:lang w:eastAsia="en-AU"/>
        </w:rPr>
        <w:t xml:space="preserve"> W. Comparison of enzyme-linked immunosorbent assay and complement fixation and indirect fluorescent-antibody tests for detection of Coxiella </w:t>
      </w:r>
      <w:proofErr w:type="spellStart"/>
      <w:r w:rsidRPr="00613912">
        <w:rPr>
          <w:rFonts w:ascii="Helvetica" w:hAnsi="Helvetica" w:cs="Helvetica"/>
          <w:sz w:val="20"/>
          <w:szCs w:val="20"/>
          <w:lang w:eastAsia="en-AU"/>
        </w:rPr>
        <w:t>burnetii</w:t>
      </w:r>
      <w:proofErr w:type="spellEnd"/>
      <w:r w:rsidRPr="00613912">
        <w:rPr>
          <w:rFonts w:ascii="Helvetica" w:hAnsi="Helvetica" w:cs="Helvetica"/>
          <w:sz w:val="20"/>
          <w:szCs w:val="20"/>
          <w:lang w:eastAsia="en-AU"/>
        </w:rPr>
        <w:t xml:space="preserve"> antibody. J Clin Microbiol. 1987Jun;25(6):1063-7.</w:t>
      </w:r>
    </w:p>
    <w:p w:rsidRPr="00613912" w:rsidR="00613912" w:rsidP="00613912" w:rsidRDefault="00613912" w14:paraId="2E151E77" w14:textId="77777777">
      <w:pPr>
        <w:numPr>
          <w:ilvl w:val="0"/>
          <w:numId w:val="25"/>
        </w:numPr>
        <w:shd w:val="clear" w:color="auto" w:fill="FFFFFF"/>
        <w:spacing w:after="90" w:line="300" w:lineRule="atLeast"/>
        <w:rPr>
          <w:rFonts w:ascii="Helvetica" w:hAnsi="Helvetica" w:cs="Helvetica"/>
          <w:sz w:val="20"/>
          <w:szCs w:val="20"/>
          <w:lang w:eastAsia="en-AU"/>
        </w:rPr>
      </w:pPr>
      <w:bookmarkStart w:name="12" w:id="11"/>
      <w:bookmarkEnd w:id="11"/>
      <w:r w:rsidRPr="00613912">
        <w:rPr>
          <w:rFonts w:ascii="Helvetica" w:hAnsi="Helvetica" w:cs="Helvetica"/>
          <w:sz w:val="20"/>
          <w:szCs w:val="20"/>
          <w:lang w:eastAsia="en-AU"/>
        </w:rPr>
        <w:t xml:space="preserve">Field PR, Mitchell JL, Santiago A, </w:t>
      </w:r>
      <w:proofErr w:type="spellStart"/>
      <w:r w:rsidRPr="00613912">
        <w:rPr>
          <w:rFonts w:ascii="Helvetica" w:hAnsi="Helvetica" w:cs="Helvetica"/>
          <w:sz w:val="20"/>
          <w:szCs w:val="20"/>
          <w:lang w:eastAsia="en-AU"/>
        </w:rPr>
        <w:t>Dickeson</w:t>
      </w:r>
      <w:proofErr w:type="spellEnd"/>
      <w:r w:rsidRPr="00613912">
        <w:rPr>
          <w:rFonts w:ascii="Helvetica" w:hAnsi="Helvetica" w:cs="Helvetica"/>
          <w:sz w:val="20"/>
          <w:szCs w:val="20"/>
          <w:lang w:eastAsia="en-AU"/>
        </w:rPr>
        <w:t xml:space="preserve"> DJ, Chan SW, Ho DW, Murphy AM, </w:t>
      </w:r>
      <w:proofErr w:type="spellStart"/>
      <w:r w:rsidRPr="00613912">
        <w:rPr>
          <w:rFonts w:ascii="Helvetica" w:hAnsi="Helvetica" w:cs="Helvetica"/>
          <w:sz w:val="20"/>
          <w:szCs w:val="20"/>
          <w:lang w:eastAsia="en-AU"/>
        </w:rPr>
        <w:t>Cuzzubbo</w:t>
      </w:r>
      <w:proofErr w:type="spellEnd"/>
      <w:r w:rsidRPr="00613912">
        <w:rPr>
          <w:rFonts w:ascii="Helvetica" w:hAnsi="Helvetica" w:cs="Helvetica"/>
          <w:sz w:val="20"/>
          <w:szCs w:val="20"/>
          <w:lang w:eastAsia="en-AU"/>
        </w:rPr>
        <w:t xml:space="preserve"> AJ, Devine PL. Comparison of a commercial enzyme-linked immunosorbent assay with immunofluorescence and complement fixation tests for detection of Coxiella </w:t>
      </w:r>
      <w:proofErr w:type="spellStart"/>
      <w:r w:rsidRPr="00613912">
        <w:rPr>
          <w:rFonts w:ascii="Helvetica" w:hAnsi="Helvetica" w:cs="Helvetica"/>
          <w:sz w:val="20"/>
          <w:szCs w:val="20"/>
          <w:lang w:eastAsia="en-AU"/>
        </w:rPr>
        <w:t>burnetii</w:t>
      </w:r>
      <w:proofErr w:type="spellEnd"/>
      <w:r w:rsidRPr="00613912">
        <w:rPr>
          <w:rFonts w:ascii="Helvetica" w:hAnsi="Helvetica" w:cs="Helvetica"/>
          <w:sz w:val="20"/>
          <w:szCs w:val="20"/>
          <w:lang w:eastAsia="en-AU"/>
        </w:rPr>
        <w:t xml:space="preserve"> (Q fever) immunoglobulin M. J Clin Microbiol. 2000 Apr;38(4):1645-7.</w:t>
      </w:r>
    </w:p>
    <w:p w:rsidRPr="00613912" w:rsidR="00613912" w:rsidP="00613912" w:rsidRDefault="00613912" w14:paraId="7B3E93A4" w14:textId="77777777">
      <w:pPr>
        <w:numPr>
          <w:ilvl w:val="0"/>
          <w:numId w:val="25"/>
        </w:numPr>
        <w:shd w:val="clear" w:color="auto" w:fill="FFFFFF"/>
        <w:spacing w:after="90" w:line="300" w:lineRule="atLeast"/>
        <w:rPr>
          <w:rFonts w:ascii="Helvetica" w:hAnsi="Helvetica" w:cs="Helvetica"/>
          <w:sz w:val="20"/>
          <w:szCs w:val="20"/>
          <w:lang w:eastAsia="en-AU"/>
        </w:rPr>
      </w:pPr>
      <w:bookmarkStart w:name="13" w:id="12"/>
      <w:bookmarkEnd w:id="12"/>
      <w:r w:rsidRPr="00613912">
        <w:rPr>
          <w:rFonts w:ascii="Helvetica" w:hAnsi="Helvetica" w:cs="Helvetica"/>
          <w:sz w:val="20"/>
          <w:szCs w:val="20"/>
          <w:lang w:eastAsia="en-AU"/>
        </w:rPr>
        <w:t xml:space="preserve">Field PR, Mitchell JL, Santiago A, </w:t>
      </w:r>
      <w:proofErr w:type="spellStart"/>
      <w:r w:rsidRPr="00613912">
        <w:rPr>
          <w:rFonts w:ascii="Helvetica" w:hAnsi="Helvetica" w:cs="Helvetica"/>
          <w:sz w:val="20"/>
          <w:szCs w:val="20"/>
          <w:lang w:eastAsia="en-AU"/>
        </w:rPr>
        <w:t>Dickeson</w:t>
      </w:r>
      <w:proofErr w:type="spellEnd"/>
      <w:r w:rsidRPr="00613912">
        <w:rPr>
          <w:rFonts w:ascii="Helvetica" w:hAnsi="Helvetica" w:cs="Helvetica"/>
          <w:sz w:val="20"/>
          <w:szCs w:val="20"/>
          <w:lang w:eastAsia="en-AU"/>
        </w:rPr>
        <w:t xml:space="preserve"> DJ, Chan SW, Ho DW, Murphy AM, </w:t>
      </w:r>
      <w:proofErr w:type="spellStart"/>
      <w:r w:rsidRPr="00613912">
        <w:rPr>
          <w:rFonts w:ascii="Helvetica" w:hAnsi="Helvetica" w:cs="Helvetica"/>
          <w:sz w:val="20"/>
          <w:szCs w:val="20"/>
          <w:lang w:eastAsia="en-AU"/>
        </w:rPr>
        <w:t>Cuzzubbo</w:t>
      </w:r>
      <w:proofErr w:type="spellEnd"/>
      <w:r w:rsidRPr="00613912">
        <w:rPr>
          <w:rFonts w:ascii="Helvetica" w:hAnsi="Helvetica" w:cs="Helvetica"/>
          <w:sz w:val="20"/>
          <w:szCs w:val="20"/>
          <w:lang w:eastAsia="en-AU"/>
        </w:rPr>
        <w:t xml:space="preserve"> AJ, Devine PL. Comparison of a commercial enzyme-linked immunosorbent assay with immunofluorescence and complement fixation tests for detection of Coxiella </w:t>
      </w:r>
      <w:proofErr w:type="spellStart"/>
      <w:r w:rsidRPr="00613912">
        <w:rPr>
          <w:rFonts w:ascii="Helvetica" w:hAnsi="Helvetica" w:cs="Helvetica"/>
          <w:sz w:val="20"/>
          <w:szCs w:val="20"/>
          <w:lang w:eastAsia="en-AU"/>
        </w:rPr>
        <w:t>burnetii</w:t>
      </w:r>
      <w:proofErr w:type="spellEnd"/>
      <w:r w:rsidRPr="00613912">
        <w:rPr>
          <w:rFonts w:ascii="Helvetica" w:hAnsi="Helvetica" w:cs="Helvetica"/>
          <w:sz w:val="20"/>
          <w:szCs w:val="20"/>
          <w:lang w:eastAsia="en-AU"/>
        </w:rPr>
        <w:t xml:space="preserve"> (Q fever) immunoglobulin M. J Clin Microbiol. 2000 Apr;38(4):1645-7.</w:t>
      </w:r>
    </w:p>
    <w:p w:rsidRPr="00613912" w:rsidR="009E0B84" w:rsidP="00F42019" w:rsidRDefault="00613912" w14:paraId="5341827A" w14:textId="562C80D0">
      <w:pPr>
        <w:numPr>
          <w:ilvl w:val="0"/>
          <w:numId w:val="25"/>
        </w:numPr>
        <w:shd w:val="clear" w:color="auto" w:fill="FFFFFF"/>
        <w:spacing w:after="90" w:line="300" w:lineRule="atLeast"/>
        <w:rPr>
          <w:rFonts w:ascii="Helvetica" w:hAnsi="Helvetica" w:cs="Helvetica"/>
          <w:sz w:val="20"/>
          <w:szCs w:val="20"/>
          <w:lang w:eastAsia="en-AU"/>
        </w:rPr>
      </w:pPr>
      <w:bookmarkStart w:name="14" w:id="13"/>
      <w:bookmarkEnd w:id="13"/>
      <w:proofErr w:type="spellStart"/>
      <w:r w:rsidRPr="00613912">
        <w:rPr>
          <w:rFonts w:ascii="Helvetica" w:hAnsi="Helvetica" w:cs="Helvetica"/>
          <w:sz w:val="20"/>
          <w:szCs w:val="20"/>
          <w:lang w:eastAsia="en-AU"/>
        </w:rPr>
        <w:t>D'Harcourt</w:t>
      </w:r>
      <w:proofErr w:type="spellEnd"/>
      <w:r w:rsidRPr="00613912">
        <w:rPr>
          <w:rFonts w:ascii="Helvetica" w:hAnsi="Helvetica" w:cs="Helvetica"/>
          <w:sz w:val="20"/>
          <w:szCs w:val="20"/>
          <w:lang w:eastAsia="en-AU"/>
        </w:rPr>
        <w:t xml:space="preserve"> SC, Soto AB, Burgos VC, Calero DL, Martínez-</w:t>
      </w:r>
      <w:proofErr w:type="spellStart"/>
      <w:r w:rsidRPr="00613912">
        <w:rPr>
          <w:rFonts w:ascii="Helvetica" w:hAnsi="Helvetica" w:cs="Helvetica"/>
          <w:sz w:val="20"/>
          <w:szCs w:val="20"/>
          <w:lang w:eastAsia="en-AU"/>
        </w:rPr>
        <w:t>Zapico</w:t>
      </w:r>
      <w:proofErr w:type="spellEnd"/>
      <w:r w:rsidRPr="00613912">
        <w:rPr>
          <w:rFonts w:ascii="Helvetica" w:hAnsi="Helvetica" w:cs="Helvetica"/>
          <w:sz w:val="20"/>
          <w:szCs w:val="20"/>
          <w:lang w:eastAsia="en-AU"/>
        </w:rPr>
        <w:t xml:space="preserve"> R. Comparison of immunofluorescence with enzyme immunoassay for detection of Q fever. Eur J Clin Microbiol Infect Dis. 1996 Sep;15(9):749-52.</w:t>
      </w:r>
    </w:p>
    <w:sectPr w:rsidRPr="00613912" w:rsidR="009E0B84" w:rsidSect="00F42019">
      <w:headerReference w:type="default" r:id="rId11"/>
      <w:footerReference w:type="default" r:id="rId12"/>
      <w:headerReference w:type="first" r:id="rId13"/>
      <w:footerReference w:type="first" r:id="rId14"/>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3912" w:rsidP="006B56BB" w:rsidRDefault="00613912" w14:paraId="6B783450" w14:textId="77777777">
      <w:r>
        <w:separator/>
      </w:r>
    </w:p>
    <w:p w:rsidR="00613912" w:rsidRDefault="00613912" w14:paraId="7D7BD041" w14:textId="77777777"/>
  </w:endnote>
  <w:endnote w:type="continuationSeparator" w:id="0">
    <w:p w:rsidR="00613912" w:rsidP="006B56BB" w:rsidRDefault="00613912" w14:paraId="72291253" w14:textId="77777777">
      <w:r>
        <w:continuationSeparator/>
      </w:r>
    </w:p>
    <w:p w:rsidR="00613912" w:rsidRDefault="00613912" w14:paraId="2CB0EA19" w14:textId="77777777"/>
  </w:endnote>
  <w:endnote w:type="continuationNotice" w:id="1">
    <w:p w:rsidR="00613912" w:rsidRDefault="00613912" w14:paraId="2CD94AC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613912" w14:paraId="26020F6E" w14:textId="6009380F">
            <w:pPr>
              <w:pStyle w:val="Footer"/>
              <w:jc w:val="right"/>
            </w:pPr>
            <w:r w:rsidRPr="00613912">
              <w:t xml:space="preserve">Q fever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3816B7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613912" w14:paraId="73DA97AA" w14:textId="32BF193C">
    <w:pPr>
      <w:pStyle w:val="Footer"/>
      <w:jc w:val="right"/>
    </w:pPr>
    <w:r w:rsidRPr="00613912">
      <w:t xml:space="preserve">Q fever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23F9560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3912" w:rsidP="006B56BB" w:rsidRDefault="00613912" w14:paraId="25D9632F" w14:textId="77777777">
      <w:r>
        <w:separator/>
      </w:r>
    </w:p>
    <w:p w:rsidR="00613912" w:rsidRDefault="00613912" w14:paraId="1FBED83E" w14:textId="77777777"/>
  </w:footnote>
  <w:footnote w:type="continuationSeparator" w:id="0">
    <w:p w:rsidR="00613912" w:rsidP="006B56BB" w:rsidRDefault="00613912" w14:paraId="3526B4F5" w14:textId="77777777">
      <w:r>
        <w:continuationSeparator/>
      </w:r>
    </w:p>
    <w:p w:rsidR="00613912" w:rsidRDefault="00613912" w14:paraId="28F8FD3D" w14:textId="77777777"/>
  </w:footnote>
  <w:footnote w:type="continuationNotice" w:id="1">
    <w:p w:rsidR="00613912" w:rsidRDefault="00613912" w14:paraId="7206963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3AAD6153"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29C1138B" w14:textId="77777777">
    <w:pPr>
      <w:pStyle w:val="Header"/>
    </w:pPr>
    <w:r>
      <w:rPr>
        <w:noProof/>
      </w:rPr>
      <w:drawing>
        <wp:inline distT="0" distB="0" distL="0" distR="0" wp14:anchorId="7FA0E121" wp14:editId="59E9BCE7">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CA1766"/>
    <w:multiLevelType w:val="multilevel"/>
    <w:tmpl w:val="A9F83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3DD60FD"/>
    <w:multiLevelType w:val="multilevel"/>
    <w:tmpl w:val="1F4E6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0DDA1979"/>
    <w:multiLevelType w:val="multilevel"/>
    <w:tmpl w:val="ED3007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6" w15:restartNumberingAfterBreak="0">
    <w:nsid w:val="3E440448"/>
    <w:multiLevelType w:val="multilevel"/>
    <w:tmpl w:val="E5629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62DE26F9"/>
    <w:multiLevelType w:val="multilevel"/>
    <w:tmpl w:val="8EAAAB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DBB4959"/>
    <w:multiLevelType w:val="multilevel"/>
    <w:tmpl w:val="228E0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8"/>
  </w:num>
  <w:num w:numId="3">
    <w:abstractNumId w:val="21"/>
  </w:num>
  <w:num w:numId="4">
    <w:abstractNumId w:val="8"/>
  </w:num>
  <w:num w:numId="5">
    <w:abstractNumId w:val="8"/>
    <w:lvlOverride w:ilvl="0">
      <w:startOverride w:val="1"/>
    </w:lvlOverride>
  </w:num>
  <w:num w:numId="6">
    <w:abstractNumId w:val="11"/>
  </w:num>
  <w:num w:numId="7">
    <w:abstractNumId w:val="17"/>
  </w:num>
  <w:num w:numId="8">
    <w:abstractNumId w:val="20"/>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3"/>
  </w:num>
  <w:num w:numId="17">
    <w:abstractNumId w:val="13"/>
  </w:num>
  <w:num w:numId="18">
    <w:abstractNumId w:val="14"/>
  </w:num>
  <w:num w:numId="19">
    <w:abstractNumId w:val="15"/>
  </w:num>
  <w:num w:numId="20">
    <w:abstractNumId w:val="19"/>
  </w:num>
  <w:num w:numId="21">
    <w:abstractNumId w:val="10"/>
  </w:num>
  <w:num w:numId="22">
    <w:abstractNumId w:val="9"/>
  </w:num>
  <w:num w:numId="23">
    <w:abstractNumId w:val="12"/>
  </w:num>
  <w:num w:numId="24">
    <w:abstractNumId w:val="22"/>
  </w:num>
  <w:num w:numId="25">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12"/>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13912"/>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0BB4DC40"/>
    <w:rsid w:val="69E9C5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0B914"/>
  <w15:docId w15:val="{9043AB30-4219-46C2-8119-C7756B43D9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7708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402942d5c2424146"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96246db-85b4-4a2d-9367-569e499d9c40}"/>
      </w:docPartPr>
      <w:docPartBody>
        <w:p w14:paraId="20A65EB3">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CAD5E9EC-E3EA-44AE-8F4F-129D69202D34}"/>
</file>

<file path=customXml/itemProps3.xml><?xml version="1.0" encoding="utf-8"?>
<ds:datastoreItem xmlns:ds="http://schemas.openxmlformats.org/officeDocument/2006/customXml" ds:itemID="{D20C6417-ADBB-487B-9091-DC3471F064B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36487dd-ec90-4f99-8970-1318e5f2979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 fever – Laboratory case definition</dc:title>
  <dc:creator>Public Health Laboratory Network</dc:creator>
  <cp:keywords>Communicable diseases</cp:keywords>
  <dcterms:created xsi:type="dcterms:W3CDTF">2022-06-06T02:43:00Z</dcterms:created>
  <dcterms:modified xsi:type="dcterms:W3CDTF">2022-06-10T01:39:37Z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