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800DEB" w14:paraId="78E1FB68" w14:textId="77777777" w:rsidTr="00800DEB">
        <w:tc>
          <w:tcPr>
            <w:tcW w:w="2547" w:type="dxa"/>
          </w:tcPr>
          <w:p w14:paraId="752FD1B1" w14:textId="77777777" w:rsidR="00800DEB" w:rsidRDefault="00800DEB" w:rsidP="00800DEB">
            <w:r>
              <w:rPr>
                <w:noProof/>
              </w:rPr>
              <w:drawing>
                <wp:inline distT="0" distB="0" distL="0" distR="0" wp14:anchorId="3E8D4D75" wp14:editId="4DE15439">
                  <wp:extent cx="1171575" cy="1714500"/>
                  <wp:effectExtent l="0" t="0" r="9525" b="0"/>
                  <wp:docPr id="2" name="Picture 2" descr="Communicable Diseases Net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unicable Diseases Network Australia logo"/>
                          <pic:cNvPicPr/>
                        </pic:nvPicPr>
                        <pic:blipFill>
                          <a:blip r:embed="rId11">
                            <a:extLst>
                              <a:ext uri="{28A0092B-C50C-407E-A947-70E740481C1C}">
                                <a14:useLocalDpi xmlns:a14="http://schemas.microsoft.com/office/drawing/2010/main" val="0"/>
                              </a:ext>
                            </a:extLst>
                          </a:blip>
                          <a:stretch>
                            <a:fillRect/>
                          </a:stretch>
                        </pic:blipFill>
                        <pic:spPr>
                          <a:xfrm>
                            <a:off x="0" y="0"/>
                            <a:ext cx="1171575" cy="1714500"/>
                          </a:xfrm>
                          <a:prstGeom prst="rect">
                            <a:avLst/>
                          </a:prstGeom>
                        </pic:spPr>
                      </pic:pic>
                    </a:graphicData>
                  </a:graphic>
                </wp:inline>
              </w:drawing>
            </w:r>
          </w:p>
        </w:tc>
        <w:tc>
          <w:tcPr>
            <w:tcW w:w="6513" w:type="dxa"/>
          </w:tcPr>
          <w:p w14:paraId="468C589B" w14:textId="6D8C3397" w:rsidR="00800DEB" w:rsidRDefault="0038781C" w:rsidP="00800DEB">
            <w:pPr>
              <w:pStyle w:val="Title"/>
            </w:pPr>
            <w:r w:rsidRPr="0038781C">
              <w:t>Ross River virus infection</w:t>
            </w:r>
          </w:p>
          <w:p w14:paraId="112FFBF7" w14:textId="77777777" w:rsidR="00800DEB" w:rsidRDefault="00800DEB" w:rsidP="00800DEB">
            <w:pPr>
              <w:pStyle w:val="Subtitle"/>
            </w:pPr>
            <w:r w:rsidRPr="00800DEB">
              <w:t>Australian national notifiable diseases case definition</w:t>
            </w:r>
          </w:p>
        </w:tc>
      </w:tr>
    </w:tbl>
    <w:p w14:paraId="1076CC54" w14:textId="26FF19CD" w:rsidR="004516E8" w:rsidRDefault="00800DEB" w:rsidP="009E0B84">
      <w:pPr>
        <w:pStyle w:val="IntroPara"/>
      </w:pPr>
      <w:r w:rsidRPr="00872414">
        <w:t xml:space="preserve">This document contains the </w:t>
      </w:r>
      <w:r>
        <w:t xml:space="preserve">surveillance </w:t>
      </w:r>
      <w:r w:rsidRPr="00872414">
        <w:t xml:space="preserve">case definition for </w:t>
      </w:r>
      <w:r w:rsidR="0038781C" w:rsidRPr="0038781C">
        <w:t xml:space="preserve">Ross River virus </w:t>
      </w:r>
      <w:proofErr w:type="spellStart"/>
      <w:r w:rsidR="0038781C" w:rsidRPr="0038781C">
        <w:t>infection</w:t>
      </w:r>
      <w:r w:rsidR="0038781C">
        <w:t>m</w:t>
      </w:r>
      <w:proofErr w:type="spellEnd"/>
      <w:r w:rsidR="0038781C" w:rsidRPr="0038781C">
        <w:t xml:space="preserve"> </w:t>
      </w:r>
      <w:r w:rsidRPr="00872414">
        <w:t xml:space="preserve">which is nationally notifiable within Australia. </w:t>
      </w:r>
      <w:r w:rsidR="004516E8">
        <w:t>State and territory health departments use this definition to decide whether to notify the Australian Government Department of Health</w:t>
      </w:r>
      <w:r w:rsidR="00B14926">
        <w:t xml:space="preserve"> and Aged Care</w:t>
      </w:r>
      <w:r w:rsidR="004516E8">
        <w:t xml:space="preserve"> of a case.</w:t>
      </w:r>
    </w:p>
    <w:tbl>
      <w:tblPr>
        <w:tblStyle w:val="DepartmentofHealthtable"/>
        <w:tblW w:w="5000" w:type="pct"/>
        <w:tblLook w:val="04A0" w:firstRow="1" w:lastRow="0" w:firstColumn="1" w:lastColumn="0" w:noHBand="0" w:noVBand="1"/>
        <w:tblDescription w:val="version control table for the cholera case definition"/>
      </w:tblPr>
      <w:tblGrid>
        <w:gridCol w:w="1023"/>
        <w:gridCol w:w="4710"/>
        <w:gridCol w:w="1446"/>
        <w:gridCol w:w="1891"/>
      </w:tblGrid>
      <w:tr w:rsidR="00800DEB" w:rsidRPr="00872414" w14:paraId="7107D680" w14:textId="77777777" w:rsidTr="00A73A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38897C9F" w14:textId="77777777" w:rsidR="00800DEB" w:rsidRPr="00872414" w:rsidRDefault="00800DEB" w:rsidP="00650561">
            <w:pPr>
              <w:pStyle w:val="TableHeader"/>
              <w:rPr>
                <w:color w:val="FFFFFF" w:themeColor="background1"/>
                <w:lang w:eastAsia="en-AU"/>
              </w:rPr>
            </w:pPr>
            <w:r w:rsidRPr="00872414">
              <w:rPr>
                <w:color w:val="FFFFFF" w:themeColor="background1"/>
                <w:lang w:eastAsia="en-AU"/>
              </w:rPr>
              <w:t>Version</w:t>
            </w:r>
          </w:p>
        </w:tc>
        <w:tc>
          <w:tcPr>
            <w:tcW w:w="0" w:type="auto"/>
            <w:hideMark/>
          </w:tcPr>
          <w:p w14:paraId="0D7EABE4"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Status</w:t>
            </w:r>
          </w:p>
        </w:tc>
        <w:tc>
          <w:tcPr>
            <w:tcW w:w="0" w:type="auto"/>
            <w:hideMark/>
          </w:tcPr>
          <w:p w14:paraId="4F951248"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Last reviewed</w:t>
            </w:r>
          </w:p>
        </w:tc>
        <w:tc>
          <w:tcPr>
            <w:tcW w:w="0" w:type="auto"/>
            <w:hideMark/>
          </w:tcPr>
          <w:p w14:paraId="24EB46CC"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Implementation date</w:t>
            </w:r>
          </w:p>
        </w:tc>
      </w:tr>
      <w:tr w:rsidR="00800DEB" w:rsidRPr="00872414" w14:paraId="197EE904" w14:textId="77777777" w:rsidTr="0080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BCD6E6" w14:textId="283E4128" w:rsidR="00800DEB" w:rsidRPr="00872414" w:rsidRDefault="0038781C" w:rsidP="00650561">
            <w:pPr>
              <w:pStyle w:val="TableText"/>
              <w:rPr>
                <w:lang w:eastAsia="en-AU"/>
              </w:rPr>
            </w:pPr>
            <w:r>
              <w:rPr>
                <w:lang w:eastAsia="en-AU"/>
              </w:rPr>
              <w:t>1.2</w:t>
            </w:r>
          </w:p>
        </w:tc>
        <w:tc>
          <w:tcPr>
            <w:tcW w:w="0" w:type="auto"/>
          </w:tcPr>
          <w:p w14:paraId="34BF054F" w14:textId="77777777" w:rsidR="0038781C" w:rsidRDefault="0038781C" w:rsidP="0038781C">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New probable category</w:t>
            </w:r>
          </w:p>
          <w:p w14:paraId="1F3B76FA" w14:textId="77777777" w:rsidR="0038781C" w:rsidRDefault="0038781C" w:rsidP="0038781C">
            <w:pPr>
              <w:pStyle w:val="TableText"/>
              <w:cnfStyle w:val="000000100000" w:firstRow="0" w:lastRow="0" w:firstColumn="0" w:lastColumn="0" w:oddVBand="0" w:evenVBand="0" w:oddHBand="1" w:evenHBand="0" w:firstRowFirstColumn="0" w:firstRowLastColumn="0" w:lastRowFirstColumn="0" w:lastRowLastColumn="0"/>
              <w:rPr>
                <w:lang w:eastAsia="en-AU"/>
              </w:rPr>
            </w:pPr>
          </w:p>
          <w:p w14:paraId="47500F0A" w14:textId="77777777" w:rsidR="0038781C" w:rsidRDefault="0038781C" w:rsidP="0038781C">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Laboratory </w:t>
            </w:r>
            <w:r w:rsidRPr="0038781C">
              <w:rPr>
                <w:b/>
                <w:bCs/>
                <w:lang w:eastAsia="en-AU"/>
              </w:rPr>
              <w:t>definitive</w:t>
            </w:r>
            <w:r>
              <w:rPr>
                <w:lang w:eastAsia="en-AU"/>
              </w:rPr>
              <w:t xml:space="preserve"> evidence now only includes detection by PCR and demonstrated seroconversions. A single IgM will no longer be included in this category.</w:t>
            </w:r>
          </w:p>
          <w:p w14:paraId="655DD1A4" w14:textId="77777777" w:rsidR="0038781C" w:rsidRDefault="0038781C" w:rsidP="0038781C">
            <w:pPr>
              <w:pStyle w:val="TableText"/>
              <w:cnfStyle w:val="000000100000" w:firstRow="0" w:lastRow="0" w:firstColumn="0" w:lastColumn="0" w:oddVBand="0" w:evenVBand="0" w:oddHBand="1" w:evenHBand="0" w:firstRowFirstColumn="0" w:firstRowLastColumn="0" w:lastRowFirstColumn="0" w:lastRowLastColumn="0"/>
              <w:rPr>
                <w:lang w:eastAsia="en-AU"/>
              </w:rPr>
            </w:pPr>
          </w:p>
          <w:p w14:paraId="5B4066B4" w14:textId="77777777" w:rsidR="0038781C" w:rsidRDefault="0038781C" w:rsidP="0038781C">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Laboratory </w:t>
            </w:r>
            <w:r w:rsidRPr="0038781C">
              <w:rPr>
                <w:b/>
                <w:bCs/>
                <w:lang w:eastAsia="en-AU"/>
              </w:rPr>
              <w:t>suggestive</w:t>
            </w:r>
            <w:r>
              <w:rPr>
                <w:lang w:eastAsia="en-AU"/>
              </w:rPr>
              <w:t xml:space="preserve"> evidence will require an IgM in the presence of IgG on the same specimen.</w:t>
            </w:r>
          </w:p>
          <w:p w14:paraId="50B0F755" w14:textId="77777777" w:rsidR="0038781C" w:rsidRDefault="0038781C" w:rsidP="0038781C">
            <w:pPr>
              <w:pStyle w:val="TableText"/>
              <w:cnfStyle w:val="000000100000" w:firstRow="0" w:lastRow="0" w:firstColumn="0" w:lastColumn="0" w:oddVBand="0" w:evenVBand="0" w:oddHBand="1" w:evenHBand="0" w:firstRowFirstColumn="0" w:firstRowLastColumn="0" w:lastRowFirstColumn="0" w:lastRowLastColumn="0"/>
              <w:rPr>
                <w:lang w:eastAsia="en-AU"/>
              </w:rPr>
            </w:pPr>
          </w:p>
          <w:p w14:paraId="6B8D0CB2" w14:textId="300D5FF5" w:rsidR="00800DEB" w:rsidRPr="00872414" w:rsidRDefault="0038781C" w:rsidP="0038781C">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Single IgM positive results will no longer meet the confirmed or probable case definition.</w:t>
            </w:r>
          </w:p>
        </w:tc>
        <w:tc>
          <w:tcPr>
            <w:tcW w:w="0" w:type="auto"/>
          </w:tcPr>
          <w:p w14:paraId="1D2CEC05" w14:textId="02CE79B3" w:rsidR="00800DEB" w:rsidRPr="00872414" w:rsidRDefault="0038781C"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38781C">
              <w:rPr>
                <w:lang w:eastAsia="en-AU"/>
              </w:rPr>
              <w:t>CDWG September 2015</w:t>
            </w:r>
          </w:p>
        </w:tc>
        <w:tc>
          <w:tcPr>
            <w:tcW w:w="0" w:type="auto"/>
          </w:tcPr>
          <w:p w14:paraId="5F675042" w14:textId="5E138EF6" w:rsidR="00800DEB" w:rsidRPr="00872414" w:rsidRDefault="0038781C"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38781C">
              <w:rPr>
                <w:lang w:eastAsia="en-AU"/>
              </w:rPr>
              <w:t>1 January 2016</w:t>
            </w:r>
          </w:p>
        </w:tc>
      </w:tr>
      <w:tr w:rsidR="00800DEB" w:rsidRPr="00872414" w14:paraId="34F7BA68" w14:textId="77777777" w:rsidTr="00800D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BE0DA7" w14:textId="13A1EDED" w:rsidR="00800DEB" w:rsidRPr="00872414" w:rsidRDefault="0038781C" w:rsidP="00650561">
            <w:pPr>
              <w:pStyle w:val="TableText"/>
              <w:rPr>
                <w:lang w:eastAsia="en-AU"/>
              </w:rPr>
            </w:pPr>
            <w:r>
              <w:rPr>
                <w:lang w:eastAsia="en-AU"/>
              </w:rPr>
              <w:t>1.1</w:t>
            </w:r>
          </w:p>
        </w:tc>
        <w:tc>
          <w:tcPr>
            <w:tcW w:w="0" w:type="auto"/>
          </w:tcPr>
          <w:p w14:paraId="54E352D7" w14:textId="77777777" w:rsidR="0038781C" w:rsidRDefault="0038781C" w:rsidP="0038781C">
            <w:pPr>
              <w:pStyle w:val="Table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An assessment of notifications of Ross River virus and Barmah Forest virus infection found significant numbers of dual notifications in both jurisdictional and national data sets. It was agreed that the case definitions for Ross River virus and Barmah Forest virus infection should be made more specific.</w:t>
            </w:r>
          </w:p>
          <w:p w14:paraId="2FEDEAEE" w14:textId="77777777" w:rsidR="0038781C" w:rsidRDefault="0038781C" w:rsidP="0038781C">
            <w:pPr>
              <w:pStyle w:val="TableText"/>
              <w:cnfStyle w:val="000000010000" w:firstRow="0" w:lastRow="0" w:firstColumn="0" w:lastColumn="0" w:oddVBand="0" w:evenVBand="0" w:oddHBand="0" w:evenHBand="1" w:firstRowFirstColumn="0" w:firstRowLastColumn="0" w:lastRowFirstColumn="0" w:lastRowLastColumn="0"/>
              <w:rPr>
                <w:lang w:eastAsia="en-AU"/>
              </w:rPr>
            </w:pPr>
          </w:p>
          <w:p w14:paraId="555A8AB8" w14:textId="77777777" w:rsidR="0038781C" w:rsidRDefault="0038781C" w:rsidP="0038781C">
            <w:pPr>
              <w:pStyle w:val="Table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Add to the end of point 4 under Laboratory definitive evidence 'in the absence of Barmah Forest virus </w:t>
            </w:r>
            <w:proofErr w:type="gramStart"/>
            <w:r>
              <w:rPr>
                <w:lang w:eastAsia="en-AU"/>
              </w:rPr>
              <w:t>IgM, unless</w:t>
            </w:r>
            <w:proofErr w:type="gramEnd"/>
            <w:r>
              <w:rPr>
                <w:lang w:eastAsia="en-AU"/>
              </w:rPr>
              <w:t xml:space="preserve"> Ross River virus IgG is also detected'.</w:t>
            </w:r>
          </w:p>
          <w:p w14:paraId="0D88A205" w14:textId="77777777" w:rsidR="0038781C" w:rsidRDefault="0038781C" w:rsidP="0038781C">
            <w:pPr>
              <w:pStyle w:val="TableText"/>
              <w:cnfStyle w:val="000000010000" w:firstRow="0" w:lastRow="0" w:firstColumn="0" w:lastColumn="0" w:oddVBand="0" w:evenVBand="0" w:oddHBand="0" w:evenHBand="1" w:firstRowFirstColumn="0" w:firstRowLastColumn="0" w:lastRowFirstColumn="0" w:lastRowLastColumn="0"/>
              <w:rPr>
                <w:lang w:eastAsia="en-AU"/>
              </w:rPr>
            </w:pPr>
          </w:p>
          <w:p w14:paraId="4DBC3FE1" w14:textId="77777777" w:rsidR="0038781C" w:rsidRDefault="0038781C" w:rsidP="0038781C">
            <w:pPr>
              <w:pStyle w:val="Table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Add point 5, 'Detection of Ross River virus-specific IgM in the presence of Ross River virus IgG'.</w:t>
            </w:r>
          </w:p>
          <w:p w14:paraId="49EB7F11" w14:textId="77777777" w:rsidR="0038781C" w:rsidRDefault="0038781C" w:rsidP="0038781C">
            <w:pPr>
              <w:pStyle w:val="TableText"/>
              <w:cnfStyle w:val="000000010000" w:firstRow="0" w:lastRow="0" w:firstColumn="0" w:lastColumn="0" w:oddVBand="0" w:evenVBand="0" w:oddHBand="0" w:evenHBand="1" w:firstRowFirstColumn="0" w:firstRowLastColumn="0" w:lastRowFirstColumn="0" w:lastRowLastColumn="0"/>
              <w:rPr>
                <w:lang w:eastAsia="en-AU"/>
              </w:rPr>
            </w:pPr>
          </w:p>
          <w:p w14:paraId="7A1E9947" w14:textId="6A769154" w:rsidR="00800DEB" w:rsidRPr="00872414" w:rsidRDefault="0038781C" w:rsidP="0038781C">
            <w:pPr>
              <w:pStyle w:val="Table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Classifying cases with IgM to both RRV and BFV but IgG to neither as RRV cases was considered, as the cross-reactivity problem is thought to be mainly due to false positive BFV IgM in patients with genuine RRV IgM, rather than vice versa. </w:t>
            </w:r>
            <w:proofErr w:type="gramStart"/>
            <w:r>
              <w:rPr>
                <w:lang w:eastAsia="en-AU"/>
              </w:rPr>
              <w:t>However</w:t>
            </w:r>
            <w:proofErr w:type="gramEnd"/>
            <w:r>
              <w:rPr>
                <w:lang w:eastAsia="en-AU"/>
              </w:rPr>
              <w:t xml:space="preserve"> it was decided that this would complicate the case definitions too much for little gain as there are likely to be relatively few such situations.</w:t>
            </w:r>
          </w:p>
        </w:tc>
        <w:tc>
          <w:tcPr>
            <w:tcW w:w="0" w:type="auto"/>
          </w:tcPr>
          <w:p w14:paraId="02EB424A" w14:textId="0EAEE0FE" w:rsidR="00800DEB" w:rsidRPr="00872414" w:rsidRDefault="0038781C" w:rsidP="0065056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38781C">
              <w:rPr>
                <w:lang w:eastAsia="en-AU"/>
              </w:rPr>
              <w:lastRenderedPageBreak/>
              <w:t>CDWG 21 September 201</w:t>
            </w:r>
            <w:r>
              <w:rPr>
                <w:lang w:eastAsia="en-AU"/>
              </w:rPr>
              <w:t>2</w:t>
            </w:r>
          </w:p>
        </w:tc>
        <w:tc>
          <w:tcPr>
            <w:tcW w:w="0" w:type="auto"/>
          </w:tcPr>
          <w:p w14:paraId="165AD05A" w14:textId="565D60B9" w:rsidR="00800DEB" w:rsidRPr="00872414" w:rsidRDefault="0038781C" w:rsidP="0065056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38781C">
              <w:rPr>
                <w:lang w:eastAsia="en-AU"/>
              </w:rPr>
              <w:t>1 January 2013</w:t>
            </w:r>
          </w:p>
        </w:tc>
      </w:tr>
      <w:tr w:rsidR="0038781C" w:rsidRPr="00872414" w14:paraId="582FF807" w14:textId="77777777" w:rsidTr="0080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6266F0" w14:textId="4A886EA1" w:rsidR="0038781C" w:rsidRPr="00872414" w:rsidRDefault="0038781C" w:rsidP="00650561">
            <w:pPr>
              <w:pStyle w:val="TableText"/>
              <w:rPr>
                <w:lang w:eastAsia="en-AU"/>
              </w:rPr>
            </w:pPr>
            <w:r>
              <w:rPr>
                <w:lang w:eastAsia="en-AU"/>
              </w:rPr>
              <w:t>1.0</w:t>
            </w:r>
          </w:p>
        </w:tc>
        <w:tc>
          <w:tcPr>
            <w:tcW w:w="0" w:type="auto"/>
          </w:tcPr>
          <w:p w14:paraId="0E13D6A3" w14:textId="34E5DAB6" w:rsidR="0038781C" w:rsidRPr="00872414" w:rsidRDefault="0038781C"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38781C">
              <w:rPr>
                <w:lang w:eastAsia="en-AU"/>
              </w:rPr>
              <w:t>Initial CDNA case definition</w:t>
            </w:r>
          </w:p>
        </w:tc>
        <w:tc>
          <w:tcPr>
            <w:tcW w:w="0" w:type="auto"/>
          </w:tcPr>
          <w:p w14:paraId="2A1DEFB3" w14:textId="5FFD3CCB" w:rsidR="0038781C" w:rsidRPr="00872414" w:rsidRDefault="0038781C"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2004</w:t>
            </w:r>
          </w:p>
        </w:tc>
        <w:tc>
          <w:tcPr>
            <w:tcW w:w="0" w:type="auto"/>
          </w:tcPr>
          <w:p w14:paraId="5981809D" w14:textId="60D953DD" w:rsidR="0038781C" w:rsidRPr="00872414" w:rsidRDefault="0038781C"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2004</w:t>
            </w:r>
          </w:p>
        </w:tc>
      </w:tr>
    </w:tbl>
    <w:p w14:paraId="5D7FB9FE" w14:textId="77777777" w:rsidR="0038781C" w:rsidRPr="0038781C" w:rsidRDefault="0038781C" w:rsidP="0038781C">
      <w:pPr>
        <w:shd w:val="clear" w:color="auto" w:fill="FFFFFF"/>
        <w:spacing w:before="240" w:after="120"/>
        <w:outlineLvl w:val="2"/>
        <w:rPr>
          <w:rFonts w:ascii="Open Sans" w:hAnsi="Open Sans" w:cs="Open Sans"/>
          <w:color w:val="000000"/>
          <w:sz w:val="27"/>
          <w:szCs w:val="27"/>
          <w:lang w:eastAsia="en-AU"/>
        </w:rPr>
      </w:pPr>
      <w:r w:rsidRPr="0038781C">
        <w:rPr>
          <w:rFonts w:ascii="Open Sans" w:hAnsi="Open Sans" w:cs="Open Sans"/>
          <w:color w:val="000000"/>
          <w:sz w:val="27"/>
          <w:szCs w:val="27"/>
          <w:lang w:eastAsia="en-AU"/>
        </w:rPr>
        <w:t>Reporting</w:t>
      </w:r>
    </w:p>
    <w:p w14:paraId="080F2FC0" w14:textId="77777777" w:rsidR="0038781C" w:rsidRPr="0038781C" w:rsidRDefault="0038781C" w:rsidP="0038781C">
      <w:pPr>
        <w:shd w:val="clear" w:color="auto" w:fill="FFFFFF"/>
        <w:spacing w:after="240" w:line="300" w:lineRule="atLeast"/>
        <w:rPr>
          <w:rFonts w:ascii="Helvetica" w:hAnsi="Helvetica" w:cs="Helvetica"/>
          <w:color w:val="222222"/>
          <w:sz w:val="20"/>
          <w:szCs w:val="20"/>
          <w:lang w:eastAsia="en-AU"/>
        </w:rPr>
      </w:pPr>
      <w:r w:rsidRPr="0038781C">
        <w:rPr>
          <w:rFonts w:ascii="Helvetica" w:hAnsi="Helvetica" w:cs="Helvetica"/>
          <w:color w:val="222222"/>
          <w:sz w:val="20"/>
          <w:szCs w:val="20"/>
          <w:lang w:eastAsia="en-AU"/>
        </w:rPr>
        <w:t>Both confirmed cases and probable cases should be notified.</w:t>
      </w:r>
    </w:p>
    <w:p w14:paraId="49A7907F" w14:textId="77777777" w:rsidR="0038781C" w:rsidRPr="0038781C" w:rsidRDefault="0038781C" w:rsidP="0038781C">
      <w:pPr>
        <w:shd w:val="clear" w:color="auto" w:fill="FFFFFF"/>
        <w:spacing w:after="120"/>
        <w:outlineLvl w:val="2"/>
        <w:rPr>
          <w:rFonts w:ascii="Open Sans" w:hAnsi="Open Sans" w:cs="Open Sans"/>
          <w:color w:val="000000"/>
          <w:sz w:val="27"/>
          <w:szCs w:val="27"/>
          <w:lang w:eastAsia="en-AU"/>
        </w:rPr>
      </w:pPr>
      <w:r w:rsidRPr="0038781C">
        <w:rPr>
          <w:rFonts w:ascii="Open Sans" w:hAnsi="Open Sans" w:cs="Open Sans"/>
          <w:color w:val="000000"/>
          <w:sz w:val="27"/>
          <w:szCs w:val="27"/>
          <w:lang w:eastAsia="en-AU"/>
        </w:rPr>
        <w:t>Confirmed case</w:t>
      </w:r>
    </w:p>
    <w:p w14:paraId="3C5F375F" w14:textId="77777777" w:rsidR="0038781C" w:rsidRPr="0038781C" w:rsidRDefault="0038781C" w:rsidP="0038781C">
      <w:pPr>
        <w:shd w:val="clear" w:color="auto" w:fill="FFFFFF"/>
        <w:spacing w:after="240" w:line="300" w:lineRule="atLeast"/>
        <w:rPr>
          <w:rFonts w:ascii="Helvetica" w:hAnsi="Helvetica" w:cs="Helvetica"/>
          <w:color w:val="222222"/>
          <w:sz w:val="20"/>
          <w:szCs w:val="20"/>
          <w:lang w:eastAsia="en-AU"/>
        </w:rPr>
      </w:pPr>
      <w:r w:rsidRPr="0038781C">
        <w:rPr>
          <w:rFonts w:ascii="Helvetica" w:hAnsi="Helvetica" w:cs="Helvetica"/>
          <w:color w:val="222222"/>
          <w:sz w:val="20"/>
          <w:szCs w:val="20"/>
          <w:lang w:eastAsia="en-AU"/>
        </w:rPr>
        <w:t>A confirmed case requires </w:t>
      </w:r>
      <w:r w:rsidRPr="0038781C">
        <w:rPr>
          <w:rFonts w:ascii="Helvetica" w:hAnsi="Helvetica" w:cs="Helvetica"/>
          <w:b/>
          <w:bCs/>
          <w:color w:val="222222"/>
          <w:sz w:val="20"/>
          <w:szCs w:val="20"/>
          <w:lang w:eastAsia="en-AU"/>
        </w:rPr>
        <w:t>laboratory definitive evidence</w:t>
      </w:r>
      <w:r w:rsidRPr="0038781C">
        <w:rPr>
          <w:rFonts w:ascii="Helvetica" w:hAnsi="Helvetica" w:cs="Helvetica"/>
          <w:color w:val="222222"/>
          <w:sz w:val="20"/>
          <w:szCs w:val="20"/>
          <w:lang w:eastAsia="en-AU"/>
        </w:rPr>
        <w:t> only.</w:t>
      </w:r>
    </w:p>
    <w:p w14:paraId="2BDC0C2F" w14:textId="77777777" w:rsidR="0038781C" w:rsidRPr="0038781C" w:rsidRDefault="0038781C" w:rsidP="0038781C">
      <w:pPr>
        <w:shd w:val="clear" w:color="auto" w:fill="FFFFFF"/>
        <w:spacing w:after="120"/>
        <w:outlineLvl w:val="2"/>
        <w:rPr>
          <w:rFonts w:ascii="Open Sans" w:hAnsi="Open Sans" w:cs="Open Sans"/>
          <w:color w:val="000000"/>
          <w:sz w:val="27"/>
          <w:szCs w:val="27"/>
          <w:lang w:eastAsia="en-AU"/>
        </w:rPr>
      </w:pPr>
      <w:r w:rsidRPr="0038781C">
        <w:rPr>
          <w:rFonts w:ascii="Open Sans" w:hAnsi="Open Sans" w:cs="Open Sans"/>
          <w:color w:val="000000"/>
          <w:sz w:val="27"/>
          <w:szCs w:val="27"/>
          <w:lang w:eastAsia="en-AU"/>
        </w:rPr>
        <w:t>Probable case</w:t>
      </w:r>
    </w:p>
    <w:p w14:paraId="33CC244B" w14:textId="77777777" w:rsidR="0038781C" w:rsidRPr="0038781C" w:rsidRDefault="0038781C" w:rsidP="0038781C">
      <w:pPr>
        <w:shd w:val="clear" w:color="auto" w:fill="FFFFFF"/>
        <w:spacing w:after="240" w:line="300" w:lineRule="atLeast"/>
        <w:rPr>
          <w:rFonts w:ascii="Helvetica" w:hAnsi="Helvetica" w:cs="Helvetica"/>
          <w:color w:val="222222"/>
          <w:sz w:val="20"/>
          <w:szCs w:val="20"/>
          <w:lang w:eastAsia="en-AU"/>
        </w:rPr>
      </w:pPr>
      <w:r w:rsidRPr="0038781C">
        <w:rPr>
          <w:rFonts w:ascii="Helvetica" w:hAnsi="Helvetica" w:cs="Helvetica"/>
          <w:color w:val="222222"/>
          <w:sz w:val="20"/>
          <w:szCs w:val="20"/>
          <w:lang w:eastAsia="en-AU"/>
        </w:rPr>
        <w:t>A probable case requires </w:t>
      </w:r>
      <w:r w:rsidRPr="0038781C">
        <w:rPr>
          <w:rFonts w:ascii="Helvetica" w:hAnsi="Helvetica" w:cs="Helvetica"/>
          <w:b/>
          <w:bCs/>
          <w:color w:val="222222"/>
          <w:sz w:val="20"/>
          <w:szCs w:val="20"/>
          <w:lang w:eastAsia="en-AU"/>
        </w:rPr>
        <w:t>laboratory suggestive evidence</w:t>
      </w:r>
      <w:r w:rsidRPr="0038781C">
        <w:rPr>
          <w:rFonts w:ascii="Helvetica" w:hAnsi="Helvetica" w:cs="Helvetica"/>
          <w:color w:val="222222"/>
          <w:sz w:val="20"/>
          <w:szCs w:val="20"/>
          <w:lang w:eastAsia="en-AU"/>
        </w:rPr>
        <w:t> only.</w:t>
      </w:r>
    </w:p>
    <w:p w14:paraId="39991415" w14:textId="77777777" w:rsidR="0038781C" w:rsidRPr="0038781C" w:rsidRDefault="0038781C" w:rsidP="0038781C">
      <w:pPr>
        <w:shd w:val="clear" w:color="auto" w:fill="FFFFFF"/>
        <w:spacing w:after="120"/>
        <w:outlineLvl w:val="2"/>
        <w:rPr>
          <w:rFonts w:ascii="Open Sans" w:hAnsi="Open Sans" w:cs="Open Sans"/>
          <w:color w:val="000000"/>
          <w:sz w:val="27"/>
          <w:szCs w:val="27"/>
          <w:lang w:eastAsia="en-AU"/>
        </w:rPr>
      </w:pPr>
      <w:r w:rsidRPr="0038781C">
        <w:rPr>
          <w:rFonts w:ascii="Open Sans" w:hAnsi="Open Sans" w:cs="Open Sans"/>
          <w:color w:val="000000"/>
          <w:sz w:val="27"/>
          <w:szCs w:val="27"/>
          <w:lang w:eastAsia="en-AU"/>
        </w:rPr>
        <w:t>Laboratory definitive evidence</w:t>
      </w:r>
    </w:p>
    <w:p w14:paraId="40A4445E" w14:textId="77777777" w:rsidR="0038781C" w:rsidRPr="0038781C" w:rsidRDefault="0038781C" w:rsidP="0038781C">
      <w:pPr>
        <w:shd w:val="clear" w:color="auto" w:fill="FFFFFF"/>
        <w:spacing w:after="240" w:line="300" w:lineRule="atLeast"/>
        <w:rPr>
          <w:rFonts w:ascii="Helvetica" w:hAnsi="Helvetica" w:cs="Helvetica"/>
          <w:color w:val="222222"/>
          <w:sz w:val="20"/>
          <w:szCs w:val="20"/>
          <w:lang w:eastAsia="en-AU"/>
        </w:rPr>
      </w:pPr>
      <w:r w:rsidRPr="0038781C">
        <w:rPr>
          <w:rFonts w:ascii="Helvetica" w:hAnsi="Helvetica" w:cs="Helvetica"/>
          <w:color w:val="222222"/>
          <w:sz w:val="20"/>
          <w:szCs w:val="20"/>
          <w:lang w:eastAsia="en-AU"/>
        </w:rPr>
        <w:t>Isolation of Ross River virus.</w:t>
      </w:r>
    </w:p>
    <w:p w14:paraId="78DFA2B6" w14:textId="77777777" w:rsidR="0038781C" w:rsidRPr="0038781C" w:rsidRDefault="0038781C" w:rsidP="0038781C">
      <w:pPr>
        <w:shd w:val="clear" w:color="auto" w:fill="FFFFFF"/>
        <w:spacing w:after="240" w:line="300" w:lineRule="atLeast"/>
        <w:rPr>
          <w:rFonts w:ascii="Helvetica" w:hAnsi="Helvetica" w:cs="Helvetica"/>
          <w:color w:val="222222"/>
          <w:sz w:val="20"/>
          <w:szCs w:val="20"/>
          <w:lang w:eastAsia="en-AU"/>
        </w:rPr>
      </w:pPr>
      <w:r w:rsidRPr="0038781C">
        <w:rPr>
          <w:rFonts w:ascii="Helvetica" w:hAnsi="Helvetica" w:cs="Helvetica"/>
          <w:color w:val="222222"/>
          <w:sz w:val="20"/>
          <w:szCs w:val="20"/>
          <w:lang w:eastAsia="en-AU"/>
        </w:rPr>
        <w:t>OR</w:t>
      </w:r>
    </w:p>
    <w:p w14:paraId="367214C8" w14:textId="77777777" w:rsidR="0038781C" w:rsidRPr="0038781C" w:rsidRDefault="0038781C" w:rsidP="0038781C">
      <w:pPr>
        <w:shd w:val="clear" w:color="auto" w:fill="FFFFFF"/>
        <w:spacing w:after="240" w:line="300" w:lineRule="atLeast"/>
        <w:rPr>
          <w:rFonts w:ascii="Helvetica" w:hAnsi="Helvetica" w:cs="Helvetica"/>
          <w:color w:val="222222"/>
          <w:sz w:val="20"/>
          <w:szCs w:val="20"/>
          <w:lang w:eastAsia="en-AU"/>
        </w:rPr>
      </w:pPr>
      <w:r w:rsidRPr="0038781C">
        <w:rPr>
          <w:rFonts w:ascii="Helvetica" w:hAnsi="Helvetica" w:cs="Helvetica"/>
          <w:color w:val="222222"/>
          <w:sz w:val="20"/>
          <w:szCs w:val="20"/>
          <w:lang w:eastAsia="en-AU"/>
        </w:rPr>
        <w:t>Detection of Ross River virus by nucleic acid testing.</w:t>
      </w:r>
    </w:p>
    <w:p w14:paraId="51940F74" w14:textId="77777777" w:rsidR="0038781C" w:rsidRPr="0038781C" w:rsidRDefault="0038781C" w:rsidP="0038781C">
      <w:pPr>
        <w:shd w:val="clear" w:color="auto" w:fill="FFFFFF"/>
        <w:spacing w:after="240" w:line="300" w:lineRule="atLeast"/>
        <w:rPr>
          <w:rFonts w:ascii="Helvetica" w:hAnsi="Helvetica" w:cs="Helvetica"/>
          <w:color w:val="222222"/>
          <w:sz w:val="20"/>
          <w:szCs w:val="20"/>
          <w:lang w:eastAsia="en-AU"/>
        </w:rPr>
      </w:pPr>
      <w:r w:rsidRPr="0038781C">
        <w:rPr>
          <w:rFonts w:ascii="Helvetica" w:hAnsi="Helvetica" w:cs="Helvetica"/>
          <w:color w:val="222222"/>
          <w:sz w:val="20"/>
          <w:szCs w:val="20"/>
          <w:lang w:eastAsia="en-AU"/>
        </w:rPr>
        <w:t>OR</w:t>
      </w:r>
    </w:p>
    <w:p w14:paraId="3821A3F7" w14:textId="77777777" w:rsidR="0038781C" w:rsidRPr="0038781C" w:rsidRDefault="0038781C" w:rsidP="0038781C">
      <w:pPr>
        <w:shd w:val="clear" w:color="auto" w:fill="FFFFFF"/>
        <w:spacing w:after="240" w:line="300" w:lineRule="atLeast"/>
        <w:rPr>
          <w:rFonts w:ascii="Helvetica" w:hAnsi="Helvetica" w:cs="Helvetica"/>
          <w:color w:val="222222"/>
          <w:sz w:val="20"/>
          <w:szCs w:val="20"/>
          <w:lang w:eastAsia="en-AU"/>
        </w:rPr>
      </w:pPr>
      <w:r w:rsidRPr="0038781C">
        <w:rPr>
          <w:rFonts w:ascii="Helvetica" w:hAnsi="Helvetica" w:cs="Helvetica"/>
          <w:color w:val="222222"/>
          <w:sz w:val="20"/>
          <w:szCs w:val="20"/>
          <w:lang w:eastAsia="en-AU"/>
        </w:rPr>
        <w:t>IgG seroconversion or a significant increase in IgG antibody level (</w:t>
      </w:r>
      <w:proofErr w:type="gramStart"/>
      <w:r w:rsidRPr="0038781C">
        <w:rPr>
          <w:rFonts w:ascii="Helvetica" w:hAnsi="Helvetica" w:cs="Helvetica"/>
          <w:color w:val="222222"/>
          <w:sz w:val="20"/>
          <w:szCs w:val="20"/>
          <w:lang w:eastAsia="en-AU"/>
        </w:rPr>
        <w:t>e.g.</w:t>
      </w:r>
      <w:proofErr w:type="gramEnd"/>
      <w:r w:rsidRPr="0038781C">
        <w:rPr>
          <w:rFonts w:ascii="Helvetica" w:hAnsi="Helvetica" w:cs="Helvetica"/>
          <w:color w:val="222222"/>
          <w:sz w:val="20"/>
          <w:szCs w:val="20"/>
          <w:lang w:eastAsia="en-AU"/>
        </w:rPr>
        <w:t xml:space="preserve"> fourfold or greater rise in titre) to Ross River virus.</w:t>
      </w:r>
    </w:p>
    <w:p w14:paraId="7D9C17DD" w14:textId="77777777" w:rsidR="0038781C" w:rsidRPr="0038781C" w:rsidRDefault="0038781C" w:rsidP="0038781C">
      <w:pPr>
        <w:shd w:val="clear" w:color="auto" w:fill="FFFFFF"/>
        <w:spacing w:after="120"/>
        <w:outlineLvl w:val="2"/>
        <w:rPr>
          <w:rFonts w:ascii="Open Sans" w:hAnsi="Open Sans" w:cs="Open Sans"/>
          <w:color w:val="000000"/>
          <w:sz w:val="27"/>
          <w:szCs w:val="27"/>
          <w:lang w:eastAsia="en-AU"/>
        </w:rPr>
      </w:pPr>
      <w:r w:rsidRPr="0038781C">
        <w:rPr>
          <w:rFonts w:ascii="Open Sans" w:hAnsi="Open Sans" w:cs="Open Sans"/>
          <w:color w:val="000000"/>
          <w:sz w:val="27"/>
          <w:szCs w:val="27"/>
          <w:lang w:eastAsia="en-AU"/>
        </w:rPr>
        <w:t>Laboratory suggestive evidence</w:t>
      </w:r>
    </w:p>
    <w:p w14:paraId="21E73948" w14:textId="7F41B577" w:rsidR="009E0B84" w:rsidRPr="0038781C" w:rsidRDefault="0038781C" w:rsidP="0038781C">
      <w:pPr>
        <w:shd w:val="clear" w:color="auto" w:fill="FFFFFF"/>
        <w:spacing w:after="240" w:line="300" w:lineRule="atLeast"/>
        <w:rPr>
          <w:rFonts w:ascii="Helvetica" w:hAnsi="Helvetica" w:cs="Helvetica"/>
          <w:color w:val="222222"/>
          <w:sz w:val="20"/>
          <w:szCs w:val="20"/>
          <w:lang w:eastAsia="en-AU"/>
        </w:rPr>
      </w:pPr>
      <w:r w:rsidRPr="0038781C">
        <w:rPr>
          <w:rFonts w:ascii="Helvetica" w:hAnsi="Helvetica" w:cs="Helvetica"/>
          <w:color w:val="222222"/>
          <w:sz w:val="20"/>
          <w:szCs w:val="20"/>
          <w:lang w:eastAsia="en-AU"/>
        </w:rPr>
        <w:t>Detection of Ross River virus IgM AND Ross River virus IgG EXCEPT if Ross River IgG is known to have been detected in a specimen collected greater than 3 months earlier.</w:t>
      </w:r>
    </w:p>
    <w:sectPr w:rsidR="009E0B84" w:rsidRPr="0038781C" w:rsidSect="00022629">
      <w:footerReference w:type="default" r:id="rId12"/>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B4D7B" w14:textId="77777777" w:rsidR="0038781C" w:rsidRDefault="0038781C" w:rsidP="006B56BB">
      <w:r>
        <w:separator/>
      </w:r>
    </w:p>
    <w:p w14:paraId="4FF8426C" w14:textId="77777777" w:rsidR="0038781C" w:rsidRDefault="0038781C"/>
  </w:endnote>
  <w:endnote w:type="continuationSeparator" w:id="0">
    <w:p w14:paraId="1466E3C7" w14:textId="77777777" w:rsidR="0038781C" w:rsidRDefault="0038781C" w:rsidP="006B56BB">
      <w:r>
        <w:continuationSeparator/>
      </w:r>
    </w:p>
    <w:p w14:paraId="4A3CF5A7" w14:textId="77777777" w:rsidR="0038781C" w:rsidRDefault="0038781C"/>
  </w:endnote>
  <w:endnote w:type="continuationNotice" w:id="1">
    <w:p w14:paraId="2DA0A13C" w14:textId="77777777" w:rsidR="0038781C" w:rsidRDefault="00387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4948158E" w14:textId="572276D8" w:rsidR="00CD407A" w:rsidRDefault="0038781C" w:rsidP="0038781C">
            <w:pPr>
              <w:pStyle w:val="Footer"/>
              <w:jc w:val="right"/>
            </w:pPr>
            <w:r w:rsidRPr="0038781C">
              <w:t xml:space="preserve">Ross River virus infection </w:t>
            </w:r>
            <w:r w:rsidR="00076AD6">
              <w:t xml:space="preserve">– </w:t>
            </w:r>
            <w:r w:rsidR="00800DEB">
              <w:t>Surveillance</w:t>
            </w:r>
            <w:r w:rsidR="00076AD6">
              <w:t xml:space="preserve">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8FCED" w14:textId="77777777" w:rsidR="0038781C" w:rsidRDefault="0038781C" w:rsidP="006B56BB">
      <w:r>
        <w:separator/>
      </w:r>
    </w:p>
    <w:p w14:paraId="4EBBF15B" w14:textId="77777777" w:rsidR="0038781C" w:rsidRDefault="0038781C"/>
  </w:footnote>
  <w:footnote w:type="continuationSeparator" w:id="0">
    <w:p w14:paraId="42605D7D" w14:textId="77777777" w:rsidR="0038781C" w:rsidRDefault="0038781C" w:rsidP="006B56BB">
      <w:r>
        <w:continuationSeparator/>
      </w:r>
    </w:p>
    <w:p w14:paraId="05EF515E" w14:textId="77777777" w:rsidR="0038781C" w:rsidRDefault="0038781C"/>
  </w:footnote>
  <w:footnote w:type="continuationNotice" w:id="1">
    <w:p w14:paraId="31CBA7EE" w14:textId="77777777" w:rsidR="0038781C" w:rsidRDefault="003878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4"/>
  </w:num>
  <w:num w:numId="3">
    <w:abstractNumId w:val="16"/>
  </w:num>
  <w:num w:numId="4">
    <w:abstractNumId w:val="8"/>
  </w:num>
  <w:num w:numId="5">
    <w:abstractNumId w:val="8"/>
    <w:lvlOverride w:ilvl="0">
      <w:startOverride w:val="1"/>
    </w:lvlOverride>
  </w:num>
  <w:num w:numId="6">
    <w:abstractNumId w:val="9"/>
  </w:num>
  <w:num w:numId="7">
    <w:abstractNumId w:val="13"/>
  </w:num>
  <w:num w:numId="8">
    <w:abstractNumId w:val="15"/>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7"/>
  </w:num>
  <w:num w:numId="17">
    <w:abstractNumId w:val="10"/>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1C"/>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81C"/>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16E8"/>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4D09"/>
    <w:rsid w:val="007F2220"/>
    <w:rsid w:val="007F4B3E"/>
    <w:rsid w:val="00800DEB"/>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42AD3"/>
    <w:rsid w:val="00A4512D"/>
    <w:rsid w:val="00A50244"/>
    <w:rsid w:val="00A627D7"/>
    <w:rsid w:val="00A656C7"/>
    <w:rsid w:val="00A705AF"/>
    <w:rsid w:val="00A72454"/>
    <w:rsid w:val="00A73A91"/>
    <w:rsid w:val="00A77696"/>
    <w:rsid w:val="00A80557"/>
    <w:rsid w:val="00A81D33"/>
    <w:rsid w:val="00A8341C"/>
    <w:rsid w:val="00A930AE"/>
    <w:rsid w:val="00A9567F"/>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4926"/>
    <w:rsid w:val="00B16A51"/>
    <w:rsid w:val="00B32222"/>
    <w:rsid w:val="00B3618D"/>
    <w:rsid w:val="00B36233"/>
    <w:rsid w:val="00B42851"/>
    <w:rsid w:val="00B45AC7"/>
    <w:rsid w:val="00B5372F"/>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D361A"/>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086BB6"/>
  <w15:docId w15:val="{2F77260B-DA7F-4780-ABB9-686D6671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3Char">
    <w:name w:val="Heading 3 Char"/>
    <w:basedOn w:val="DefaultParagraphFont"/>
    <w:link w:val="Heading3"/>
    <w:uiPriority w:val="9"/>
    <w:rsid w:val="0038781C"/>
    <w:rPr>
      <w:rFonts w:ascii="Arial" w:hAnsi="Arial" w:cs="Arial"/>
      <w:bCs/>
      <w:color w:val="358189"/>
      <w:sz w:val="24"/>
      <w:szCs w:val="26"/>
      <w:lang w:eastAsia="en-US"/>
    </w:rPr>
  </w:style>
  <w:style w:type="paragraph" w:styleId="NormalWeb">
    <w:name w:val="Normal (Web)"/>
    <w:basedOn w:val="Normal"/>
    <w:uiPriority w:val="99"/>
    <w:semiHidden/>
    <w:unhideWhenUsed/>
    <w:rsid w:val="0038781C"/>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13551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Surveillance%20Case%20Definitions\CDNA%20surveillance%20case%20definition%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Props1.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A982AFE9-BB43-47F3-AA5C-975A816D4C47}"/>
</file>

<file path=customXml/itemProps4.xml><?xml version="1.0" encoding="utf-8"?>
<ds:datastoreItem xmlns:ds="http://schemas.openxmlformats.org/officeDocument/2006/customXml" ds:itemID="{D20C6417-ADBB-487B-9091-DC3471F064B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36487dd-ec90-4f99-8970-1318e5f29791"/>
    <ds:schemaRef ds:uri="http://schemas.microsoft.com/office/2006/documentManagement/types"/>
    <ds:schemaRef ds:uri="dcf7b372-aaaa-46d8-9da6-ade9aab953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CDNA surveillance case definition template.dotx</Template>
  <TotalTime>6</TotalTime>
  <Pages>2</Pages>
  <Words>401</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Surveillance case definition</vt:lpstr>
    </vt:vector>
  </TitlesOfParts>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Ross River virus infection – Surveillance case definition</dc:title>
  <dc:creator>Communicable Diseases Network Australia</dc:creator>
  <cp:keywords>Communicable diseases</cp:keywords>
  <dcterms:created xsi:type="dcterms:W3CDTF">2022-06-08T01:31:00Z</dcterms:created>
  <dcterms:modified xsi:type="dcterms:W3CDTF">2022-06-08T05:04:00Z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ies>
</file>