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08E7304A" w14:textId="77777777" w:rsidTr="00800DEB">
        <w:tc>
          <w:tcPr>
            <w:tcW w:w="2547" w:type="dxa"/>
          </w:tcPr>
          <w:p w14:paraId="4037A75F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76110991" wp14:editId="06A8FADD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321CC027" w14:textId="42F44801" w:rsidR="00800DEB" w:rsidRDefault="004E3C80" w:rsidP="00800DEB">
            <w:pPr>
              <w:pStyle w:val="Title"/>
            </w:pPr>
            <w:r w:rsidRPr="004E3C80">
              <w:t>Rubella (congenital)</w:t>
            </w:r>
          </w:p>
          <w:p w14:paraId="14046D70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28344F1E" w14:textId="75D8D53B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4E3C80">
        <w:t>r</w:t>
      </w:r>
      <w:r w:rsidR="004E3C80" w:rsidRPr="004E3C80">
        <w:t>ubella (congenital)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712"/>
        <w:gridCol w:w="1366"/>
        <w:gridCol w:w="1969"/>
      </w:tblGrid>
      <w:tr w:rsidR="00800DEB" w:rsidRPr="00872414" w14:paraId="2A4CC50B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CBE944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1EC0DED3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683107B6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3C01C0C3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58C8F6DC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30066B" w14:textId="2E341F0B" w:rsidR="00800DEB" w:rsidRPr="00872414" w:rsidRDefault="004E3C80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385498A8" w14:textId="77777777" w:rsidR="004E3C80" w:rsidRDefault="004E3C80" w:rsidP="004E3C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Case definition has been renamed ‘Congenital Rubella Infection’, with a subcategory of ‘Congenital Rubella Syndrome’.</w:t>
            </w:r>
          </w:p>
          <w:p w14:paraId="20713A4D" w14:textId="77777777" w:rsidR="004E3C80" w:rsidRDefault="004E3C80" w:rsidP="004E3C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32D66A93" w14:textId="77777777" w:rsidR="004E3C80" w:rsidRDefault="004E3C80" w:rsidP="004E3C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Laboratory definitive evidence separated into </w:t>
            </w:r>
            <w:proofErr w:type="spellStart"/>
            <w:r>
              <w:rPr>
                <w:lang w:eastAsia="en-AU"/>
              </w:rPr>
              <w:t>fetal</w:t>
            </w:r>
            <w:proofErr w:type="spellEnd"/>
            <w:r>
              <w:rPr>
                <w:lang w:eastAsia="en-AU"/>
              </w:rPr>
              <w:t xml:space="preserve"> and infant.</w:t>
            </w:r>
          </w:p>
          <w:p w14:paraId="66C351A2" w14:textId="77777777" w:rsidR="004E3C80" w:rsidRDefault="004E3C80" w:rsidP="004E3C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6E1F9196" w14:textId="77777777" w:rsidR="004E3C80" w:rsidRDefault="004E3C80" w:rsidP="004E3C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Laboratory suggestive evidence (maternal) reframed as epidemiological evidence and separated into 1st trimester versus 2nd/3rd trimester.</w:t>
            </w:r>
          </w:p>
          <w:p w14:paraId="4C210A3F" w14:textId="77777777" w:rsidR="004E3C80" w:rsidRDefault="004E3C80" w:rsidP="004E3C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73732563" w14:textId="2A92FC50" w:rsidR="00800DEB" w:rsidRPr="00872414" w:rsidRDefault="004E3C80" w:rsidP="004E3C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Laboratory evidence criteria throughout amended to be consistent with PHLN case definition.</w:t>
            </w:r>
          </w:p>
        </w:tc>
        <w:tc>
          <w:tcPr>
            <w:tcW w:w="0" w:type="auto"/>
          </w:tcPr>
          <w:p w14:paraId="236E4419" w14:textId="01C71586" w:rsidR="00800DEB" w:rsidRPr="00872414" w:rsidRDefault="004E3C80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E3C80">
              <w:rPr>
                <w:lang w:eastAsia="en-AU"/>
              </w:rPr>
              <w:t>CDWG June 2015</w:t>
            </w:r>
          </w:p>
        </w:tc>
        <w:tc>
          <w:tcPr>
            <w:tcW w:w="0" w:type="auto"/>
          </w:tcPr>
          <w:p w14:paraId="583733BE" w14:textId="64415DA6" w:rsidR="00800DEB" w:rsidRPr="00872414" w:rsidRDefault="004E3C80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E3C80">
              <w:rPr>
                <w:lang w:eastAsia="en-AU"/>
              </w:rPr>
              <w:t>1 January 2016</w:t>
            </w:r>
          </w:p>
        </w:tc>
      </w:tr>
      <w:tr w:rsidR="00800DEB" w:rsidRPr="00872414" w14:paraId="33191765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B332E9" w14:textId="0FC1A908" w:rsidR="00800DEB" w:rsidRPr="00872414" w:rsidRDefault="004E3C80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65B4D814" w14:textId="75B36F5B" w:rsidR="00800DEB" w:rsidRPr="00872414" w:rsidRDefault="004E3C80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E3C80"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</w:tcPr>
          <w:p w14:paraId="65D26363" w14:textId="7D5042A5" w:rsidR="00800DEB" w:rsidRPr="00872414" w:rsidRDefault="004E3C80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E3C80"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533BAAED" w14:textId="0976F0C1" w:rsidR="00800DEB" w:rsidRPr="00872414" w:rsidRDefault="004E3C80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4E3C80">
              <w:rPr>
                <w:lang w:eastAsia="en-AU"/>
              </w:rPr>
              <w:t>2004</w:t>
            </w:r>
          </w:p>
        </w:tc>
      </w:tr>
    </w:tbl>
    <w:p w14:paraId="64A35A9A" w14:textId="77777777" w:rsidR="009E0B84" w:rsidRDefault="009E0B84" w:rsidP="00800DEB"/>
    <w:p w14:paraId="7E8C59D7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Congenital rubella infection is reported based on relevant evidence from a live or stillborn infant, </w:t>
      </w:r>
      <w:proofErr w:type="gramStart"/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miscarriage</w:t>
      </w:r>
      <w:proofErr w:type="gramEnd"/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or pregnancy termination. Congenital rubella syndrome is reported as a subset of congenital rubella infection.</w:t>
      </w:r>
    </w:p>
    <w:p w14:paraId="695F8BF5" w14:textId="77777777" w:rsidR="004E3C80" w:rsidRPr="004E3C80" w:rsidRDefault="004E3C80" w:rsidP="004E3C8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E3C80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118923C7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conﬁrmed cases</w:t>
      </w: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</w:t>
      </w: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 should be notiﬁed.</w:t>
      </w:r>
    </w:p>
    <w:p w14:paraId="552E40BD" w14:textId="77777777" w:rsidR="004E3C80" w:rsidRPr="004E3C80" w:rsidRDefault="004E3C80" w:rsidP="004E3C8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E3C80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Conﬁrmed case</w:t>
      </w:r>
    </w:p>
    <w:p w14:paraId="6A767C62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A conﬁrmed case requires </w:t>
      </w:r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deﬁnitive evidence (</w:t>
      </w:r>
      <w:proofErr w:type="spellStart"/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fetal</w:t>
      </w:r>
      <w:proofErr w:type="spellEnd"/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)</w:t>
      </w: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.</w:t>
      </w:r>
    </w:p>
    <w:p w14:paraId="5E8EA0C1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0B9EE32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 (infant)</w:t>
      </w: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epidemiological evidence</w:t>
      </w: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.</w:t>
      </w:r>
    </w:p>
    <w:p w14:paraId="17F3C517" w14:textId="77777777" w:rsidR="004E3C80" w:rsidRPr="004E3C80" w:rsidRDefault="004E3C80" w:rsidP="004E3C8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E3C80">
        <w:rPr>
          <w:rFonts w:ascii="Open Sans" w:hAnsi="Open Sans" w:cs="Open Sans"/>
          <w:color w:val="000000"/>
          <w:sz w:val="27"/>
          <w:szCs w:val="27"/>
          <w:lang w:eastAsia="en-AU"/>
        </w:rPr>
        <w:t>Laboratory deﬁnitive evidence</w:t>
      </w:r>
    </w:p>
    <w:p w14:paraId="7DDCBD6C" w14:textId="77777777" w:rsidR="004E3C80" w:rsidRPr="004E3C80" w:rsidRDefault="004E3C80" w:rsidP="004E3C80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proofErr w:type="spellStart"/>
      <w:r w:rsidRPr="004E3C80">
        <w:rPr>
          <w:rFonts w:ascii="Open Sans" w:hAnsi="Open Sans" w:cs="Open Sans"/>
          <w:i/>
          <w:iCs/>
          <w:color w:val="000000"/>
          <w:sz w:val="24"/>
          <w:lang w:eastAsia="en-AU"/>
        </w:rPr>
        <w:t>Fetal</w:t>
      </w:r>
      <w:proofErr w:type="spellEnd"/>
    </w:p>
    <w:p w14:paraId="185BCFAC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Isolation or detection of rubella virus from an appropriate clinical sample (</w:t>
      </w:r>
      <w:proofErr w:type="gramStart"/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i.e.</w:t>
      </w:r>
      <w:proofErr w:type="gramEnd"/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</w:t>
      </w:r>
      <w:proofErr w:type="spellStart"/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fetal</w:t>
      </w:r>
      <w:proofErr w:type="spellEnd"/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blood or tissue, amniotic fluid, chorionic villus sample) by culture or nucleic acid testing.</w:t>
      </w:r>
    </w:p>
    <w:p w14:paraId="153AC1A5" w14:textId="77777777" w:rsidR="004E3C80" w:rsidRPr="004E3C80" w:rsidRDefault="004E3C80" w:rsidP="004E3C80">
      <w:pPr>
        <w:shd w:val="clear" w:color="auto" w:fill="FFFFFF"/>
        <w:spacing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4E3C80">
        <w:rPr>
          <w:rFonts w:ascii="Open Sans" w:hAnsi="Open Sans" w:cs="Open Sans"/>
          <w:i/>
          <w:iCs/>
          <w:color w:val="000000"/>
          <w:sz w:val="24"/>
          <w:lang w:eastAsia="en-AU"/>
        </w:rPr>
        <w:t>Infant</w:t>
      </w:r>
    </w:p>
    <w:p w14:paraId="0A238759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Isolation or detection of rubella virus from an appropriate clinical sample in an infant, by culture or nucleic acid testing.</w:t>
      </w:r>
    </w:p>
    <w:p w14:paraId="100C21D9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3C7B445E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Detection of rubella-speciﬁc IgM antibody in the serum of the infant.</w:t>
      </w:r>
    </w:p>
    <w:p w14:paraId="5FFAAF60" w14:textId="77777777" w:rsidR="004E3C80" w:rsidRPr="004E3C80" w:rsidRDefault="004E3C80" w:rsidP="004E3C8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E3C80">
        <w:rPr>
          <w:rFonts w:ascii="Open Sans" w:hAnsi="Open Sans" w:cs="Open Sans"/>
          <w:color w:val="000000"/>
          <w:sz w:val="27"/>
          <w:szCs w:val="27"/>
          <w:lang w:eastAsia="en-AU"/>
        </w:rPr>
        <w:t>Epidemiological evidence</w:t>
      </w:r>
    </w:p>
    <w:p w14:paraId="2F26DEED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The mother has confirmed rubella infection during pregnancy (see definition for Rubella – non-congenital).</w:t>
      </w:r>
    </w:p>
    <w:p w14:paraId="0142F6E7" w14:textId="77777777" w:rsidR="004E3C80" w:rsidRPr="004E3C80" w:rsidRDefault="004E3C80" w:rsidP="004E3C8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E3C80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0106B65E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</w:t>
      </w:r>
    </w:p>
    <w:p w14:paraId="798EDB55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Epidemiological evidence </w:t>
      </w: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(1st trimester infection).</w:t>
      </w:r>
    </w:p>
    <w:p w14:paraId="78815781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1506D8B1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Epidemiological evidence </w:t>
      </w: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(2nd and 3rd trimester infection) AND </w:t>
      </w:r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 (infant)</w:t>
      </w: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.</w:t>
      </w:r>
    </w:p>
    <w:p w14:paraId="42B3B646" w14:textId="77777777" w:rsidR="004E3C80" w:rsidRPr="004E3C80" w:rsidRDefault="004E3C80" w:rsidP="004E3C8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E3C80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03646936" w14:textId="77777777" w:rsidR="004E3C80" w:rsidRPr="004E3C80" w:rsidRDefault="004E3C80" w:rsidP="004E3C80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4E3C80">
        <w:rPr>
          <w:rFonts w:ascii="Open Sans" w:hAnsi="Open Sans" w:cs="Open Sans"/>
          <w:i/>
          <w:iCs/>
          <w:color w:val="000000"/>
          <w:sz w:val="24"/>
          <w:lang w:eastAsia="en-AU"/>
        </w:rPr>
        <w:t>Infant</w:t>
      </w:r>
    </w:p>
    <w:p w14:paraId="3E24DE8F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High / rising rubella-specific IgG level in first year of life.</w:t>
      </w:r>
    </w:p>
    <w:p w14:paraId="277AF8A8" w14:textId="77777777" w:rsidR="004E3C80" w:rsidRPr="004E3C80" w:rsidRDefault="004E3C80" w:rsidP="004E3C80">
      <w:pPr>
        <w:keepNext/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4E3C80">
        <w:rPr>
          <w:rFonts w:ascii="Open Sans" w:hAnsi="Open Sans" w:cs="Open Sans"/>
          <w:color w:val="000000"/>
          <w:sz w:val="36"/>
          <w:szCs w:val="36"/>
          <w:lang w:eastAsia="en-AU"/>
        </w:rPr>
        <w:lastRenderedPageBreak/>
        <w:t>Congenital Rubella Syndrome</w:t>
      </w:r>
    </w:p>
    <w:p w14:paraId="33A1FD4E" w14:textId="77777777" w:rsidR="004E3C80" w:rsidRPr="004E3C80" w:rsidRDefault="004E3C80" w:rsidP="004E3C80">
      <w:pPr>
        <w:keepNext/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E3C80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687F5C9F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Both conﬁrmed cases and probable cases should be reported.</w:t>
      </w:r>
    </w:p>
    <w:p w14:paraId="79111DF2" w14:textId="77777777" w:rsidR="004E3C80" w:rsidRPr="004E3C80" w:rsidRDefault="004E3C80" w:rsidP="004E3C8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E3C80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20B6B31E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A conﬁrmed case requires </w:t>
      </w:r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 xml:space="preserve">laboratory deﬁnitive </w:t>
      </w:r>
      <w:proofErr w:type="spellStart"/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vidence</w:t>
      </w:r>
      <w:proofErr w:type="spellEnd"/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 xml:space="preserve"> (</w:t>
      </w:r>
      <w:proofErr w:type="spellStart"/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fetal</w:t>
      </w:r>
      <w:proofErr w:type="spellEnd"/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 xml:space="preserve"> or infant), </w:t>
      </w: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as described above AND</w:t>
      </w:r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 clinical evidence</w:t>
      </w:r>
    </w:p>
    <w:p w14:paraId="1C025673" w14:textId="77777777" w:rsidR="004E3C80" w:rsidRPr="004E3C80" w:rsidRDefault="004E3C80" w:rsidP="004E3C8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E3C80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20BB375F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A live or stillborn infant with ANY of the following compatible defects: cataract, congenital glaucoma, congenital heart disease, hearing defect, microcephaly, pigmentary retinopathy, developmental delay, purpura, hepatosplenomegaly, meningoencephalitis, radiolucent bone disease or other defect not better explained by an alternative diagnosis.</w:t>
      </w:r>
    </w:p>
    <w:p w14:paraId="4947F6D3" w14:textId="77777777" w:rsidR="004E3C80" w:rsidRPr="004E3C80" w:rsidRDefault="004E3C80" w:rsidP="004E3C8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E3C80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68D4E925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 </w:t>
      </w:r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 (infant)</w:t>
      </w: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 OR</w:t>
      </w:r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 epidemiological evidence,</w:t>
      </w: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 as described above.</w:t>
      </w:r>
    </w:p>
    <w:p w14:paraId="4B01313E" w14:textId="77777777" w:rsidR="004E3C80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AND </w:t>
      </w:r>
      <w:r w:rsidRPr="004E3C80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</w:p>
    <w:p w14:paraId="07CAFA95" w14:textId="77777777" w:rsidR="004E3C80" w:rsidRPr="004E3C80" w:rsidRDefault="004E3C80" w:rsidP="004E3C80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E3C80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1172A42D" w14:textId="50F24470" w:rsidR="009E0B84" w:rsidRPr="004E3C80" w:rsidRDefault="004E3C80" w:rsidP="004E3C8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E3C80">
        <w:rPr>
          <w:rFonts w:ascii="Helvetica" w:hAnsi="Helvetica" w:cs="Helvetica"/>
          <w:color w:val="222222"/>
          <w:sz w:val="20"/>
          <w:szCs w:val="20"/>
          <w:lang w:eastAsia="en-AU"/>
        </w:rPr>
        <w:t>(as for confirmed CRS case).</w:t>
      </w:r>
    </w:p>
    <w:sectPr w:rsidR="009E0B84" w:rsidRPr="004E3C80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559AF" w14:textId="77777777" w:rsidR="004E3C80" w:rsidRDefault="004E3C80" w:rsidP="006B56BB">
      <w:r>
        <w:separator/>
      </w:r>
    </w:p>
    <w:p w14:paraId="04FE85B7" w14:textId="77777777" w:rsidR="004E3C80" w:rsidRDefault="004E3C80"/>
  </w:endnote>
  <w:endnote w:type="continuationSeparator" w:id="0">
    <w:p w14:paraId="7B4C8559" w14:textId="77777777" w:rsidR="004E3C80" w:rsidRDefault="004E3C80" w:rsidP="006B56BB">
      <w:r>
        <w:continuationSeparator/>
      </w:r>
    </w:p>
    <w:p w14:paraId="41A494F4" w14:textId="77777777" w:rsidR="004E3C80" w:rsidRDefault="004E3C80"/>
  </w:endnote>
  <w:endnote w:type="continuationNotice" w:id="1">
    <w:p w14:paraId="47CF876D" w14:textId="77777777" w:rsidR="004E3C80" w:rsidRDefault="004E3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44E13D" w14:textId="3F614BE5" w:rsidR="00CD407A" w:rsidRDefault="004E3C80">
            <w:pPr>
              <w:pStyle w:val="Footer"/>
              <w:jc w:val="right"/>
            </w:pPr>
            <w:r w:rsidRPr="004E3C80">
              <w:t>Rubella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981B169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C9514" w14:textId="77777777" w:rsidR="004E3C80" w:rsidRDefault="004E3C80" w:rsidP="006B56BB">
      <w:r>
        <w:separator/>
      </w:r>
    </w:p>
    <w:p w14:paraId="46DFDADC" w14:textId="77777777" w:rsidR="004E3C80" w:rsidRDefault="004E3C80"/>
  </w:footnote>
  <w:footnote w:type="continuationSeparator" w:id="0">
    <w:p w14:paraId="57C85EAA" w14:textId="77777777" w:rsidR="004E3C80" w:rsidRDefault="004E3C80" w:rsidP="006B56BB">
      <w:r>
        <w:continuationSeparator/>
      </w:r>
    </w:p>
    <w:p w14:paraId="3CE49193" w14:textId="77777777" w:rsidR="004E3C80" w:rsidRDefault="004E3C80"/>
  </w:footnote>
  <w:footnote w:type="continuationNotice" w:id="1">
    <w:p w14:paraId="61295803" w14:textId="77777777" w:rsidR="004E3C80" w:rsidRDefault="004E3C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80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C2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3C80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0F4A78"/>
  <w15:docId w15:val="{4025B29D-9D11-4A97-A6CF-8319D7BA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4E3C80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E3C80"/>
    <w:rPr>
      <w:rFonts w:ascii="Arial" w:hAnsi="Arial" w:cs="Arial"/>
      <w:bCs/>
      <w:color w:val="358189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E3C80"/>
    <w:rPr>
      <w:rFonts w:ascii="Arial" w:hAnsi="Arial"/>
      <w:b/>
      <w:bCs/>
      <w:i/>
      <w:color w:val="414141"/>
      <w:sz w:val="24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E3C80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55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9765187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5076435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8474805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3545037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E2CBD-F3A5-4ADF-BF88-276368A6ECEB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36487dd-ec90-4f99-8970-1318e5f29791"/>
    <ds:schemaRef ds:uri="dcf7b372-aaaa-46d8-9da6-ade9aab953d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4</TotalTime>
  <Pages>3</Pages>
  <Words>397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Rubella – Surveillance case definition</vt:lpstr>
    </vt:vector>
  </TitlesOfParts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Rubella (congenital) – Surveillance case definition</dc:title>
  <dc:creator>Communicable Diseases Network Australia</dc:creator>
  <cp:keywords>Communicable diseases</cp:keywords>
  <dcterms:created xsi:type="dcterms:W3CDTF">2022-06-08T01:55:00Z</dcterms:created>
  <dcterms:modified xsi:type="dcterms:W3CDTF">2022-06-08T03:50:00Z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