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A4C0E" w:rsidRPr="008A4C0E" w14:paraId="2477467C" w14:textId="77777777" w:rsidTr="00800DEB">
        <w:tc>
          <w:tcPr>
            <w:tcW w:w="2547" w:type="dxa"/>
          </w:tcPr>
          <w:p w14:paraId="7B4C1744" w14:textId="77777777" w:rsidR="00800DEB" w:rsidRPr="008A4C0E" w:rsidRDefault="00800DEB" w:rsidP="00800DEB">
            <w:r w:rsidRPr="008A4C0E">
              <w:rPr>
                <w:noProof/>
              </w:rPr>
              <w:drawing>
                <wp:inline distT="0" distB="0" distL="0" distR="0" wp14:anchorId="3F5AF378" wp14:editId="1F3B0D99">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3125877C" w14:textId="67468300" w:rsidR="00800DEB" w:rsidRPr="008A4C0E" w:rsidRDefault="008A4C0E" w:rsidP="00800DEB">
            <w:pPr>
              <w:pStyle w:val="Title"/>
            </w:pPr>
            <w:r w:rsidRPr="008A4C0E">
              <w:t>Syphilis (congenital)</w:t>
            </w:r>
          </w:p>
          <w:p w14:paraId="07CB7C96" w14:textId="77777777" w:rsidR="00800DEB" w:rsidRPr="008A4C0E" w:rsidRDefault="00800DEB" w:rsidP="00800DEB">
            <w:pPr>
              <w:pStyle w:val="Subtitle"/>
              <w:rPr>
                <w:color w:val="auto"/>
              </w:rPr>
            </w:pPr>
            <w:r w:rsidRPr="008A4C0E">
              <w:rPr>
                <w:color w:val="auto"/>
              </w:rPr>
              <w:t>Australian national notifiable diseases case definition</w:t>
            </w:r>
          </w:p>
        </w:tc>
      </w:tr>
    </w:tbl>
    <w:p w14:paraId="0ED7BB2C" w14:textId="0201373B" w:rsidR="004516E8" w:rsidRPr="008A4C0E" w:rsidRDefault="00800DEB" w:rsidP="009E0B84">
      <w:pPr>
        <w:pStyle w:val="IntroPara"/>
        <w:rPr>
          <w:color w:val="auto"/>
        </w:rPr>
      </w:pPr>
      <w:r w:rsidRPr="008A4C0E">
        <w:rPr>
          <w:color w:val="auto"/>
        </w:rPr>
        <w:t xml:space="preserve">This document contains the surveillance case definition for </w:t>
      </w:r>
      <w:r w:rsidR="008A4C0E" w:rsidRPr="008A4C0E">
        <w:rPr>
          <w:color w:val="auto"/>
        </w:rPr>
        <w:t xml:space="preserve">syphilis (congenital), </w:t>
      </w:r>
      <w:r w:rsidRPr="008A4C0E">
        <w:rPr>
          <w:color w:val="auto"/>
        </w:rPr>
        <w:t xml:space="preserve">which is nationally notifiable within Australia. </w:t>
      </w:r>
      <w:r w:rsidR="004516E8" w:rsidRPr="008A4C0E">
        <w:rPr>
          <w:color w:val="auto"/>
        </w:rPr>
        <w:t>State and territory health departments use this definition to decide whether to notify the Australian Government Department of Health</w:t>
      </w:r>
      <w:r w:rsidR="00B14926" w:rsidRPr="008A4C0E">
        <w:rPr>
          <w:color w:val="auto"/>
        </w:rPr>
        <w:t xml:space="preserve"> and Aged Care</w:t>
      </w:r>
      <w:r w:rsidR="004516E8" w:rsidRPr="008A4C0E">
        <w:rPr>
          <w:color w:val="auto"/>
        </w:rPr>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3"/>
        <w:gridCol w:w="4816"/>
        <w:gridCol w:w="1346"/>
        <w:gridCol w:w="1885"/>
      </w:tblGrid>
      <w:tr w:rsidR="008A4C0E" w:rsidRPr="008A4C0E" w14:paraId="22F28B43" w14:textId="77777777" w:rsidTr="008A4C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5343C56" w14:textId="77777777" w:rsidR="00800DEB" w:rsidRPr="008A4C0E" w:rsidRDefault="00800DEB" w:rsidP="00650561">
            <w:pPr>
              <w:pStyle w:val="TableHeader"/>
              <w:rPr>
                <w:color w:val="FFFFFF" w:themeColor="background1"/>
                <w:lang w:eastAsia="en-AU"/>
              </w:rPr>
            </w:pPr>
            <w:r w:rsidRPr="008A4C0E">
              <w:rPr>
                <w:color w:val="FFFFFF" w:themeColor="background1"/>
                <w:lang w:eastAsia="en-AU"/>
              </w:rPr>
              <w:t>Version</w:t>
            </w:r>
          </w:p>
        </w:tc>
        <w:tc>
          <w:tcPr>
            <w:tcW w:w="0" w:type="auto"/>
            <w:hideMark/>
          </w:tcPr>
          <w:p w14:paraId="3FFB6F4E" w14:textId="77777777" w:rsidR="00800DEB" w:rsidRPr="008A4C0E"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A4C0E">
              <w:rPr>
                <w:color w:val="FFFFFF" w:themeColor="background1"/>
                <w:lang w:eastAsia="en-AU"/>
              </w:rPr>
              <w:t>Status</w:t>
            </w:r>
          </w:p>
        </w:tc>
        <w:tc>
          <w:tcPr>
            <w:tcW w:w="0" w:type="auto"/>
            <w:hideMark/>
          </w:tcPr>
          <w:p w14:paraId="2BE9E8CA" w14:textId="77777777" w:rsidR="00800DEB" w:rsidRPr="008A4C0E"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A4C0E">
              <w:rPr>
                <w:color w:val="FFFFFF" w:themeColor="background1"/>
                <w:lang w:eastAsia="en-AU"/>
              </w:rPr>
              <w:t>Last reviewed</w:t>
            </w:r>
          </w:p>
        </w:tc>
        <w:tc>
          <w:tcPr>
            <w:tcW w:w="0" w:type="auto"/>
            <w:hideMark/>
          </w:tcPr>
          <w:p w14:paraId="479464F9" w14:textId="77777777" w:rsidR="00800DEB" w:rsidRPr="008A4C0E"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A4C0E">
              <w:rPr>
                <w:color w:val="FFFFFF" w:themeColor="background1"/>
                <w:lang w:eastAsia="en-AU"/>
              </w:rPr>
              <w:t>Implementation date</w:t>
            </w:r>
          </w:p>
        </w:tc>
      </w:tr>
      <w:tr w:rsidR="008B766C" w:rsidRPr="008A4C0E" w14:paraId="69CE64DA" w14:textId="77777777" w:rsidTr="002E1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A068A" w14:textId="77777777" w:rsidR="008B766C" w:rsidRPr="002E14A5" w:rsidRDefault="008B766C" w:rsidP="002E14A5">
            <w:pPr>
              <w:pStyle w:val="TableText"/>
              <w:rPr>
                <w:lang w:eastAsia="en-AU"/>
              </w:rPr>
            </w:pPr>
            <w:r w:rsidRPr="002E14A5">
              <w:rPr>
                <w:lang w:eastAsia="en-AU"/>
              </w:rPr>
              <w:t>1.4</w:t>
            </w:r>
          </w:p>
        </w:tc>
        <w:tc>
          <w:tcPr>
            <w:tcW w:w="0" w:type="auto"/>
            <w:shd w:val="clear" w:color="auto" w:fill="auto"/>
          </w:tcPr>
          <w:p w14:paraId="4773C8D0" w14:textId="6226309E" w:rsidR="008B766C" w:rsidRPr="002E14A5" w:rsidRDefault="008B766C" w:rsidP="008A4C0E">
            <w:pPr>
              <w:pStyle w:val="NormalWeb"/>
              <w:shd w:val="clear" w:color="auto" w:fill="FFFFFF"/>
              <w:spacing w:before="24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Style w:val="Strong"/>
                <w:rFonts w:ascii="Helvetica" w:hAnsi="Helvetica" w:cs="Helvetica"/>
                <w:color w:val="auto"/>
                <w:sz w:val="20"/>
                <w:szCs w:val="20"/>
                <w:bdr w:val="none" w:sz="0" w:space="0" w:color="auto" w:frame="1"/>
              </w:rPr>
            </w:pPr>
            <w:r w:rsidRPr="002E14A5">
              <w:rPr>
                <w:rStyle w:val="Strong"/>
                <w:rFonts w:ascii="Helvetica" w:hAnsi="Helvetica" w:cs="Helvetica"/>
                <w:color w:val="auto"/>
                <w:sz w:val="20"/>
                <w:szCs w:val="20"/>
                <w:bdr w:val="none" w:sz="0" w:space="0" w:color="auto" w:frame="1"/>
              </w:rPr>
              <w:t>Laboratory Definitive Evidence</w:t>
            </w:r>
            <w:r w:rsidR="003D4794" w:rsidRPr="002E14A5">
              <w:rPr>
                <w:rStyle w:val="Strong"/>
                <w:rFonts w:ascii="Helvetica" w:hAnsi="Helvetica" w:cs="Helvetica"/>
                <w:color w:val="auto"/>
                <w:sz w:val="20"/>
                <w:szCs w:val="20"/>
                <w:bdr w:val="none" w:sz="0" w:space="0" w:color="auto" w:frame="1"/>
              </w:rPr>
              <w:t xml:space="preserve"> (stillb</w:t>
            </w:r>
            <w:r w:rsidR="00AF1FB7" w:rsidRPr="002E14A5">
              <w:rPr>
                <w:rStyle w:val="Strong"/>
                <w:rFonts w:ascii="Helvetica" w:hAnsi="Helvetica" w:cs="Helvetica"/>
                <w:color w:val="auto"/>
                <w:sz w:val="20"/>
                <w:szCs w:val="20"/>
                <w:bdr w:val="none" w:sz="0" w:space="0" w:color="auto" w:frame="1"/>
              </w:rPr>
              <w:t>irth</w:t>
            </w:r>
            <w:r w:rsidR="003D4794" w:rsidRPr="002E14A5">
              <w:rPr>
                <w:rStyle w:val="Strong"/>
                <w:rFonts w:ascii="Helvetica" w:hAnsi="Helvetica" w:cs="Helvetica"/>
                <w:color w:val="auto"/>
                <w:sz w:val="20"/>
                <w:szCs w:val="20"/>
                <w:bdr w:val="none" w:sz="0" w:space="0" w:color="auto" w:frame="1"/>
              </w:rPr>
              <w:t>)</w:t>
            </w:r>
          </w:p>
          <w:p w14:paraId="2229A57D" w14:textId="689513C1" w:rsidR="008B766C" w:rsidRPr="002E14A5" w:rsidRDefault="00BC170A" w:rsidP="008A4C0E">
            <w:pPr>
              <w:pStyle w:val="NormalWeb"/>
              <w:shd w:val="clear" w:color="auto" w:fill="FFFFFF"/>
              <w:spacing w:before="24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Arial" w:hAnsi="Arial"/>
                <w:sz w:val="22"/>
              </w:rPr>
            </w:pPr>
            <w:r>
              <w:rPr>
                <w:rFonts w:ascii="Helvetica" w:hAnsi="Helvetica" w:cs="Helvetica"/>
                <w:i/>
                <w:iCs/>
                <w:color w:val="auto"/>
                <w:sz w:val="20"/>
                <w:szCs w:val="20"/>
              </w:rPr>
              <w:t xml:space="preserve">Minor amendment </w:t>
            </w:r>
            <w:r w:rsidR="008B766C" w:rsidRPr="002E14A5">
              <w:rPr>
                <w:rFonts w:ascii="Helvetica" w:hAnsi="Helvetica" w:cs="Helvetica"/>
                <w:color w:val="auto"/>
                <w:sz w:val="20"/>
                <w:szCs w:val="20"/>
              </w:rPr>
              <w:t>Criteria amended for</w:t>
            </w:r>
            <w:r w:rsidR="003D4794" w:rsidRPr="002E14A5">
              <w:rPr>
                <w:rFonts w:ascii="Helvetica" w:hAnsi="Helvetica" w:cs="Helvetica"/>
                <w:color w:val="auto"/>
                <w:sz w:val="20"/>
                <w:szCs w:val="20"/>
              </w:rPr>
              <w:t xml:space="preserve"> </w:t>
            </w:r>
            <w:r w:rsidR="008B766C" w:rsidRPr="002E14A5">
              <w:rPr>
                <w:rFonts w:ascii="Helvetica" w:hAnsi="Helvetica" w:cs="Helvetica"/>
                <w:color w:val="auto"/>
                <w:sz w:val="20"/>
                <w:szCs w:val="20"/>
              </w:rPr>
              <w:t xml:space="preserve">“Laboratory </w:t>
            </w:r>
            <w:r w:rsidR="00975C5F">
              <w:rPr>
                <w:rFonts w:ascii="Helvetica" w:hAnsi="Helvetica" w:cs="Helvetica"/>
                <w:color w:val="auto"/>
                <w:sz w:val="20"/>
                <w:szCs w:val="20"/>
              </w:rPr>
              <w:t>D</w:t>
            </w:r>
            <w:r w:rsidR="008B766C" w:rsidRPr="002E14A5">
              <w:rPr>
                <w:rFonts w:ascii="Helvetica" w:hAnsi="Helvetica" w:cs="Helvetica"/>
                <w:color w:val="auto"/>
                <w:sz w:val="20"/>
                <w:szCs w:val="20"/>
              </w:rPr>
              <w:t xml:space="preserve">efinitive </w:t>
            </w:r>
            <w:r w:rsidR="00975C5F">
              <w:rPr>
                <w:rFonts w:ascii="Helvetica" w:hAnsi="Helvetica" w:cs="Helvetica"/>
                <w:color w:val="auto"/>
                <w:sz w:val="20"/>
                <w:szCs w:val="20"/>
              </w:rPr>
              <w:t>E</w:t>
            </w:r>
            <w:r w:rsidR="008B766C" w:rsidRPr="002E14A5">
              <w:rPr>
                <w:rFonts w:ascii="Helvetica" w:hAnsi="Helvetica" w:cs="Helvetica"/>
                <w:color w:val="auto"/>
                <w:sz w:val="20"/>
                <w:szCs w:val="20"/>
              </w:rPr>
              <w:t>vidence (stillb</w:t>
            </w:r>
            <w:r w:rsidR="00AF1FB7" w:rsidRPr="002E14A5">
              <w:rPr>
                <w:rFonts w:ascii="Helvetica" w:hAnsi="Helvetica" w:cs="Helvetica"/>
                <w:color w:val="auto"/>
                <w:sz w:val="20"/>
                <w:szCs w:val="20"/>
              </w:rPr>
              <w:t>irth</w:t>
            </w:r>
            <w:r w:rsidR="008B766C" w:rsidRPr="002E14A5">
              <w:rPr>
                <w:rFonts w:ascii="Helvetica" w:hAnsi="Helvetica" w:cs="Helvetica"/>
                <w:color w:val="auto"/>
                <w:sz w:val="20"/>
                <w:szCs w:val="20"/>
              </w:rPr>
              <w:t>)” to include</w:t>
            </w:r>
            <w:r w:rsidR="003D4794" w:rsidRPr="002E14A5">
              <w:rPr>
                <w:rFonts w:ascii="Helvetica" w:hAnsi="Helvetica" w:cs="Helvetica"/>
                <w:color w:val="auto"/>
                <w:sz w:val="20"/>
                <w:szCs w:val="20"/>
              </w:rPr>
              <w:t xml:space="preserve"> </w:t>
            </w:r>
            <w:r w:rsidR="003C4392" w:rsidRPr="003C4392">
              <w:rPr>
                <w:rFonts w:ascii="Helvetica" w:hAnsi="Helvetica" w:cs="Helvetica"/>
                <w:color w:val="auto"/>
                <w:sz w:val="20"/>
                <w:szCs w:val="20"/>
              </w:rPr>
              <w:t>placenta; umbilical cord; amniotic fluid</w:t>
            </w:r>
            <w:r w:rsidR="003D4794" w:rsidRPr="002E14A5">
              <w:rPr>
                <w:rFonts w:ascii="Helvetica" w:hAnsi="Helvetica" w:cs="Helvetica"/>
                <w:color w:val="auto"/>
                <w:sz w:val="20"/>
                <w:szCs w:val="20"/>
              </w:rPr>
              <w:t xml:space="preserve"> as suitable specimens.</w:t>
            </w:r>
          </w:p>
        </w:tc>
        <w:tc>
          <w:tcPr>
            <w:tcW w:w="0" w:type="auto"/>
            <w:shd w:val="clear" w:color="auto" w:fill="auto"/>
          </w:tcPr>
          <w:p w14:paraId="32BE7F95" w14:textId="322563F3" w:rsidR="008B766C" w:rsidRPr="002E14A5" w:rsidRDefault="008B766C" w:rsidP="008A4C0E">
            <w:pPr>
              <w:pStyle w:val="NormalWeb"/>
              <w:spacing w:before="240" w:after="240" w:line="300" w:lineRule="atLeast"/>
              <w:cnfStyle w:val="000000100000" w:firstRow="0" w:lastRow="0" w:firstColumn="0" w:lastColumn="0" w:oddVBand="0" w:evenVBand="0" w:oddHBand="1" w:evenHBand="0" w:firstRowFirstColumn="0" w:firstRowLastColumn="0" w:lastRowFirstColumn="0" w:lastRowLastColumn="0"/>
              <w:rPr>
                <w:rFonts w:ascii="Arial" w:hAnsi="Arial"/>
                <w:sz w:val="22"/>
              </w:rPr>
            </w:pPr>
            <w:r w:rsidRPr="002E14A5">
              <w:rPr>
                <w:rFonts w:ascii="Helvetica" w:hAnsi="Helvetica" w:cs="Helvetica"/>
                <w:color w:val="auto"/>
                <w:sz w:val="20"/>
                <w:szCs w:val="20"/>
              </w:rPr>
              <w:t xml:space="preserve">CDNA </w:t>
            </w:r>
            <w:r w:rsidR="00BC170A">
              <w:rPr>
                <w:rFonts w:ascii="Helvetica" w:hAnsi="Helvetica" w:cs="Helvetica"/>
                <w:color w:val="auto"/>
                <w:sz w:val="20"/>
                <w:szCs w:val="20"/>
              </w:rPr>
              <w:t xml:space="preserve">25 August </w:t>
            </w:r>
            <w:r w:rsidRPr="002E14A5">
              <w:rPr>
                <w:rFonts w:ascii="Helvetica" w:hAnsi="Helvetica" w:cs="Helvetica"/>
                <w:color w:val="auto"/>
                <w:sz w:val="20"/>
                <w:szCs w:val="20"/>
              </w:rPr>
              <w:t>2023</w:t>
            </w:r>
          </w:p>
        </w:tc>
        <w:tc>
          <w:tcPr>
            <w:tcW w:w="0" w:type="auto"/>
            <w:shd w:val="clear" w:color="auto" w:fill="auto"/>
          </w:tcPr>
          <w:p w14:paraId="5131426E" w14:textId="08C6F3B1" w:rsidR="008B766C" w:rsidRPr="002E14A5" w:rsidRDefault="00BC170A" w:rsidP="002E14A5">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At publication</w:t>
            </w:r>
          </w:p>
        </w:tc>
      </w:tr>
      <w:tr w:rsidR="008A4C0E" w:rsidRPr="008A4C0E" w14:paraId="5D5DE82D" w14:textId="77777777" w:rsidTr="00800D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DD544E8" w14:textId="77777777" w:rsidR="00800DEB" w:rsidRPr="008A4C0E" w:rsidRDefault="008A4C0E" w:rsidP="002E14A5">
            <w:pPr>
              <w:pStyle w:val="TableText"/>
              <w:rPr>
                <w:lang w:eastAsia="en-AU"/>
              </w:rPr>
            </w:pPr>
            <w:r w:rsidRPr="008A4C0E">
              <w:rPr>
                <w:lang w:eastAsia="en-AU"/>
              </w:rPr>
              <w:t>1.3</w:t>
            </w:r>
          </w:p>
        </w:tc>
        <w:tc>
          <w:tcPr>
            <w:tcW w:w="0" w:type="auto"/>
          </w:tcPr>
          <w:p w14:paraId="78D7A148" w14:textId="77777777" w:rsidR="008A4C0E" w:rsidRPr="008A4C0E" w:rsidRDefault="008A4C0E" w:rsidP="008A4C0E">
            <w:pPr>
              <w:pStyle w:val="NormalWeb"/>
              <w:shd w:val="clear" w:color="auto" w:fill="FFFFFF"/>
              <w:spacing w:before="24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Confirmed and Probable case</w:t>
            </w:r>
          </w:p>
          <w:p w14:paraId="035332D5"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Criteria amended to include the reworked sections (laboratory definitive evidence; laboratory suggestive evidence; and clinical evidence) below.</w:t>
            </w:r>
          </w:p>
          <w:p w14:paraId="29D1C99B"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The amended sections and criteria have been prepared to assist the classification of congenital syphilis involving a stillborn or neonatal death.</w:t>
            </w:r>
          </w:p>
          <w:p w14:paraId="703009F0"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Laboratory Definitive Evidence</w:t>
            </w:r>
          </w:p>
          <w:p w14:paraId="7DFA29BB"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Relabelling “laboratory definitive evidence” to “laboratory definitive evidence (live birth)” and creation of “laboratory definitive evidence (stillborn)”.</w:t>
            </w:r>
          </w:p>
          <w:p w14:paraId="011FDA5B"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lastRenderedPageBreak/>
              <w:t>Creation of “laboratory definitive evidence (stillborn)” to enable a stillborn, where serology was not possible, to be classified as a confirmed case in conjunction with “clinical evidence (confirmed)”.</w:t>
            </w:r>
          </w:p>
          <w:p w14:paraId="3E088C6E"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Polymerase Chain Reaction (PCR) specified under nucleic acid amplification (NAA) test where this was not explicitly listed in previous case definitions.</w:t>
            </w:r>
          </w:p>
          <w:p w14:paraId="69003AB7"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Laboratory Suggestive Evidence</w:t>
            </w:r>
          </w:p>
          <w:p w14:paraId="48D97338"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Relabelling “laboratory suggestive evidence” to “laboratory suggestive evidence (live birth) and creation of “laboratory suggestive evidence (stillborn)”.</w:t>
            </w:r>
          </w:p>
          <w:p w14:paraId="59260508"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Creation of “laboratory suggestive evidence (stillborn)” to enable cases involving a stillborn without serology but with laboratory evidence from the placenta, umbilical cord or amniotic fluid to be classified as a probable case.</w:t>
            </w:r>
          </w:p>
          <w:p w14:paraId="229BEE02"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Inclusion of </w:t>
            </w:r>
            <w:r w:rsidRPr="008A4C0E">
              <w:rPr>
                <w:rStyle w:val="Emphasis"/>
                <w:rFonts w:ascii="Helvetica" w:hAnsi="Helvetica" w:cs="Helvetica"/>
                <w:color w:val="auto"/>
                <w:sz w:val="20"/>
                <w:szCs w:val="20"/>
                <w:bdr w:val="none" w:sz="0" w:space="0" w:color="auto" w:frame="1"/>
              </w:rPr>
              <w:t>Treponema pallidum</w:t>
            </w:r>
            <w:r w:rsidRPr="008A4C0E">
              <w:rPr>
                <w:rFonts w:ascii="Helvetica" w:hAnsi="Helvetica" w:cs="Helvetica"/>
                <w:color w:val="auto"/>
                <w:sz w:val="20"/>
                <w:szCs w:val="20"/>
              </w:rPr>
              <w:t>-specific rapid immunochromatography to determine positivity in the mother of the congenital syphilis case.</w:t>
            </w:r>
          </w:p>
          <w:p w14:paraId="53067DFE"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Polymerase Chain Reaction (PCR) specified under nucleic acid amplification (NAA) test where this was not explicitly listed in previous case definitions.</w:t>
            </w:r>
          </w:p>
          <w:p w14:paraId="3B1C6D1D"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Clinical Evidence</w:t>
            </w:r>
          </w:p>
          <w:p w14:paraId="4C92C455"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Restructuring of “clinical evidence” to “clinical evidence (confirmed)” and “clinical evidence (probable)”.</w:t>
            </w:r>
          </w:p>
          <w:p w14:paraId="3582BFB4"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“Clinical evidence (confirmed)” enables expert pathology and clinical decision, in conjunction with “laboratory definitive evidence (stillbirth)”, to classify stillborn and neonatal deaths, where serology was not possible, as confirmed cases.</w:t>
            </w:r>
          </w:p>
          <w:p w14:paraId="4870887F" w14:textId="77777777"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 xml:space="preserve">“Clinical evidence (probable)” is similar to “clinical evidence” in previous versions but now includes a non-exhaustive list of clinical evidence on physical </w:t>
            </w:r>
            <w:r w:rsidRPr="008A4C0E">
              <w:rPr>
                <w:rFonts w:ascii="Helvetica" w:hAnsi="Helvetica" w:cs="Helvetica"/>
                <w:color w:val="auto"/>
                <w:sz w:val="20"/>
                <w:szCs w:val="20"/>
              </w:rPr>
              <w:lastRenderedPageBreak/>
              <w:t>examination and parameters to allow expert pathology and clinical decision to classify cases of congenital syphilis.</w:t>
            </w:r>
          </w:p>
          <w:p w14:paraId="6E08C16A" w14:textId="27782D59" w:rsidR="008A4C0E"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Notes</w:t>
            </w:r>
          </w:p>
          <w:p w14:paraId="09C161A2" w14:textId="67A0D45E" w:rsidR="00800DEB" w:rsidRPr="008A4C0E" w:rsidRDefault="008A4C0E" w:rsidP="008A4C0E">
            <w:pPr>
              <w:pStyle w:val="NormalWeb"/>
              <w:shd w:val="clear" w:color="auto" w:fill="FFFFFF"/>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Notes added for stillbirth and livebirth, neonatal death, perinatal period and a minor update to treatment.</w:t>
            </w:r>
          </w:p>
        </w:tc>
        <w:tc>
          <w:tcPr>
            <w:tcW w:w="0" w:type="auto"/>
          </w:tcPr>
          <w:p w14:paraId="194CF508" w14:textId="77777777" w:rsidR="008A4C0E" w:rsidRPr="008A4C0E" w:rsidRDefault="008A4C0E" w:rsidP="008A4C0E">
            <w:pPr>
              <w:pStyle w:val="NormalWeb"/>
              <w:spacing w:before="240" w:after="24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lastRenderedPageBreak/>
              <w:t>CDNA 24 September 2020</w:t>
            </w:r>
          </w:p>
          <w:p w14:paraId="5ACB4629" w14:textId="77777777" w:rsidR="00800DEB" w:rsidRPr="008A4C0E" w:rsidRDefault="00800DEB" w:rsidP="002E14A5">
            <w:pPr>
              <w:pStyle w:val="TableText"/>
              <w:cnfStyle w:val="000000010000" w:firstRow="0" w:lastRow="0" w:firstColumn="0" w:lastColumn="0" w:oddVBand="0" w:evenVBand="0" w:oddHBand="0" w:evenHBand="1" w:firstRowFirstColumn="0" w:firstRowLastColumn="0" w:lastRowFirstColumn="0" w:lastRowLastColumn="0"/>
              <w:rPr>
                <w:lang w:eastAsia="en-AU"/>
              </w:rPr>
            </w:pPr>
          </w:p>
        </w:tc>
        <w:tc>
          <w:tcPr>
            <w:tcW w:w="0" w:type="auto"/>
          </w:tcPr>
          <w:p w14:paraId="434F8995" w14:textId="7599B682" w:rsidR="00800DEB" w:rsidRPr="008A4C0E" w:rsidRDefault="008A4C0E" w:rsidP="002E14A5">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8A4C0E">
              <w:rPr>
                <w:lang w:eastAsia="en-AU"/>
              </w:rPr>
              <w:t>1 January 2021</w:t>
            </w:r>
          </w:p>
        </w:tc>
      </w:tr>
      <w:tr w:rsidR="008A4C0E" w:rsidRPr="008A4C0E" w14:paraId="1D14CBF7"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A0F863" w14:textId="0788CED4" w:rsidR="00800DEB" w:rsidRPr="008A4C0E" w:rsidRDefault="008A4C0E" w:rsidP="002E14A5">
            <w:pPr>
              <w:pStyle w:val="TableText"/>
              <w:rPr>
                <w:lang w:eastAsia="en-AU"/>
              </w:rPr>
            </w:pPr>
            <w:r w:rsidRPr="008A4C0E">
              <w:rPr>
                <w:lang w:eastAsia="en-AU"/>
              </w:rPr>
              <w:lastRenderedPageBreak/>
              <w:t>1.2</w:t>
            </w:r>
          </w:p>
        </w:tc>
        <w:tc>
          <w:tcPr>
            <w:tcW w:w="0" w:type="auto"/>
          </w:tcPr>
          <w:p w14:paraId="1EB59B78" w14:textId="77777777" w:rsidR="008A4C0E" w:rsidRPr="008A4C0E" w:rsidRDefault="008A4C0E" w:rsidP="008A4C0E">
            <w:pPr>
              <w:pStyle w:val="NormalWeb"/>
              <w:shd w:val="clear" w:color="auto" w:fill="FFFFFF"/>
              <w:spacing w:before="24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Reporting</w:t>
            </w:r>
          </w:p>
          <w:p w14:paraId="381A0CC2" w14:textId="77777777" w:rsidR="008A4C0E" w:rsidRPr="008A4C0E" w:rsidRDefault="008A4C0E" w:rsidP="008A4C0E">
            <w:pPr>
              <w:pStyle w:val="NormalWeb"/>
              <w:shd w:val="clear" w:color="auto" w:fill="FFFFFF"/>
              <w:spacing w:before="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Inclusion of a syphilis-related stillbirth where this was previously a note for the ‘Laboratory definitive evidence’ section.</w:t>
            </w:r>
          </w:p>
          <w:p w14:paraId="5A6830DD" w14:textId="77777777" w:rsidR="008A4C0E" w:rsidRPr="008A4C0E" w:rsidRDefault="008A4C0E" w:rsidP="008A4C0E">
            <w:pPr>
              <w:pStyle w:val="NormalWeb"/>
              <w:shd w:val="clear" w:color="auto" w:fill="FFFFFF"/>
              <w:spacing w:before="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Laboratory Definitive Evidence</w:t>
            </w:r>
          </w:p>
          <w:p w14:paraId="6A276593" w14:textId="77777777" w:rsidR="008A4C0E" w:rsidRPr="008A4C0E" w:rsidRDefault="008A4C0E" w:rsidP="008A4C0E">
            <w:pPr>
              <w:pStyle w:val="NormalWeb"/>
              <w:shd w:val="clear" w:color="auto" w:fill="FFFFFF"/>
              <w:spacing w:before="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Inclusion of detection of </w:t>
            </w:r>
            <w:r w:rsidRPr="008A4C0E">
              <w:rPr>
                <w:rStyle w:val="Emphasis"/>
                <w:rFonts w:ascii="Helvetica" w:hAnsi="Helvetica" w:cs="Helvetica"/>
                <w:color w:val="auto"/>
                <w:sz w:val="20"/>
                <w:szCs w:val="20"/>
                <w:bdr w:val="none" w:sz="0" w:space="0" w:color="auto" w:frame="1"/>
              </w:rPr>
              <w:t>Treponema pallidum</w:t>
            </w:r>
            <w:r w:rsidRPr="008A4C0E">
              <w:rPr>
                <w:rFonts w:ascii="Helvetica" w:hAnsi="Helvetica" w:cs="Helvetica"/>
                <w:color w:val="auto"/>
                <w:sz w:val="20"/>
                <w:szCs w:val="20"/>
              </w:rPr>
              <w:t> specific IgM in the child.</w:t>
            </w:r>
          </w:p>
          <w:p w14:paraId="0470A9B3" w14:textId="77777777" w:rsidR="008A4C0E" w:rsidRPr="008A4C0E" w:rsidRDefault="008A4C0E" w:rsidP="008A4C0E">
            <w:pPr>
              <w:pStyle w:val="NormalWeb"/>
              <w:shd w:val="clear" w:color="auto" w:fill="FFFFFF"/>
              <w:spacing w:before="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Inclusion of a nucleic acid amplification (NAA) test as a means of direct demonstration of </w:t>
            </w:r>
            <w:r w:rsidRPr="008A4C0E">
              <w:rPr>
                <w:rStyle w:val="Emphasis"/>
                <w:rFonts w:ascii="Helvetica" w:hAnsi="Helvetica" w:cs="Helvetica"/>
                <w:color w:val="auto"/>
                <w:sz w:val="20"/>
                <w:szCs w:val="20"/>
                <w:bdr w:val="none" w:sz="0" w:space="0" w:color="auto" w:frame="1"/>
              </w:rPr>
              <w:t>Treponema pallidum.</w:t>
            </w:r>
          </w:p>
          <w:p w14:paraId="712ADDB7" w14:textId="77777777" w:rsidR="008A4C0E" w:rsidRPr="008A4C0E" w:rsidRDefault="008A4C0E" w:rsidP="008A4C0E">
            <w:pPr>
              <w:pStyle w:val="NormalWeb"/>
              <w:shd w:val="clear" w:color="auto" w:fill="FFFFFF"/>
              <w:spacing w:before="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Notes</w:t>
            </w:r>
          </w:p>
          <w:p w14:paraId="1865D957" w14:textId="54B96A29" w:rsidR="00800DEB" w:rsidRPr="008A4C0E" w:rsidRDefault="008A4C0E" w:rsidP="008A4C0E">
            <w:pPr>
              <w:pStyle w:val="NormalWeb"/>
              <w:shd w:val="clear" w:color="auto" w:fill="FFFFFF"/>
              <w:spacing w:before="0" w:beforeAutospacing="0" w:after="240" w:afterAutospacing="0" w:line="300" w:lineRule="atLeast"/>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r w:rsidRPr="008A4C0E">
              <w:rPr>
                <w:rFonts w:ascii="Helvetica" w:hAnsi="Helvetica" w:cs="Helvetica"/>
                <w:color w:val="auto"/>
                <w:sz w:val="20"/>
                <w:szCs w:val="20"/>
              </w:rPr>
              <w:t>Removal of the serological criterion for proof of treatment in point 4. This is also reflected in the last sentence of the ‘Clinical evidence’ section.</w:t>
            </w:r>
          </w:p>
        </w:tc>
        <w:tc>
          <w:tcPr>
            <w:tcW w:w="0" w:type="auto"/>
          </w:tcPr>
          <w:p w14:paraId="164F9D53" w14:textId="1E450A6B" w:rsidR="00800DEB" w:rsidRPr="008A4C0E" w:rsidRDefault="008A4C0E" w:rsidP="008A4C0E">
            <w:pPr>
              <w:spacing w:after="300"/>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lang w:eastAsia="en-AU"/>
              </w:rPr>
            </w:pPr>
            <w:r w:rsidRPr="008A4C0E">
              <w:rPr>
                <w:rFonts w:ascii="Helvetica" w:hAnsi="Helvetica" w:cs="Helvetica"/>
                <w:color w:val="auto"/>
                <w:sz w:val="20"/>
                <w:szCs w:val="20"/>
              </w:rPr>
              <w:t>CDWG May 2015</w:t>
            </w:r>
          </w:p>
        </w:tc>
        <w:tc>
          <w:tcPr>
            <w:tcW w:w="0" w:type="auto"/>
          </w:tcPr>
          <w:p w14:paraId="07532DE8" w14:textId="6BF743BD" w:rsidR="00800DEB" w:rsidRPr="008A4C0E" w:rsidRDefault="008A4C0E" w:rsidP="002E14A5">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8A4C0E">
              <w:rPr>
                <w:lang w:eastAsia="en-AU"/>
              </w:rPr>
              <w:t>1 July 2015</w:t>
            </w:r>
          </w:p>
        </w:tc>
      </w:tr>
      <w:tr w:rsidR="008A4C0E" w:rsidRPr="008A4C0E" w14:paraId="42C408AC" w14:textId="77777777" w:rsidTr="00800D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74FBB7" w14:textId="040B3E4A" w:rsidR="008A4C0E" w:rsidRPr="008A4C0E" w:rsidRDefault="008A4C0E" w:rsidP="002E14A5">
            <w:pPr>
              <w:pStyle w:val="TableText"/>
              <w:rPr>
                <w:lang w:eastAsia="en-AU"/>
              </w:rPr>
            </w:pPr>
            <w:r w:rsidRPr="008A4C0E">
              <w:rPr>
                <w:lang w:eastAsia="en-AU"/>
              </w:rPr>
              <w:t>1.1</w:t>
            </w:r>
          </w:p>
        </w:tc>
        <w:tc>
          <w:tcPr>
            <w:tcW w:w="0" w:type="auto"/>
          </w:tcPr>
          <w:p w14:paraId="04F7C158" w14:textId="77777777" w:rsidR="008A4C0E" w:rsidRPr="008A4C0E" w:rsidRDefault="008A4C0E" w:rsidP="008A4C0E">
            <w:pPr>
              <w:pStyle w:val="NormalWeb"/>
              <w:spacing w:before="24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Confirmed Case:</w:t>
            </w:r>
            <w:r w:rsidRPr="008A4C0E">
              <w:rPr>
                <w:rFonts w:ascii="Helvetica" w:hAnsi="Helvetica" w:cs="Helvetica"/>
                <w:color w:val="auto"/>
                <w:sz w:val="20"/>
                <w:szCs w:val="20"/>
              </w:rPr>
              <w:t> ‘Laboratory Suggestive and Clinical evidence’ moved to define a Probable Case.</w:t>
            </w:r>
          </w:p>
          <w:p w14:paraId="2FC1022B" w14:textId="77777777" w:rsidR="008A4C0E" w:rsidRPr="008A4C0E" w:rsidRDefault="008A4C0E" w:rsidP="008A4C0E">
            <w:pPr>
              <w:pStyle w:val="NormalWeb"/>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Probable Case:</w:t>
            </w:r>
            <w:r w:rsidRPr="008A4C0E">
              <w:rPr>
                <w:rFonts w:ascii="Helvetica" w:hAnsi="Helvetica" w:cs="Helvetica"/>
                <w:color w:val="auto"/>
                <w:sz w:val="20"/>
                <w:szCs w:val="20"/>
              </w:rPr>
              <w:t> Structure and content of ‘Probable Case’ section amended to be consistent with Case Definition style guide and comprise Laboratory Suggestive and Clinical evidence.</w:t>
            </w:r>
          </w:p>
          <w:p w14:paraId="1A7D041D" w14:textId="77777777" w:rsidR="008A4C0E" w:rsidRPr="008A4C0E" w:rsidRDefault="008A4C0E" w:rsidP="008A4C0E">
            <w:pPr>
              <w:pStyle w:val="NormalWeb"/>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Lab Definitive evidence:</w:t>
            </w:r>
            <w:r w:rsidRPr="008A4C0E">
              <w:rPr>
                <w:rFonts w:ascii="Helvetica" w:hAnsi="Helvetica" w:cs="Helvetica"/>
                <w:color w:val="auto"/>
                <w:sz w:val="20"/>
                <w:szCs w:val="20"/>
              </w:rPr>
              <w:t xml:space="preserve"> Extensive rework of section including: removal of specific reference to treponemal IgM assays; inclusion of requirement that NAT and other tests be corroborated; </w:t>
            </w:r>
            <w:r w:rsidRPr="008A4C0E">
              <w:rPr>
                <w:rFonts w:ascii="Helvetica" w:hAnsi="Helvetica" w:cs="Helvetica"/>
                <w:color w:val="auto"/>
                <w:sz w:val="20"/>
                <w:szCs w:val="20"/>
              </w:rPr>
              <w:lastRenderedPageBreak/>
              <w:t>broadening of the specimen sites which might get tested; adding criteria allowing for the persistence of antibody in infants to count as definitive.</w:t>
            </w:r>
          </w:p>
          <w:p w14:paraId="491393DE" w14:textId="77777777" w:rsidR="008A4C0E" w:rsidRPr="008A4C0E" w:rsidRDefault="008A4C0E" w:rsidP="008A4C0E">
            <w:pPr>
              <w:pStyle w:val="NormalWeb"/>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Lab Suggestive evidence:</w:t>
            </w:r>
            <w:r w:rsidRPr="008A4C0E">
              <w:rPr>
                <w:rFonts w:ascii="Helvetica" w:hAnsi="Helvetica" w:cs="Helvetica"/>
                <w:color w:val="auto"/>
                <w:sz w:val="20"/>
                <w:szCs w:val="20"/>
              </w:rPr>
              <w:t> Reworking of section including: removal of specific reference to IgM assays; removing NAT from a non-sterile site (now definitive evidence if corroborated); adding seropositivity in either child or mother.</w:t>
            </w:r>
          </w:p>
          <w:p w14:paraId="78E96A74" w14:textId="015B3197" w:rsidR="008A4C0E" w:rsidRPr="008A4C0E" w:rsidRDefault="008A4C0E" w:rsidP="008A4C0E">
            <w:pPr>
              <w:pStyle w:val="NormalWeb"/>
              <w:spacing w:before="0" w:beforeAutospacing="0" w:after="240" w:afterAutospacing="0" w:line="300" w:lineRule="atLeast"/>
              <w:cnfStyle w:val="000000010000" w:firstRow="0" w:lastRow="0" w:firstColumn="0" w:lastColumn="0" w:oddVBand="0" w:evenVBand="0" w:oddHBand="0" w:evenHBand="1" w:firstRowFirstColumn="0" w:firstRowLastColumn="0" w:lastRowFirstColumn="0" w:lastRowLastColumn="0"/>
              <w:rPr>
                <w:rFonts w:ascii="Helvetica" w:hAnsi="Helvetica" w:cs="Helvetica"/>
                <w:color w:val="auto"/>
                <w:sz w:val="20"/>
                <w:szCs w:val="20"/>
              </w:rPr>
            </w:pPr>
            <w:r w:rsidRPr="008A4C0E">
              <w:rPr>
                <w:rStyle w:val="Strong"/>
                <w:rFonts w:ascii="Helvetica" w:hAnsi="Helvetica" w:cs="Helvetica"/>
                <w:color w:val="auto"/>
                <w:sz w:val="20"/>
                <w:szCs w:val="20"/>
                <w:bdr w:val="none" w:sz="0" w:space="0" w:color="auto" w:frame="1"/>
              </w:rPr>
              <w:t>Clinical Evidence:</w:t>
            </w:r>
            <w:r w:rsidRPr="008A4C0E">
              <w:rPr>
                <w:rFonts w:ascii="Helvetica" w:hAnsi="Helvetica" w:cs="Helvetica"/>
                <w:color w:val="auto"/>
                <w:sz w:val="20"/>
                <w:szCs w:val="20"/>
              </w:rPr>
              <w:t> Structure and content of ‘Clinical Evidence’ section amended to be consistent with Case Definition style guide. ‘Asymptomatic infection’, ‘Foetal death in utero’ and ‘Stillbirth in a foetus greater than 20 weeks gestation’ removed from criteria, but accounted for in the notes; details of clinical evidence also removed; rewording of the clause defining inadequate maternal treatment; moving laboratory evidence into appropriate sections.</w:t>
            </w:r>
          </w:p>
        </w:tc>
        <w:tc>
          <w:tcPr>
            <w:tcW w:w="0" w:type="auto"/>
          </w:tcPr>
          <w:p w14:paraId="2DA5CF37" w14:textId="0F702CEA" w:rsidR="008A4C0E" w:rsidRPr="008A4C0E" w:rsidRDefault="008A4C0E" w:rsidP="002E14A5">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8A4C0E">
              <w:rPr>
                <w:lang w:eastAsia="en-AU"/>
              </w:rPr>
              <w:lastRenderedPageBreak/>
              <w:t>CDWG O-O-S January 2010</w:t>
            </w:r>
          </w:p>
        </w:tc>
        <w:tc>
          <w:tcPr>
            <w:tcW w:w="0" w:type="auto"/>
          </w:tcPr>
          <w:p w14:paraId="4D0B3A2F" w14:textId="2B5DC418" w:rsidR="008A4C0E" w:rsidRPr="008A4C0E" w:rsidRDefault="008A4C0E" w:rsidP="002E14A5">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8A4C0E">
              <w:rPr>
                <w:lang w:eastAsia="en-AU"/>
              </w:rPr>
              <w:t>1 January 2011</w:t>
            </w:r>
          </w:p>
        </w:tc>
      </w:tr>
      <w:tr w:rsidR="008A4C0E" w:rsidRPr="008A4C0E" w14:paraId="309CA1EB"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60283F" w14:textId="6303707D" w:rsidR="008A4C0E" w:rsidRPr="008A4C0E" w:rsidRDefault="008A4C0E" w:rsidP="002E14A5">
            <w:pPr>
              <w:pStyle w:val="TableText"/>
              <w:rPr>
                <w:lang w:eastAsia="en-AU"/>
              </w:rPr>
            </w:pPr>
            <w:r w:rsidRPr="008A4C0E">
              <w:rPr>
                <w:lang w:eastAsia="en-AU"/>
              </w:rPr>
              <w:t>1.0</w:t>
            </w:r>
          </w:p>
        </w:tc>
        <w:tc>
          <w:tcPr>
            <w:tcW w:w="0" w:type="auto"/>
          </w:tcPr>
          <w:p w14:paraId="21F4CA1C" w14:textId="64620F82" w:rsidR="008A4C0E" w:rsidRPr="008A4C0E" w:rsidRDefault="008A4C0E" w:rsidP="002E14A5">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8A4C0E">
              <w:rPr>
                <w:lang w:eastAsia="en-AU"/>
              </w:rPr>
              <w:t>Initial case definition</w:t>
            </w:r>
          </w:p>
        </w:tc>
        <w:tc>
          <w:tcPr>
            <w:tcW w:w="0" w:type="auto"/>
          </w:tcPr>
          <w:p w14:paraId="46FA6A1D" w14:textId="6FAD75AA" w:rsidR="008A4C0E" w:rsidRPr="008A4C0E" w:rsidRDefault="008A4C0E" w:rsidP="002E14A5">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8A4C0E">
              <w:rPr>
                <w:lang w:eastAsia="en-AU"/>
              </w:rPr>
              <w:t>2004</w:t>
            </w:r>
          </w:p>
        </w:tc>
        <w:tc>
          <w:tcPr>
            <w:tcW w:w="0" w:type="auto"/>
          </w:tcPr>
          <w:p w14:paraId="0FC5C17D" w14:textId="65E48BDE" w:rsidR="008A4C0E" w:rsidRPr="008A4C0E" w:rsidRDefault="008A4C0E" w:rsidP="002E14A5">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8A4C0E">
              <w:rPr>
                <w:lang w:eastAsia="en-AU"/>
              </w:rPr>
              <w:t>2004</w:t>
            </w:r>
          </w:p>
        </w:tc>
      </w:tr>
    </w:tbl>
    <w:p w14:paraId="41E17C6D" w14:textId="77777777" w:rsidR="009E0B84" w:rsidRPr="008A4C0E" w:rsidRDefault="009E0B84" w:rsidP="00800DEB"/>
    <w:p w14:paraId="7A41556B" w14:textId="77777777" w:rsidR="008A4C0E" w:rsidRPr="008A4C0E" w:rsidRDefault="008A4C0E" w:rsidP="008A4C0E">
      <w:pPr>
        <w:shd w:val="clear" w:color="auto" w:fill="FFFFFF"/>
        <w:spacing w:before="240" w:after="120"/>
        <w:outlineLvl w:val="1"/>
        <w:rPr>
          <w:rFonts w:ascii="Open Sans" w:hAnsi="Open Sans" w:cs="Open Sans"/>
          <w:sz w:val="36"/>
          <w:szCs w:val="36"/>
          <w:lang w:eastAsia="en-AU"/>
        </w:rPr>
      </w:pPr>
      <w:r w:rsidRPr="008A4C0E">
        <w:rPr>
          <w:rFonts w:ascii="Open Sans" w:hAnsi="Open Sans" w:cs="Open Sans"/>
          <w:sz w:val="36"/>
          <w:szCs w:val="36"/>
          <w:lang w:eastAsia="en-AU"/>
        </w:rPr>
        <w:t>Reporting</w:t>
      </w:r>
    </w:p>
    <w:p w14:paraId="3776D744" w14:textId="66CD6E40"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Both </w:t>
      </w:r>
      <w:r w:rsidRPr="008A4C0E">
        <w:rPr>
          <w:rFonts w:ascii="Helvetica" w:hAnsi="Helvetica" w:cs="Helvetica"/>
          <w:b/>
          <w:bCs/>
          <w:sz w:val="20"/>
          <w:szCs w:val="20"/>
          <w:lang w:eastAsia="en-AU"/>
        </w:rPr>
        <w:t>confirmed cases </w:t>
      </w:r>
      <w:r w:rsidRPr="008A4C0E">
        <w:rPr>
          <w:rFonts w:ascii="Helvetica" w:hAnsi="Helvetica" w:cs="Helvetica"/>
          <w:sz w:val="20"/>
          <w:szCs w:val="20"/>
          <w:lang w:eastAsia="en-AU"/>
        </w:rPr>
        <w:t>and </w:t>
      </w:r>
      <w:r w:rsidRPr="008A4C0E">
        <w:rPr>
          <w:rFonts w:ascii="Helvetica" w:hAnsi="Helvetica" w:cs="Helvetica"/>
          <w:b/>
          <w:bCs/>
          <w:sz w:val="20"/>
          <w:szCs w:val="20"/>
          <w:lang w:eastAsia="en-AU"/>
        </w:rPr>
        <w:t>probable cases </w:t>
      </w:r>
      <w:r w:rsidRPr="008A4C0E">
        <w:rPr>
          <w:rFonts w:ascii="Helvetica" w:hAnsi="Helvetica" w:cs="Helvetica"/>
          <w:sz w:val="20"/>
          <w:szCs w:val="20"/>
          <w:lang w:eastAsia="en-AU"/>
        </w:rPr>
        <w:t>should be notified, including confirmed and probable cases of syphilis-related stillbirth</w:t>
      </w:r>
      <w:r w:rsidRPr="008A4C0E">
        <w:rPr>
          <w:rFonts w:ascii="Helvetica" w:hAnsi="Helvetica" w:cs="Helvetica"/>
          <w:sz w:val="15"/>
          <w:szCs w:val="15"/>
          <w:vertAlign w:val="superscript"/>
          <w:lang w:eastAsia="en-AU"/>
        </w:rPr>
        <w:t>1</w:t>
      </w:r>
      <w:r w:rsidRPr="008A4C0E">
        <w:rPr>
          <w:rFonts w:ascii="Helvetica" w:hAnsi="Helvetica" w:cs="Helvetica"/>
          <w:sz w:val="20"/>
          <w:szCs w:val="20"/>
          <w:lang w:eastAsia="en-AU"/>
        </w:rPr>
        <w:t>.</w:t>
      </w:r>
    </w:p>
    <w:p w14:paraId="652D2D08" w14:textId="77777777" w:rsidR="008A4C0E" w:rsidRPr="008A4C0E" w:rsidRDefault="008A4C0E" w:rsidP="008A4C0E">
      <w:pPr>
        <w:shd w:val="clear" w:color="auto" w:fill="FFFFFF"/>
        <w:spacing w:after="120"/>
        <w:outlineLvl w:val="1"/>
        <w:rPr>
          <w:rFonts w:ascii="Open Sans" w:hAnsi="Open Sans" w:cs="Open Sans"/>
          <w:sz w:val="36"/>
          <w:szCs w:val="36"/>
          <w:lang w:eastAsia="en-AU"/>
        </w:rPr>
      </w:pPr>
      <w:r w:rsidRPr="008A4C0E">
        <w:rPr>
          <w:rFonts w:ascii="Open Sans" w:hAnsi="Open Sans" w:cs="Open Sans"/>
          <w:sz w:val="36"/>
          <w:szCs w:val="36"/>
          <w:lang w:eastAsia="en-AU"/>
        </w:rPr>
        <w:t>Confirmed case</w:t>
      </w:r>
    </w:p>
    <w:p w14:paraId="11258A3D" w14:textId="77777777"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 confirmed case requires:</w:t>
      </w:r>
    </w:p>
    <w:p w14:paraId="68350313" w14:textId="19ED4651" w:rsidR="008A4C0E" w:rsidRPr="008A4C0E" w:rsidRDefault="008A4C0E" w:rsidP="008A4C0E">
      <w:pPr>
        <w:numPr>
          <w:ilvl w:val="0"/>
          <w:numId w:val="20"/>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Laboratory definitive evidence (live birth</w:t>
      </w:r>
      <w:r w:rsidRPr="008A4C0E">
        <w:rPr>
          <w:rFonts w:ascii="Helvetica" w:hAnsi="Helvetica" w:cs="Helvetica"/>
          <w:b/>
          <w:bCs/>
          <w:sz w:val="15"/>
          <w:szCs w:val="15"/>
          <w:vertAlign w:val="superscript"/>
          <w:lang w:eastAsia="en-AU"/>
        </w:rPr>
        <w:t>2</w:t>
      </w:r>
      <w:r w:rsidRPr="008A4C0E">
        <w:rPr>
          <w:rFonts w:ascii="Helvetica" w:hAnsi="Helvetica" w:cs="Helvetica"/>
          <w:b/>
          <w:bCs/>
          <w:sz w:val="20"/>
          <w:szCs w:val="20"/>
          <w:lang w:eastAsia="en-AU"/>
        </w:rPr>
        <w:t>)</w:t>
      </w:r>
    </w:p>
    <w:p w14:paraId="54C3E397" w14:textId="77777777" w:rsidR="008A4C0E" w:rsidRPr="008A4C0E" w:rsidRDefault="008A4C0E" w:rsidP="008A4C0E">
      <w:pPr>
        <w:shd w:val="clear" w:color="auto" w:fill="FFFFFF"/>
        <w:spacing w:before="240" w:line="300" w:lineRule="atLeast"/>
        <w:ind w:left="720"/>
        <w:rPr>
          <w:rFonts w:ascii="Helvetica" w:hAnsi="Helvetica" w:cs="Helvetica"/>
          <w:sz w:val="20"/>
          <w:szCs w:val="20"/>
          <w:lang w:eastAsia="en-AU"/>
        </w:rPr>
      </w:pPr>
      <w:r w:rsidRPr="008A4C0E">
        <w:rPr>
          <w:rFonts w:ascii="Helvetica" w:hAnsi="Helvetica" w:cs="Helvetica"/>
          <w:sz w:val="20"/>
          <w:szCs w:val="20"/>
          <w:lang w:eastAsia="en-AU"/>
        </w:rPr>
        <w:t>OR</w:t>
      </w:r>
    </w:p>
    <w:p w14:paraId="79FF0313" w14:textId="5C73B9BB" w:rsidR="008A4C0E" w:rsidRPr="008A4C0E" w:rsidRDefault="008A4C0E" w:rsidP="008A4C0E">
      <w:pPr>
        <w:numPr>
          <w:ilvl w:val="0"/>
          <w:numId w:val="20"/>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Laboratory definitive evidence (stillbirth</w:t>
      </w:r>
      <w:r w:rsidRPr="008A4C0E">
        <w:rPr>
          <w:rFonts w:ascii="Helvetica" w:hAnsi="Helvetica" w:cs="Helvetica"/>
          <w:b/>
          <w:bCs/>
          <w:sz w:val="15"/>
          <w:szCs w:val="15"/>
          <w:vertAlign w:val="superscript"/>
          <w:lang w:eastAsia="en-AU"/>
        </w:rPr>
        <w:t>1</w:t>
      </w:r>
      <w:r w:rsidRPr="008A4C0E">
        <w:rPr>
          <w:rFonts w:ascii="Helvetica" w:hAnsi="Helvetica" w:cs="Helvetica"/>
          <w:b/>
          <w:bCs/>
          <w:sz w:val="20"/>
          <w:szCs w:val="20"/>
          <w:lang w:eastAsia="en-AU"/>
        </w:rPr>
        <w:t>) AND clinical evidence (confirmed)</w:t>
      </w:r>
    </w:p>
    <w:p w14:paraId="50481663" w14:textId="77777777" w:rsidR="008A4C0E" w:rsidRPr="008A4C0E" w:rsidRDefault="008A4C0E" w:rsidP="00C223E7">
      <w:pPr>
        <w:shd w:val="clear" w:color="auto" w:fill="FFFFFF"/>
        <w:spacing w:after="90" w:line="300" w:lineRule="atLeast"/>
        <w:ind w:left="360"/>
        <w:rPr>
          <w:rFonts w:ascii="Helvetica" w:hAnsi="Helvetica" w:cs="Helvetica"/>
          <w:sz w:val="20"/>
          <w:szCs w:val="20"/>
          <w:lang w:eastAsia="en-AU"/>
        </w:rPr>
      </w:pPr>
    </w:p>
    <w:p w14:paraId="4725ED55" w14:textId="0828568E" w:rsidR="008A4C0E" w:rsidRPr="008A4C0E" w:rsidRDefault="008A4C0E" w:rsidP="008A4C0E">
      <w:pPr>
        <w:shd w:val="clear" w:color="auto" w:fill="FFFFFF"/>
        <w:spacing w:after="120"/>
        <w:outlineLvl w:val="2"/>
        <w:rPr>
          <w:rFonts w:ascii="Open Sans" w:hAnsi="Open Sans" w:cs="Open Sans"/>
          <w:sz w:val="27"/>
          <w:szCs w:val="27"/>
          <w:lang w:eastAsia="en-AU"/>
        </w:rPr>
      </w:pPr>
      <w:r w:rsidRPr="008A4C0E">
        <w:rPr>
          <w:rFonts w:ascii="Open Sans" w:hAnsi="Open Sans" w:cs="Open Sans"/>
          <w:sz w:val="27"/>
          <w:szCs w:val="27"/>
          <w:lang w:eastAsia="en-AU"/>
        </w:rPr>
        <w:t>Laboratory definitive evidence (live birth</w:t>
      </w:r>
      <w:r w:rsidRPr="008A4C0E">
        <w:rPr>
          <w:rFonts w:ascii="Open Sans" w:hAnsi="Open Sans" w:cs="Open Sans"/>
          <w:sz w:val="23"/>
          <w:szCs w:val="23"/>
          <w:vertAlign w:val="superscript"/>
          <w:lang w:eastAsia="en-AU"/>
        </w:rPr>
        <w:t>2</w:t>
      </w:r>
      <w:r w:rsidRPr="008A4C0E">
        <w:rPr>
          <w:rFonts w:ascii="Open Sans" w:hAnsi="Open Sans" w:cs="Open Sans"/>
          <w:sz w:val="27"/>
          <w:szCs w:val="27"/>
          <w:lang w:eastAsia="en-AU"/>
        </w:rPr>
        <w:t>)</w:t>
      </w:r>
    </w:p>
    <w:p w14:paraId="150EB26B" w14:textId="12C19554"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Mother and child both seropositive by a treponemal specific test</w:t>
      </w:r>
      <w:r w:rsidRPr="008A4C0E">
        <w:rPr>
          <w:rFonts w:ascii="Helvetica" w:hAnsi="Helvetica" w:cs="Helvetica"/>
          <w:sz w:val="15"/>
          <w:szCs w:val="15"/>
          <w:vertAlign w:val="superscript"/>
          <w:lang w:eastAsia="en-AU"/>
        </w:rPr>
        <w:t>3</w:t>
      </w:r>
      <w:r w:rsidRPr="008A4C0E">
        <w:rPr>
          <w:rFonts w:ascii="Helvetica" w:hAnsi="Helvetica" w:cs="Helvetica"/>
          <w:sz w:val="20"/>
          <w:szCs w:val="20"/>
          <w:lang w:eastAsia="en-AU"/>
        </w:rPr>
        <w:t>, AND the child is a live birth</w:t>
      </w:r>
      <w:r w:rsidRPr="008A4C0E">
        <w:rPr>
          <w:rFonts w:ascii="Helvetica" w:hAnsi="Helvetica" w:cs="Helvetica"/>
          <w:sz w:val="15"/>
          <w:szCs w:val="15"/>
          <w:vertAlign w:val="superscript"/>
          <w:lang w:eastAsia="en-AU"/>
        </w:rPr>
        <w:t>2</w:t>
      </w:r>
      <w:r w:rsidRPr="008A4C0E">
        <w:rPr>
          <w:rFonts w:ascii="Helvetica" w:hAnsi="Helvetica" w:cs="Helvetica"/>
          <w:sz w:val="20"/>
          <w:szCs w:val="20"/>
          <w:lang w:eastAsia="en-AU"/>
        </w:rPr>
        <w:t>, AND one or more of the following:</w:t>
      </w:r>
    </w:p>
    <w:p w14:paraId="6FDF72DB" w14:textId="7C2C6AEA" w:rsidR="008A4C0E" w:rsidRPr="008A4C0E" w:rsidRDefault="008A4C0E" w:rsidP="008A4C0E">
      <w:pPr>
        <w:numPr>
          <w:ilvl w:val="0"/>
          <w:numId w:val="21"/>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lastRenderedPageBreak/>
        <w:t>Direct demonstration of </w:t>
      </w:r>
      <w:r w:rsidRPr="008A4C0E">
        <w:rPr>
          <w:rFonts w:ascii="Helvetica" w:hAnsi="Helvetica" w:cs="Helvetica"/>
          <w:i/>
          <w:iCs/>
          <w:sz w:val="20"/>
          <w:szCs w:val="20"/>
          <w:lang w:eastAsia="en-AU"/>
        </w:rPr>
        <w:t>Treponema pallidum </w:t>
      </w:r>
      <w:r w:rsidRPr="008A4C0E">
        <w:rPr>
          <w:rFonts w:ascii="Helvetica" w:hAnsi="Helvetica" w:cs="Helvetica"/>
          <w:sz w:val="20"/>
          <w:szCs w:val="20"/>
          <w:lang w:eastAsia="en-AU"/>
        </w:rPr>
        <w:t>by any of the following methods: nucleic acid amplification (NAA) test including polymerase chain reaction (PCR)</w:t>
      </w:r>
      <w:r w:rsidRPr="008A4C0E">
        <w:rPr>
          <w:rFonts w:ascii="Helvetica" w:hAnsi="Helvetica" w:cs="Helvetica"/>
          <w:sz w:val="15"/>
          <w:szCs w:val="15"/>
          <w:vertAlign w:val="superscript"/>
          <w:lang w:eastAsia="en-AU"/>
        </w:rPr>
        <w:t>4</w:t>
      </w:r>
      <w:r w:rsidRPr="008A4C0E">
        <w:rPr>
          <w:rFonts w:ascii="Helvetica" w:hAnsi="Helvetica" w:cs="Helvetica"/>
          <w:sz w:val="20"/>
          <w:szCs w:val="20"/>
          <w:lang w:eastAsia="en-AU"/>
        </w:rPr>
        <w:t>; dark field microscopy; fluorescent antibody or silver stain - in specimens from lesions; nasal discharge; placenta; umbilical cord; amniotic fluid; cerebrospinal fluid (CSF), autopsy material; or other appropriate test sites.</w:t>
      </w:r>
    </w:p>
    <w:p w14:paraId="6A464067" w14:textId="77777777" w:rsidR="008A4C0E" w:rsidRPr="008A4C0E" w:rsidRDefault="008A4C0E" w:rsidP="008A4C0E">
      <w:pPr>
        <w:numPr>
          <w:ilvl w:val="0"/>
          <w:numId w:val="21"/>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Detection of </w:t>
      </w:r>
      <w:r w:rsidRPr="008A4C0E">
        <w:rPr>
          <w:rFonts w:ascii="Helvetica" w:hAnsi="Helvetica" w:cs="Helvetica"/>
          <w:i/>
          <w:iCs/>
          <w:sz w:val="20"/>
          <w:szCs w:val="20"/>
          <w:lang w:eastAsia="en-AU"/>
        </w:rPr>
        <w:t>Treponema pallidum </w:t>
      </w:r>
      <w:r w:rsidRPr="008A4C0E">
        <w:rPr>
          <w:rFonts w:ascii="Helvetica" w:hAnsi="Helvetica" w:cs="Helvetica"/>
          <w:sz w:val="20"/>
          <w:szCs w:val="20"/>
          <w:lang w:eastAsia="en-AU"/>
        </w:rPr>
        <w:t>specific IgM in the child.</w:t>
      </w:r>
    </w:p>
    <w:p w14:paraId="2421B192" w14:textId="5B48F1D6" w:rsidR="008A4C0E" w:rsidRPr="008A4C0E" w:rsidRDefault="008A4C0E" w:rsidP="008A4C0E">
      <w:pPr>
        <w:numPr>
          <w:ilvl w:val="0"/>
          <w:numId w:val="21"/>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The child’s serum non-treponemal</w:t>
      </w:r>
      <w:r w:rsidRPr="008A4C0E">
        <w:rPr>
          <w:rFonts w:ascii="Helvetica" w:hAnsi="Helvetica" w:cs="Helvetica"/>
          <w:sz w:val="15"/>
          <w:szCs w:val="15"/>
          <w:vertAlign w:val="superscript"/>
          <w:lang w:eastAsia="en-AU"/>
        </w:rPr>
        <w:t>5</w:t>
      </w:r>
      <w:r w:rsidRPr="008A4C0E">
        <w:rPr>
          <w:rFonts w:ascii="Helvetica" w:hAnsi="Helvetica" w:cs="Helvetica"/>
          <w:sz w:val="20"/>
          <w:szCs w:val="20"/>
          <w:lang w:eastAsia="en-AU"/>
        </w:rPr>
        <w:t> serology titre at birth is at least fourfold greater than the mother's titre.</w:t>
      </w:r>
    </w:p>
    <w:p w14:paraId="3BA5F512" w14:textId="091FD44C" w:rsidR="008A4C0E" w:rsidRPr="008A4C0E" w:rsidRDefault="008A4C0E" w:rsidP="008A4C0E">
      <w:pPr>
        <w:shd w:val="clear" w:color="auto" w:fill="FFFFFF"/>
        <w:spacing w:after="120"/>
        <w:outlineLvl w:val="2"/>
        <w:rPr>
          <w:rFonts w:ascii="Open Sans" w:hAnsi="Open Sans" w:cs="Open Sans"/>
          <w:sz w:val="27"/>
          <w:szCs w:val="27"/>
          <w:lang w:eastAsia="en-AU"/>
        </w:rPr>
      </w:pPr>
      <w:r w:rsidRPr="008A4C0E">
        <w:rPr>
          <w:rFonts w:ascii="Open Sans" w:hAnsi="Open Sans" w:cs="Open Sans"/>
          <w:sz w:val="27"/>
          <w:szCs w:val="27"/>
          <w:lang w:eastAsia="en-AU"/>
        </w:rPr>
        <w:t>Laboratory definitive evidence (stillbirth</w:t>
      </w:r>
      <w:r w:rsidRPr="008A4C0E">
        <w:rPr>
          <w:rFonts w:ascii="Open Sans" w:hAnsi="Open Sans" w:cs="Open Sans"/>
          <w:sz w:val="23"/>
          <w:szCs w:val="23"/>
          <w:vertAlign w:val="superscript"/>
          <w:lang w:eastAsia="en-AU"/>
        </w:rPr>
        <w:t>1</w:t>
      </w:r>
      <w:r w:rsidRPr="008A4C0E">
        <w:rPr>
          <w:rFonts w:ascii="Open Sans" w:hAnsi="Open Sans" w:cs="Open Sans"/>
          <w:sz w:val="27"/>
          <w:szCs w:val="27"/>
          <w:lang w:eastAsia="en-AU"/>
        </w:rPr>
        <w:t>)</w:t>
      </w:r>
    </w:p>
    <w:p w14:paraId="68B794DE" w14:textId="0701F1B1"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Mother is seropositive by a treponemal specific test</w:t>
      </w:r>
      <w:r w:rsidRPr="008A4C0E">
        <w:rPr>
          <w:rFonts w:ascii="Helvetica" w:hAnsi="Helvetica" w:cs="Helvetica"/>
          <w:sz w:val="15"/>
          <w:szCs w:val="15"/>
          <w:vertAlign w:val="superscript"/>
          <w:lang w:eastAsia="en-AU"/>
        </w:rPr>
        <w:t>3</w:t>
      </w:r>
      <w:r w:rsidRPr="008A4C0E">
        <w:rPr>
          <w:rFonts w:ascii="Helvetica" w:hAnsi="Helvetica" w:cs="Helvetica"/>
          <w:sz w:val="20"/>
          <w:szCs w:val="20"/>
          <w:lang w:eastAsia="en-AU"/>
        </w:rPr>
        <w:t>, AND the pregnancy outcome is a stillbirth</w:t>
      </w:r>
      <w:r w:rsidRPr="008A4C0E">
        <w:rPr>
          <w:rFonts w:ascii="Helvetica" w:hAnsi="Helvetica" w:cs="Helvetica"/>
          <w:sz w:val="15"/>
          <w:szCs w:val="15"/>
          <w:vertAlign w:val="superscript"/>
          <w:lang w:eastAsia="en-AU"/>
        </w:rPr>
        <w:t>1</w:t>
      </w:r>
      <w:r w:rsidRPr="008A4C0E">
        <w:rPr>
          <w:rFonts w:ascii="Helvetica" w:hAnsi="Helvetica" w:cs="Helvetica"/>
          <w:sz w:val="20"/>
          <w:szCs w:val="20"/>
          <w:lang w:eastAsia="en-AU"/>
        </w:rPr>
        <w:t>, AND there is evidence of infection in-utero through:</w:t>
      </w:r>
    </w:p>
    <w:p w14:paraId="65D706FA" w14:textId="6D338474" w:rsidR="008A4C0E" w:rsidRPr="008A4C0E" w:rsidRDefault="008A4C0E" w:rsidP="008A4C0E">
      <w:pPr>
        <w:numPr>
          <w:ilvl w:val="0"/>
          <w:numId w:val="22"/>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Direct demonstration of </w:t>
      </w:r>
      <w:r w:rsidRPr="008A4C0E">
        <w:rPr>
          <w:rFonts w:ascii="Helvetica" w:hAnsi="Helvetica" w:cs="Helvetica"/>
          <w:i/>
          <w:iCs/>
          <w:sz w:val="20"/>
          <w:szCs w:val="20"/>
          <w:lang w:eastAsia="en-AU"/>
        </w:rPr>
        <w:t>Treponema pallidum </w:t>
      </w:r>
      <w:r w:rsidRPr="008A4C0E">
        <w:rPr>
          <w:rFonts w:ascii="Helvetica" w:hAnsi="Helvetica" w:cs="Helvetica"/>
          <w:sz w:val="20"/>
          <w:szCs w:val="20"/>
          <w:lang w:eastAsia="en-AU"/>
        </w:rPr>
        <w:t>in the foetus by any of the following methods: nucleic acid amplification (NAA) test including polymerase chain reaction (PCR)</w:t>
      </w:r>
      <w:r w:rsidRPr="008A4C0E">
        <w:rPr>
          <w:rFonts w:ascii="Helvetica" w:hAnsi="Helvetica" w:cs="Helvetica"/>
          <w:sz w:val="15"/>
          <w:szCs w:val="15"/>
          <w:vertAlign w:val="superscript"/>
          <w:lang w:eastAsia="en-AU"/>
        </w:rPr>
        <w:t>4</w:t>
      </w:r>
      <w:r w:rsidRPr="008A4C0E">
        <w:rPr>
          <w:rFonts w:ascii="Helvetica" w:hAnsi="Helvetica" w:cs="Helvetica"/>
          <w:sz w:val="20"/>
          <w:szCs w:val="20"/>
          <w:lang w:eastAsia="en-AU"/>
        </w:rPr>
        <w:t xml:space="preserve">; dark field microscopy; fluorescent antibody; or silver stain – in specimens from: lesions; nasal discharge; cerebrospinal fluid (CSF); autopsy material; </w:t>
      </w:r>
      <w:r w:rsidR="00E2165D" w:rsidRPr="008B766C">
        <w:rPr>
          <w:rFonts w:ascii="Helvetica" w:hAnsi="Helvetica" w:cs="Helvetica"/>
          <w:sz w:val="20"/>
          <w:szCs w:val="20"/>
          <w:lang w:eastAsia="en-AU"/>
        </w:rPr>
        <w:t>placenta; umbilical cord; amniotic fluid</w:t>
      </w:r>
      <w:r w:rsidR="00E2165D" w:rsidRPr="008B766C">
        <w:rPr>
          <w:color w:val="FF0000"/>
        </w:rPr>
        <w:t xml:space="preserve"> </w:t>
      </w:r>
      <w:r w:rsidRPr="008A4C0E">
        <w:rPr>
          <w:rFonts w:ascii="Helvetica" w:hAnsi="Helvetica" w:cs="Helvetica"/>
          <w:sz w:val="20"/>
          <w:szCs w:val="20"/>
          <w:lang w:eastAsia="en-AU"/>
        </w:rPr>
        <w:t>or other appropriate test sites.</w:t>
      </w:r>
    </w:p>
    <w:p w14:paraId="0533881B" w14:textId="77777777" w:rsidR="008A4C0E" w:rsidRPr="008A4C0E" w:rsidRDefault="008A4C0E" w:rsidP="008A4C0E">
      <w:pPr>
        <w:shd w:val="clear" w:color="auto" w:fill="FFFFFF"/>
        <w:spacing w:after="120"/>
        <w:outlineLvl w:val="2"/>
        <w:rPr>
          <w:rFonts w:ascii="Open Sans" w:hAnsi="Open Sans" w:cs="Open Sans"/>
          <w:sz w:val="27"/>
          <w:szCs w:val="27"/>
          <w:lang w:eastAsia="en-AU"/>
        </w:rPr>
      </w:pPr>
      <w:r w:rsidRPr="008A4C0E">
        <w:rPr>
          <w:rFonts w:ascii="Open Sans" w:hAnsi="Open Sans" w:cs="Open Sans"/>
          <w:sz w:val="27"/>
          <w:szCs w:val="27"/>
          <w:lang w:eastAsia="en-AU"/>
        </w:rPr>
        <w:t>Clinical evidence (confirmed)</w:t>
      </w:r>
    </w:p>
    <w:p w14:paraId="24F91AC6" w14:textId="268C86D4" w:rsidR="008A4C0E" w:rsidRPr="008A4C0E" w:rsidRDefault="008A4C0E" w:rsidP="008A4C0E">
      <w:pPr>
        <w:numPr>
          <w:ilvl w:val="0"/>
          <w:numId w:val="23"/>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In the event of a stillbirth</w:t>
      </w:r>
      <w:r w:rsidRPr="008A4C0E">
        <w:rPr>
          <w:rFonts w:ascii="Helvetica" w:hAnsi="Helvetica" w:cs="Helvetica"/>
          <w:sz w:val="15"/>
          <w:szCs w:val="15"/>
          <w:vertAlign w:val="superscript"/>
          <w:lang w:eastAsia="en-AU"/>
        </w:rPr>
        <w:t>1</w:t>
      </w:r>
      <w:r w:rsidRPr="008A4C0E">
        <w:rPr>
          <w:rFonts w:ascii="Helvetica" w:hAnsi="Helvetica" w:cs="Helvetica"/>
          <w:sz w:val="20"/>
          <w:szCs w:val="20"/>
          <w:lang w:eastAsia="en-AU"/>
        </w:rPr>
        <w:t> or neonatal death</w:t>
      </w:r>
      <w:r w:rsidRPr="008A4C0E">
        <w:rPr>
          <w:rFonts w:ascii="Helvetica" w:hAnsi="Helvetica" w:cs="Helvetica"/>
          <w:sz w:val="15"/>
          <w:szCs w:val="15"/>
          <w:vertAlign w:val="superscript"/>
          <w:lang w:eastAsia="en-AU"/>
        </w:rPr>
        <w:t>6</w:t>
      </w:r>
      <w:r w:rsidRPr="008A4C0E">
        <w:rPr>
          <w:rFonts w:ascii="Helvetica" w:hAnsi="Helvetica" w:cs="Helvetica"/>
          <w:sz w:val="20"/>
          <w:szCs w:val="20"/>
          <w:lang w:eastAsia="en-AU"/>
        </w:rPr>
        <w:t>, a pathologist or clinician experienced in congenital syphilis makes a clinical diagnosis of congenital syphilis at autopsy.</w:t>
      </w:r>
    </w:p>
    <w:p w14:paraId="0384E2CB" w14:textId="77777777" w:rsidR="008A4C0E" w:rsidRPr="008A4C0E" w:rsidRDefault="008A4C0E" w:rsidP="008A4C0E">
      <w:pPr>
        <w:shd w:val="clear" w:color="auto" w:fill="FFFFFF"/>
        <w:spacing w:after="120"/>
        <w:outlineLvl w:val="1"/>
        <w:rPr>
          <w:rFonts w:ascii="Open Sans" w:hAnsi="Open Sans" w:cs="Open Sans"/>
          <w:sz w:val="36"/>
          <w:szCs w:val="36"/>
          <w:lang w:eastAsia="en-AU"/>
        </w:rPr>
      </w:pPr>
      <w:r w:rsidRPr="008A4C0E">
        <w:rPr>
          <w:rFonts w:ascii="Open Sans" w:hAnsi="Open Sans" w:cs="Open Sans"/>
          <w:sz w:val="36"/>
          <w:szCs w:val="36"/>
          <w:lang w:eastAsia="en-AU"/>
        </w:rPr>
        <w:t>Probable case</w:t>
      </w:r>
    </w:p>
    <w:p w14:paraId="1BFD3674" w14:textId="77777777"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 probable case requires:</w:t>
      </w:r>
    </w:p>
    <w:p w14:paraId="5C1EB62A" w14:textId="22DF1177" w:rsidR="008A4C0E" w:rsidRPr="008A4C0E" w:rsidRDefault="008A4C0E" w:rsidP="008A4C0E">
      <w:pPr>
        <w:numPr>
          <w:ilvl w:val="0"/>
          <w:numId w:val="24"/>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Laboratory suggestive evidence (live birth</w:t>
      </w:r>
      <w:r w:rsidRPr="008A4C0E">
        <w:rPr>
          <w:rFonts w:ascii="Helvetica" w:hAnsi="Helvetica" w:cs="Helvetica"/>
          <w:b/>
          <w:bCs/>
          <w:sz w:val="15"/>
          <w:szCs w:val="15"/>
          <w:vertAlign w:val="superscript"/>
          <w:lang w:eastAsia="en-AU"/>
        </w:rPr>
        <w:t>2</w:t>
      </w:r>
      <w:r w:rsidRPr="008A4C0E">
        <w:rPr>
          <w:rFonts w:ascii="Helvetica" w:hAnsi="Helvetica" w:cs="Helvetica"/>
          <w:b/>
          <w:bCs/>
          <w:sz w:val="20"/>
          <w:szCs w:val="20"/>
          <w:lang w:eastAsia="en-AU"/>
        </w:rPr>
        <w:t>) AND clinical evidence (probable)</w:t>
      </w:r>
    </w:p>
    <w:p w14:paraId="213F41AD" w14:textId="77777777" w:rsidR="008A4C0E" w:rsidRPr="008A4C0E" w:rsidRDefault="008A4C0E" w:rsidP="008A4C0E">
      <w:pPr>
        <w:shd w:val="clear" w:color="auto" w:fill="FFFFFF"/>
        <w:spacing w:before="240" w:line="300" w:lineRule="atLeast"/>
        <w:ind w:left="720"/>
        <w:rPr>
          <w:rFonts w:ascii="Helvetica" w:hAnsi="Helvetica" w:cs="Helvetica"/>
          <w:sz w:val="20"/>
          <w:szCs w:val="20"/>
          <w:lang w:eastAsia="en-AU"/>
        </w:rPr>
      </w:pPr>
      <w:r w:rsidRPr="008A4C0E">
        <w:rPr>
          <w:rFonts w:ascii="Helvetica" w:hAnsi="Helvetica" w:cs="Helvetica"/>
          <w:sz w:val="20"/>
          <w:szCs w:val="20"/>
          <w:lang w:eastAsia="en-AU"/>
        </w:rPr>
        <w:t>OR</w:t>
      </w:r>
    </w:p>
    <w:p w14:paraId="12C74A37" w14:textId="7360E4CB" w:rsidR="008A4C0E" w:rsidRPr="008A4C0E" w:rsidRDefault="008A4C0E" w:rsidP="008A4C0E">
      <w:pPr>
        <w:numPr>
          <w:ilvl w:val="0"/>
          <w:numId w:val="24"/>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Laboratory suggestive evidence (stillbirth</w:t>
      </w:r>
      <w:r w:rsidRPr="008A4C0E">
        <w:rPr>
          <w:rFonts w:ascii="Helvetica" w:hAnsi="Helvetica" w:cs="Helvetica"/>
          <w:b/>
          <w:bCs/>
          <w:sz w:val="15"/>
          <w:szCs w:val="15"/>
          <w:vertAlign w:val="superscript"/>
          <w:lang w:eastAsia="en-AU"/>
        </w:rPr>
        <w:t>1</w:t>
      </w:r>
      <w:r w:rsidRPr="008A4C0E">
        <w:rPr>
          <w:rFonts w:ascii="Helvetica" w:hAnsi="Helvetica" w:cs="Helvetica"/>
          <w:b/>
          <w:bCs/>
          <w:sz w:val="20"/>
          <w:szCs w:val="20"/>
          <w:lang w:eastAsia="en-AU"/>
        </w:rPr>
        <w:t>) AND clinical evidence (probable)</w:t>
      </w:r>
    </w:p>
    <w:p w14:paraId="0276D496" w14:textId="56F84302" w:rsidR="008A4C0E" w:rsidRPr="008A4C0E" w:rsidRDefault="008A4C0E" w:rsidP="008A4C0E">
      <w:pPr>
        <w:shd w:val="clear" w:color="auto" w:fill="FFFFFF"/>
        <w:spacing w:after="120"/>
        <w:outlineLvl w:val="2"/>
        <w:rPr>
          <w:rFonts w:ascii="Open Sans" w:hAnsi="Open Sans" w:cs="Open Sans"/>
          <w:sz w:val="27"/>
          <w:szCs w:val="27"/>
          <w:lang w:eastAsia="en-AU"/>
        </w:rPr>
      </w:pPr>
      <w:r w:rsidRPr="008A4C0E">
        <w:rPr>
          <w:rFonts w:ascii="Open Sans" w:hAnsi="Open Sans" w:cs="Open Sans"/>
          <w:sz w:val="27"/>
          <w:szCs w:val="27"/>
          <w:lang w:eastAsia="en-AU"/>
        </w:rPr>
        <w:t>Laboratory suggestive evidence (live birth</w:t>
      </w:r>
      <w:r w:rsidRPr="008A4C0E">
        <w:rPr>
          <w:rFonts w:ascii="Open Sans" w:hAnsi="Open Sans" w:cs="Open Sans"/>
          <w:sz w:val="23"/>
          <w:szCs w:val="23"/>
          <w:vertAlign w:val="superscript"/>
          <w:lang w:eastAsia="en-AU"/>
        </w:rPr>
        <w:t>2</w:t>
      </w:r>
      <w:r w:rsidRPr="008A4C0E">
        <w:rPr>
          <w:rFonts w:ascii="Open Sans" w:hAnsi="Open Sans" w:cs="Open Sans"/>
          <w:sz w:val="27"/>
          <w:szCs w:val="27"/>
          <w:lang w:eastAsia="en-AU"/>
        </w:rPr>
        <w:t>)</w:t>
      </w:r>
    </w:p>
    <w:p w14:paraId="23C61F3D" w14:textId="5949CFC6"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Mother is seropositive by a treponemal specific test</w:t>
      </w:r>
      <w:r w:rsidRPr="008A4C0E">
        <w:rPr>
          <w:rFonts w:ascii="Helvetica" w:hAnsi="Helvetica" w:cs="Helvetica"/>
          <w:sz w:val="15"/>
          <w:szCs w:val="15"/>
          <w:vertAlign w:val="superscript"/>
          <w:lang w:eastAsia="en-AU"/>
        </w:rPr>
        <w:t>3</w:t>
      </w:r>
      <w:r w:rsidRPr="008A4C0E">
        <w:rPr>
          <w:rFonts w:ascii="Helvetica" w:hAnsi="Helvetica" w:cs="Helvetica"/>
          <w:sz w:val="20"/>
          <w:szCs w:val="20"/>
          <w:lang w:eastAsia="en-AU"/>
        </w:rPr>
        <w:t> OR the mother is seropositive by a </w:t>
      </w:r>
      <w:r w:rsidRPr="008A4C0E">
        <w:rPr>
          <w:rFonts w:ascii="Helvetica" w:hAnsi="Helvetica" w:cs="Helvetica"/>
          <w:i/>
          <w:iCs/>
          <w:sz w:val="20"/>
          <w:szCs w:val="20"/>
          <w:lang w:eastAsia="en-AU"/>
        </w:rPr>
        <w:t>Treponema pallidum</w:t>
      </w:r>
      <w:r w:rsidRPr="008A4C0E">
        <w:rPr>
          <w:rFonts w:ascii="Helvetica" w:hAnsi="Helvetica" w:cs="Helvetica"/>
          <w:sz w:val="20"/>
          <w:szCs w:val="20"/>
          <w:lang w:eastAsia="en-AU"/>
        </w:rPr>
        <w:t>-specific rapid immunochromatography,</w:t>
      </w:r>
    </w:p>
    <w:p w14:paraId="02A9291A" w14:textId="2ABA4942"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AND the child is a live birth</w:t>
      </w:r>
      <w:r w:rsidRPr="008A4C0E">
        <w:rPr>
          <w:rFonts w:ascii="Helvetica" w:hAnsi="Helvetica" w:cs="Helvetica"/>
          <w:sz w:val="15"/>
          <w:szCs w:val="15"/>
          <w:vertAlign w:val="superscript"/>
          <w:lang w:eastAsia="en-AU"/>
        </w:rPr>
        <w:t>2</w:t>
      </w:r>
      <w:r w:rsidRPr="008A4C0E">
        <w:rPr>
          <w:rFonts w:ascii="Helvetica" w:hAnsi="Helvetica" w:cs="Helvetica"/>
          <w:sz w:val="20"/>
          <w:szCs w:val="20"/>
          <w:lang w:eastAsia="en-AU"/>
        </w:rPr>
        <w:t>,</w:t>
      </w:r>
    </w:p>
    <w:p w14:paraId="2E9A8EEE" w14:textId="77777777"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AND one or more of the following:</w:t>
      </w:r>
    </w:p>
    <w:p w14:paraId="7A6A1B0C" w14:textId="0798A1B6" w:rsidR="008A4C0E" w:rsidRPr="008A4C0E" w:rsidRDefault="008A4C0E" w:rsidP="008A4C0E">
      <w:pPr>
        <w:numPr>
          <w:ilvl w:val="0"/>
          <w:numId w:val="25"/>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Direct demonstration of </w:t>
      </w:r>
      <w:r w:rsidRPr="008A4C0E">
        <w:rPr>
          <w:rFonts w:ascii="Helvetica" w:hAnsi="Helvetica" w:cs="Helvetica"/>
          <w:i/>
          <w:iCs/>
          <w:sz w:val="20"/>
          <w:szCs w:val="20"/>
          <w:lang w:eastAsia="en-AU"/>
        </w:rPr>
        <w:t>Treponema pallidum </w:t>
      </w:r>
      <w:r w:rsidRPr="008A4C0E">
        <w:rPr>
          <w:rFonts w:ascii="Helvetica" w:hAnsi="Helvetica" w:cs="Helvetica"/>
          <w:sz w:val="20"/>
          <w:szCs w:val="20"/>
          <w:lang w:eastAsia="en-AU"/>
        </w:rPr>
        <w:t>as described under laboratory definitive evidence for a live birth</w:t>
      </w:r>
      <w:r w:rsidRPr="008A4C0E">
        <w:rPr>
          <w:rFonts w:ascii="Helvetica" w:hAnsi="Helvetica" w:cs="Helvetica"/>
          <w:sz w:val="15"/>
          <w:szCs w:val="15"/>
          <w:vertAlign w:val="superscript"/>
          <w:lang w:eastAsia="en-AU"/>
        </w:rPr>
        <w:t>2</w:t>
      </w:r>
      <w:r w:rsidRPr="008A4C0E">
        <w:rPr>
          <w:rFonts w:ascii="Helvetica" w:hAnsi="Helvetica" w:cs="Helvetica"/>
          <w:sz w:val="20"/>
          <w:szCs w:val="20"/>
          <w:lang w:eastAsia="en-AU"/>
        </w:rPr>
        <w:t> but without serological confirmation in the child</w:t>
      </w:r>
    </w:p>
    <w:p w14:paraId="539CA35A" w14:textId="369263AE" w:rsidR="008A4C0E" w:rsidRPr="008A4C0E" w:rsidRDefault="008A4C0E" w:rsidP="008A4C0E">
      <w:pPr>
        <w:numPr>
          <w:ilvl w:val="0"/>
          <w:numId w:val="25"/>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Child seropositive on non-treponemal</w:t>
      </w:r>
      <w:r w:rsidRPr="008A4C0E">
        <w:rPr>
          <w:rFonts w:ascii="Helvetica" w:hAnsi="Helvetica" w:cs="Helvetica"/>
          <w:sz w:val="15"/>
          <w:szCs w:val="15"/>
          <w:vertAlign w:val="superscript"/>
          <w:lang w:eastAsia="en-AU"/>
        </w:rPr>
        <w:t>5</w:t>
      </w:r>
      <w:r w:rsidRPr="008A4C0E">
        <w:rPr>
          <w:rFonts w:ascii="Helvetica" w:hAnsi="Helvetica" w:cs="Helvetica"/>
          <w:sz w:val="20"/>
          <w:szCs w:val="20"/>
          <w:lang w:eastAsia="en-AU"/>
        </w:rPr>
        <w:t> testing in the absence of IgM testing.</w:t>
      </w:r>
    </w:p>
    <w:p w14:paraId="3B33A79C" w14:textId="7E8FBF3C" w:rsidR="008A4C0E" w:rsidRPr="008A4C0E" w:rsidRDefault="008A4C0E" w:rsidP="008A4C0E">
      <w:pPr>
        <w:numPr>
          <w:ilvl w:val="0"/>
          <w:numId w:val="25"/>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A reactive cerebrospinal fluid (CSF) non-treponemal</w:t>
      </w:r>
      <w:r w:rsidRPr="008A4C0E">
        <w:rPr>
          <w:rFonts w:ascii="Helvetica" w:hAnsi="Helvetica" w:cs="Helvetica"/>
          <w:sz w:val="15"/>
          <w:szCs w:val="15"/>
          <w:vertAlign w:val="superscript"/>
          <w:lang w:eastAsia="en-AU"/>
        </w:rPr>
        <w:t>5</w:t>
      </w:r>
      <w:r w:rsidRPr="008A4C0E">
        <w:rPr>
          <w:rFonts w:ascii="Helvetica" w:hAnsi="Helvetica" w:cs="Helvetica"/>
          <w:sz w:val="20"/>
          <w:szCs w:val="20"/>
          <w:lang w:eastAsia="en-AU"/>
        </w:rPr>
        <w:t> test (i.e. VDRL) in a non-traumatic lumbar puncture on the child.</w:t>
      </w:r>
    </w:p>
    <w:p w14:paraId="47B1E570" w14:textId="18AF28CE" w:rsidR="008A4C0E" w:rsidRPr="008A4C0E" w:rsidRDefault="008A4C0E" w:rsidP="008A4C0E">
      <w:pPr>
        <w:numPr>
          <w:ilvl w:val="0"/>
          <w:numId w:val="25"/>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lastRenderedPageBreak/>
        <w:t>A child who remains seropositive by a treponemal specific test</w:t>
      </w:r>
      <w:r w:rsidRPr="008A4C0E">
        <w:rPr>
          <w:rFonts w:ascii="Helvetica" w:hAnsi="Helvetica" w:cs="Helvetica"/>
          <w:sz w:val="15"/>
          <w:szCs w:val="15"/>
          <w:vertAlign w:val="superscript"/>
          <w:lang w:eastAsia="en-AU"/>
        </w:rPr>
        <w:t>3</w:t>
      </w:r>
      <w:r w:rsidRPr="008A4C0E">
        <w:rPr>
          <w:rFonts w:ascii="Helvetica" w:hAnsi="Helvetica" w:cs="Helvetica"/>
          <w:sz w:val="20"/>
          <w:szCs w:val="20"/>
          <w:lang w:eastAsia="en-AU"/>
        </w:rPr>
        <w:t> at 15 months of age, which is confirmed either by another, different reactive treponemal specific test</w:t>
      </w:r>
      <w:r w:rsidRPr="008A4C0E">
        <w:rPr>
          <w:rFonts w:ascii="Helvetica" w:hAnsi="Helvetica" w:cs="Helvetica"/>
          <w:sz w:val="15"/>
          <w:szCs w:val="15"/>
          <w:vertAlign w:val="superscript"/>
          <w:lang w:eastAsia="en-AU"/>
        </w:rPr>
        <w:t>3</w:t>
      </w:r>
      <w:r w:rsidRPr="008A4C0E">
        <w:rPr>
          <w:rFonts w:ascii="Helvetica" w:hAnsi="Helvetica" w:cs="Helvetica"/>
          <w:sz w:val="20"/>
          <w:szCs w:val="20"/>
          <w:lang w:eastAsia="en-AU"/>
        </w:rPr>
        <w:t> or a reactive non-treponemal</w:t>
      </w:r>
      <w:r w:rsidRPr="008A4C0E">
        <w:rPr>
          <w:rFonts w:ascii="Helvetica" w:hAnsi="Helvetica" w:cs="Helvetica"/>
          <w:sz w:val="15"/>
          <w:szCs w:val="15"/>
          <w:vertAlign w:val="superscript"/>
          <w:lang w:eastAsia="en-AU"/>
        </w:rPr>
        <w:t>5</w:t>
      </w:r>
      <w:r w:rsidRPr="008A4C0E">
        <w:rPr>
          <w:rFonts w:ascii="Helvetica" w:hAnsi="Helvetica" w:cs="Helvetica"/>
          <w:sz w:val="20"/>
          <w:szCs w:val="20"/>
          <w:lang w:eastAsia="en-AU"/>
        </w:rPr>
        <w:t> test, in the absence of post-natal exposure to </w:t>
      </w:r>
      <w:r w:rsidRPr="008A4C0E">
        <w:rPr>
          <w:rFonts w:ascii="Helvetica" w:hAnsi="Helvetica" w:cs="Helvetica"/>
          <w:i/>
          <w:iCs/>
          <w:sz w:val="20"/>
          <w:szCs w:val="20"/>
          <w:lang w:eastAsia="en-AU"/>
        </w:rPr>
        <w:t>Treponema pallidum</w:t>
      </w:r>
      <w:r w:rsidRPr="008A4C0E">
        <w:rPr>
          <w:rFonts w:ascii="Helvetica" w:hAnsi="Helvetica" w:cs="Helvetica"/>
          <w:sz w:val="20"/>
          <w:szCs w:val="20"/>
          <w:lang w:eastAsia="en-AU"/>
        </w:rPr>
        <w:t>, including the non-venereal subspecies </w:t>
      </w:r>
      <w:r w:rsidRPr="008A4C0E">
        <w:rPr>
          <w:rFonts w:ascii="Helvetica" w:hAnsi="Helvetica" w:cs="Helvetica"/>
          <w:i/>
          <w:iCs/>
          <w:sz w:val="20"/>
          <w:szCs w:val="20"/>
          <w:lang w:eastAsia="en-AU"/>
        </w:rPr>
        <w:t>Treponema pallidum </w:t>
      </w:r>
      <w:r w:rsidRPr="008A4C0E">
        <w:rPr>
          <w:rFonts w:ascii="Helvetica" w:hAnsi="Helvetica" w:cs="Helvetica"/>
          <w:sz w:val="20"/>
          <w:szCs w:val="20"/>
          <w:lang w:eastAsia="en-AU"/>
        </w:rPr>
        <w:t>subsp. </w:t>
      </w:r>
      <w:r w:rsidRPr="008A4C0E">
        <w:rPr>
          <w:rFonts w:ascii="Helvetica" w:hAnsi="Helvetica" w:cs="Helvetica"/>
          <w:i/>
          <w:iCs/>
          <w:sz w:val="20"/>
          <w:szCs w:val="20"/>
          <w:lang w:eastAsia="en-AU"/>
        </w:rPr>
        <w:t>pertenue </w:t>
      </w:r>
      <w:r w:rsidRPr="008A4C0E">
        <w:rPr>
          <w:rFonts w:ascii="Helvetica" w:hAnsi="Helvetica" w:cs="Helvetica"/>
          <w:sz w:val="20"/>
          <w:szCs w:val="20"/>
          <w:lang w:eastAsia="en-AU"/>
        </w:rPr>
        <w:t>(Yaws) or subsp. </w:t>
      </w:r>
      <w:r w:rsidRPr="008A4C0E">
        <w:rPr>
          <w:rFonts w:ascii="Helvetica" w:hAnsi="Helvetica" w:cs="Helvetica"/>
          <w:i/>
          <w:iCs/>
          <w:sz w:val="20"/>
          <w:szCs w:val="20"/>
          <w:lang w:eastAsia="en-AU"/>
        </w:rPr>
        <w:t>endemicum </w:t>
      </w:r>
      <w:r w:rsidRPr="008A4C0E">
        <w:rPr>
          <w:rFonts w:ascii="Helvetica" w:hAnsi="Helvetica" w:cs="Helvetica"/>
          <w:sz w:val="20"/>
          <w:szCs w:val="20"/>
          <w:lang w:eastAsia="en-AU"/>
        </w:rPr>
        <w:t>(Bejel, endemic syphilis) or </w:t>
      </w:r>
      <w:r w:rsidRPr="008A4C0E">
        <w:rPr>
          <w:rFonts w:ascii="Helvetica" w:hAnsi="Helvetica" w:cs="Helvetica"/>
          <w:i/>
          <w:iCs/>
          <w:sz w:val="20"/>
          <w:szCs w:val="20"/>
          <w:lang w:eastAsia="en-AU"/>
        </w:rPr>
        <w:t>Treponema carateum </w:t>
      </w:r>
      <w:r w:rsidRPr="008A4C0E">
        <w:rPr>
          <w:rFonts w:ascii="Helvetica" w:hAnsi="Helvetica" w:cs="Helvetica"/>
          <w:sz w:val="20"/>
          <w:szCs w:val="20"/>
          <w:lang w:eastAsia="en-AU"/>
        </w:rPr>
        <w:t>(pinta).</w:t>
      </w:r>
    </w:p>
    <w:p w14:paraId="0EBBC465" w14:textId="16651BD0" w:rsidR="008A4C0E" w:rsidRPr="008A4C0E" w:rsidRDefault="008A4C0E" w:rsidP="008A4C0E">
      <w:pPr>
        <w:keepNext/>
        <w:shd w:val="clear" w:color="auto" w:fill="FFFFFF"/>
        <w:spacing w:after="120"/>
        <w:outlineLvl w:val="2"/>
        <w:rPr>
          <w:rFonts w:ascii="Open Sans" w:hAnsi="Open Sans" w:cs="Open Sans"/>
          <w:sz w:val="27"/>
          <w:szCs w:val="27"/>
          <w:lang w:eastAsia="en-AU"/>
        </w:rPr>
      </w:pPr>
      <w:r w:rsidRPr="008A4C0E">
        <w:rPr>
          <w:rFonts w:ascii="Open Sans" w:hAnsi="Open Sans" w:cs="Open Sans"/>
          <w:sz w:val="27"/>
          <w:szCs w:val="27"/>
          <w:lang w:eastAsia="en-AU"/>
        </w:rPr>
        <w:t>Laboratory suggestive evidence (stillbirth</w:t>
      </w:r>
      <w:r w:rsidRPr="008A4C0E">
        <w:rPr>
          <w:rFonts w:ascii="Open Sans" w:hAnsi="Open Sans" w:cs="Open Sans"/>
          <w:sz w:val="23"/>
          <w:szCs w:val="23"/>
          <w:vertAlign w:val="superscript"/>
          <w:lang w:eastAsia="en-AU"/>
        </w:rPr>
        <w:t>1</w:t>
      </w:r>
      <w:r w:rsidRPr="008A4C0E">
        <w:rPr>
          <w:rFonts w:ascii="Open Sans" w:hAnsi="Open Sans" w:cs="Open Sans"/>
          <w:sz w:val="27"/>
          <w:szCs w:val="27"/>
          <w:lang w:eastAsia="en-AU"/>
        </w:rPr>
        <w:t>)</w:t>
      </w:r>
    </w:p>
    <w:p w14:paraId="546A0DD6" w14:textId="24240788"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Mother is seropositive by a treponemal specific test</w:t>
      </w:r>
      <w:r w:rsidRPr="008A4C0E">
        <w:rPr>
          <w:rFonts w:ascii="Helvetica" w:hAnsi="Helvetica" w:cs="Helvetica"/>
          <w:sz w:val="15"/>
          <w:szCs w:val="15"/>
          <w:vertAlign w:val="superscript"/>
          <w:lang w:eastAsia="en-AU"/>
        </w:rPr>
        <w:t>3</w:t>
      </w:r>
      <w:r w:rsidRPr="008A4C0E">
        <w:rPr>
          <w:rFonts w:ascii="Helvetica" w:hAnsi="Helvetica" w:cs="Helvetica"/>
          <w:sz w:val="20"/>
          <w:szCs w:val="20"/>
          <w:lang w:eastAsia="en-AU"/>
        </w:rPr>
        <w:t> OR the mother is seropositive by a </w:t>
      </w:r>
      <w:r w:rsidRPr="008A4C0E">
        <w:rPr>
          <w:rFonts w:ascii="Helvetica" w:hAnsi="Helvetica" w:cs="Helvetica"/>
          <w:i/>
          <w:iCs/>
          <w:sz w:val="20"/>
          <w:szCs w:val="20"/>
          <w:lang w:eastAsia="en-AU"/>
        </w:rPr>
        <w:t>Treponema pallidum</w:t>
      </w:r>
      <w:r w:rsidRPr="008A4C0E">
        <w:rPr>
          <w:rFonts w:ascii="Helvetica" w:hAnsi="Helvetica" w:cs="Helvetica"/>
          <w:sz w:val="20"/>
          <w:szCs w:val="20"/>
          <w:lang w:eastAsia="en-AU"/>
        </w:rPr>
        <w:t>-specific rapid immunochromatography,</w:t>
      </w:r>
    </w:p>
    <w:p w14:paraId="03A1BEF6" w14:textId="06B13C41"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AND the pregnancy outcome is a stillbirth</w:t>
      </w:r>
      <w:r w:rsidRPr="008A4C0E">
        <w:rPr>
          <w:rFonts w:ascii="Helvetica" w:hAnsi="Helvetica" w:cs="Helvetica"/>
          <w:sz w:val="15"/>
          <w:szCs w:val="15"/>
          <w:vertAlign w:val="superscript"/>
          <w:lang w:eastAsia="en-AU"/>
        </w:rPr>
        <w:t>1</w:t>
      </w:r>
      <w:r w:rsidRPr="008A4C0E">
        <w:rPr>
          <w:rFonts w:ascii="Helvetica" w:hAnsi="Helvetica" w:cs="Helvetica"/>
          <w:sz w:val="20"/>
          <w:szCs w:val="20"/>
          <w:lang w:eastAsia="en-AU"/>
        </w:rPr>
        <w:t>,</w:t>
      </w:r>
    </w:p>
    <w:p w14:paraId="6F278C47" w14:textId="77777777"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AND there is:</w:t>
      </w:r>
    </w:p>
    <w:p w14:paraId="5B3D6060" w14:textId="30E5F163" w:rsidR="008A4C0E" w:rsidRPr="008A4C0E" w:rsidRDefault="008A4C0E" w:rsidP="008A4C0E">
      <w:pPr>
        <w:numPr>
          <w:ilvl w:val="0"/>
          <w:numId w:val="26"/>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Direct demonstration of </w:t>
      </w:r>
      <w:r w:rsidRPr="008A4C0E">
        <w:rPr>
          <w:rFonts w:ascii="Helvetica" w:hAnsi="Helvetica" w:cs="Helvetica"/>
          <w:i/>
          <w:iCs/>
          <w:sz w:val="20"/>
          <w:szCs w:val="20"/>
          <w:lang w:eastAsia="en-AU"/>
        </w:rPr>
        <w:t>Treponema pallidum </w:t>
      </w:r>
      <w:r w:rsidRPr="008A4C0E">
        <w:rPr>
          <w:rFonts w:ascii="Helvetica" w:hAnsi="Helvetica" w:cs="Helvetica"/>
          <w:sz w:val="20"/>
          <w:szCs w:val="20"/>
          <w:lang w:eastAsia="en-AU"/>
        </w:rPr>
        <w:t>by any of the following methods: nucleic acid amplification (NAA) test including polymerase chain reaction (PCR)</w:t>
      </w:r>
      <w:r w:rsidRPr="008A4C0E">
        <w:rPr>
          <w:rFonts w:ascii="Helvetica" w:hAnsi="Helvetica" w:cs="Helvetica"/>
          <w:sz w:val="15"/>
          <w:szCs w:val="15"/>
          <w:vertAlign w:val="superscript"/>
          <w:lang w:eastAsia="en-AU"/>
        </w:rPr>
        <w:t>4</w:t>
      </w:r>
      <w:r w:rsidRPr="008A4C0E">
        <w:rPr>
          <w:rFonts w:ascii="Helvetica" w:hAnsi="Helvetica" w:cs="Helvetica"/>
          <w:sz w:val="20"/>
          <w:szCs w:val="20"/>
          <w:lang w:eastAsia="en-AU"/>
        </w:rPr>
        <w:t xml:space="preserve">; dark field microscopy; fluorescent antibody; or silver stain – in specimens from: </w:t>
      </w:r>
      <w:r w:rsidRPr="00A31331">
        <w:rPr>
          <w:rFonts w:ascii="Helvetica" w:hAnsi="Helvetica" w:cs="Helvetica"/>
          <w:sz w:val="20"/>
          <w:szCs w:val="20"/>
          <w:lang w:eastAsia="en-AU"/>
        </w:rPr>
        <w:t>placenta; umbilical cord; amniotic fluid</w:t>
      </w:r>
      <w:r w:rsidRPr="008A4C0E">
        <w:rPr>
          <w:rFonts w:ascii="Helvetica" w:hAnsi="Helvetica" w:cs="Helvetica"/>
          <w:sz w:val="20"/>
          <w:szCs w:val="20"/>
          <w:lang w:eastAsia="en-AU"/>
        </w:rPr>
        <w:t>.</w:t>
      </w:r>
    </w:p>
    <w:p w14:paraId="5CA721F5" w14:textId="77777777" w:rsidR="008A4C0E" w:rsidRPr="008A4C0E" w:rsidRDefault="008A4C0E" w:rsidP="008A4C0E">
      <w:pPr>
        <w:shd w:val="clear" w:color="auto" w:fill="FFFFFF"/>
        <w:spacing w:after="120"/>
        <w:outlineLvl w:val="2"/>
        <w:rPr>
          <w:rFonts w:ascii="Open Sans" w:hAnsi="Open Sans" w:cs="Open Sans"/>
          <w:sz w:val="27"/>
          <w:szCs w:val="27"/>
          <w:lang w:eastAsia="en-AU"/>
        </w:rPr>
      </w:pPr>
      <w:r w:rsidRPr="008A4C0E">
        <w:rPr>
          <w:rFonts w:ascii="Open Sans" w:hAnsi="Open Sans" w:cs="Open Sans"/>
          <w:sz w:val="27"/>
          <w:szCs w:val="27"/>
          <w:lang w:eastAsia="en-AU"/>
        </w:rPr>
        <w:t>Clinical evidence (probable)</w:t>
      </w:r>
    </w:p>
    <w:p w14:paraId="12CEA11A" w14:textId="77777777"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One or more of the following:</w:t>
      </w:r>
    </w:p>
    <w:p w14:paraId="1C0727E8" w14:textId="133D076F" w:rsidR="008A4C0E" w:rsidRPr="008A4C0E" w:rsidRDefault="008A4C0E" w:rsidP="008A4C0E">
      <w:pPr>
        <w:numPr>
          <w:ilvl w:val="0"/>
          <w:numId w:val="27"/>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A live</w:t>
      </w:r>
      <w:r w:rsidRPr="008A4C0E">
        <w:rPr>
          <w:rFonts w:ascii="Helvetica" w:hAnsi="Helvetica" w:cs="Helvetica"/>
          <w:sz w:val="15"/>
          <w:szCs w:val="15"/>
          <w:vertAlign w:val="superscript"/>
          <w:lang w:eastAsia="en-AU"/>
        </w:rPr>
        <w:t>2</w:t>
      </w:r>
      <w:r w:rsidRPr="008A4C0E">
        <w:rPr>
          <w:rFonts w:ascii="Helvetica" w:hAnsi="Helvetica" w:cs="Helvetica"/>
          <w:sz w:val="20"/>
          <w:szCs w:val="20"/>
          <w:lang w:eastAsia="en-AU"/>
        </w:rPr>
        <w:t> or stillborn</w:t>
      </w:r>
      <w:r w:rsidRPr="008A4C0E">
        <w:rPr>
          <w:rFonts w:ascii="Helvetica" w:hAnsi="Helvetica" w:cs="Helvetica"/>
          <w:sz w:val="15"/>
          <w:szCs w:val="15"/>
          <w:vertAlign w:val="superscript"/>
          <w:lang w:eastAsia="en-AU"/>
        </w:rPr>
        <w:t>1</w:t>
      </w:r>
      <w:r w:rsidRPr="008A4C0E">
        <w:rPr>
          <w:rFonts w:ascii="Helvetica" w:hAnsi="Helvetica" w:cs="Helvetica"/>
          <w:sz w:val="20"/>
          <w:szCs w:val="20"/>
          <w:lang w:eastAsia="en-AU"/>
        </w:rPr>
        <w:t> child with ANY of the following evidence suggestive of congenital syphilis on physical examination: anaemia; osteochondritis; hepatosplenomegaly; skin rash; condylomata lata; rhinitis (snuffles); pseudoparalysis; meningitis; ascites; intrauterine growth retardation; or any other abnormality not better explained by an alternative diagnosis</w:t>
      </w:r>
      <w:r w:rsidRPr="008A4C0E">
        <w:rPr>
          <w:rFonts w:ascii="Helvetica" w:hAnsi="Helvetica" w:cs="Helvetica"/>
          <w:sz w:val="15"/>
          <w:szCs w:val="15"/>
          <w:vertAlign w:val="superscript"/>
          <w:lang w:eastAsia="en-AU"/>
        </w:rPr>
        <w:t>7</w:t>
      </w:r>
      <w:r w:rsidRPr="008A4C0E">
        <w:rPr>
          <w:rFonts w:ascii="Helvetica" w:hAnsi="Helvetica" w:cs="Helvetica"/>
          <w:sz w:val="20"/>
          <w:szCs w:val="20"/>
          <w:lang w:eastAsia="en-AU"/>
        </w:rPr>
        <w:t>.</w:t>
      </w:r>
    </w:p>
    <w:p w14:paraId="5992B15E" w14:textId="77777777" w:rsidR="008A4C0E" w:rsidRPr="008A4C0E" w:rsidRDefault="008A4C0E" w:rsidP="008A4C0E">
      <w:pPr>
        <w:numPr>
          <w:ilvl w:val="0"/>
          <w:numId w:val="27"/>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Any features suggestive of congenital syphilis on radiographs of long bones.</w:t>
      </w:r>
    </w:p>
    <w:p w14:paraId="6BAB44ED" w14:textId="77777777" w:rsidR="008A4C0E" w:rsidRPr="008A4C0E" w:rsidRDefault="008A4C0E" w:rsidP="008A4C0E">
      <w:pPr>
        <w:numPr>
          <w:ilvl w:val="0"/>
          <w:numId w:val="27"/>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An elevated CSF cell count or protein (without other cause).</w:t>
      </w:r>
    </w:p>
    <w:p w14:paraId="248039E0" w14:textId="33EF04A2" w:rsidR="008A4C0E" w:rsidRPr="008A4C0E" w:rsidRDefault="008A4C0E" w:rsidP="008A4C0E">
      <w:pPr>
        <w:numPr>
          <w:ilvl w:val="0"/>
          <w:numId w:val="27"/>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The mother is seropositive in the perinatal period</w:t>
      </w:r>
      <w:r w:rsidRPr="008A4C0E">
        <w:rPr>
          <w:rFonts w:ascii="Helvetica" w:hAnsi="Helvetica" w:cs="Helvetica"/>
          <w:sz w:val="15"/>
          <w:szCs w:val="15"/>
          <w:vertAlign w:val="superscript"/>
          <w:lang w:eastAsia="en-AU"/>
        </w:rPr>
        <w:t>8</w:t>
      </w:r>
      <w:r w:rsidRPr="008A4C0E">
        <w:rPr>
          <w:rFonts w:ascii="Helvetica" w:hAnsi="Helvetica" w:cs="Helvetica"/>
          <w:sz w:val="20"/>
          <w:szCs w:val="20"/>
          <w:lang w:eastAsia="en-AU"/>
        </w:rPr>
        <w:t> AND has no documented evidence of adequate treatment</w:t>
      </w:r>
      <w:r w:rsidRPr="008A4C0E">
        <w:rPr>
          <w:rFonts w:ascii="Helvetica" w:hAnsi="Helvetica" w:cs="Helvetica"/>
          <w:sz w:val="15"/>
          <w:szCs w:val="15"/>
          <w:vertAlign w:val="superscript"/>
          <w:lang w:eastAsia="en-AU"/>
        </w:rPr>
        <w:t>9</w:t>
      </w:r>
      <w:r w:rsidRPr="008A4C0E">
        <w:rPr>
          <w:rFonts w:ascii="Helvetica" w:hAnsi="Helvetica" w:cs="Helvetica"/>
          <w:sz w:val="20"/>
          <w:szCs w:val="20"/>
          <w:lang w:eastAsia="en-AU"/>
        </w:rPr>
        <w:t>.</w:t>
      </w:r>
    </w:p>
    <w:p w14:paraId="663910ED" w14:textId="22D51AA2" w:rsidR="008A4C0E" w:rsidRPr="008A4C0E" w:rsidRDefault="008A4C0E" w:rsidP="008A4C0E">
      <w:pPr>
        <w:numPr>
          <w:ilvl w:val="0"/>
          <w:numId w:val="27"/>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A pathologist or clinician with relevant skills in congenital infections makes a clinical diagnosis of congenital syphilis, including in the event of a stillbirth</w:t>
      </w:r>
      <w:r w:rsidRPr="008A4C0E">
        <w:rPr>
          <w:rFonts w:ascii="Helvetica" w:hAnsi="Helvetica" w:cs="Helvetica"/>
          <w:sz w:val="15"/>
          <w:szCs w:val="15"/>
          <w:vertAlign w:val="superscript"/>
          <w:lang w:eastAsia="en-AU"/>
        </w:rPr>
        <w:t>1</w:t>
      </w:r>
      <w:r w:rsidRPr="008A4C0E">
        <w:rPr>
          <w:rFonts w:ascii="Helvetica" w:hAnsi="Helvetica" w:cs="Helvetica"/>
          <w:sz w:val="20"/>
          <w:szCs w:val="20"/>
          <w:lang w:eastAsia="en-AU"/>
        </w:rPr>
        <w:t> or neonatal death</w:t>
      </w:r>
      <w:r w:rsidRPr="008A4C0E">
        <w:rPr>
          <w:rFonts w:ascii="Helvetica" w:hAnsi="Helvetica" w:cs="Helvetica"/>
          <w:sz w:val="15"/>
          <w:szCs w:val="15"/>
          <w:vertAlign w:val="superscript"/>
          <w:lang w:eastAsia="en-AU"/>
        </w:rPr>
        <w:t>6</w:t>
      </w:r>
      <w:r w:rsidRPr="008A4C0E">
        <w:rPr>
          <w:rFonts w:ascii="Helvetica" w:hAnsi="Helvetica" w:cs="Helvetica"/>
          <w:sz w:val="20"/>
          <w:szCs w:val="20"/>
          <w:lang w:eastAsia="en-AU"/>
        </w:rPr>
        <w:t>.</w:t>
      </w:r>
    </w:p>
    <w:p w14:paraId="364B4A09" w14:textId="77777777" w:rsidR="008A4C0E" w:rsidRPr="008A4C0E" w:rsidRDefault="008A4C0E" w:rsidP="008A4C0E">
      <w:pPr>
        <w:shd w:val="clear" w:color="auto" w:fill="FFFFFF"/>
        <w:spacing w:after="120"/>
        <w:outlineLvl w:val="1"/>
        <w:rPr>
          <w:rFonts w:ascii="Open Sans" w:hAnsi="Open Sans" w:cs="Open Sans"/>
          <w:sz w:val="36"/>
          <w:szCs w:val="36"/>
          <w:lang w:eastAsia="en-AU"/>
        </w:rPr>
      </w:pPr>
      <w:bookmarkStart w:id="0" w:name="notes"/>
      <w:bookmarkEnd w:id="0"/>
      <w:r w:rsidRPr="008A4C0E">
        <w:rPr>
          <w:rFonts w:ascii="Open Sans" w:hAnsi="Open Sans" w:cs="Open Sans"/>
          <w:sz w:val="36"/>
          <w:szCs w:val="36"/>
          <w:lang w:eastAsia="en-AU"/>
        </w:rPr>
        <w:t>Notes:</w:t>
      </w:r>
    </w:p>
    <w:p w14:paraId="0164115E"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Still Birth Definition</w:t>
      </w:r>
      <w:r w:rsidRPr="008A4C0E">
        <w:rPr>
          <w:rFonts w:ascii="Helvetica" w:hAnsi="Helvetica" w:cs="Helvetica"/>
          <w:sz w:val="20"/>
          <w:szCs w:val="20"/>
          <w:lang w:eastAsia="en-AU"/>
        </w:rPr>
        <w:t>. A stillbirth is defined as the birth of a baby who has died any time from 20 weeks into the pregnancy through to the date of birth. When the length of gestation (pregnancy) is not known, the birth will be considered a stillbirth if the baby weighs 400 grams or more.</w:t>
      </w:r>
    </w:p>
    <w:p w14:paraId="76FAEB4F"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A </w:t>
      </w:r>
      <w:r w:rsidRPr="008A4C0E">
        <w:rPr>
          <w:rFonts w:ascii="Helvetica" w:hAnsi="Helvetica" w:cs="Helvetica"/>
          <w:b/>
          <w:bCs/>
          <w:sz w:val="20"/>
          <w:szCs w:val="20"/>
          <w:lang w:eastAsia="en-AU"/>
        </w:rPr>
        <w:t>live birth </w:t>
      </w:r>
      <w:r w:rsidRPr="008A4C0E">
        <w:rPr>
          <w:rFonts w:ascii="Helvetica" w:hAnsi="Helvetica" w:cs="Helvetica"/>
          <w:sz w:val="20"/>
          <w:szCs w:val="20"/>
          <w:lang w:eastAsia="en-AU"/>
        </w:rPr>
        <w:t>is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whether or not the umbilical cord has been cut or the placenta is attached. Each product of such a birth is considered live born.</w:t>
      </w:r>
    </w:p>
    <w:p w14:paraId="13221D54"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lastRenderedPageBreak/>
        <w:t>Treponemal specific tests </w:t>
      </w:r>
      <w:r w:rsidRPr="008A4C0E">
        <w:rPr>
          <w:rFonts w:ascii="Helvetica" w:hAnsi="Helvetica" w:cs="Helvetica"/>
          <w:sz w:val="20"/>
          <w:szCs w:val="20"/>
          <w:lang w:eastAsia="en-AU"/>
        </w:rPr>
        <w:t>are: Treponema pallidum immunoassays, Treponema pallidum haemagglutination assay (TPHA), Treponema pallidum particle agglutination assay (TPPA), Fluorescent Treponemal Antibody Absorption (FTA-Abs) and various IgM assays including 19S-IgM antibody test, or IgM immunoassay. IgM assays should not be used for screening purposes.</w:t>
      </w:r>
    </w:p>
    <w:p w14:paraId="1ECBE6A0"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Treponema pallidum-specific </w:t>
      </w:r>
      <w:r w:rsidRPr="008A4C0E">
        <w:rPr>
          <w:rFonts w:ascii="Helvetica" w:hAnsi="Helvetica" w:cs="Helvetica"/>
          <w:b/>
          <w:bCs/>
          <w:sz w:val="20"/>
          <w:szCs w:val="20"/>
          <w:lang w:eastAsia="en-AU"/>
        </w:rPr>
        <w:t>Polymerase Chain Reaction (PCR)</w:t>
      </w:r>
      <w:r w:rsidRPr="008A4C0E">
        <w:rPr>
          <w:rFonts w:ascii="Helvetica" w:hAnsi="Helvetica" w:cs="Helvetica"/>
          <w:sz w:val="20"/>
          <w:szCs w:val="20"/>
          <w:lang w:eastAsia="en-AU"/>
        </w:rPr>
        <w:t>: In-house in vitro diagnostic devices (IVDs) must comply with the Australian Therapeutic Goods Administration (TGA) regulatory requirements.</w:t>
      </w:r>
    </w:p>
    <w:p w14:paraId="0F5B4A11"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Non-treponemal tests </w:t>
      </w:r>
      <w:r w:rsidRPr="008A4C0E">
        <w:rPr>
          <w:rFonts w:ascii="Helvetica" w:hAnsi="Helvetica" w:cs="Helvetica"/>
          <w:sz w:val="20"/>
          <w:szCs w:val="20"/>
          <w:lang w:eastAsia="en-AU"/>
        </w:rPr>
        <w:t>are the agglutination assays Rapid Plasma Reagin (RPR) and Venereal Disease Research Laboratory (VDRL). Any positive sera should be tested by serial dilution to provide an end-titre. Non-treponemal tests may be used to monitor efficacy of treatment. Mother and child sera should be collected contemporaneously and tested in parallel and cord blood should not be used for the investigation of congenital syphilis.</w:t>
      </w:r>
    </w:p>
    <w:p w14:paraId="3C351BA8" w14:textId="766D08CC"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A </w:t>
      </w:r>
      <w:r w:rsidRPr="008A4C0E">
        <w:rPr>
          <w:rFonts w:ascii="Helvetica" w:hAnsi="Helvetica" w:cs="Helvetica"/>
          <w:b/>
          <w:bCs/>
          <w:sz w:val="20"/>
          <w:szCs w:val="20"/>
          <w:lang w:eastAsia="en-AU"/>
        </w:rPr>
        <w:t>neonatal death </w:t>
      </w:r>
      <w:r w:rsidRPr="008A4C0E">
        <w:rPr>
          <w:rFonts w:ascii="Helvetica" w:hAnsi="Helvetica" w:cs="Helvetica"/>
          <w:sz w:val="20"/>
          <w:szCs w:val="20"/>
          <w:lang w:eastAsia="en-AU"/>
        </w:rPr>
        <w:t>is defined as the death of a live birth</w:t>
      </w:r>
      <w:r w:rsidRPr="008A4C0E">
        <w:rPr>
          <w:rFonts w:ascii="Helvetica" w:hAnsi="Helvetica" w:cs="Helvetica"/>
          <w:sz w:val="15"/>
          <w:szCs w:val="15"/>
          <w:vertAlign w:val="superscript"/>
          <w:lang w:eastAsia="en-AU"/>
        </w:rPr>
        <w:t>4</w:t>
      </w:r>
      <w:r w:rsidRPr="008A4C0E">
        <w:rPr>
          <w:rFonts w:ascii="Helvetica" w:hAnsi="Helvetica" w:cs="Helvetica"/>
          <w:sz w:val="20"/>
          <w:szCs w:val="20"/>
          <w:lang w:eastAsia="en-AU"/>
        </w:rPr>
        <w:t> which occurs during the first 28 days of life. This may be subdivided into early neonatal deaths, occurring during the first seven days of life, and late neonatal deaths, occurring after the seventh day but before 28 completed days of life.</w:t>
      </w:r>
    </w:p>
    <w:p w14:paraId="5C72DFAF"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sz w:val="20"/>
          <w:szCs w:val="20"/>
          <w:lang w:eastAsia="en-AU"/>
        </w:rPr>
        <w:t>It is important to note the list of clinical evidence on physical examination is not exhaustive. An experienced clinician can apply judgement as to whether there is sufficient evidence, including other physical signs not listed, to determine whether it is a case.</w:t>
      </w:r>
    </w:p>
    <w:p w14:paraId="3DFC2CBE"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Perinatal period </w:t>
      </w:r>
      <w:r w:rsidRPr="008A4C0E">
        <w:rPr>
          <w:rFonts w:ascii="Helvetica" w:hAnsi="Helvetica" w:cs="Helvetica"/>
          <w:sz w:val="20"/>
          <w:szCs w:val="20"/>
          <w:lang w:eastAsia="en-AU"/>
        </w:rPr>
        <w:t>for reporting purposes is defined as 20 completed weeks (140 days) of gestation and ends 28 completed days after birth.</w:t>
      </w:r>
    </w:p>
    <w:p w14:paraId="0E4D4BA5" w14:textId="77777777" w:rsidR="008A4C0E" w:rsidRPr="008A4C0E" w:rsidRDefault="008A4C0E" w:rsidP="008A4C0E">
      <w:pPr>
        <w:numPr>
          <w:ilvl w:val="0"/>
          <w:numId w:val="28"/>
        </w:numPr>
        <w:shd w:val="clear" w:color="auto" w:fill="FFFFFF"/>
        <w:spacing w:after="90" w:line="300" w:lineRule="atLeast"/>
        <w:rPr>
          <w:rFonts w:ascii="Helvetica" w:hAnsi="Helvetica" w:cs="Helvetica"/>
          <w:sz w:val="20"/>
          <w:szCs w:val="20"/>
          <w:lang w:eastAsia="en-AU"/>
        </w:rPr>
      </w:pPr>
      <w:r w:rsidRPr="008A4C0E">
        <w:rPr>
          <w:rFonts w:ascii="Helvetica" w:hAnsi="Helvetica" w:cs="Helvetica"/>
          <w:b/>
          <w:bCs/>
          <w:sz w:val="20"/>
          <w:szCs w:val="20"/>
          <w:lang w:eastAsia="en-AU"/>
        </w:rPr>
        <w:t>Treatment </w:t>
      </w:r>
      <w:r w:rsidRPr="008A4C0E">
        <w:rPr>
          <w:rFonts w:ascii="Helvetica" w:hAnsi="Helvetica" w:cs="Helvetica"/>
          <w:sz w:val="20"/>
          <w:szCs w:val="20"/>
          <w:lang w:eastAsia="en-AU"/>
        </w:rPr>
        <w:t>is considered adequate if: a stage-appropriate penicillin-containing regimen was used 30 days or more prior to delivery, AND all antenatal and delivery pathology investigations were performed and results verified, AND there is no evidence of reinfection.</w:t>
      </w:r>
    </w:p>
    <w:p w14:paraId="465BAB85" w14:textId="77777777" w:rsidR="008A4C0E" w:rsidRPr="008A4C0E" w:rsidRDefault="008A4C0E" w:rsidP="008A4C0E">
      <w:pPr>
        <w:shd w:val="clear" w:color="auto" w:fill="FFFFFF"/>
        <w:spacing w:before="240" w:after="240" w:line="300" w:lineRule="atLeast"/>
        <w:rPr>
          <w:rFonts w:ascii="Helvetica" w:hAnsi="Helvetica" w:cs="Helvetica"/>
          <w:sz w:val="20"/>
          <w:szCs w:val="20"/>
          <w:lang w:eastAsia="en-AU"/>
        </w:rPr>
      </w:pPr>
      <w:r w:rsidRPr="008A4C0E">
        <w:rPr>
          <w:rFonts w:ascii="Helvetica" w:hAnsi="Helvetica" w:cs="Helvetica"/>
          <w:sz w:val="20"/>
          <w:szCs w:val="20"/>
          <w:lang w:eastAsia="en-AU"/>
        </w:rPr>
        <w:t>Treatment with macrolides alone during pregnancy in penicillin-allergic women is no longer regarded as adequate therapy as resistance to macrolides in T. pallidum is increasingly common and may arise during therapy.</w:t>
      </w:r>
    </w:p>
    <w:p w14:paraId="45CFD818" w14:textId="77777777"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Although the risk of congenital syphilis is much higher in early-stage disease, in the presence of untreated syphilis the birth of an unaffected child does not guarantee that subsequent children will not be affected.</w:t>
      </w:r>
    </w:p>
    <w:p w14:paraId="51A1F532" w14:textId="77777777" w:rsidR="008A4C0E" w:rsidRPr="008A4C0E" w:rsidRDefault="008A4C0E" w:rsidP="008A4C0E">
      <w:pPr>
        <w:shd w:val="clear" w:color="auto" w:fill="FFFFFF"/>
        <w:spacing w:after="240" w:line="300" w:lineRule="atLeast"/>
        <w:rPr>
          <w:rFonts w:ascii="Helvetica" w:hAnsi="Helvetica" w:cs="Helvetica"/>
          <w:sz w:val="20"/>
          <w:szCs w:val="20"/>
          <w:lang w:eastAsia="en-AU"/>
        </w:rPr>
      </w:pPr>
      <w:r w:rsidRPr="008A4C0E">
        <w:rPr>
          <w:rFonts w:ascii="Helvetica" w:hAnsi="Helvetica" w:cs="Helvetica"/>
          <w:sz w:val="20"/>
          <w:szCs w:val="20"/>
          <w:lang w:eastAsia="en-AU"/>
        </w:rPr>
        <w:t>Adequate treatment during pregnancy does not exclude the diagnosis of congenital syphilis if criteria for a confirmed or probable case are met.</w:t>
      </w:r>
    </w:p>
    <w:p w14:paraId="7F7ED269" w14:textId="579B420A" w:rsidR="009E0B84" w:rsidRPr="008A4C0E" w:rsidRDefault="009E0B84" w:rsidP="008A4C0E">
      <w:pPr>
        <w:pStyle w:val="Paragraphtext"/>
        <w:rPr>
          <w:color w:val="auto"/>
        </w:rPr>
      </w:pPr>
    </w:p>
    <w:sectPr w:rsidR="009E0B84" w:rsidRPr="008A4C0E" w:rsidSect="00022629">
      <w:footerReference w:type="default" r:id="rId1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0C45" w14:textId="77777777" w:rsidR="004C5765" w:rsidRDefault="004C5765" w:rsidP="006B56BB">
      <w:r>
        <w:separator/>
      </w:r>
    </w:p>
    <w:p w14:paraId="7CB388B5" w14:textId="77777777" w:rsidR="004C5765" w:rsidRDefault="004C5765"/>
  </w:endnote>
  <w:endnote w:type="continuationSeparator" w:id="0">
    <w:p w14:paraId="57864D4D" w14:textId="77777777" w:rsidR="004C5765" w:rsidRDefault="004C5765" w:rsidP="006B56BB">
      <w:r>
        <w:continuationSeparator/>
      </w:r>
    </w:p>
    <w:p w14:paraId="56507084" w14:textId="77777777" w:rsidR="004C5765" w:rsidRDefault="004C5765"/>
  </w:endnote>
  <w:endnote w:type="continuationNotice" w:id="1">
    <w:p w14:paraId="08F9C56F" w14:textId="77777777" w:rsidR="004C5765" w:rsidRDefault="004C5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46970"/>
      <w:docPartObj>
        <w:docPartGallery w:val="Page Numbers (Bottom of Page)"/>
        <w:docPartUnique/>
      </w:docPartObj>
    </w:sdtPr>
    <w:sdtContent>
      <w:sdt>
        <w:sdtPr>
          <w:id w:val="-1769616900"/>
          <w:docPartObj>
            <w:docPartGallery w:val="Page Numbers (Top of Page)"/>
            <w:docPartUnique/>
          </w:docPartObj>
        </w:sdtPr>
        <w:sdtContent>
          <w:p w14:paraId="1540F0DA" w14:textId="63EA0C1B" w:rsidR="00CD407A" w:rsidRDefault="008A4C0E">
            <w:pPr>
              <w:pStyle w:val="Footer"/>
              <w:jc w:val="right"/>
            </w:pPr>
            <w:r w:rsidRPr="008A4C0E">
              <w:t xml:space="preserve">Syphilis (congenital)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14:paraId="7764902B" w14:textId="77777777" w:rsidR="00CD407A" w:rsidRDefault="00CD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E4A33" w14:textId="77777777" w:rsidR="004C5765" w:rsidRDefault="004C5765" w:rsidP="006B56BB">
      <w:r>
        <w:separator/>
      </w:r>
    </w:p>
    <w:p w14:paraId="7AF14FF4" w14:textId="77777777" w:rsidR="004C5765" w:rsidRDefault="004C5765"/>
  </w:footnote>
  <w:footnote w:type="continuationSeparator" w:id="0">
    <w:p w14:paraId="776406B2" w14:textId="77777777" w:rsidR="004C5765" w:rsidRDefault="004C5765" w:rsidP="006B56BB">
      <w:r>
        <w:continuationSeparator/>
      </w:r>
    </w:p>
    <w:p w14:paraId="5361D0E6" w14:textId="77777777" w:rsidR="004C5765" w:rsidRDefault="004C5765"/>
  </w:footnote>
  <w:footnote w:type="continuationNotice" w:id="1">
    <w:p w14:paraId="63520776" w14:textId="77777777" w:rsidR="004C5765" w:rsidRDefault="004C5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DE3EAA"/>
    <w:multiLevelType w:val="multilevel"/>
    <w:tmpl w:val="5C24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55418E"/>
    <w:multiLevelType w:val="multilevel"/>
    <w:tmpl w:val="39AE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39480F"/>
    <w:multiLevelType w:val="multilevel"/>
    <w:tmpl w:val="50043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80524"/>
    <w:multiLevelType w:val="multilevel"/>
    <w:tmpl w:val="ECD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F2B3D"/>
    <w:multiLevelType w:val="multilevel"/>
    <w:tmpl w:val="DD2C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AC6A51"/>
    <w:multiLevelType w:val="multilevel"/>
    <w:tmpl w:val="DC4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2A44B16"/>
    <w:multiLevelType w:val="multilevel"/>
    <w:tmpl w:val="B4DC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6511A"/>
    <w:multiLevelType w:val="multilevel"/>
    <w:tmpl w:val="4E26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770E1C"/>
    <w:multiLevelType w:val="multilevel"/>
    <w:tmpl w:val="193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54508779">
    <w:abstractNumId w:val="7"/>
  </w:num>
  <w:num w:numId="2" w16cid:durableId="1245532731">
    <w:abstractNumId w:val="22"/>
  </w:num>
  <w:num w:numId="3" w16cid:durableId="1799489540">
    <w:abstractNumId w:val="24"/>
  </w:num>
  <w:num w:numId="4" w16cid:durableId="1746027005">
    <w:abstractNumId w:val="9"/>
  </w:num>
  <w:num w:numId="5" w16cid:durableId="1670982396">
    <w:abstractNumId w:val="9"/>
    <w:lvlOverride w:ilvl="0">
      <w:startOverride w:val="1"/>
    </w:lvlOverride>
  </w:num>
  <w:num w:numId="6" w16cid:durableId="297691106">
    <w:abstractNumId w:val="11"/>
  </w:num>
  <w:num w:numId="7" w16cid:durableId="684791945">
    <w:abstractNumId w:val="21"/>
  </w:num>
  <w:num w:numId="8" w16cid:durableId="1515219488">
    <w:abstractNumId w:val="23"/>
  </w:num>
  <w:num w:numId="9" w16cid:durableId="1561792239">
    <w:abstractNumId w:val="5"/>
  </w:num>
  <w:num w:numId="10" w16cid:durableId="817306447">
    <w:abstractNumId w:val="4"/>
  </w:num>
  <w:num w:numId="11" w16cid:durableId="1952937291">
    <w:abstractNumId w:val="3"/>
  </w:num>
  <w:num w:numId="12" w16cid:durableId="1914047152">
    <w:abstractNumId w:val="2"/>
  </w:num>
  <w:num w:numId="13" w16cid:durableId="654073207">
    <w:abstractNumId w:val="6"/>
  </w:num>
  <w:num w:numId="14" w16cid:durableId="1997221719">
    <w:abstractNumId w:val="1"/>
  </w:num>
  <w:num w:numId="15" w16cid:durableId="367409811">
    <w:abstractNumId w:val="0"/>
  </w:num>
  <w:num w:numId="16" w16cid:durableId="920406037">
    <w:abstractNumId w:val="26"/>
  </w:num>
  <w:num w:numId="17" w16cid:durableId="1154757362">
    <w:abstractNumId w:val="12"/>
  </w:num>
  <w:num w:numId="18" w16cid:durableId="223878824">
    <w:abstractNumId w:val="13"/>
  </w:num>
  <w:num w:numId="19" w16cid:durableId="511333497">
    <w:abstractNumId w:val="18"/>
  </w:num>
  <w:num w:numId="20" w16cid:durableId="757218515">
    <w:abstractNumId w:val="16"/>
  </w:num>
  <w:num w:numId="21" w16cid:durableId="382565588">
    <w:abstractNumId w:val="17"/>
  </w:num>
  <w:num w:numId="22" w16cid:durableId="314992567">
    <w:abstractNumId w:val="19"/>
  </w:num>
  <w:num w:numId="23" w16cid:durableId="1440568987">
    <w:abstractNumId w:val="20"/>
  </w:num>
  <w:num w:numId="24" w16cid:durableId="824398264">
    <w:abstractNumId w:val="14"/>
  </w:num>
  <w:num w:numId="25" w16cid:durableId="886990398">
    <w:abstractNumId w:val="15"/>
  </w:num>
  <w:num w:numId="26" w16cid:durableId="402416753">
    <w:abstractNumId w:val="8"/>
  </w:num>
  <w:num w:numId="27" w16cid:durableId="1160317779">
    <w:abstractNumId w:val="25"/>
  </w:num>
  <w:num w:numId="28" w16cid:durableId="319238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0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4A5"/>
    <w:rsid w:val="002E1A1D"/>
    <w:rsid w:val="002E4081"/>
    <w:rsid w:val="002E5B78"/>
    <w:rsid w:val="002F3AE3"/>
    <w:rsid w:val="0030464B"/>
    <w:rsid w:val="0030786C"/>
    <w:rsid w:val="003100AE"/>
    <w:rsid w:val="003233DE"/>
    <w:rsid w:val="0032466B"/>
    <w:rsid w:val="003330EB"/>
    <w:rsid w:val="003415FD"/>
    <w:rsid w:val="003429F0"/>
    <w:rsid w:val="00345A82"/>
    <w:rsid w:val="003473C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C4392"/>
    <w:rsid w:val="003D033A"/>
    <w:rsid w:val="003D17F9"/>
    <w:rsid w:val="003D2D88"/>
    <w:rsid w:val="003D41EA"/>
    <w:rsid w:val="003D4794"/>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5765"/>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431A5"/>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4B0"/>
    <w:rsid w:val="00885908"/>
    <w:rsid w:val="008864B7"/>
    <w:rsid w:val="008903C5"/>
    <w:rsid w:val="0089677E"/>
    <w:rsid w:val="008A4C0E"/>
    <w:rsid w:val="008A7438"/>
    <w:rsid w:val="008B1334"/>
    <w:rsid w:val="008B25C7"/>
    <w:rsid w:val="008B766C"/>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0A93"/>
    <w:rsid w:val="009557C1"/>
    <w:rsid w:val="00960D6E"/>
    <w:rsid w:val="00974B59"/>
    <w:rsid w:val="00975C5F"/>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1331"/>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1FB7"/>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170A"/>
    <w:rsid w:val="00BC4A19"/>
    <w:rsid w:val="00BC4E6D"/>
    <w:rsid w:val="00BD0617"/>
    <w:rsid w:val="00BD2E9B"/>
    <w:rsid w:val="00BD7FB2"/>
    <w:rsid w:val="00C00930"/>
    <w:rsid w:val="00C060AD"/>
    <w:rsid w:val="00C113BF"/>
    <w:rsid w:val="00C2176E"/>
    <w:rsid w:val="00C223E7"/>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165D"/>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F68A4"/>
  <w15:docId w15:val="{61B128BD-9EFF-4E7E-B69B-F0F160EC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2E14A5"/>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NormalWeb">
    <w:name w:val="Normal (Web)"/>
    <w:basedOn w:val="Normal"/>
    <w:uiPriority w:val="99"/>
    <w:unhideWhenUsed/>
    <w:rsid w:val="008A4C0E"/>
    <w:pPr>
      <w:spacing w:before="100" w:beforeAutospacing="1" w:after="100" w:afterAutospacing="1"/>
    </w:pPr>
    <w:rPr>
      <w:rFonts w:ascii="Times New Roman" w:hAnsi="Times New Roman"/>
      <w:sz w:val="24"/>
      <w:lang w:eastAsia="en-AU"/>
    </w:rPr>
  </w:style>
  <w:style w:type="character" w:customStyle="1" w:styleId="Heading2Char">
    <w:name w:val="Heading 2 Char"/>
    <w:basedOn w:val="DefaultParagraphFont"/>
    <w:link w:val="Heading2"/>
    <w:uiPriority w:val="9"/>
    <w:rsid w:val="008A4C0E"/>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8A4C0E"/>
    <w:rPr>
      <w:rFonts w:ascii="Arial" w:hAnsi="Arial" w:cs="Arial"/>
      <w:bCs/>
      <w:color w:val="358189"/>
      <w:sz w:val="24"/>
      <w:szCs w:val="26"/>
      <w:lang w:eastAsia="en-US"/>
    </w:rPr>
  </w:style>
  <w:style w:type="paragraph" w:styleId="Revision">
    <w:name w:val="Revision"/>
    <w:hidden/>
    <w:uiPriority w:val="99"/>
    <w:semiHidden/>
    <w:rsid w:val="00E2165D"/>
    <w:rPr>
      <w:rFonts w:ascii="Arial" w:hAnsi="Arial"/>
      <w:sz w:val="22"/>
      <w:szCs w:val="24"/>
      <w:lang w:eastAsia="en-US"/>
    </w:rPr>
  </w:style>
  <w:style w:type="character" w:styleId="CommentReference">
    <w:name w:val="annotation reference"/>
    <w:basedOn w:val="DefaultParagraphFont"/>
    <w:semiHidden/>
    <w:unhideWhenUsed/>
    <w:rsid w:val="008B766C"/>
    <w:rPr>
      <w:sz w:val="16"/>
      <w:szCs w:val="16"/>
    </w:rPr>
  </w:style>
  <w:style w:type="paragraph" w:styleId="CommentText">
    <w:name w:val="annotation text"/>
    <w:basedOn w:val="Normal"/>
    <w:link w:val="CommentTextChar"/>
    <w:semiHidden/>
    <w:unhideWhenUsed/>
    <w:rsid w:val="008B766C"/>
    <w:rPr>
      <w:sz w:val="20"/>
      <w:szCs w:val="20"/>
    </w:rPr>
  </w:style>
  <w:style w:type="character" w:customStyle="1" w:styleId="CommentTextChar">
    <w:name w:val="Comment Text Char"/>
    <w:basedOn w:val="DefaultParagraphFont"/>
    <w:link w:val="CommentText"/>
    <w:semiHidden/>
    <w:rsid w:val="008B766C"/>
    <w:rPr>
      <w:rFonts w:ascii="Arial" w:hAnsi="Arial"/>
      <w:lang w:eastAsia="en-US"/>
    </w:rPr>
  </w:style>
  <w:style w:type="paragraph" w:styleId="CommentSubject">
    <w:name w:val="annotation subject"/>
    <w:basedOn w:val="CommentText"/>
    <w:next w:val="CommentText"/>
    <w:link w:val="CommentSubjectChar"/>
    <w:semiHidden/>
    <w:unhideWhenUsed/>
    <w:rsid w:val="008B766C"/>
    <w:rPr>
      <w:b/>
      <w:bCs/>
    </w:rPr>
  </w:style>
  <w:style w:type="character" w:customStyle="1" w:styleId="CommentSubjectChar">
    <w:name w:val="Comment Subject Char"/>
    <w:basedOn w:val="CommentTextChar"/>
    <w:link w:val="CommentSubject"/>
    <w:semiHidden/>
    <w:rsid w:val="008B766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866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4203196">
      <w:bodyDiv w:val="1"/>
      <w:marLeft w:val="0"/>
      <w:marRight w:val="0"/>
      <w:marTop w:val="0"/>
      <w:marBottom w:val="0"/>
      <w:divBdr>
        <w:top w:val="none" w:sz="0" w:space="0" w:color="auto"/>
        <w:left w:val="none" w:sz="0" w:space="0" w:color="auto"/>
        <w:bottom w:val="none" w:sz="0" w:space="0" w:color="auto"/>
        <w:right w:val="none" w:sz="0" w:space="0" w:color="auto"/>
      </w:divBdr>
    </w:div>
    <w:div w:id="431317155">
      <w:bodyDiv w:val="1"/>
      <w:marLeft w:val="0"/>
      <w:marRight w:val="0"/>
      <w:marTop w:val="0"/>
      <w:marBottom w:val="0"/>
      <w:divBdr>
        <w:top w:val="none" w:sz="0" w:space="0" w:color="auto"/>
        <w:left w:val="none" w:sz="0" w:space="0" w:color="auto"/>
        <w:bottom w:val="none" w:sz="0" w:space="0" w:color="auto"/>
        <w:right w:val="none" w:sz="0" w:space="0" w:color="auto"/>
      </w:divBdr>
      <w:divsChild>
        <w:div w:id="66197910">
          <w:blockQuote w:val="1"/>
          <w:marLeft w:val="0"/>
          <w:marRight w:val="0"/>
          <w:marTop w:val="0"/>
          <w:marBottom w:val="300"/>
          <w:divBdr>
            <w:top w:val="none" w:sz="0" w:space="0" w:color="auto"/>
            <w:left w:val="single" w:sz="36" w:space="11" w:color="EEEEEE"/>
            <w:bottom w:val="none" w:sz="0" w:space="0" w:color="auto"/>
            <w:right w:val="none" w:sz="0" w:space="0" w:color="auto"/>
          </w:divBdr>
        </w:div>
        <w:div w:id="1822962049">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944222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5634684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0770361">
      <w:bodyDiv w:val="1"/>
      <w:marLeft w:val="0"/>
      <w:marRight w:val="0"/>
      <w:marTop w:val="0"/>
      <w:marBottom w:val="0"/>
      <w:divBdr>
        <w:top w:val="none" w:sz="0" w:space="0" w:color="auto"/>
        <w:left w:val="none" w:sz="0" w:space="0" w:color="auto"/>
        <w:bottom w:val="none" w:sz="0" w:space="0" w:color="auto"/>
        <w:right w:val="none" w:sz="0" w:space="0" w:color="auto"/>
      </w:divBdr>
    </w:div>
    <w:div w:id="1484466046">
      <w:bodyDiv w:val="1"/>
      <w:marLeft w:val="0"/>
      <w:marRight w:val="0"/>
      <w:marTop w:val="0"/>
      <w:marBottom w:val="0"/>
      <w:divBdr>
        <w:top w:val="none" w:sz="0" w:space="0" w:color="auto"/>
        <w:left w:val="none" w:sz="0" w:space="0" w:color="auto"/>
        <w:bottom w:val="none" w:sz="0" w:space="0" w:color="auto"/>
        <w:right w:val="none" w:sz="0" w:space="0" w:color="auto"/>
      </w:divBdr>
    </w:div>
    <w:div w:id="1485203085">
      <w:bodyDiv w:val="1"/>
      <w:marLeft w:val="0"/>
      <w:marRight w:val="0"/>
      <w:marTop w:val="0"/>
      <w:marBottom w:val="0"/>
      <w:divBdr>
        <w:top w:val="none" w:sz="0" w:space="0" w:color="auto"/>
        <w:left w:val="none" w:sz="0" w:space="0" w:color="auto"/>
        <w:bottom w:val="none" w:sz="0" w:space="0" w:color="auto"/>
        <w:right w:val="none" w:sz="0" w:space="0" w:color="auto"/>
      </w:divBdr>
    </w:div>
    <w:div w:id="149907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7EAA1-124E-4037-89C9-2384CA85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cf7b372-aaaa-46d8-9da6-ade9aab953df"/>
    <ds:schemaRef ds:uri="236487dd-ec90-4f99-8970-1318e5f29791"/>
    <ds:schemaRef ds:uri="http://schemas.microsoft.com/sharepoint/v3/field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Syphilis (congenital) – Surveillance case definition</vt:lpstr>
    </vt:vector>
  </TitlesOfParts>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Syphilis (congenital) – Surveillance case definition</dc:title>
  <dc:creator>Communicable Diseases Network Australia</dc:creator>
  <cp:keywords>Communicable diseases</cp:keywords>
  <dcterms:created xsi:type="dcterms:W3CDTF">2023-08-07T23:34:00Z</dcterms:created>
  <dcterms:modified xsi:type="dcterms:W3CDTF">2023-08-30T00:00:00Z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