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93712" w14:textId="77777777" w:rsidR="00C3410D" w:rsidRPr="007A4336" w:rsidRDefault="00C3410D" w:rsidP="007A4336">
      <w:pPr>
        <w:pStyle w:val="Title"/>
      </w:pPr>
      <w:r w:rsidRPr="007A4336">
        <w:t>Tuberculosis</w:t>
      </w:r>
    </w:p>
    <w:p w14:paraId="12926763" w14:textId="77777777" w:rsidR="00C3410D" w:rsidRPr="00C3410D" w:rsidRDefault="00C3410D" w:rsidP="007A4336">
      <w:pPr>
        <w:pStyle w:val="Subtitle"/>
        <w:rPr>
          <w:lang w:val="en-AU" w:eastAsia="en-US"/>
        </w:rPr>
      </w:pPr>
      <w:r w:rsidRPr="00C3410D">
        <w:rPr>
          <w:lang w:val="en-AU" w:eastAsia="en-US"/>
        </w:rPr>
        <w:t>CDNA National Guidelines for Public Health Units</w:t>
      </w:r>
    </w:p>
    <w:p w14:paraId="1594FD23" w14:textId="77777777" w:rsidR="00C3410D" w:rsidRPr="003031A7" w:rsidRDefault="00C3410D" w:rsidP="003031A7">
      <w:r w:rsidRPr="003031A7">
        <w:t>Version 3.0</w:t>
      </w:r>
    </w:p>
    <w:p w14:paraId="0FBFD5B9" w14:textId="0F68CAD6" w:rsidR="00C3410D" w:rsidRPr="003031A7" w:rsidRDefault="009513BD" w:rsidP="003031A7">
      <w:pPr>
        <w:rPr>
          <w:rStyle w:val="Strong"/>
        </w:rPr>
        <w:sectPr w:rsidR="00C3410D" w:rsidRPr="003031A7" w:rsidSect="00321CB3">
          <w:headerReference w:type="default" r:id="rId11"/>
          <w:footerReference w:type="default" r:id="rId12"/>
          <w:headerReference w:type="first" r:id="rId13"/>
          <w:footerReference w:type="first" r:id="rId14"/>
          <w:pgSz w:w="11906" w:h="16838"/>
          <w:pgMar w:top="709" w:right="1418" w:bottom="1418" w:left="1418" w:header="709" w:footer="709" w:gutter="0"/>
          <w:cols w:space="708"/>
          <w:docGrid w:linePitch="360"/>
        </w:sectPr>
      </w:pPr>
      <w:r w:rsidRPr="003031A7">
        <w:rPr>
          <w:rStyle w:val="Strong"/>
        </w:rPr>
        <w:t>3 March</w:t>
      </w:r>
      <w:r w:rsidR="00C3410D" w:rsidRPr="003031A7">
        <w:rPr>
          <w:rStyle w:val="Strong"/>
        </w:rPr>
        <w:t xml:space="preserve"> 2022</w:t>
      </w:r>
    </w:p>
    <w:p w14:paraId="4D76E1EA" w14:textId="77777777" w:rsidR="00C3410D" w:rsidRPr="00CA7F5E" w:rsidRDefault="00C3410D" w:rsidP="00CA7F5E">
      <w:pPr>
        <w:pStyle w:val="Heading1nonumbering"/>
      </w:pPr>
      <w:bookmarkStart w:id="0" w:name="_Toc77586435"/>
      <w:bookmarkStart w:id="1" w:name="_Toc97195026"/>
      <w:r w:rsidRPr="00CA7F5E">
        <w:lastRenderedPageBreak/>
        <w:t>Summary of revision history</w:t>
      </w:r>
      <w:bookmarkEnd w:id="0"/>
      <w:bookmarkEnd w:id="1"/>
    </w:p>
    <w:tbl>
      <w:tblPr>
        <w:tblStyle w:val="TableGrid1"/>
        <w:tblW w:w="5000" w:type="pct"/>
        <w:jc w:val="center"/>
        <w:tblLook w:val="01E0" w:firstRow="1" w:lastRow="1" w:firstColumn="1" w:lastColumn="1" w:noHBand="0" w:noVBand="0"/>
        <w:tblDescription w:val="This table is a list of the revisions against this document"/>
      </w:tblPr>
      <w:tblGrid>
        <w:gridCol w:w="1086"/>
        <w:gridCol w:w="2335"/>
        <w:gridCol w:w="2028"/>
        <w:gridCol w:w="4513"/>
      </w:tblGrid>
      <w:tr w:rsidR="00C3410D" w:rsidRPr="00122421" w14:paraId="6B3174C1" w14:textId="77777777" w:rsidTr="001C34D7">
        <w:trPr>
          <w:cnfStyle w:val="100000000000" w:firstRow="1" w:lastRow="0" w:firstColumn="0" w:lastColumn="0" w:oddVBand="0" w:evenVBand="0" w:oddHBand="0" w:evenHBand="0" w:firstRowFirstColumn="0" w:firstRowLastColumn="0" w:lastRowFirstColumn="0" w:lastRowLastColumn="0"/>
          <w:trHeight w:val="272"/>
          <w:tblHeader/>
          <w:jc w:val="center"/>
        </w:trPr>
        <w:tc>
          <w:tcPr>
            <w:tcW w:w="545" w:type="pct"/>
            <w:vAlign w:val="center"/>
          </w:tcPr>
          <w:p w14:paraId="64C5A153" w14:textId="77777777" w:rsidR="00C3410D" w:rsidRPr="007A4336" w:rsidRDefault="00C3410D" w:rsidP="007A4336">
            <w:r w:rsidRPr="007A4336">
              <w:t>Version</w:t>
            </w:r>
          </w:p>
        </w:tc>
        <w:tc>
          <w:tcPr>
            <w:tcW w:w="1172" w:type="pct"/>
            <w:vAlign w:val="center"/>
          </w:tcPr>
          <w:p w14:paraId="0CCAECC2" w14:textId="77777777" w:rsidR="00C3410D" w:rsidRPr="007A4336" w:rsidRDefault="00C3410D" w:rsidP="007A4336">
            <w:r w:rsidRPr="007A4336">
              <w:t>Date</w:t>
            </w:r>
          </w:p>
        </w:tc>
        <w:tc>
          <w:tcPr>
            <w:tcW w:w="1018" w:type="pct"/>
            <w:vAlign w:val="center"/>
          </w:tcPr>
          <w:p w14:paraId="5FE98EC3" w14:textId="77777777" w:rsidR="00C3410D" w:rsidRPr="007A4336" w:rsidRDefault="00C3410D" w:rsidP="007A4336">
            <w:r w:rsidRPr="007A4336">
              <w:t>Revised by</w:t>
            </w:r>
          </w:p>
        </w:tc>
        <w:tc>
          <w:tcPr>
            <w:tcW w:w="2266" w:type="pct"/>
            <w:vAlign w:val="center"/>
          </w:tcPr>
          <w:p w14:paraId="1E16C933" w14:textId="77777777" w:rsidR="00C3410D" w:rsidRPr="007A4336" w:rsidRDefault="00C3410D" w:rsidP="007A4336">
            <w:r w:rsidRPr="007A4336">
              <w:t>Changes</w:t>
            </w:r>
          </w:p>
        </w:tc>
      </w:tr>
      <w:tr w:rsidR="00C3410D" w:rsidRPr="00122421" w14:paraId="6DBE9FAE" w14:textId="77777777" w:rsidTr="001C34D7">
        <w:trPr>
          <w:trHeight w:val="272"/>
          <w:jc w:val="center"/>
        </w:trPr>
        <w:tc>
          <w:tcPr>
            <w:tcW w:w="545" w:type="pct"/>
          </w:tcPr>
          <w:p w14:paraId="6358F809" w14:textId="77777777" w:rsidR="00C3410D" w:rsidRPr="006A5E02" w:rsidRDefault="00C3410D" w:rsidP="006A5E02">
            <w:pPr>
              <w:rPr>
                <w:highlight w:val="yellow"/>
              </w:rPr>
            </w:pPr>
            <w:r w:rsidRPr="006A5E02">
              <w:t>3.0</w:t>
            </w:r>
          </w:p>
        </w:tc>
        <w:tc>
          <w:tcPr>
            <w:tcW w:w="1172" w:type="pct"/>
          </w:tcPr>
          <w:p w14:paraId="67306F12" w14:textId="77777777" w:rsidR="00C3410D" w:rsidRPr="006A5E02" w:rsidRDefault="00C3410D" w:rsidP="006A5E02">
            <w:pPr>
              <w:rPr>
                <w:highlight w:val="yellow"/>
              </w:rPr>
            </w:pPr>
            <w:r w:rsidRPr="006A5E02">
              <w:t>October 2021</w:t>
            </w:r>
          </w:p>
        </w:tc>
        <w:tc>
          <w:tcPr>
            <w:tcW w:w="1018" w:type="pct"/>
          </w:tcPr>
          <w:p w14:paraId="5C1DBD60" w14:textId="423A3801" w:rsidR="00C3410D" w:rsidRPr="009513BD" w:rsidRDefault="00C3410D" w:rsidP="009513BD">
            <w:pPr>
              <w:contextualSpacing/>
              <w:rPr>
                <w:rFonts w:cs="Arial"/>
              </w:rPr>
            </w:pPr>
            <w:r w:rsidRPr="004D44EC">
              <w:rPr>
                <w:rFonts w:cs="Arial"/>
              </w:rPr>
              <w:t xml:space="preserve">TB </w:t>
            </w:r>
            <w:proofErr w:type="spellStart"/>
            <w:r w:rsidRPr="004D44EC">
              <w:rPr>
                <w:rFonts w:cs="Arial"/>
              </w:rPr>
              <w:t>SoNG</w:t>
            </w:r>
            <w:proofErr w:type="spellEnd"/>
            <w:r w:rsidRPr="004D44EC">
              <w:rPr>
                <w:rFonts w:cs="Arial"/>
              </w:rPr>
              <w:t xml:space="preserve"> Working Group</w:t>
            </w:r>
            <w:r>
              <w:rPr>
                <w:rFonts w:cs="Arial"/>
              </w:rPr>
              <w:t>, National TB Advisory Committee</w:t>
            </w:r>
          </w:p>
        </w:tc>
        <w:tc>
          <w:tcPr>
            <w:tcW w:w="2266" w:type="pct"/>
          </w:tcPr>
          <w:p w14:paraId="7BF6F479" w14:textId="77777777" w:rsidR="00C3410D" w:rsidRPr="00122421" w:rsidRDefault="00C3410D" w:rsidP="009D240D">
            <w:pPr>
              <w:contextualSpacing/>
              <w:rPr>
                <w:rFonts w:cs="Arial"/>
              </w:rPr>
            </w:pPr>
            <w:r w:rsidRPr="00122421">
              <w:rPr>
                <w:rFonts w:cs="Arial"/>
              </w:rPr>
              <w:t>Updated throughout to align with the latest evidence, NTAC and other relevant policy guidance and expert recommendations</w:t>
            </w:r>
          </w:p>
          <w:p w14:paraId="4C0DB5AD" w14:textId="77777777" w:rsidR="00C3410D" w:rsidRPr="00122421" w:rsidRDefault="00C3410D" w:rsidP="009D240D">
            <w:pPr>
              <w:contextualSpacing/>
              <w:rPr>
                <w:rFonts w:cs="Arial"/>
              </w:rPr>
            </w:pPr>
            <w:r w:rsidRPr="00122421">
              <w:rPr>
                <w:rFonts w:cs="Arial"/>
              </w:rPr>
              <w:t>Endorsed by the Public Health Laboratory Network 16 Nov 2021</w:t>
            </w:r>
          </w:p>
          <w:p w14:paraId="44FF8118" w14:textId="77777777" w:rsidR="00C3410D" w:rsidRPr="00122421" w:rsidRDefault="00C3410D" w:rsidP="009D240D">
            <w:pPr>
              <w:contextualSpacing/>
              <w:rPr>
                <w:rFonts w:cs="Arial"/>
              </w:rPr>
            </w:pPr>
            <w:r w:rsidRPr="00122421">
              <w:rPr>
                <w:rFonts w:cs="Arial"/>
              </w:rPr>
              <w:t>Endorsed by CDNA 2 Dec 2021</w:t>
            </w:r>
          </w:p>
          <w:p w14:paraId="190847FE" w14:textId="77777777" w:rsidR="00C3410D" w:rsidRPr="006A5E02" w:rsidRDefault="00C3410D" w:rsidP="006A5E02">
            <w:pPr>
              <w:rPr>
                <w:highlight w:val="yellow"/>
              </w:rPr>
            </w:pPr>
            <w:r w:rsidRPr="006A5E02">
              <w:t>Endorsed by AHPPC 16 Feb 2022</w:t>
            </w:r>
          </w:p>
        </w:tc>
      </w:tr>
      <w:tr w:rsidR="00C3410D" w:rsidRPr="00122421" w14:paraId="18622DB0" w14:textId="77777777" w:rsidTr="001C34D7">
        <w:trPr>
          <w:trHeight w:val="272"/>
          <w:jc w:val="center"/>
        </w:trPr>
        <w:tc>
          <w:tcPr>
            <w:tcW w:w="545" w:type="pct"/>
          </w:tcPr>
          <w:p w14:paraId="4500D032" w14:textId="77777777" w:rsidR="00C3410D" w:rsidRPr="006A5E02" w:rsidRDefault="00C3410D" w:rsidP="006A5E02">
            <w:r w:rsidRPr="006A5E02">
              <w:t>2.0</w:t>
            </w:r>
          </w:p>
        </w:tc>
        <w:tc>
          <w:tcPr>
            <w:tcW w:w="1172" w:type="pct"/>
          </w:tcPr>
          <w:p w14:paraId="4B3FDCEA" w14:textId="77777777" w:rsidR="00C3410D" w:rsidRPr="006A5E02" w:rsidRDefault="00C3410D" w:rsidP="006A5E02">
            <w:r w:rsidRPr="006A5E02">
              <w:t>April 2015</w:t>
            </w:r>
          </w:p>
        </w:tc>
        <w:tc>
          <w:tcPr>
            <w:tcW w:w="1018" w:type="pct"/>
          </w:tcPr>
          <w:p w14:paraId="6C0AD32C" w14:textId="77777777" w:rsidR="00C3410D" w:rsidRPr="006A5E02" w:rsidRDefault="00C3410D" w:rsidP="006A5E02">
            <w:r w:rsidRPr="006A5E02">
              <w:t>CDNA</w:t>
            </w:r>
          </w:p>
        </w:tc>
        <w:tc>
          <w:tcPr>
            <w:tcW w:w="2266" w:type="pct"/>
          </w:tcPr>
          <w:p w14:paraId="76543AD6" w14:textId="77777777" w:rsidR="00C3410D" w:rsidRPr="006A5E02" w:rsidRDefault="00C3410D" w:rsidP="006A5E02">
            <w:r w:rsidRPr="006A5E02">
              <w:t xml:space="preserve">Updated reference to Therapeutic Guidelines: Antibiotic 2014 </w:t>
            </w:r>
          </w:p>
        </w:tc>
      </w:tr>
      <w:tr w:rsidR="00C3410D" w:rsidRPr="00122421" w14:paraId="068D6BC2" w14:textId="77777777" w:rsidTr="001C34D7">
        <w:trPr>
          <w:trHeight w:val="272"/>
          <w:jc w:val="center"/>
        </w:trPr>
        <w:tc>
          <w:tcPr>
            <w:tcW w:w="545" w:type="pct"/>
          </w:tcPr>
          <w:p w14:paraId="097F7BDA" w14:textId="77777777" w:rsidR="00C3410D" w:rsidRPr="006A5E02" w:rsidRDefault="00C3410D" w:rsidP="006A5E02">
            <w:r w:rsidRPr="006A5E02">
              <w:t>1.0</w:t>
            </w:r>
          </w:p>
        </w:tc>
        <w:tc>
          <w:tcPr>
            <w:tcW w:w="1172" w:type="pct"/>
          </w:tcPr>
          <w:p w14:paraId="7ABF1589" w14:textId="77777777" w:rsidR="00C3410D" w:rsidRPr="006A5E02" w:rsidRDefault="00C3410D" w:rsidP="006A5E02">
            <w:r w:rsidRPr="006A5E02">
              <w:t>3 Jan 2013</w:t>
            </w:r>
          </w:p>
        </w:tc>
        <w:tc>
          <w:tcPr>
            <w:tcW w:w="1018" w:type="pct"/>
          </w:tcPr>
          <w:p w14:paraId="0FAA2395" w14:textId="77777777" w:rsidR="00C3410D" w:rsidRPr="006A5E02" w:rsidRDefault="00C3410D" w:rsidP="006A5E02">
            <w:r w:rsidRPr="006A5E02">
              <w:t xml:space="preserve">Developed by TB </w:t>
            </w:r>
            <w:proofErr w:type="spellStart"/>
            <w:r w:rsidRPr="006A5E02">
              <w:t>SoNG</w:t>
            </w:r>
            <w:proofErr w:type="spellEnd"/>
            <w:r w:rsidRPr="006A5E02">
              <w:t xml:space="preserve"> Working Group</w:t>
            </w:r>
          </w:p>
        </w:tc>
        <w:tc>
          <w:tcPr>
            <w:tcW w:w="2266" w:type="pct"/>
          </w:tcPr>
          <w:p w14:paraId="0D23B385" w14:textId="77777777" w:rsidR="00C3410D" w:rsidRPr="004D44EC" w:rsidRDefault="00C3410D" w:rsidP="009D240D">
            <w:pPr>
              <w:contextualSpacing/>
              <w:rPr>
                <w:rFonts w:cs="Arial"/>
              </w:rPr>
            </w:pPr>
            <w:r w:rsidRPr="004D44EC">
              <w:rPr>
                <w:rFonts w:cs="Arial"/>
              </w:rPr>
              <w:t>Endorsed by CDNA 3 Jan 2013</w:t>
            </w:r>
          </w:p>
          <w:p w14:paraId="2DAAA51F" w14:textId="77777777" w:rsidR="00C3410D" w:rsidRPr="006A5E02" w:rsidRDefault="00C3410D" w:rsidP="006A5E02">
            <w:r w:rsidRPr="006A5E02">
              <w:t>Endorsed by AHPPC 24 Jul 2013</w:t>
            </w:r>
          </w:p>
        </w:tc>
      </w:tr>
    </w:tbl>
    <w:p w14:paraId="7A6BAE9D" w14:textId="77777777" w:rsidR="00C3410D" w:rsidRPr="007A4336" w:rsidRDefault="00C3410D" w:rsidP="007A4336">
      <w:r w:rsidRPr="007A4336">
        <w:t xml:space="preserve">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 </w:t>
      </w:r>
    </w:p>
    <w:p w14:paraId="1016C5A2" w14:textId="77777777" w:rsidR="00C3410D" w:rsidRPr="007A4336" w:rsidRDefault="00C3410D" w:rsidP="007A4336">
      <w:r w:rsidRPr="007A4336">
        <w:t>These guidelines capture the knowledge of experienced professionals and provide guidance on best practice based upon the best available evidence at the time of completion.</w:t>
      </w:r>
    </w:p>
    <w:p w14:paraId="54A8906C" w14:textId="77777777" w:rsidR="00C3410D" w:rsidRPr="007A4336" w:rsidRDefault="00C3410D" w:rsidP="007A4336">
      <w:r w:rsidRPr="007A4336">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50D2E207" w14:textId="32D46F7C" w:rsidR="00C3410D" w:rsidRPr="007A4336" w:rsidRDefault="00C3410D" w:rsidP="007A4336">
      <w:r w:rsidRPr="007A4336">
        <w:t xml:space="preserve">The membership of CDNA and AHPPC, and the Commonwealth of Australia as represented by the Department of Health (‘Health’), do not </w:t>
      </w:r>
      <w:proofErr w:type="gramStart"/>
      <w:r w:rsidRPr="007A4336">
        <w:t>warrant</w:t>
      </w:r>
      <w:proofErr w:type="gramEnd"/>
      <w:r w:rsidRPr="007A4336">
        <w:t xml:space="preserve"> or represent that the information contained in the Guidelines is accurate, current or complete. CDNA, AHPPC and Health do not accept any legal liability or responsibility for any loss, damages, </w:t>
      </w:r>
      <w:proofErr w:type="gramStart"/>
      <w:r w:rsidRPr="007A4336">
        <w:t>costs</w:t>
      </w:r>
      <w:proofErr w:type="gramEnd"/>
      <w:r w:rsidRPr="007A4336">
        <w:t xml:space="preserve"> or expenses incurred by the use of, or reliance on, or interpretation of, the information contained in the guidelines.</w:t>
      </w:r>
    </w:p>
    <w:p w14:paraId="45F00C40" w14:textId="77777777" w:rsidR="00715724" w:rsidRDefault="00715724" w:rsidP="001C34D7">
      <w:pPr>
        <w:rPr>
          <w:highlight w:val="yellow"/>
        </w:rPr>
      </w:pPr>
    </w:p>
    <w:p w14:paraId="6E9CB0D3" w14:textId="4564C9AE" w:rsidR="00715724" w:rsidRPr="003031A7" w:rsidRDefault="00715724" w:rsidP="003031A7">
      <w:pPr>
        <w:rPr>
          <w:highlight w:val="yellow"/>
        </w:rPr>
        <w:sectPr w:rsidR="00715724" w:rsidRPr="003031A7" w:rsidSect="00321CB3">
          <w:headerReference w:type="default" r:id="rId15"/>
          <w:footerReference w:type="default" r:id="rId16"/>
          <w:headerReference w:type="first" r:id="rId17"/>
          <w:footerReference w:type="first" r:id="rId18"/>
          <w:footnotePr>
            <w:numFmt w:val="chicago"/>
          </w:footnotePr>
          <w:pgSz w:w="12240" w:h="15840"/>
          <w:pgMar w:top="426" w:right="1134" w:bottom="1134" w:left="1134" w:header="426" w:footer="142" w:gutter="0"/>
          <w:cols w:space="720"/>
          <w:docGrid w:linePitch="299"/>
        </w:sectPr>
      </w:pPr>
    </w:p>
    <w:p w14:paraId="7CDD7866" w14:textId="35FDA474" w:rsidR="00321CB3" w:rsidRPr="00F04ACE" w:rsidRDefault="00A96479" w:rsidP="00F04ACE">
      <w:pPr>
        <w:pStyle w:val="Heading1nonumbering"/>
      </w:pPr>
      <w:bookmarkStart w:id="2" w:name="_Toc97195027"/>
      <w:r w:rsidRPr="003031A7">
        <w:lastRenderedPageBreak/>
        <w:t>Abbreviations and definitions</w:t>
      </w:r>
      <w:bookmarkEnd w:id="2"/>
    </w:p>
    <w:p w14:paraId="20C3D099" w14:textId="77777777" w:rsidR="00AA59D5" w:rsidRDefault="00BF06B9" w:rsidP="00062009">
      <w:pPr>
        <w:pStyle w:val="StyleIndentBefore3pt"/>
      </w:pPr>
      <w:r w:rsidRPr="00E71AC6">
        <w:rPr>
          <w:rStyle w:val="Strong"/>
        </w:rPr>
        <w:t>DR-TB</w:t>
      </w:r>
      <w:r w:rsidR="001C34D7" w:rsidRPr="00E71AC6">
        <w:rPr>
          <w:rStyle w:val="Strong"/>
        </w:rPr>
        <w:t>:</w:t>
      </w:r>
      <w:r w:rsidR="00321CB3">
        <w:t xml:space="preserve"> </w:t>
      </w:r>
      <w:r w:rsidR="008E1DFC">
        <w:tab/>
      </w:r>
      <w:r w:rsidR="00A62115">
        <w:t>D</w:t>
      </w:r>
      <w:r w:rsidR="003661D4" w:rsidRPr="00E71AC6">
        <w:t>rug-resistant tuberculosis</w:t>
      </w:r>
      <w:r w:rsidR="00B50638" w:rsidRPr="00E71AC6">
        <w:t xml:space="preserve"> (DR-TB)</w:t>
      </w:r>
      <w:r w:rsidR="003661D4" w:rsidRPr="00E71AC6">
        <w:t xml:space="preserve">: </w:t>
      </w:r>
      <w:r w:rsidR="003661D4" w:rsidRPr="00321CB3">
        <w:rPr>
          <w:rStyle w:val="Emphasis"/>
        </w:rPr>
        <w:t xml:space="preserve">M. tuberculosis </w:t>
      </w:r>
      <w:r w:rsidR="000A0198" w:rsidRPr="00E71AC6">
        <w:t xml:space="preserve">strains </w:t>
      </w:r>
      <w:r w:rsidR="003661D4" w:rsidRPr="00E71AC6">
        <w:t>resistant to one or</w:t>
      </w:r>
      <w:r w:rsidR="003031A7">
        <w:t xml:space="preserve"> </w:t>
      </w:r>
      <w:r w:rsidR="003661D4" w:rsidRPr="00E71AC6">
        <w:t>more first line TB drug</w:t>
      </w:r>
      <w:r w:rsidR="00F03267" w:rsidRPr="00E71AC6">
        <w:t>.</w:t>
      </w:r>
    </w:p>
    <w:p w14:paraId="51BC2776" w14:textId="292237CF" w:rsidR="00FF523F" w:rsidRPr="00321CB3" w:rsidRDefault="00FF523F" w:rsidP="00062009">
      <w:pPr>
        <w:pStyle w:val="StyleIndentBefore3pt"/>
        <w:ind w:firstLine="0"/>
      </w:pPr>
      <w:r w:rsidRPr="00321CB3">
        <w:rPr>
          <w:rStyle w:val="Strong"/>
        </w:rPr>
        <w:t>Mono-resistant TB:</w:t>
      </w:r>
      <w:r w:rsidR="00321CB3" w:rsidRPr="00321CB3">
        <w:t xml:space="preserve"> </w:t>
      </w:r>
      <w:r w:rsidR="000A0198" w:rsidRPr="00321CB3">
        <w:t xml:space="preserve">M. tuberculosis strains </w:t>
      </w:r>
      <w:r w:rsidRPr="00321CB3">
        <w:t>resistant to a single first line</w:t>
      </w:r>
      <w:r w:rsidR="003D41A1" w:rsidRPr="00321CB3">
        <w:t xml:space="preserve"> </w:t>
      </w:r>
      <w:r w:rsidR="00F4604A" w:rsidRPr="00321CB3">
        <w:t>drug</w:t>
      </w:r>
      <w:r w:rsidR="0056333A" w:rsidRPr="00321CB3">
        <w:t>.</w:t>
      </w:r>
    </w:p>
    <w:p w14:paraId="4DA3200F" w14:textId="31FAA4BB" w:rsidR="003D6C73" w:rsidRPr="00321CB3" w:rsidRDefault="003D6C73" w:rsidP="00062009">
      <w:pPr>
        <w:pStyle w:val="StyleIndentBefore3pt"/>
        <w:ind w:firstLine="0"/>
      </w:pPr>
      <w:r w:rsidRPr="00321CB3">
        <w:rPr>
          <w:rStyle w:val="Strong"/>
        </w:rPr>
        <w:t>Poly-</w:t>
      </w:r>
      <w:r w:rsidR="00B50638" w:rsidRPr="00321CB3">
        <w:rPr>
          <w:rStyle w:val="Strong"/>
        </w:rPr>
        <w:t xml:space="preserve">drug </w:t>
      </w:r>
      <w:r w:rsidRPr="00321CB3">
        <w:rPr>
          <w:rStyle w:val="Strong"/>
        </w:rPr>
        <w:t>resistant TB</w:t>
      </w:r>
      <w:r w:rsidR="00B50638" w:rsidRPr="00321CB3">
        <w:rPr>
          <w:rStyle w:val="Strong"/>
        </w:rPr>
        <w:t xml:space="preserve"> (PDR-TB)</w:t>
      </w:r>
      <w:r w:rsidRPr="00321CB3">
        <w:rPr>
          <w:rStyle w:val="Strong"/>
        </w:rPr>
        <w:t>:</w:t>
      </w:r>
      <w:r w:rsidR="00321CB3" w:rsidRPr="00321CB3">
        <w:t xml:space="preserve"> </w:t>
      </w:r>
      <w:r w:rsidRPr="00321CB3">
        <w:t>M. tuberculosis strains resistant to more than one first line drug but not to both isoniazid and rifampicin</w:t>
      </w:r>
      <w:r w:rsidR="00F03267" w:rsidRPr="00321CB3">
        <w:t>.</w:t>
      </w:r>
    </w:p>
    <w:p w14:paraId="0FDD8D96" w14:textId="5003F351" w:rsidR="000318FE" w:rsidRPr="00321CB3" w:rsidRDefault="000318FE" w:rsidP="00062009">
      <w:pPr>
        <w:pStyle w:val="StyleIndentBefore3pt"/>
        <w:ind w:firstLine="0"/>
      </w:pPr>
      <w:r w:rsidRPr="00321CB3">
        <w:rPr>
          <w:rStyle w:val="Strong"/>
        </w:rPr>
        <w:t>Rifampicin resistant TB (RR-TB):</w:t>
      </w:r>
      <w:r w:rsidR="00321CB3" w:rsidRPr="00321CB3">
        <w:t xml:space="preserve"> </w:t>
      </w:r>
      <w:r w:rsidRPr="00321CB3">
        <w:t xml:space="preserve">M. tuberculosis strains </w:t>
      </w:r>
      <w:r w:rsidR="00271414" w:rsidRPr="00321CB3">
        <w:t xml:space="preserve">resistant </w:t>
      </w:r>
      <w:r w:rsidRPr="00321CB3">
        <w:t>to rifampicin by either phenotypic or genotypic methodology which may be in any of the above patterns of resistance.</w:t>
      </w:r>
    </w:p>
    <w:p w14:paraId="3F4737E1" w14:textId="2E7AEA6C" w:rsidR="00FF523F" w:rsidRPr="00321CB3" w:rsidRDefault="00FF523F" w:rsidP="00062009">
      <w:pPr>
        <w:pStyle w:val="StyleIndentBefore3pt"/>
        <w:ind w:firstLine="0"/>
      </w:pPr>
      <w:r w:rsidRPr="00321CB3">
        <w:rPr>
          <w:rStyle w:val="Strong"/>
        </w:rPr>
        <w:t>Multidrug resistant TB</w:t>
      </w:r>
      <w:r w:rsidR="007A3702" w:rsidRPr="00321CB3">
        <w:rPr>
          <w:rStyle w:val="Strong"/>
        </w:rPr>
        <w:t xml:space="preserve"> (MDR-TB)</w:t>
      </w:r>
      <w:r w:rsidRPr="00321CB3">
        <w:rPr>
          <w:rStyle w:val="Strong"/>
        </w:rPr>
        <w:t>:</w:t>
      </w:r>
      <w:r w:rsidR="00321CB3" w:rsidRPr="00321CB3">
        <w:t xml:space="preserve"> </w:t>
      </w:r>
      <w:r w:rsidR="0064522E" w:rsidRPr="00321CB3">
        <w:t>r</w:t>
      </w:r>
      <w:r w:rsidRPr="00321CB3">
        <w:t>esistant at least to BOTH isoniazid and rifampicin (low level isoniazid resi</w:t>
      </w:r>
      <w:r w:rsidR="00254FA2" w:rsidRPr="00321CB3">
        <w:t>s</w:t>
      </w:r>
      <w:r w:rsidRPr="00321CB3">
        <w:t>tance is considered simply as “resistant”</w:t>
      </w:r>
      <w:r w:rsidR="00F4604A" w:rsidRPr="00321CB3">
        <w:t>)</w:t>
      </w:r>
      <w:r w:rsidR="00F03267" w:rsidRPr="00321CB3">
        <w:t>.</w:t>
      </w:r>
    </w:p>
    <w:p w14:paraId="74563A9E" w14:textId="1632F537" w:rsidR="003661D4" w:rsidRPr="00321CB3" w:rsidRDefault="003661D4" w:rsidP="00062009">
      <w:pPr>
        <w:pStyle w:val="StyleIndentBefore3pt"/>
        <w:ind w:firstLine="0"/>
      </w:pPr>
      <w:r w:rsidRPr="00321CB3">
        <w:rPr>
          <w:rStyle w:val="Strong"/>
        </w:rPr>
        <w:t>Pre-Extensively Drug Resistant TB</w:t>
      </w:r>
      <w:r w:rsidR="00B50638" w:rsidRPr="00321CB3">
        <w:rPr>
          <w:rStyle w:val="Strong"/>
        </w:rPr>
        <w:t xml:space="preserve"> (Pre-XDR TB)</w:t>
      </w:r>
      <w:r w:rsidRPr="00321CB3">
        <w:rPr>
          <w:rStyle w:val="Strong"/>
        </w:rPr>
        <w:t>:</w:t>
      </w:r>
      <w:r w:rsidR="00321CB3" w:rsidRPr="00321CB3">
        <w:t xml:space="preserve"> </w:t>
      </w:r>
      <w:r w:rsidR="00E80136" w:rsidRPr="00321CB3">
        <w:t xml:space="preserve">M. tuberculosis strains that fulfil the definition of multidrug resistant </w:t>
      </w:r>
      <w:r w:rsidR="00D22A62" w:rsidRPr="00321CB3">
        <w:t>or</w:t>
      </w:r>
      <w:r w:rsidR="00E80136" w:rsidRPr="00321CB3">
        <w:t xml:space="preserve"> rifampicin-resistant TB (MDR/RR-TB) and which are also resistant to any fluoroquinolone.</w:t>
      </w:r>
    </w:p>
    <w:p w14:paraId="1B246891" w14:textId="2E41E655" w:rsidR="008C673C" w:rsidRPr="00321CB3" w:rsidRDefault="008C673C" w:rsidP="00062009">
      <w:pPr>
        <w:pStyle w:val="StyleIndentBefore3pt"/>
        <w:ind w:firstLine="0"/>
      </w:pPr>
      <w:r w:rsidRPr="00321CB3">
        <w:rPr>
          <w:rStyle w:val="Strong"/>
        </w:rPr>
        <w:t>Extensively drug resistant TB (XDR-TB):</w:t>
      </w:r>
      <w:r w:rsidR="00321CB3" w:rsidRPr="00321CB3">
        <w:t xml:space="preserve"> </w:t>
      </w:r>
      <w:r w:rsidRPr="00321CB3">
        <w:rPr>
          <w:rStyle w:val="Emphasis"/>
          <w:i w:val="0"/>
          <w:iCs w:val="0"/>
        </w:rPr>
        <w:t>M. tuberculosis</w:t>
      </w:r>
      <w:r w:rsidRPr="00321CB3">
        <w:t> strains that fulfil the definition of MDR/RR-TB and which are also resistant to any fluoroquinolone and at least one additional WHO endorsed Group A drug (</w:t>
      </w:r>
      <w:proofErr w:type="spellStart"/>
      <w:r w:rsidRPr="00321CB3">
        <w:t>bedaquiline</w:t>
      </w:r>
      <w:proofErr w:type="spellEnd"/>
      <w:r w:rsidRPr="00321CB3">
        <w:t xml:space="preserve"> and/or linezolid) (</w:t>
      </w:r>
      <w:hyperlink r:id="rId19" w:history="1">
        <w:r w:rsidR="00510E29" w:rsidRPr="00321CB3">
          <w:rPr>
            <w:rStyle w:val="Hyperlink"/>
          </w:rPr>
          <w:t>WHO 2</w:t>
        </w:r>
        <w:r w:rsidRPr="00321CB3">
          <w:rPr>
            <w:rStyle w:val="Hyperlink"/>
          </w:rPr>
          <w:t>021 updated definition</w:t>
        </w:r>
      </w:hyperlink>
      <w:r w:rsidRPr="00321CB3">
        <w:t>). The definition prior to 2021 was MDR/RR-TB which was also resistant to a fluoroquinolone and at least one of the second line injectable agents (amikacin, kanamycin, or capreomycin).</w:t>
      </w:r>
    </w:p>
    <w:p w14:paraId="3C4FAD1E" w14:textId="4FE77E4E" w:rsidR="009D0951" w:rsidRPr="00E71AC6" w:rsidRDefault="009D0951" w:rsidP="00E71AC6">
      <w:r w:rsidRPr="00E71AC6">
        <w:rPr>
          <w:rStyle w:val="Strong"/>
        </w:rPr>
        <w:t>CXR</w:t>
      </w:r>
      <w:r w:rsidR="007A4336" w:rsidRPr="00E71AC6">
        <w:tab/>
      </w:r>
      <w:r w:rsidR="0092627E" w:rsidRPr="00E71AC6">
        <w:t>C</w:t>
      </w:r>
      <w:r w:rsidRPr="00E71AC6">
        <w:t xml:space="preserve">hest </w:t>
      </w:r>
      <w:r w:rsidR="0069786E" w:rsidRPr="00E71AC6">
        <w:t>X-ray (</w:t>
      </w:r>
      <w:r w:rsidR="001227AA" w:rsidRPr="00E71AC6">
        <w:t>radiograph)</w:t>
      </w:r>
    </w:p>
    <w:p w14:paraId="73E93CFB" w14:textId="7EF60E1C" w:rsidR="00E72862" w:rsidRPr="00E71AC6" w:rsidRDefault="00E72862" w:rsidP="00E71AC6">
      <w:r w:rsidRPr="00321CB3">
        <w:rPr>
          <w:rStyle w:val="Strong"/>
        </w:rPr>
        <w:t>DOT</w:t>
      </w:r>
      <w:r w:rsidR="001C4210" w:rsidRPr="00E71AC6">
        <w:tab/>
      </w:r>
      <w:r w:rsidR="0092627E" w:rsidRPr="00E71AC6">
        <w:t>D</w:t>
      </w:r>
      <w:r w:rsidRPr="00E71AC6">
        <w:t>irectly observed therapy</w:t>
      </w:r>
    </w:p>
    <w:p w14:paraId="169CD035" w14:textId="6CF0D6B5" w:rsidR="00BF06B9" w:rsidRPr="00E71AC6" w:rsidRDefault="00BF06B9" w:rsidP="00E71AC6">
      <w:r w:rsidRPr="00321CB3">
        <w:rPr>
          <w:rStyle w:val="Strong"/>
        </w:rPr>
        <w:t>DST</w:t>
      </w:r>
      <w:r w:rsidR="00E71AC6">
        <w:tab/>
      </w:r>
      <w:r w:rsidR="0092627E" w:rsidRPr="00E71AC6">
        <w:t>D</w:t>
      </w:r>
      <w:r w:rsidRPr="00E71AC6">
        <w:t>rug susceptibility testing</w:t>
      </w:r>
    </w:p>
    <w:p w14:paraId="3A02EC58" w14:textId="6D2AC74A" w:rsidR="00BF06B9" w:rsidRPr="00E71AC6" w:rsidRDefault="00BF06B9" w:rsidP="00321CB3">
      <w:r w:rsidRPr="00321CB3">
        <w:rPr>
          <w:rStyle w:val="Strong"/>
        </w:rPr>
        <w:t>FDC</w:t>
      </w:r>
      <w:r w:rsidR="00C3410D" w:rsidRPr="00E71AC6">
        <w:tab/>
      </w:r>
      <w:r w:rsidR="0092627E" w:rsidRPr="00E71AC6">
        <w:t>F</w:t>
      </w:r>
      <w:r w:rsidRPr="00E71AC6">
        <w:t xml:space="preserve">ixed-dose combination (medicines) </w:t>
      </w:r>
    </w:p>
    <w:p w14:paraId="135C5C16" w14:textId="0D870E2D" w:rsidR="00BF06B9" w:rsidRPr="00E71AC6" w:rsidRDefault="00BF06B9" w:rsidP="00321CB3">
      <w:r w:rsidRPr="00321CB3">
        <w:rPr>
          <w:rStyle w:val="Strong"/>
        </w:rPr>
        <w:t>HIV</w:t>
      </w:r>
      <w:r w:rsidR="00C3410D" w:rsidRPr="00E71AC6">
        <w:tab/>
      </w:r>
      <w:r w:rsidR="0092627E" w:rsidRPr="00E71AC6">
        <w:t>H</w:t>
      </w:r>
      <w:r w:rsidRPr="00E71AC6">
        <w:t xml:space="preserve">uman immunodeficiency virus </w:t>
      </w:r>
    </w:p>
    <w:p w14:paraId="634047C9" w14:textId="4F8B0168" w:rsidR="003A193F" w:rsidRPr="00E71AC6" w:rsidRDefault="00BF06B9" w:rsidP="00062009">
      <w:pPr>
        <w:pStyle w:val="StyleIndentBefore3pt"/>
      </w:pPr>
      <w:r w:rsidRPr="00321CB3">
        <w:rPr>
          <w:rStyle w:val="Strong"/>
        </w:rPr>
        <w:t>HRZ</w:t>
      </w:r>
      <w:r w:rsidR="00365C6C" w:rsidRPr="00321CB3">
        <w:rPr>
          <w:rStyle w:val="Strong"/>
        </w:rPr>
        <w:t>(E)</w:t>
      </w:r>
      <w:r w:rsidR="007A4336" w:rsidRPr="00E71AC6">
        <w:tab/>
      </w:r>
      <w:r w:rsidR="0092627E" w:rsidRPr="00E71AC6">
        <w:t>I</w:t>
      </w:r>
      <w:r w:rsidRPr="00E71AC6">
        <w:t>soniazid–rifampicin–pyrazinamide</w:t>
      </w:r>
      <w:r w:rsidR="00B101A9" w:rsidRPr="00E71AC6">
        <w:t xml:space="preserve">- </w:t>
      </w:r>
      <w:r w:rsidR="00D22A62" w:rsidRPr="00E71AC6">
        <w:t>(</w:t>
      </w:r>
      <w:r w:rsidR="00B101A9" w:rsidRPr="00E71AC6">
        <w:t>ethambutol</w:t>
      </w:r>
      <w:r w:rsidR="00D22A62" w:rsidRPr="00E71AC6">
        <w:t>)</w:t>
      </w:r>
      <w:r w:rsidR="00365C6C" w:rsidRPr="00E71AC6">
        <w:t>. The use of brackets indicates th</w:t>
      </w:r>
      <w:r w:rsidR="00F768E3" w:rsidRPr="00E71AC6">
        <w:t>at the</w:t>
      </w:r>
      <w:r w:rsidR="001E3202" w:rsidRPr="00E71AC6">
        <w:t xml:space="preserve"> </w:t>
      </w:r>
      <w:r w:rsidR="00F768E3" w:rsidRPr="00E71AC6">
        <w:t>use of the agent (ethambutol)</w:t>
      </w:r>
      <w:r w:rsidR="00D253E0" w:rsidRPr="00E71AC6">
        <w:t xml:space="preserve"> is conditional</w:t>
      </w:r>
      <w:r w:rsidR="00A03285" w:rsidRPr="00E71AC6">
        <w:t>.</w:t>
      </w:r>
    </w:p>
    <w:p w14:paraId="342B4715" w14:textId="68D3C81F" w:rsidR="003A193F" w:rsidRPr="00E71AC6" w:rsidRDefault="003A193F" w:rsidP="00E71AC6">
      <w:r w:rsidRPr="00321CB3">
        <w:rPr>
          <w:rStyle w:val="Strong"/>
        </w:rPr>
        <w:t>IGRA</w:t>
      </w:r>
      <w:r w:rsidR="00C3410D" w:rsidRPr="00E71AC6">
        <w:tab/>
      </w:r>
      <w:r w:rsidR="0092627E" w:rsidRPr="00E71AC6">
        <w:t>I</w:t>
      </w:r>
      <w:r w:rsidR="00E72862" w:rsidRPr="00E71AC6">
        <w:t xml:space="preserve">nterferon </w:t>
      </w:r>
      <w:r w:rsidRPr="00E71AC6">
        <w:t>gamma release assay</w:t>
      </w:r>
    </w:p>
    <w:p w14:paraId="7EAF9E78" w14:textId="6AD0EEF8" w:rsidR="00254FA2" w:rsidRPr="00E71AC6" w:rsidRDefault="003A193F" w:rsidP="00E71AC6">
      <w:r w:rsidRPr="00321CB3">
        <w:rPr>
          <w:rStyle w:val="Strong"/>
        </w:rPr>
        <w:t>Index Case</w:t>
      </w:r>
      <w:r w:rsidRPr="00E71AC6">
        <w:t xml:space="preserve"> </w:t>
      </w:r>
      <w:r w:rsidR="00A96479" w:rsidRPr="00E71AC6">
        <w:tab/>
      </w:r>
      <w:r w:rsidR="0092627E" w:rsidRPr="00E71AC6">
        <w:t>T</w:t>
      </w:r>
      <w:r w:rsidRPr="00E71AC6">
        <w:t>h</w:t>
      </w:r>
      <w:r w:rsidR="00254FA2" w:rsidRPr="00E71AC6">
        <w:t xml:space="preserve">e case with </w:t>
      </w:r>
      <w:r w:rsidR="00AB4E7D" w:rsidRPr="00E71AC6">
        <w:t xml:space="preserve">suspected or </w:t>
      </w:r>
      <w:r w:rsidR="00254FA2" w:rsidRPr="00E71AC6">
        <w:t>confirmed TB that triggered contact investigation</w:t>
      </w:r>
    </w:p>
    <w:p w14:paraId="733F8F85" w14:textId="4B647B1C" w:rsidR="00BF06B9" w:rsidRPr="00E71AC6" w:rsidRDefault="00BF06B9" w:rsidP="00E71AC6">
      <w:r w:rsidRPr="00321CB3">
        <w:rPr>
          <w:rStyle w:val="Strong"/>
        </w:rPr>
        <w:t>LPA</w:t>
      </w:r>
      <w:r w:rsidR="00A96479" w:rsidRPr="00E71AC6">
        <w:tab/>
      </w:r>
      <w:r w:rsidR="0092627E" w:rsidRPr="00E71AC6">
        <w:t>L</w:t>
      </w:r>
      <w:r w:rsidRPr="00E71AC6">
        <w:t>ine probe assay</w:t>
      </w:r>
    </w:p>
    <w:p w14:paraId="62061464" w14:textId="757E4C4E" w:rsidR="00254FA2" w:rsidRPr="00E71AC6" w:rsidRDefault="00BF06B9" w:rsidP="00062009">
      <w:pPr>
        <w:pStyle w:val="StyleIndentBefore3pt"/>
      </w:pPr>
      <w:r w:rsidRPr="00321CB3">
        <w:rPr>
          <w:rStyle w:val="Strong"/>
        </w:rPr>
        <w:t>LTBI</w:t>
      </w:r>
      <w:r w:rsidR="00A96479" w:rsidRPr="00E71AC6">
        <w:tab/>
      </w:r>
      <w:r w:rsidR="0092627E" w:rsidRPr="00E71AC6">
        <w:t>L</w:t>
      </w:r>
      <w:r w:rsidRPr="00E71AC6">
        <w:t>atent tuberculosis infection</w:t>
      </w:r>
      <w:r w:rsidR="00844492" w:rsidRPr="00E71AC6">
        <w:t xml:space="preserve"> </w:t>
      </w:r>
      <w:r w:rsidR="00254FA2" w:rsidRPr="00E71AC6">
        <w:t>– M. tuberculosis complex infection without active disease (</w:t>
      </w:r>
      <w:proofErr w:type="gramStart"/>
      <w:r w:rsidR="00254FA2" w:rsidRPr="00E71AC6">
        <w:t>i.e.</w:t>
      </w:r>
      <w:proofErr w:type="gramEnd"/>
      <w:r w:rsidR="001E3202" w:rsidRPr="00E71AC6">
        <w:t xml:space="preserve"> </w:t>
      </w:r>
      <w:r w:rsidR="00254FA2" w:rsidRPr="00E71AC6">
        <w:t>a dormant infection not able to be transmitted)</w:t>
      </w:r>
      <w:r w:rsidR="00844492" w:rsidRPr="00E71AC6">
        <w:t>; asymptomatic</w:t>
      </w:r>
      <w:r w:rsidR="0056333A" w:rsidRPr="00E71AC6">
        <w:t>.</w:t>
      </w:r>
    </w:p>
    <w:p w14:paraId="34D6EECD" w14:textId="09423128" w:rsidR="000553F9" w:rsidRPr="00E71AC6" w:rsidRDefault="000553F9" w:rsidP="00062009">
      <w:pPr>
        <w:pStyle w:val="StyleIndentBefore3pt"/>
      </w:pPr>
      <w:r w:rsidRPr="00321CB3">
        <w:rPr>
          <w:rStyle w:val="Strong"/>
        </w:rPr>
        <w:t>Migrant</w:t>
      </w:r>
      <w:r w:rsidR="00A96479" w:rsidRPr="00E71AC6">
        <w:tab/>
      </w:r>
      <w:r w:rsidRPr="00E71AC6">
        <w:t>International Organization for Migration defines a migrant as any person who is moving or</w:t>
      </w:r>
      <w:r w:rsidR="00A96479" w:rsidRPr="00E71AC6">
        <w:t xml:space="preserve"> </w:t>
      </w:r>
      <w:r w:rsidRPr="00E71AC6">
        <w:t>has moved across an international border or within a State away from his/her habitual place of residence, regardless of (1) the person’s legal status; (2) whether the movement is voluntary or involuntary; (3) what the causes for the movement are; or (4) what the length of the stay is</w:t>
      </w:r>
      <w:r w:rsidR="00A03285" w:rsidRPr="00E71AC6">
        <w:t>.</w:t>
      </w:r>
    </w:p>
    <w:p w14:paraId="367FB6BF" w14:textId="096BB33B" w:rsidR="00BC7098" w:rsidRPr="00E71AC6" w:rsidRDefault="00BC7098" w:rsidP="008E1DFC">
      <w:r w:rsidRPr="00321CB3">
        <w:rPr>
          <w:rStyle w:val="Strong"/>
        </w:rPr>
        <w:t>PPD</w:t>
      </w:r>
      <w:r w:rsidR="001C4210" w:rsidRPr="00E71AC6">
        <w:tab/>
      </w:r>
      <w:r w:rsidR="0092627E" w:rsidRPr="00E71AC6">
        <w:t>T</w:t>
      </w:r>
      <w:r w:rsidRPr="00E71AC6">
        <w:t>uberculin Purified Protein Derivative</w:t>
      </w:r>
    </w:p>
    <w:p w14:paraId="28DC0C18" w14:textId="0387C5A2" w:rsidR="001C4210" w:rsidRPr="00E71AC6" w:rsidRDefault="001C4210" w:rsidP="00E71AC6">
      <w:r w:rsidRPr="00321CB3">
        <w:rPr>
          <w:rStyle w:val="Strong"/>
        </w:rPr>
        <w:t>SAE</w:t>
      </w:r>
      <w:r w:rsidRPr="00E71AC6">
        <w:tab/>
      </w:r>
      <w:r w:rsidR="0092627E" w:rsidRPr="00E71AC6">
        <w:t>S</w:t>
      </w:r>
      <w:r w:rsidRPr="00E71AC6">
        <w:t>erious adverse event</w:t>
      </w:r>
    </w:p>
    <w:p w14:paraId="4BAE0710" w14:textId="734CD490" w:rsidR="001C4210" w:rsidRPr="00E71AC6" w:rsidRDefault="00BF06B9" w:rsidP="00E71AC6">
      <w:r w:rsidRPr="00321CB3">
        <w:rPr>
          <w:rStyle w:val="Strong"/>
        </w:rPr>
        <w:t>SAT</w:t>
      </w:r>
      <w:r w:rsidR="001C4210" w:rsidRPr="00E71AC6">
        <w:tab/>
      </w:r>
      <w:r w:rsidR="0092627E" w:rsidRPr="00E71AC6">
        <w:t>S</w:t>
      </w:r>
      <w:r w:rsidRPr="00E71AC6">
        <w:t xml:space="preserve">elf-administered treatment or unsupervised treatment </w:t>
      </w:r>
    </w:p>
    <w:p w14:paraId="6BCA1681" w14:textId="01BBB185" w:rsidR="00254FA2" w:rsidRPr="00E71AC6" w:rsidRDefault="00254FA2" w:rsidP="00062009">
      <w:pPr>
        <w:pStyle w:val="StyleIndentBefore3pt"/>
      </w:pPr>
      <w:r w:rsidRPr="00321CB3">
        <w:rPr>
          <w:rStyle w:val="Strong"/>
        </w:rPr>
        <w:t>Source case</w:t>
      </w:r>
      <w:r w:rsidR="00DD523A" w:rsidRPr="00E71AC6">
        <w:tab/>
      </w:r>
      <w:proofErr w:type="gramStart"/>
      <w:r w:rsidR="0092627E" w:rsidRPr="00E71AC6">
        <w:t>T</w:t>
      </w:r>
      <w:r w:rsidRPr="00E71AC6">
        <w:t>he</w:t>
      </w:r>
      <w:proofErr w:type="gramEnd"/>
      <w:r w:rsidRPr="00E71AC6">
        <w:t xml:space="preserve"> case most likely to have transmitted TB to the index case, and/or a wider group of people</w:t>
      </w:r>
      <w:r w:rsidR="0056333A" w:rsidRPr="00E71AC6">
        <w:t>.</w:t>
      </w:r>
    </w:p>
    <w:p w14:paraId="5CB8355B" w14:textId="2F12C67B" w:rsidR="00BF06B9" w:rsidRPr="00321CB3" w:rsidRDefault="00BF06B9" w:rsidP="00321CB3">
      <w:r w:rsidRPr="00321CB3">
        <w:rPr>
          <w:rStyle w:val="Strong"/>
        </w:rPr>
        <w:t>TB</w:t>
      </w:r>
      <w:r w:rsidR="001C4210" w:rsidRPr="00321CB3">
        <w:tab/>
      </w:r>
      <w:r w:rsidR="0092627E" w:rsidRPr="00321CB3">
        <w:t>T</w:t>
      </w:r>
      <w:r w:rsidRPr="00321CB3">
        <w:t>uberculosis</w:t>
      </w:r>
    </w:p>
    <w:p w14:paraId="212A6230" w14:textId="1FB13D22" w:rsidR="003A193F" w:rsidRPr="00321CB3" w:rsidRDefault="003A193F" w:rsidP="00321CB3">
      <w:r w:rsidRPr="00321CB3">
        <w:rPr>
          <w:rStyle w:val="Strong"/>
        </w:rPr>
        <w:t>TST</w:t>
      </w:r>
      <w:r w:rsidR="002D055A" w:rsidRPr="00321CB3">
        <w:tab/>
      </w:r>
      <w:r w:rsidR="0092627E" w:rsidRPr="00321CB3">
        <w:t>T</w:t>
      </w:r>
      <w:r w:rsidRPr="00321CB3">
        <w:t>uberculin skin test</w:t>
      </w:r>
    </w:p>
    <w:p w14:paraId="43FA2FFA" w14:textId="6D82FC18" w:rsidR="007C7F50" w:rsidRPr="00321CB3" w:rsidRDefault="00BF06B9" w:rsidP="008E1DFC">
      <w:r w:rsidRPr="00321CB3">
        <w:rPr>
          <w:rStyle w:val="Strong"/>
        </w:rPr>
        <w:t>WHO</w:t>
      </w:r>
      <w:r w:rsidR="002D055A" w:rsidRPr="00321CB3">
        <w:tab/>
      </w:r>
      <w:r w:rsidRPr="00321CB3">
        <w:t>World Health Organization</w:t>
      </w:r>
      <w:r w:rsidR="007C7F50" w:rsidRPr="00321CB3">
        <w:rPr>
          <w:highlight w:val="yellow"/>
        </w:rPr>
        <w:br w:type="page"/>
      </w:r>
    </w:p>
    <w:sdt>
      <w:sdtPr>
        <w:rPr>
          <w:rFonts w:eastAsiaTheme="minorHAnsi" w:cstheme="minorBidi"/>
          <w:b w:val="0"/>
          <w:color w:val="auto"/>
          <w:sz w:val="22"/>
          <w:szCs w:val="22"/>
        </w:rPr>
        <w:id w:val="-687679944"/>
        <w:docPartObj>
          <w:docPartGallery w:val="Table of Contents"/>
          <w:docPartUnique/>
        </w:docPartObj>
      </w:sdtPr>
      <w:sdtEndPr>
        <w:rPr>
          <w:highlight w:val="yellow"/>
        </w:rPr>
      </w:sdtEndPr>
      <w:sdtContent>
        <w:p w14:paraId="5D8A53E0" w14:textId="77777777" w:rsidR="002F6001" w:rsidRPr="003031A7" w:rsidRDefault="002F6001" w:rsidP="00507191">
          <w:pPr>
            <w:pStyle w:val="TOCHeading"/>
          </w:pPr>
          <w:r w:rsidRPr="003031A7">
            <w:t>Contents</w:t>
          </w:r>
        </w:p>
        <w:p w14:paraId="46E15DC3" w14:textId="103611C3" w:rsidR="00F04ACE" w:rsidRDefault="002F6001" w:rsidP="00F04ACE">
          <w:pPr>
            <w:pStyle w:val="TOC1"/>
            <w:rPr>
              <w:rFonts w:asciiTheme="minorHAnsi" w:eastAsiaTheme="minorEastAsia" w:hAnsiTheme="minorHAnsi"/>
            </w:rPr>
          </w:pPr>
          <w:r w:rsidRPr="004D44EC">
            <w:fldChar w:fldCharType="begin"/>
          </w:r>
          <w:r w:rsidRPr="004D44EC">
            <w:instrText xml:space="preserve"> TOC \o "1-2" \h \z \u </w:instrText>
          </w:r>
          <w:r w:rsidRPr="004D44EC">
            <w:fldChar w:fldCharType="separate"/>
          </w:r>
          <w:hyperlink w:anchor="_Toc97195026" w:history="1">
            <w:r w:rsidR="00F04ACE" w:rsidRPr="00721DA9">
              <w:rPr>
                <w:rStyle w:val="Hyperlink"/>
              </w:rPr>
              <w:t>Summary of revision history</w:t>
            </w:r>
            <w:r w:rsidR="00F04ACE">
              <w:rPr>
                <w:webHidden/>
              </w:rPr>
              <w:tab/>
            </w:r>
            <w:r w:rsidR="00F04ACE">
              <w:rPr>
                <w:webHidden/>
              </w:rPr>
              <w:fldChar w:fldCharType="begin"/>
            </w:r>
            <w:r w:rsidR="00F04ACE">
              <w:rPr>
                <w:webHidden/>
              </w:rPr>
              <w:instrText xml:space="preserve"> PAGEREF _Toc97195026 \h </w:instrText>
            </w:r>
            <w:r w:rsidR="00F04ACE">
              <w:rPr>
                <w:webHidden/>
              </w:rPr>
            </w:r>
            <w:r w:rsidR="00F04ACE">
              <w:rPr>
                <w:webHidden/>
              </w:rPr>
              <w:fldChar w:fldCharType="separate"/>
            </w:r>
            <w:r w:rsidR="00F04ACE">
              <w:rPr>
                <w:webHidden/>
              </w:rPr>
              <w:t>2</w:t>
            </w:r>
            <w:r w:rsidR="00F04ACE">
              <w:rPr>
                <w:webHidden/>
              </w:rPr>
              <w:fldChar w:fldCharType="end"/>
            </w:r>
          </w:hyperlink>
        </w:p>
        <w:p w14:paraId="4ED6D190" w14:textId="4960A1C5" w:rsidR="00F04ACE" w:rsidRDefault="00F04ACE" w:rsidP="00F04ACE">
          <w:pPr>
            <w:pStyle w:val="TOC1"/>
            <w:rPr>
              <w:rFonts w:asciiTheme="minorHAnsi" w:eastAsiaTheme="minorEastAsia" w:hAnsiTheme="minorHAnsi"/>
            </w:rPr>
          </w:pPr>
          <w:hyperlink w:anchor="_Toc97195027" w:history="1">
            <w:r w:rsidRPr="00721DA9">
              <w:rPr>
                <w:rStyle w:val="Hyperlink"/>
              </w:rPr>
              <w:t>Abbreviations and definitions</w:t>
            </w:r>
            <w:r>
              <w:rPr>
                <w:webHidden/>
              </w:rPr>
              <w:tab/>
            </w:r>
            <w:r>
              <w:rPr>
                <w:webHidden/>
              </w:rPr>
              <w:fldChar w:fldCharType="begin"/>
            </w:r>
            <w:r>
              <w:rPr>
                <w:webHidden/>
              </w:rPr>
              <w:instrText xml:space="preserve"> PAGEREF _Toc97195027 \h </w:instrText>
            </w:r>
            <w:r>
              <w:rPr>
                <w:webHidden/>
              </w:rPr>
            </w:r>
            <w:r>
              <w:rPr>
                <w:webHidden/>
              </w:rPr>
              <w:fldChar w:fldCharType="separate"/>
            </w:r>
            <w:r>
              <w:rPr>
                <w:webHidden/>
              </w:rPr>
              <w:t>3</w:t>
            </w:r>
            <w:r>
              <w:rPr>
                <w:webHidden/>
              </w:rPr>
              <w:fldChar w:fldCharType="end"/>
            </w:r>
          </w:hyperlink>
        </w:p>
        <w:p w14:paraId="22326558" w14:textId="7A8E5CF8" w:rsidR="00F04ACE" w:rsidRDefault="00F04ACE" w:rsidP="00F04ACE">
          <w:pPr>
            <w:pStyle w:val="TOC1"/>
            <w:rPr>
              <w:rFonts w:asciiTheme="minorHAnsi" w:eastAsiaTheme="minorEastAsia" w:hAnsiTheme="minorHAnsi"/>
            </w:rPr>
          </w:pPr>
          <w:hyperlink w:anchor="_Toc97195028" w:history="1">
            <w:r w:rsidRPr="00721DA9">
              <w:rPr>
                <w:rStyle w:val="Hyperlink"/>
              </w:rPr>
              <w:t>1.</w:t>
            </w:r>
            <w:r>
              <w:rPr>
                <w:rFonts w:asciiTheme="minorHAnsi" w:eastAsiaTheme="minorEastAsia" w:hAnsiTheme="minorHAnsi"/>
              </w:rPr>
              <w:tab/>
            </w:r>
            <w:r w:rsidRPr="00721DA9">
              <w:rPr>
                <w:rStyle w:val="Hyperlink"/>
              </w:rPr>
              <w:t>Summary</w:t>
            </w:r>
            <w:r>
              <w:rPr>
                <w:webHidden/>
              </w:rPr>
              <w:tab/>
            </w:r>
            <w:r>
              <w:rPr>
                <w:webHidden/>
              </w:rPr>
              <w:fldChar w:fldCharType="begin"/>
            </w:r>
            <w:r>
              <w:rPr>
                <w:webHidden/>
              </w:rPr>
              <w:instrText xml:space="preserve"> PAGEREF _Toc97195028 \h </w:instrText>
            </w:r>
            <w:r>
              <w:rPr>
                <w:webHidden/>
              </w:rPr>
            </w:r>
            <w:r>
              <w:rPr>
                <w:webHidden/>
              </w:rPr>
              <w:fldChar w:fldCharType="separate"/>
            </w:r>
            <w:r>
              <w:rPr>
                <w:webHidden/>
              </w:rPr>
              <w:t>6</w:t>
            </w:r>
            <w:r>
              <w:rPr>
                <w:webHidden/>
              </w:rPr>
              <w:fldChar w:fldCharType="end"/>
            </w:r>
          </w:hyperlink>
        </w:p>
        <w:p w14:paraId="0266A741" w14:textId="569984EA" w:rsidR="00F04ACE" w:rsidRDefault="00F04ACE">
          <w:pPr>
            <w:pStyle w:val="TOC2"/>
            <w:rPr>
              <w:rFonts w:asciiTheme="minorHAnsi" w:eastAsiaTheme="minorEastAsia" w:hAnsiTheme="minorHAnsi"/>
              <w:noProof/>
            </w:rPr>
          </w:pPr>
          <w:hyperlink w:anchor="_Toc97195029" w:history="1">
            <w:r w:rsidRPr="00721DA9">
              <w:rPr>
                <w:rStyle w:val="Hyperlink"/>
                <w:noProof/>
              </w:rPr>
              <w:t>Public health priority</w:t>
            </w:r>
            <w:r>
              <w:rPr>
                <w:noProof/>
                <w:webHidden/>
              </w:rPr>
              <w:tab/>
            </w:r>
            <w:r>
              <w:rPr>
                <w:noProof/>
                <w:webHidden/>
              </w:rPr>
              <w:fldChar w:fldCharType="begin"/>
            </w:r>
            <w:r>
              <w:rPr>
                <w:noProof/>
                <w:webHidden/>
              </w:rPr>
              <w:instrText xml:space="preserve"> PAGEREF _Toc97195029 \h </w:instrText>
            </w:r>
            <w:r>
              <w:rPr>
                <w:noProof/>
                <w:webHidden/>
              </w:rPr>
            </w:r>
            <w:r>
              <w:rPr>
                <w:noProof/>
                <w:webHidden/>
              </w:rPr>
              <w:fldChar w:fldCharType="separate"/>
            </w:r>
            <w:r>
              <w:rPr>
                <w:noProof/>
                <w:webHidden/>
              </w:rPr>
              <w:t>6</w:t>
            </w:r>
            <w:r>
              <w:rPr>
                <w:noProof/>
                <w:webHidden/>
              </w:rPr>
              <w:fldChar w:fldCharType="end"/>
            </w:r>
          </w:hyperlink>
        </w:p>
        <w:p w14:paraId="372B2AA0" w14:textId="7339BB4F" w:rsidR="00F04ACE" w:rsidRDefault="00F04ACE">
          <w:pPr>
            <w:pStyle w:val="TOC2"/>
            <w:rPr>
              <w:rFonts w:asciiTheme="minorHAnsi" w:eastAsiaTheme="minorEastAsia" w:hAnsiTheme="minorHAnsi"/>
              <w:noProof/>
            </w:rPr>
          </w:pPr>
          <w:hyperlink w:anchor="_Toc97195030" w:history="1">
            <w:r w:rsidRPr="00721DA9">
              <w:rPr>
                <w:rStyle w:val="Hyperlink"/>
                <w:noProof/>
              </w:rPr>
              <w:t>Case management</w:t>
            </w:r>
            <w:r>
              <w:rPr>
                <w:noProof/>
                <w:webHidden/>
              </w:rPr>
              <w:tab/>
            </w:r>
            <w:r>
              <w:rPr>
                <w:noProof/>
                <w:webHidden/>
              </w:rPr>
              <w:fldChar w:fldCharType="begin"/>
            </w:r>
            <w:r>
              <w:rPr>
                <w:noProof/>
                <w:webHidden/>
              </w:rPr>
              <w:instrText xml:space="preserve"> PAGEREF _Toc97195030 \h </w:instrText>
            </w:r>
            <w:r>
              <w:rPr>
                <w:noProof/>
                <w:webHidden/>
              </w:rPr>
            </w:r>
            <w:r>
              <w:rPr>
                <w:noProof/>
                <w:webHidden/>
              </w:rPr>
              <w:fldChar w:fldCharType="separate"/>
            </w:r>
            <w:r>
              <w:rPr>
                <w:noProof/>
                <w:webHidden/>
              </w:rPr>
              <w:t>6</w:t>
            </w:r>
            <w:r>
              <w:rPr>
                <w:noProof/>
                <w:webHidden/>
              </w:rPr>
              <w:fldChar w:fldCharType="end"/>
            </w:r>
          </w:hyperlink>
        </w:p>
        <w:p w14:paraId="0E0F16F2" w14:textId="54D32D87" w:rsidR="00F04ACE" w:rsidRDefault="00F04ACE">
          <w:pPr>
            <w:pStyle w:val="TOC2"/>
            <w:rPr>
              <w:rFonts w:asciiTheme="minorHAnsi" w:eastAsiaTheme="minorEastAsia" w:hAnsiTheme="minorHAnsi"/>
              <w:noProof/>
            </w:rPr>
          </w:pPr>
          <w:hyperlink w:anchor="_Toc97195031" w:history="1">
            <w:r w:rsidRPr="00721DA9">
              <w:rPr>
                <w:rStyle w:val="Hyperlink"/>
                <w:noProof/>
              </w:rPr>
              <w:t>Contact management</w:t>
            </w:r>
            <w:r>
              <w:rPr>
                <w:noProof/>
                <w:webHidden/>
              </w:rPr>
              <w:tab/>
            </w:r>
            <w:r>
              <w:rPr>
                <w:noProof/>
                <w:webHidden/>
              </w:rPr>
              <w:fldChar w:fldCharType="begin"/>
            </w:r>
            <w:r>
              <w:rPr>
                <w:noProof/>
                <w:webHidden/>
              </w:rPr>
              <w:instrText xml:space="preserve"> PAGEREF _Toc97195031 \h </w:instrText>
            </w:r>
            <w:r>
              <w:rPr>
                <w:noProof/>
                <w:webHidden/>
              </w:rPr>
            </w:r>
            <w:r>
              <w:rPr>
                <w:noProof/>
                <w:webHidden/>
              </w:rPr>
              <w:fldChar w:fldCharType="separate"/>
            </w:r>
            <w:r>
              <w:rPr>
                <w:noProof/>
                <w:webHidden/>
              </w:rPr>
              <w:t>6</w:t>
            </w:r>
            <w:r>
              <w:rPr>
                <w:noProof/>
                <w:webHidden/>
              </w:rPr>
              <w:fldChar w:fldCharType="end"/>
            </w:r>
          </w:hyperlink>
        </w:p>
        <w:p w14:paraId="73EFEBB9" w14:textId="0831967E" w:rsidR="00F04ACE" w:rsidRDefault="00F04ACE" w:rsidP="00F04ACE">
          <w:pPr>
            <w:pStyle w:val="TOC1"/>
            <w:rPr>
              <w:rFonts w:asciiTheme="minorHAnsi" w:eastAsiaTheme="minorEastAsia" w:hAnsiTheme="minorHAnsi"/>
            </w:rPr>
          </w:pPr>
          <w:hyperlink w:anchor="_Toc97195032" w:history="1">
            <w:r w:rsidRPr="00721DA9">
              <w:rPr>
                <w:rStyle w:val="Hyperlink"/>
              </w:rPr>
              <w:t>2.</w:t>
            </w:r>
            <w:r>
              <w:rPr>
                <w:rFonts w:asciiTheme="minorHAnsi" w:eastAsiaTheme="minorEastAsia" w:hAnsiTheme="minorHAnsi"/>
              </w:rPr>
              <w:tab/>
            </w:r>
            <w:r w:rsidRPr="00721DA9">
              <w:rPr>
                <w:rStyle w:val="Hyperlink"/>
              </w:rPr>
              <w:t>The disease</w:t>
            </w:r>
            <w:r>
              <w:rPr>
                <w:webHidden/>
              </w:rPr>
              <w:tab/>
            </w:r>
            <w:r>
              <w:rPr>
                <w:webHidden/>
              </w:rPr>
              <w:fldChar w:fldCharType="begin"/>
            </w:r>
            <w:r>
              <w:rPr>
                <w:webHidden/>
              </w:rPr>
              <w:instrText xml:space="preserve"> PAGEREF _Toc97195032 \h </w:instrText>
            </w:r>
            <w:r>
              <w:rPr>
                <w:webHidden/>
              </w:rPr>
            </w:r>
            <w:r>
              <w:rPr>
                <w:webHidden/>
              </w:rPr>
              <w:fldChar w:fldCharType="separate"/>
            </w:r>
            <w:r>
              <w:rPr>
                <w:webHidden/>
              </w:rPr>
              <w:t>7</w:t>
            </w:r>
            <w:r>
              <w:rPr>
                <w:webHidden/>
              </w:rPr>
              <w:fldChar w:fldCharType="end"/>
            </w:r>
          </w:hyperlink>
        </w:p>
        <w:p w14:paraId="5632FFAF" w14:textId="7FA1B567" w:rsidR="00F04ACE" w:rsidRDefault="00F04ACE">
          <w:pPr>
            <w:pStyle w:val="TOC2"/>
            <w:rPr>
              <w:rFonts w:asciiTheme="minorHAnsi" w:eastAsiaTheme="minorEastAsia" w:hAnsiTheme="minorHAnsi"/>
              <w:noProof/>
            </w:rPr>
          </w:pPr>
          <w:hyperlink w:anchor="_Toc97195033" w:history="1">
            <w:r w:rsidRPr="00721DA9">
              <w:rPr>
                <w:rStyle w:val="Hyperlink"/>
                <w:noProof/>
              </w:rPr>
              <w:t>Infectious agents</w:t>
            </w:r>
            <w:r>
              <w:rPr>
                <w:noProof/>
                <w:webHidden/>
              </w:rPr>
              <w:tab/>
            </w:r>
            <w:r>
              <w:rPr>
                <w:noProof/>
                <w:webHidden/>
              </w:rPr>
              <w:fldChar w:fldCharType="begin"/>
            </w:r>
            <w:r>
              <w:rPr>
                <w:noProof/>
                <w:webHidden/>
              </w:rPr>
              <w:instrText xml:space="preserve"> PAGEREF _Toc97195033 \h </w:instrText>
            </w:r>
            <w:r>
              <w:rPr>
                <w:noProof/>
                <w:webHidden/>
              </w:rPr>
            </w:r>
            <w:r>
              <w:rPr>
                <w:noProof/>
                <w:webHidden/>
              </w:rPr>
              <w:fldChar w:fldCharType="separate"/>
            </w:r>
            <w:r>
              <w:rPr>
                <w:noProof/>
                <w:webHidden/>
              </w:rPr>
              <w:t>7</w:t>
            </w:r>
            <w:r>
              <w:rPr>
                <w:noProof/>
                <w:webHidden/>
              </w:rPr>
              <w:fldChar w:fldCharType="end"/>
            </w:r>
          </w:hyperlink>
        </w:p>
        <w:p w14:paraId="7D87B091" w14:textId="5EAB190D" w:rsidR="00F04ACE" w:rsidRDefault="00F04ACE">
          <w:pPr>
            <w:pStyle w:val="TOC2"/>
            <w:rPr>
              <w:rFonts w:asciiTheme="minorHAnsi" w:eastAsiaTheme="minorEastAsia" w:hAnsiTheme="minorHAnsi"/>
              <w:noProof/>
            </w:rPr>
          </w:pPr>
          <w:hyperlink w:anchor="_Toc97195034" w:history="1">
            <w:r w:rsidRPr="00721DA9">
              <w:rPr>
                <w:rStyle w:val="Hyperlink"/>
                <w:noProof/>
              </w:rPr>
              <w:t>Reservoir</w:t>
            </w:r>
            <w:r>
              <w:rPr>
                <w:noProof/>
                <w:webHidden/>
              </w:rPr>
              <w:tab/>
            </w:r>
            <w:r>
              <w:rPr>
                <w:noProof/>
                <w:webHidden/>
              </w:rPr>
              <w:fldChar w:fldCharType="begin"/>
            </w:r>
            <w:r>
              <w:rPr>
                <w:noProof/>
                <w:webHidden/>
              </w:rPr>
              <w:instrText xml:space="preserve"> PAGEREF _Toc97195034 \h </w:instrText>
            </w:r>
            <w:r>
              <w:rPr>
                <w:noProof/>
                <w:webHidden/>
              </w:rPr>
            </w:r>
            <w:r>
              <w:rPr>
                <w:noProof/>
                <w:webHidden/>
              </w:rPr>
              <w:fldChar w:fldCharType="separate"/>
            </w:r>
            <w:r>
              <w:rPr>
                <w:noProof/>
                <w:webHidden/>
              </w:rPr>
              <w:t>7</w:t>
            </w:r>
            <w:r>
              <w:rPr>
                <w:noProof/>
                <w:webHidden/>
              </w:rPr>
              <w:fldChar w:fldCharType="end"/>
            </w:r>
          </w:hyperlink>
        </w:p>
        <w:p w14:paraId="598D9C44" w14:textId="27B9E4DF" w:rsidR="00F04ACE" w:rsidRDefault="00F04ACE">
          <w:pPr>
            <w:pStyle w:val="TOC2"/>
            <w:rPr>
              <w:rFonts w:asciiTheme="minorHAnsi" w:eastAsiaTheme="minorEastAsia" w:hAnsiTheme="minorHAnsi"/>
              <w:noProof/>
            </w:rPr>
          </w:pPr>
          <w:hyperlink w:anchor="_Toc97195035" w:history="1">
            <w:r w:rsidRPr="00721DA9">
              <w:rPr>
                <w:rStyle w:val="Hyperlink"/>
                <w:noProof/>
              </w:rPr>
              <w:t>Mode of transmission</w:t>
            </w:r>
            <w:r>
              <w:rPr>
                <w:noProof/>
                <w:webHidden/>
              </w:rPr>
              <w:tab/>
            </w:r>
            <w:r>
              <w:rPr>
                <w:noProof/>
                <w:webHidden/>
              </w:rPr>
              <w:fldChar w:fldCharType="begin"/>
            </w:r>
            <w:r>
              <w:rPr>
                <w:noProof/>
                <w:webHidden/>
              </w:rPr>
              <w:instrText xml:space="preserve"> PAGEREF _Toc97195035 \h </w:instrText>
            </w:r>
            <w:r>
              <w:rPr>
                <w:noProof/>
                <w:webHidden/>
              </w:rPr>
            </w:r>
            <w:r>
              <w:rPr>
                <w:noProof/>
                <w:webHidden/>
              </w:rPr>
              <w:fldChar w:fldCharType="separate"/>
            </w:r>
            <w:r>
              <w:rPr>
                <w:noProof/>
                <w:webHidden/>
              </w:rPr>
              <w:t>7</w:t>
            </w:r>
            <w:r>
              <w:rPr>
                <w:noProof/>
                <w:webHidden/>
              </w:rPr>
              <w:fldChar w:fldCharType="end"/>
            </w:r>
          </w:hyperlink>
        </w:p>
        <w:p w14:paraId="28B0C4A1" w14:textId="46E751EC" w:rsidR="00F04ACE" w:rsidRDefault="00F04ACE">
          <w:pPr>
            <w:pStyle w:val="TOC2"/>
            <w:rPr>
              <w:rFonts w:asciiTheme="minorHAnsi" w:eastAsiaTheme="minorEastAsia" w:hAnsiTheme="minorHAnsi"/>
              <w:noProof/>
            </w:rPr>
          </w:pPr>
          <w:hyperlink w:anchor="_Toc97195036" w:history="1">
            <w:r w:rsidRPr="00721DA9">
              <w:rPr>
                <w:rStyle w:val="Hyperlink"/>
                <w:noProof/>
              </w:rPr>
              <w:t>Incubation period</w:t>
            </w:r>
            <w:r>
              <w:rPr>
                <w:noProof/>
                <w:webHidden/>
              </w:rPr>
              <w:tab/>
            </w:r>
            <w:r>
              <w:rPr>
                <w:noProof/>
                <w:webHidden/>
              </w:rPr>
              <w:fldChar w:fldCharType="begin"/>
            </w:r>
            <w:r>
              <w:rPr>
                <w:noProof/>
                <w:webHidden/>
              </w:rPr>
              <w:instrText xml:space="preserve"> PAGEREF _Toc97195036 \h </w:instrText>
            </w:r>
            <w:r>
              <w:rPr>
                <w:noProof/>
                <w:webHidden/>
              </w:rPr>
            </w:r>
            <w:r>
              <w:rPr>
                <w:noProof/>
                <w:webHidden/>
              </w:rPr>
              <w:fldChar w:fldCharType="separate"/>
            </w:r>
            <w:r>
              <w:rPr>
                <w:noProof/>
                <w:webHidden/>
              </w:rPr>
              <w:t>7</w:t>
            </w:r>
            <w:r>
              <w:rPr>
                <w:noProof/>
                <w:webHidden/>
              </w:rPr>
              <w:fldChar w:fldCharType="end"/>
            </w:r>
          </w:hyperlink>
        </w:p>
        <w:p w14:paraId="20742BDB" w14:textId="0B89C43D" w:rsidR="00F04ACE" w:rsidRDefault="00F04ACE">
          <w:pPr>
            <w:pStyle w:val="TOC2"/>
            <w:rPr>
              <w:rFonts w:asciiTheme="minorHAnsi" w:eastAsiaTheme="minorEastAsia" w:hAnsiTheme="minorHAnsi"/>
              <w:noProof/>
            </w:rPr>
          </w:pPr>
          <w:hyperlink w:anchor="_Toc97195037" w:history="1">
            <w:r w:rsidRPr="00721DA9">
              <w:rPr>
                <w:rStyle w:val="Hyperlink"/>
                <w:noProof/>
              </w:rPr>
              <w:t>Infectious period</w:t>
            </w:r>
            <w:r>
              <w:rPr>
                <w:noProof/>
                <w:webHidden/>
              </w:rPr>
              <w:tab/>
            </w:r>
            <w:r>
              <w:rPr>
                <w:noProof/>
                <w:webHidden/>
              </w:rPr>
              <w:fldChar w:fldCharType="begin"/>
            </w:r>
            <w:r>
              <w:rPr>
                <w:noProof/>
                <w:webHidden/>
              </w:rPr>
              <w:instrText xml:space="preserve"> PAGEREF _Toc97195037 \h </w:instrText>
            </w:r>
            <w:r>
              <w:rPr>
                <w:noProof/>
                <w:webHidden/>
              </w:rPr>
            </w:r>
            <w:r>
              <w:rPr>
                <w:noProof/>
                <w:webHidden/>
              </w:rPr>
              <w:fldChar w:fldCharType="separate"/>
            </w:r>
            <w:r>
              <w:rPr>
                <w:noProof/>
                <w:webHidden/>
              </w:rPr>
              <w:t>7</w:t>
            </w:r>
            <w:r>
              <w:rPr>
                <w:noProof/>
                <w:webHidden/>
              </w:rPr>
              <w:fldChar w:fldCharType="end"/>
            </w:r>
          </w:hyperlink>
        </w:p>
        <w:p w14:paraId="23C34275" w14:textId="431C2374" w:rsidR="00F04ACE" w:rsidRDefault="00F04ACE">
          <w:pPr>
            <w:pStyle w:val="TOC2"/>
            <w:rPr>
              <w:rFonts w:asciiTheme="minorHAnsi" w:eastAsiaTheme="minorEastAsia" w:hAnsiTheme="minorHAnsi"/>
              <w:noProof/>
            </w:rPr>
          </w:pPr>
          <w:hyperlink w:anchor="_Toc97195038" w:history="1">
            <w:r w:rsidRPr="00721DA9">
              <w:rPr>
                <w:rStyle w:val="Hyperlink"/>
                <w:noProof/>
              </w:rPr>
              <w:t>Clinical presentation and outcome</w:t>
            </w:r>
            <w:r>
              <w:rPr>
                <w:noProof/>
                <w:webHidden/>
              </w:rPr>
              <w:tab/>
            </w:r>
            <w:r>
              <w:rPr>
                <w:noProof/>
                <w:webHidden/>
              </w:rPr>
              <w:fldChar w:fldCharType="begin"/>
            </w:r>
            <w:r>
              <w:rPr>
                <w:noProof/>
                <w:webHidden/>
              </w:rPr>
              <w:instrText xml:space="preserve"> PAGEREF _Toc97195038 \h </w:instrText>
            </w:r>
            <w:r>
              <w:rPr>
                <w:noProof/>
                <w:webHidden/>
              </w:rPr>
            </w:r>
            <w:r>
              <w:rPr>
                <w:noProof/>
                <w:webHidden/>
              </w:rPr>
              <w:fldChar w:fldCharType="separate"/>
            </w:r>
            <w:r>
              <w:rPr>
                <w:noProof/>
                <w:webHidden/>
              </w:rPr>
              <w:t>8</w:t>
            </w:r>
            <w:r>
              <w:rPr>
                <w:noProof/>
                <w:webHidden/>
              </w:rPr>
              <w:fldChar w:fldCharType="end"/>
            </w:r>
          </w:hyperlink>
        </w:p>
        <w:p w14:paraId="14D94A70" w14:textId="7F14CF67" w:rsidR="00F04ACE" w:rsidRDefault="00F04ACE">
          <w:pPr>
            <w:pStyle w:val="TOC2"/>
            <w:rPr>
              <w:rFonts w:asciiTheme="minorHAnsi" w:eastAsiaTheme="minorEastAsia" w:hAnsiTheme="minorHAnsi"/>
              <w:noProof/>
            </w:rPr>
          </w:pPr>
          <w:hyperlink w:anchor="_Toc97195039" w:history="1">
            <w:r w:rsidRPr="00721DA9">
              <w:rPr>
                <w:rStyle w:val="Hyperlink"/>
                <w:noProof/>
              </w:rPr>
              <w:t>Persons at increased risk of TB</w:t>
            </w:r>
            <w:r>
              <w:rPr>
                <w:noProof/>
                <w:webHidden/>
              </w:rPr>
              <w:tab/>
            </w:r>
            <w:r>
              <w:rPr>
                <w:noProof/>
                <w:webHidden/>
              </w:rPr>
              <w:fldChar w:fldCharType="begin"/>
            </w:r>
            <w:r>
              <w:rPr>
                <w:noProof/>
                <w:webHidden/>
              </w:rPr>
              <w:instrText xml:space="preserve"> PAGEREF _Toc97195039 \h </w:instrText>
            </w:r>
            <w:r>
              <w:rPr>
                <w:noProof/>
                <w:webHidden/>
              </w:rPr>
            </w:r>
            <w:r>
              <w:rPr>
                <w:noProof/>
                <w:webHidden/>
              </w:rPr>
              <w:fldChar w:fldCharType="separate"/>
            </w:r>
            <w:r>
              <w:rPr>
                <w:noProof/>
                <w:webHidden/>
              </w:rPr>
              <w:t>8</w:t>
            </w:r>
            <w:r>
              <w:rPr>
                <w:noProof/>
                <w:webHidden/>
              </w:rPr>
              <w:fldChar w:fldCharType="end"/>
            </w:r>
          </w:hyperlink>
        </w:p>
        <w:p w14:paraId="6F096C8C" w14:textId="73248802" w:rsidR="00F04ACE" w:rsidRDefault="00F04ACE">
          <w:pPr>
            <w:pStyle w:val="TOC2"/>
            <w:rPr>
              <w:rFonts w:asciiTheme="minorHAnsi" w:eastAsiaTheme="minorEastAsia" w:hAnsiTheme="minorHAnsi"/>
              <w:noProof/>
            </w:rPr>
          </w:pPr>
          <w:hyperlink w:anchor="_Toc97195040" w:history="1">
            <w:r w:rsidRPr="00721DA9">
              <w:rPr>
                <w:rStyle w:val="Hyperlink"/>
                <w:noProof/>
              </w:rPr>
              <w:t>Disease occurrence and public health significance</w:t>
            </w:r>
            <w:r>
              <w:rPr>
                <w:noProof/>
                <w:webHidden/>
              </w:rPr>
              <w:tab/>
            </w:r>
            <w:r>
              <w:rPr>
                <w:noProof/>
                <w:webHidden/>
              </w:rPr>
              <w:fldChar w:fldCharType="begin"/>
            </w:r>
            <w:r>
              <w:rPr>
                <w:noProof/>
                <w:webHidden/>
              </w:rPr>
              <w:instrText xml:space="preserve"> PAGEREF _Toc97195040 \h </w:instrText>
            </w:r>
            <w:r>
              <w:rPr>
                <w:noProof/>
                <w:webHidden/>
              </w:rPr>
            </w:r>
            <w:r>
              <w:rPr>
                <w:noProof/>
                <w:webHidden/>
              </w:rPr>
              <w:fldChar w:fldCharType="separate"/>
            </w:r>
            <w:r>
              <w:rPr>
                <w:noProof/>
                <w:webHidden/>
              </w:rPr>
              <w:t>9</w:t>
            </w:r>
            <w:r>
              <w:rPr>
                <w:noProof/>
                <w:webHidden/>
              </w:rPr>
              <w:fldChar w:fldCharType="end"/>
            </w:r>
          </w:hyperlink>
        </w:p>
        <w:p w14:paraId="57962A19" w14:textId="2739D568" w:rsidR="00F04ACE" w:rsidRDefault="00F04ACE" w:rsidP="00F04ACE">
          <w:pPr>
            <w:pStyle w:val="TOC1"/>
            <w:rPr>
              <w:rFonts w:asciiTheme="minorHAnsi" w:eastAsiaTheme="minorEastAsia" w:hAnsiTheme="minorHAnsi"/>
            </w:rPr>
          </w:pPr>
          <w:hyperlink w:anchor="_Toc97195041" w:history="1">
            <w:r w:rsidRPr="00721DA9">
              <w:rPr>
                <w:rStyle w:val="Hyperlink"/>
              </w:rPr>
              <w:t>3.</w:t>
            </w:r>
            <w:r>
              <w:rPr>
                <w:rFonts w:asciiTheme="minorHAnsi" w:eastAsiaTheme="minorEastAsia" w:hAnsiTheme="minorHAnsi"/>
              </w:rPr>
              <w:tab/>
            </w:r>
            <w:r w:rsidRPr="00721DA9">
              <w:rPr>
                <w:rStyle w:val="Hyperlink"/>
              </w:rPr>
              <w:t>Routine prevention activities</w:t>
            </w:r>
            <w:r>
              <w:rPr>
                <w:webHidden/>
              </w:rPr>
              <w:tab/>
            </w:r>
            <w:r>
              <w:rPr>
                <w:webHidden/>
              </w:rPr>
              <w:fldChar w:fldCharType="begin"/>
            </w:r>
            <w:r>
              <w:rPr>
                <w:webHidden/>
              </w:rPr>
              <w:instrText xml:space="preserve"> PAGEREF _Toc97195041 \h </w:instrText>
            </w:r>
            <w:r>
              <w:rPr>
                <w:webHidden/>
              </w:rPr>
            </w:r>
            <w:r>
              <w:rPr>
                <w:webHidden/>
              </w:rPr>
              <w:fldChar w:fldCharType="separate"/>
            </w:r>
            <w:r>
              <w:rPr>
                <w:webHidden/>
              </w:rPr>
              <w:t>10</w:t>
            </w:r>
            <w:r>
              <w:rPr>
                <w:webHidden/>
              </w:rPr>
              <w:fldChar w:fldCharType="end"/>
            </w:r>
          </w:hyperlink>
        </w:p>
        <w:p w14:paraId="36D9E902" w14:textId="6049F762" w:rsidR="00F04ACE" w:rsidRDefault="00F04ACE">
          <w:pPr>
            <w:pStyle w:val="TOC2"/>
            <w:rPr>
              <w:rFonts w:asciiTheme="minorHAnsi" w:eastAsiaTheme="minorEastAsia" w:hAnsiTheme="minorHAnsi"/>
              <w:noProof/>
            </w:rPr>
          </w:pPr>
          <w:hyperlink w:anchor="_Toc97195042" w:history="1">
            <w:r w:rsidRPr="00721DA9">
              <w:rPr>
                <w:rStyle w:val="Hyperlink"/>
                <w:noProof/>
              </w:rPr>
              <w:t>TB Program activities</w:t>
            </w:r>
            <w:r>
              <w:rPr>
                <w:noProof/>
                <w:webHidden/>
              </w:rPr>
              <w:tab/>
            </w:r>
            <w:r>
              <w:rPr>
                <w:noProof/>
                <w:webHidden/>
              </w:rPr>
              <w:fldChar w:fldCharType="begin"/>
            </w:r>
            <w:r>
              <w:rPr>
                <w:noProof/>
                <w:webHidden/>
              </w:rPr>
              <w:instrText xml:space="preserve"> PAGEREF _Toc97195042 \h </w:instrText>
            </w:r>
            <w:r>
              <w:rPr>
                <w:noProof/>
                <w:webHidden/>
              </w:rPr>
            </w:r>
            <w:r>
              <w:rPr>
                <w:noProof/>
                <w:webHidden/>
              </w:rPr>
              <w:fldChar w:fldCharType="separate"/>
            </w:r>
            <w:r>
              <w:rPr>
                <w:noProof/>
                <w:webHidden/>
              </w:rPr>
              <w:t>10</w:t>
            </w:r>
            <w:r>
              <w:rPr>
                <w:noProof/>
                <w:webHidden/>
              </w:rPr>
              <w:fldChar w:fldCharType="end"/>
            </w:r>
          </w:hyperlink>
        </w:p>
        <w:p w14:paraId="60CCC917" w14:textId="03A62C8E" w:rsidR="00F04ACE" w:rsidRDefault="00F04ACE">
          <w:pPr>
            <w:pStyle w:val="TOC2"/>
            <w:rPr>
              <w:rFonts w:asciiTheme="minorHAnsi" w:eastAsiaTheme="minorEastAsia" w:hAnsiTheme="minorHAnsi"/>
              <w:noProof/>
            </w:rPr>
          </w:pPr>
          <w:hyperlink w:anchor="_Toc97195043" w:history="1">
            <w:r w:rsidRPr="00721DA9">
              <w:rPr>
                <w:rStyle w:val="Hyperlink"/>
                <w:noProof/>
              </w:rPr>
              <w:t>Migration screening</w:t>
            </w:r>
            <w:r>
              <w:rPr>
                <w:noProof/>
                <w:webHidden/>
              </w:rPr>
              <w:tab/>
            </w:r>
            <w:r>
              <w:rPr>
                <w:noProof/>
                <w:webHidden/>
              </w:rPr>
              <w:fldChar w:fldCharType="begin"/>
            </w:r>
            <w:r>
              <w:rPr>
                <w:noProof/>
                <w:webHidden/>
              </w:rPr>
              <w:instrText xml:space="preserve"> PAGEREF _Toc97195043 \h </w:instrText>
            </w:r>
            <w:r>
              <w:rPr>
                <w:noProof/>
                <w:webHidden/>
              </w:rPr>
            </w:r>
            <w:r>
              <w:rPr>
                <w:noProof/>
                <w:webHidden/>
              </w:rPr>
              <w:fldChar w:fldCharType="separate"/>
            </w:r>
            <w:r>
              <w:rPr>
                <w:noProof/>
                <w:webHidden/>
              </w:rPr>
              <w:t>10</w:t>
            </w:r>
            <w:r>
              <w:rPr>
                <w:noProof/>
                <w:webHidden/>
              </w:rPr>
              <w:fldChar w:fldCharType="end"/>
            </w:r>
          </w:hyperlink>
        </w:p>
        <w:p w14:paraId="2B4B6F9E" w14:textId="5753E12E" w:rsidR="00F04ACE" w:rsidRDefault="00F04ACE">
          <w:pPr>
            <w:pStyle w:val="TOC2"/>
            <w:rPr>
              <w:rFonts w:asciiTheme="minorHAnsi" w:eastAsiaTheme="minorEastAsia" w:hAnsiTheme="minorHAnsi"/>
              <w:noProof/>
            </w:rPr>
          </w:pPr>
          <w:hyperlink w:anchor="_Toc97195044" w:history="1">
            <w:r w:rsidRPr="00721DA9">
              <w:rPr>
                <w:rStyle w:val="Hyperlink"/>
                <w:noProof/>
              </w:rPr>
              <w:t>Vaccination</w:t>
            </w:r>
            <w:r>
              <w:rPr>
                <w:noProof/>
                <w:webHidden/>
              </w:rPr>
              <w:tab/>
            </w:r>
            <w:r>
              <w:rPr>
                <w:noProof/>
                <w:webHidden/>
              </w:rPr>
              <w:fldChar w:fldCharType="begin"/>
            </w:r>
            <w:r>
              <w:rPr>
                <w:noProof/>
                <w:webHidden/>
              </w:rPr>
              <w:instrText xml:space="preserve"> PAGEREF _Toc97195044 \h </w:instrText>
            </w:r>
            <w:r>
              <w:rPr>
                <w:noProof/>
                <w:webHidden/>
              </w:rPr>
            </w:r>
            <w:r>
              <w:rPr>
                <w:noProof/>
                <w:webHidden/>
              </w:rPr>
              <w:fldChar w:fldCharType="separate"/>
            </w:r>
            <w:r>
              <w:rPr>
                <w:noProof/>
                <w:webHidden/>
              </w:rPr>
              <w:t>12</w:t>
            </w:r>
            <w:r>
              <w:rPr>
                <w:noProof/>
                <w:webHidden/>
              </w:rPr>
              <w:fldChar w:fldCharType="end"/>
            </w:r>
          </w:hyperlink>
        </w:p>
        <w:p w14:paraId="0805C855" w14:textId="51EF3D10" w:rsidR="00F04ACE" w:rsidRDefault="00F04ACE">
          <w:pPr>
            <w:pStyle w:val="TOC2"/>
            <w:rPr>
              <w:rFonts w:asciiTheme="minorHAnsi" w:eastAsiaTheme="minorEastAsia" w:hAnsiTheme="minorHAnsi"/>
              <w:noProof/>
            </w:rPr>
          </w:pPr>
          <w:hyperlink w:anchor="_Toc97195045" w:history="1">
            <w:r w:rsidRPr="00721DA9">
              <w:rPr>
                <w:rStyle w:val="Hyperlink"/>
                <w:noProof/>
              </w:rPr>
              <w:t>When BCG vaccine is not available</w:t>
            </w:r>
            <w:r>
              <w:rPr>
                <w:noProof/>
                <w:webHidden/>
              </w:rPr>
              <w:tab/>
            </w:r>
            <w:r>
              <w:rPr>
                <w:noProof/>
                <w:webHidden/>
              </w:rPr>
              <w:fldChar w:fldCharType="begin"/>
            </w:r>
            <w:r>
              <w:rPr>
                <w:noProof/>
                <w:webHidden/>
              </w:rPr>
              <w:instrText xml:space="preserve"> PAGEREF _Toc97195045 \h </w:instrText>
            </w:r>
            <w:r>
              <w:rPr>
                <w:noProof/>
                <w:webHidden/>
              </w:rPr>
            </w:r>
            <w:r>
              <w:rPr>
                <w:noProof/>
                <w:webHidden/>
              </w:rPr>
              <w:fldChar w:fldCharType="separate"/>
            </w:r>
            <w:r>
              <w:rPr>
                <w:noProof/>
                <w:webHidden/>
              </w:rPr>
              <w:t>12</w:t>
            </w:r>
            <w:r>
              <w:rPr>
                <w:noProof/>
                <w:webHidden/>
              </w:rPr>
              <w:fldChar w:fldCharType="end"/>
            </w:r>
          </w:hyperlink>
        </w:p>
        <w:p w14:paraId="60E326BD" w14:textId="35A79A8A" w:rsidR="00F04ACE" w:rsidRDefault="00F04ACE">
          <w:pPr>
            <w:pStyle w:val="TOC2"/>
            <w:rPr>
              <w:rFonts w:asciiTheme="minorHAnsi" w:eastAsiaTheme="minorEastAsia" w:hAnsiTheme="minorHAnsi"/>
              <w:noProof/>
            </w:rPr>
          </w:pPr>
          <w:hyperlink w:anchor="_Toc97195046" w:history="1">
            <w:r w:rsidRPr="00721DA9">
              <w:rPr>
                <w:rStyle w:val="Hyperlink"/>
                <w:noProof/>
              </w:rPr>
              <w:t>Overseas travellers</w:t>
            </w:r>
            <w:r>
              <w:rPr>
                <w:noProof/>
                <w:webHidden/>
              </w:rPr>
              <w:tab/>
            </w:r>
            <w:r>
              <w:rPr>
                <w:noProof/>
                <w:webHidden/>
              </w:rPr>
              <w:fldChar w:fldCharType="begin"/>
            </w:r>
            <w:r>
              <w:rPr>
                <w:noProof/>
                <w:webHidden/>
              </w:rPr>
              <w:instrText xml:space="preserve"> PAGEREF _Toc97195046 \h </w:instrText>
            </w:r>
            <w:r>
              <w:rPr>
                <w:noProof/>
                <w:webHidden/>
              </w:rPr>
            </w:r>
            <w:r>
              <w:rPr>
                <w:noProof/>
                <w:webHidden/>
              </w:rPr>
              <w:fldChar w:fldCharType="separate"/>
            </w:r>
            <w:r>
              <w:rPr>
                <w:noProof/>
                <w:webHidden/>
              </w:rPr>
              <w:t>12</w:t>
            </w:r>
            <w:r>
              <w:rPr>
                <w:noProof/>
                <w:webHidden/>
              </w:rPr>
              <w:fldChar w:fldCharType="end"/>
            </w:r>
          </w:hyperlink>
        </w:p>
        <w:p w14:paraId="055213E7" w14:textId="11067425" w:rsidR="00F04ACE" w:rsidRDefault="00F04ACE" w:rsidP="00F04ACE">
          <w:pPr>
            <w:pStyle w:val="TOC1"/>
            <w:rPr>
              <w:rFonts w:asciiTheme="minorHAnsi" w:eastAsiaTheme="minorEastAsia" w:hAnsiTheme="minorHAnsi"/>
            </w:rPr>
          </w:pPr>
          <w:hyperlink w:anchor="_Toc97195047" w:history="1">
            <w:r w:rsidRPr="00721DA9">
              <w:rPr>
                <w:rStyle w:val="Hyperlink"/>
              </w:rPr>
              <w:t>4.</w:t>
            </w:r>
            <w:r>
              <w:rPr>
                <w:rFonts w:asciiTheme="minorHAnsi" w:eastAsiaTheme="minorEastAsia" w:hAnsiTheme="minorHAnsi"/>
              </w:rPr>
              <w:tab/>
            </w:r>
            <w:r w:rsidRPr="00721DA9">
              <w:rPr>
                <w:rStyle w:val="Hyperlink"/>
              </w:rPr>
              <w:t>Surveillance objectives</w:t>
            </w:r>
            <w:r>
              <w:rPr>
                <w:webHidden/>
              </w:rPr>
              <w:tab/>
            </w:r>
            <w:r>
              <w:rPr>
                <w:webHidden/>
              </w:rPr>
              <w:fldChar w:fldCharType="begin"/>
            </w:r>
            <w:r>
              <w:rPr>
                <w:webHidden/>
              </w:rPr>
              <w:instrText xml:space="preserve"> PAGEREF _Toc97195047 \h </w:instrText>
            </w:r>
            <w:r>
              <w:rPr>
                <w:webHidden/>
              </w:rPr>
            </w:r>
            <w:r>
              <w:rPr>
                <w:webHidden/>
              </w:rPr>
              <w:fldChar w:fldCharType="separate"/>
            </w:r>
            <w:r>
              <w:rPr>
                <w:webHidden/>
              </w:rPr>
              <w:t>13</w:t>
            </w:r>
            <w:r>
              <w:rPr>
                <w:webHidden/>
              </w:rPr>
              <w:fldChar w:fldCharType="end"/>
            </w:r>
          </w:hyperlink>
        </w:p>
        <w:p w14:paraId="38D24655" w14:textId="13601433" w:rsidR="00F04ACE" w:rsidRDefault="00F04ACE" w:rsidP="00F04ACE">
          <w:pPr>
            <w:pStyle w:val="TOC1"/>
            <w:rPr>
              <w:rFonts w:asciiTheme="minorHAnsi" w:eastAsiaTheme="minorEastAsia" w:hAnsiTheme="minorHAnsi"/>
            </w:rPr>
          </w:pPr>
          <w:hyperlink w:anchor="_Toc97195048" w:history="1">
            <w:r w:rsidRPr="00721DA9">
              <w:rPr>
                <w:rStyle w:val="Hyperlink"/>
              </w:rPr>
              <w:t>5.</w:t>
            </w:r>
            <w:r>
              <w:rPr>
                <w:rFonts w:asciiTheme="minorHAnsi" w:eastAsiaTheme="minorEastAsia" w:hAnsiTheme="minorHAnsi"/>
              </w:rPr>
              <w:tab/>
            </w:r>
            <w:r w:rsidRPr="00721DA9">
              <w:rPr>
                <w:rStyle w:val="Hyperlink"/>
              </w:rPr>
              <w:t>Data management</w:t>
            </w:r>
            <w:r>
              <w:rPr>
                <w:webHidden/>
              </w:rPr>
              <w:tab/>
            </w:r>
            <w:r>
              <w:rPr>
                <w:webHidden/>
              </w:rPr>
              <w:fldChar w:fldCharType="begin"/>
            </w:r>
            <w:r>
              <w:rPr>
                <w:webHidden/>
              </w:rPr>
              <w:instrText xml:space="preserve"> PAGEREF _Toc97195048 \h </w:instrText>
            </w:r>
            <w:r>
              <w:rPr>
                <w:webHidden/>
              </w:rPr>
            </w:r>
            <w:r>
              <w:rPr>
                <w:webHidden/>
              </w:rPr>
              <w:fldChar w:fldCharType="separate"/>
            </w:r>
            <w:r>
              <w:rPr>
                <w:webHidden/>
              </w:rPr>
              <w:t>13</w:t>
            </w:r>
            <w:r>
              <w:rPr>
                <w:webHidden/>
              </w:rPr>
              <w:fldChar w:fldCharType="end"/>
            </w:r>
          </w:hyperlink>
        </w:p>
        <w:p w14:paraId="75E0F44E" w14:textId="257FE6E2" w:rsidR="00F04ACE" w:rsidRDefault="00F04ACE" w:rsidP="00F04ACE">
          <w:pPr>
            <w:pStyle w:val="TOC1"/>
            <w:rPr>
              <w:rFonts w:asciiTheme="minorHAnsi" w:eastAsiaTheme="minorEastAsia" w:hAnsiTheme="minorHAnsi"/>
            </w:rPr>
          </w:pPr>
          <w:hyperlink w:anchor="_Toc97195049" w:history="1">
            <w:r w:rsidRPr="00721DA9">
              <w:rPr>
                <w:rStyle w:val="Hyperlink"/>
              </w:rPr>
              <w:t>6.</w:t>
            </w:r>
            <w:r>
              <w:rPr>
                <w:rFonts w:asciiTheme="minorHAnsi" w:eastAsiaTheme="minorEastAsia" w:hAnsiTheme="minorHAnsi"/>
              </w:rPr>
              <w:tab/>
            </w:r>
            <w:r w:rsidRPr="00721DA9">
              <w:rPr>
                <w:rStyle w:val="Hyperlink"/>
              </w:rPr>
              <w:t>Communications</w:t>
            </w:r>
            <w:r>
              <w:rPr>
                <w:webHidden/>
              </w:rPr>
              <w:tab/>
            </w:r>
            <w:r>
              <w:rPr>
                <w:webHidden/>
              </w:rPr>
              <w:fldChar w:fldCharType="begin"/>
            </w:r>
            <w:r>
              <w:rPr>
                <w:webHidden/>
              </w:rPr>
              <w:instrText xml:space="preserve"> PAGEREF _Toc97195049 \h </w:instrText>
            </w:r>
            <w:r>
              <w:rPr>
                <w:webHidden/>
              </w:rPr>
            </w:r>
            <w:r>
              <w:rPr>
                <w:webHidden/>
              </w:rPr>
              <w:fldChar w:fldCharType="separate"/>
            </w:r>
            <w:r>
              <w:rPr>
                <w:webHidden/>
              </w:rPr>
              <w:t>13</w:t>
            </w:r>
            <w:r>
              <w:rPr>
                <w:webHidden/>
              </w:rPr>
              <w:fldChar w:fldCharType="end"/>
            </w:r>
          </w:hyperlink>
        </w:p>
        <w:p w14:paraId="520954D6" w14:textId="1C065A8E" w:rsidR="00F04ACE" w:rsidRDefault="00F04ACE" w:rsidP="00F04ACE">
          <w:pPr>
            <w:pStyle w:val="TOC1"/>
            <w:rPr>
              <w:rFonts w:asciiTheme="minorHAnsi" w:eastAsiaTheme="minorEastAsia" w:hAnsiTheme="minorHAnsi"/>
            </w:rPr>
          </w:pPr>
          <w:hyperlink w:anchor="_Toc97195050" w:history="1">
            <w:r w:rsidRPr="00721DA9">
              <w:rPr>
                <w:rStyle w:val="Hyperlink"/>
              </w:rPr>
              <w:t>7.</w:t>
            </w:r>
            <w:r>
              <w:rPr>
                <w:rFonts w:asciiTheme="minorHAnsi" w:eastAsiaTheme="minorEastAsia" w:hAnsiTheme="minorHAnsi"/>
              </w:rPr>
              <w:tab/>
            </w:r>
            <w:r w:rsidRPr="00721DA9">
              <w:rPr>
                <w:rStyle w:val="Hyperlink"/>
              </w:rPr>
              <w:t>Case definition</w:t>
            </w:r>
            <w:r>
              <w:rPr>
                <w:webHidden/>
              </w:rPr>
              <w:tab/>
            </w:r>
            <w:r>
              <w:rPr>
                <w:webHidden/>
              </w:rPr>
              <w:fldChar w:fldCharType="begin"/>
            </w:r>
            <w:r>
              <w:rPr>
                <w:webHidden/>
              </w:rPr>
              <w:instrText xml:space="preserve"> PAGEREF _Toc97195050 \h </w:instrText>
            </w:r>
            <w:r>
              <w:rPr>
                <w:webHidden/>
              </w:rPr>
            </w:r>
            <w:r>
              <w:rPr>
                <w:webHidden/>
              </w:rPr>
              <w:fldChar w:fldCharType="separate"/>
            </w:r>
            <w:r>
              <w:rPr>
                <w:webHidden/>
              </w:rPr>
              <w:t>14</w:t>
            </w:r>
            <w:r>
              <w:rPr>
                <w:webHidden/>
              </w:rPr>
              <w:fldChar w:fldCharType="end"/>
            </w:r>
          </w:hyperlink>
        </w:p>
        <w:p w14:paraId="4B08835D" w14:textId="3460BB7D" w:rsidR="00F04ACE" w:rsidRDefault="00F04ACE">
          <w:pPr>
            <w:pStyle w:val="TOC2"/>
            <w:rPr>
              <w:rFonts w:asciiTheme="minorHAnsi" w:eastAsiaTheme="minorEastAsia" w:hAnsiTheme="minorHAnsi"/>
              <w:noProof/>
            </w:rPr>
          </w:pPr>
          <w:hyperlink w:anchor="_Toc97195051" w:history="1">
            <w:r w:rsidRPr="00721DA9">
              <w:rPr>
                <w:rStyle w:val="Hyperlink"/>
                <w:noProof/>
              </w:rPr>
              <w:t>Reporting</w:t>
            </w:r>
            <w:r>
              <w:rPr>
                <w:noProof/>
                <w:webHidden/>
              </w:rPr>
              <w:tab/>
            </w:r>
            <w:r>
              <w:rPr>
                <w:noProof/>
                <w:webHidden/>
              </w:rPr>
              <w:fldChar w:fldCharType="begin"/>
            </w:r>
            <w:r>
              <w:rPr>
                <w:noProof/>
                <w:webHidden/>
              </w:rPr>
              <w:instrText xml:space="preserve"> PAGEREF _Toc97195051 \h </w:instrText>
            </w:r>
            <w:r>
              <w:rPr>
                <w:noProof/>
                <w:webHidden/>
              </w:rPr>
            </w:r>
            <w:r>
              <w:rPr>
                <w:noProof/>
                <w:webHidden/>
              </w:rPr>
              <w:fldChar w:fldCharType="separate"/>
            </w:r>
            <w:r>
              <w:rPr>
                <w:noProof/>
                <w:webHidden/>
              </w:rPr>
              <w:t>14</w:t>
            </w:r>
            <w:r>
              <w:rPr>
                <w:noProof/>
                <w:webHidden/>
              </w:rPr>
              <w:fldChar w:fldCharType="end"/>
            </w:r>
          </w:hyperlink>
        </w:p>
        <w:p w14:paraId="20A456A9" w14:textId="54E7C18E" w:rsidR="00F04ACE" w:rsidRDefault="00F04ACE">
          <w:pPr>
            <w:pStyle w:val="TOC2"/>
            <w:rPr>
              <w:rFonts w:asciiTheme="minorHAnsi" w:eastAsiaTheme="minorEastAsia" w:hAnsiTheme="minorHAnsi"/>
              <w:noProof/>
            </w:rPr>
          </w:pPr>
          <w:hyperlink w:anchor="_Toc97195052" w:history="1">
            <w:r w:rsidRPr="00721DA9">
              <w:rPr>
                <w:rStyle w:val="Hyperlink"/>
                <w:noProof/>
              </w:rPr>
              <w:t>Confirmed case</w:t>
            </w:r>
            <w:r>
              <w:rPr>
                <w:noProof/>
                <w:webHidden/>
              </w:rPr>
              <w:tab/>
            </w:r>
            <w:r>
              <w:rPr>
                <w:noProof/>
                <w:webHidden/>
              </w:rPr>
              <w:fldChar w:fldCharType="begin"/>
            </w:r>
            <w:r>
              <w:rPr>
                <w:noProof/>
                <w:webHidden/>
              </w:rPr>
              <w:instrText xml:space="preserve"> PAGEREF _Toc97195052 \h </w:instrText>
            </w:r>
            <w:r>
              <w:rPr>
                <w:noProof/>
                <w:webHidden/>
              </w:rPr>
            </w:r>
            <w:r>
              <w:rPr>
                <w:noProof/>
                <w:webHidden/>
              </w:rPr>
              <w:fldChar w:fldCharType="separate"/>
            </w:r>
            <w:r>
              <w:rPr>
                <w:noProof/>
                <w:webHidden/>
              </w:rPr>
              <w:t>14</w:t>
            </w:r>
            <w:r>
              <w:rPr>
                <w:noProof/>
                <w:webHidden/>
              </w:rPr>
              <w:fldChar w:fldCharType="end"/>
            </w:r>
          </w:hyperlink>
        </w:p>
        <w:p w14:paraId="5B9D5CFF" w14:textId="25922DA4" w:rsidR="00F04ACE" w:rsidRDefault="00F04ACE">
          <w:pPr>
            <w:pStyle w:val="TOC2"/>
            <w:rPr>
              <w:rFonts w:asciiTheme="minorHAnsi" w:eastAsiaTheme="minorEastAsia" w:hAnsiTheme="minorHAnsi"/>
              <w:noProof/>
            </w:rPr>
          </w:pPr>
          <w:hyperlink w:anchor="_Toc97195053" w:history="1">
            <w:r w:rsidRPr="00721DA9">
              <w:rPr>
                <w:rStyle w:val="Hyperlink"/>
                <w:noProof/>
              </w:rPr>
              <w:t>Laboratory definitive evidence</w:t>
            </w:r>
            <w:r>
              <w:rPr>
                <w:noProof/>
                <w:webHidden/>
              </w:rPr>
              <w:tab/>
            </w:r>
            <w:r>
              <w:rPr>
                <w:noProof/>
                <w:webHidden/>
              </w:rPr>
              <w:fldChar w:fldCharType="begin"/>
            </w:r>
            <w:r>
              <w:rPr>
                <w:noProof/>
                <w:webHidden/>
              </w:rPr>
              <w:instrText xml:space="preserve"> PAGEREF _Toc97195053 \h </w:instrText>
            </w:r>
            <w:r>
              <w:rPr>
                <w:noProof/>
                <w:webHidden/>
              </w:rPr>
            </w:r>
            <w:r>
              <w:rPr>
                <w:noProof/>
                <w:webHidden/>
              </w:rPr>
              <w:fldChar w:fldCharType="separate"/>
            </w:r>
            <w:r>
              <w:rPr>
                <w:noProof/>
                <w:webHidden/>
              </w:rPr>
              <w:t>14</w:t>
            </w:r>
            <w:r>
              <w:rPr>
                <w:noProof/>
                <w:webHidden/>
              </w:rPr>
              <w:fldChar w:fldCharType="end"/>
            </w:r>
          </w:hyperlink>
        </w:p>
        <w:p w14:paraId="3F05870A" w14:textId="2FBE5FAF" w:rsidR="00F04ACE" w:rsidRDefault="00F04ACE">
          <w:pPr>
            <w:pStyle w:val="TOC2"/>
            <w:rPr>
              <w:rFonts w:asciiTheme="minorHAnsi" w:eastAsiaTheme="minorEastAsia" w:hAnsiTheme="minorHAnsi"/>
              <w:noProof/>
            </w:rPr>
          </w:pPr>
          <w:hyperlink w:anchor="_Toc97195054" w:history="1">
            <w:r w:rsidRPr="00721DA9">
              <w:rPr>
                <w:rStyle w:val="Hyperlink"/>
                <w:noProof/>
              </w:rPr>
              <w:t>Clinical evidence</w:t>
            </w:r>
            <w:r>
              <w:rPr>
                <w:noProof/>
                <w:webHidden/>
              </w:rPr>
              <w:tab/>
            </w:r>
            <w:r>
              <w:rPr>
                <w:noProof/>
                <w:webHidden/>
              </w:rPr>
              <w:fldChar w:fldCharType="begin"/>
            </w:r>
            <w:r>
              <w:rPr>
                <w:noProof/>
                <w:webHidden/>
              </w:rPr>
              <w:instrText xml:space="preserve"> PAGEREF _Toc97195054 \h </w:instrText>
            </w:r>
            <w:r>
              <w:rPr>
                <w:noProof/>
                <w:webHidden/>
              </w:rPr>
            </w:r>
            <w:r>
              <w:rPr>
                <w:noProof/>
                <w:webHidden/>
              </w:rPr>
              <w:fldChar w:fldCharType="separate"/>
            </w:r>
            <w:r>
              <w:rPr>
                <w:noProof/>
                <w:webHidden/>
              </w:rPr>
              <w:t>14</w:t>
            </w:r>
            <w:r>
              <w:rPr>
                <w:noProof/>
                <w:webHidden/>
              </w:rPr>
              <w:fldChar w:fldCharType="end"/>
            </w:r>
          </w:hyperlink>
        </w:p>
        <w:p w14:paraId="521A73C2" w14:textId="3AFB4E56" w:rsidR="00F04ACE" w:rsidRDefault="00F04ACE" w:rsidP="00F04ACE">
          <w:pPr>
            <w:pStyle w:val="TOC1"/>
            <w:rPr>
              <w:rFonts w:asciiTheme="minorHAnsi" w:eastAsiaTheme="minorEastAsia" w:hAnsiTheme="minorHAnsi"/>
            </w:rPr>
          </w:pPr>
          <w:hyperlink w:anchor="_Toc97195055" w:history="1">
            <w:r w:rsidRPr="00721DA9">
              <w:rPr>
                <w:rStyle w:val="Hyperlink"/>
              </w:rPr>
              <w:t>8.</w:t>
            </w:r>
            <w:r>
              <w:rPr>
                <w:rFonts w:asciiTheme="minorHAnsi" w:eastAsiaTheme="minorEastAsia" w:hAnsiTheme="minorHAnsi"/>
              </w:rPr>
              <w:tab/>
            </w:r>
            <w:r w:rsidRPr="00721DA9">
              <w:rPr>
                <w:rStyle w:val="Hyperlink"/>
              </w:rPr>
              <w:t>Laboratory testing</w:t>
            </w:r>
            <w:r>
              <w:rPr>
                <w:webHidden/>
              </w:rPr>
              <w:tab/>
            </w:r>
            <w:r>
              <w:rPr>
                <w:webHidden/>
              </w:rPr>
              <w:fldChar w:fldCharType="begin"/>
            </w:r>
            <w:r>
              <w:rPr>
                <w:webHidden/>
              </w:rPr>
              <w:instrText xml:space="preserve"> PAGEREF _Toc97195055 \h </w:instrText>
            </w:r>
            <w:r>
              <w:rPr>
                <w:webHidden/>
              </w:rPr>
            </w:r>
            <w:r>
              <w:rPr>
                <w:webHidden/>
              </w:rPr>
              <w:fldChar w:fldCharType="separate"/>
            </w:r>
            <w:r>
              <w:rPr>
                <w:webHidden/>
              </w:rPr>
              <w:t>15</w:t>
            </w:r>
            <w:r>
              <w:rPr>
                <w:webHidden/>
              </w:rPr>
              <w:fldChar w:fldCharType="end"/>
            </w:r>
          </w:hyperlink>
        </w:p>
        <w:p w14:paraId="5BD7AD3F" w14:textId="209F79FE" w:rsidR="00F04ACE" w:rsidRDefault="00F04ACE">
          <w:pPr>
            <w:pStyle w:val="TOC2"/>
            <w:rPr>
              <w:rFonts w:asciiTheme="minorHAnsi" w:eastAsiaTheme="minorEastAsia" w:hAnsiTheme="minorHAnsi"/>
              <w:noProof/>
            </w:rPr>
          </w:pPr>
          <w:hyperlink w:anchor="_Toc97195056" w:history="1">
            <w:r w:rsidRPr="00721DA9">
              <w:rPr>
                <w:rStyle w:val="Hyperlink"/>
                <w:noProof/>
              </w:rPr>
              <w:t>Testing guidelines</w:t>
            </w:r>
            <w:r>
              <w:rPr>
                <w:noProof/>
                <w:webHidden/>
              </w:rPr>
              <w:tab/>
            </w:r>
            <w:r>
              <w:rPr>
                <w:noProof/>
                <w:webHidden/>
              </w:rPr>
              <w:fldChar w:fldCharType="begin"/>
            </w:r>
            <w:r>
              <w:rPr>
                <w:noProof/>
                <w:webHidden/>
              </w:rPr>
              <w:instrText xml:space="preserve"> PAGEREF _Toc97195056 \h </w:instrText>
            </w:r>
            <w:r>
              <w:rPr>
                <w:noProof/>
                <w:webHidden/>
              </w:rPr>
            </w:r>
            <w:r>
              <w:rPr>
                <w:noProof/>
                <w:webHidden/>
              </w:rPr>
              <w:fldChar w:fldCharType="separate"/>
            </w:r>
            <w:r>
              <w:rPr>
                <w:noProof/>
                <w:webHidden/>
              </w:rPr>
              <w:t>15</w:t>
            </w:r>
            <w:r>
              <w:rPr>
                <w:noProof/>
                <w:webHidden/>
              </w:rPr>
              <w:fldChar w:fldCharType="end"/>
            </w:r>
          </w:hyperlink>
        </w:p>
        <w:p w14:paraId="7C1E2692" w14:textId="409EB1F4" w:rsidR="00F04ACE" w:rsidRDefault="00F04ACE">
          <w:pPr>
            <w:pStyle w:val="TOC2"/>
            <w:rPr>
              <w:rFonts w:asciiTheme="minorHAnsi" w:eastAsiaTheme="minorEastAsia" w:hAnsiTheme="minorHAnsi"/>
              <w:noProof/>
            </w:rPr>
          </w:pPr>
          <w:hyperlink w:anchor="_Toc97195057" w:history="1">
            <w:r w:rsidRPr="00721DA9">
              <w:rPr>
                <w:rStyle w:val="Hyperlink"/>
                <w:noProof/>
              </w:rPr>
              <w:t>Pulmonary TB</w:t>
            </w:r>
            <w:r>
              <w:rPr>
                <w:noProof/>
                <w:webHidden/>
              </w:rPr>
              <w:tab/>
            </w:r>
            <w:r>
              <w:rPr>
                <w:noProof/>
                <w:webHidden/>
              </w:rPr>
              <w:fldChar w:fldCharType="begin"/>
            </w:r>
            <w:r>
              <w:rPr>
                <w:noProof/>
                <w:webHidden/>
              </w:rPr>
              <w:instrText xml:space="preserve"> PAGEREF _Toc97195057 \h </w:instrText>
            </w:r>
            <w:r>
              <w:rPr>
                <w:noProof/>
                <w:webHidden/>
              </w:rPr>
            </w:r>
            <w:r>
              <w:rPr>
                <w:noProof/>
                <w:webHidden/>
              </w:rPr>
              <w:fldChar w:fldCharType="separate"/>
            </w:r>
            <w:r>
              <w:rPr>
                <w:noProof/>
                <w:webHidden/>
              </w:rPr>
              <w:t>15</w:t>
            </w:r>
            <w:r>
              <w:rPr>
                <w:noProof/>
                <w:webHidden/>
              </w:rPr>
              <w:fldChar w:fldCharType="end"/>
            </w:r>
          </w:hyperlink>
        </w:p>
        <w:p w14:paraId="2BBAA354" w14:textId="2DB2B843" w:rsidR="00F04ACE" w:rsidRDefault="00F04ACE">
          <w:pPr>
            <w:pStyle w:val="TOC2"/>
            <w:rPr>
              <w:rFonts w:asciiTheme="minorHAnsi" w:eastAsiaTheme="minorEastAsia" w:hAnsiTheme="minorHAnsi"/>
              <w:noProof/>
            </w:rPr>
          </w:pPr>
          <w:hyperlink w:anchor="_Toc97195058" w:history="1">
            <w:r w:rsidRPr="00721DA9">
              <w:rPr>
                <w:rStyle w:val="Hyperlink"/>
                <w:noProof/>
              </w:rPr>
              <w:t>Infection control requirements for sputum collection</w:t>
            </w:r>
            <w:r>
              <w:rPr>
                <w:noProof/>
                <w:webHidden/>
              </w:rPr>
              <w:tab/>
            </w:r>
            <w:r>
              <w:rPr>
                <w:noProof/>
                <w:webHidden/>
              </w:rPr>
              <w:fldChar w:fldCharType="begin"/>
            </w:r>
            <w:r>
              <w:rPr>
                <w:noProof/>
                <w:webHidden/>
              </w:rPr>
              <w:instrText xml:space="preserve"> PAGEREF _Toc97195058 \h </w:instrText>
            </w:r>
            <w:r>
              <w:rPr>
                <w:noProof/>
                <w:webHidden/>
              </w:rPr>
            </w:r>
            <w:r>
              <w:rPr>
                <w:noProof/>
                <w:webHidden/>
              </w:rPr>
              <w:fldChar w:fldCharType="separate"/>
            </w:r>
            <w:r>
              <w:rPr>
                <w:noProof/>
                <w:webHidden/>
              </w:rPr>
              <w:t>15</w:t>
            </w:r>
            <w:r>
              <w:rPr>
                <w:noProof/>
                <w:webHidden/>
              </w:rPr>
              <w:fldChar w:fldCharType="end"/>
            </w:r>
          </w:hyperlink>
        </w:p>
        <w:p w14:paraId="3218A3C2" w14:textId="2F110519" w:rsidR="00F04ACE" w:rsidRDefault="00F04ACE">
          <w:pPr>
            <w:pStyle w:val="TOC2"/>
            <w:rPr>
              <w:rFonts w:asciiTheme="minorHAnsi" w:eastAsiaTheme="minorEastAsia" w:hAnsiTheme="minorHAnsi"/>
              <w:noProof/>
            </w:rPr>
          </w:pPr>
          <w:hyperlink w:anchor="_Toc97195059" w:history="1">
            <w:r w:rsidRPr="00721DA9">
              <w:rPr>
                <w:rStyle w:val="Hyperlink"/>
                <w:noProof/>
              </w:rPr>
              <w:t>Extra-pulmonary TB</w:t>
            </w:r>
            <w:r>
              <w:rPr>
                <w:noProof/>
                <w:webHidden/>
              </w:rPr>
              <w:tab/>
            </w:r>
            <w:r>
              <w:rPr>
                <w:noProof/>
                <w:webHidden/>
              </w:rPr>
              <w:fldChar w:fldCharType="begin"/>
            </w:r>
            <w:r>
              <w:rPr>
                <w:noProof/>
                <w:webHidden/>
              </w:rPr>
              <w:instrText xml:space="preserve"> PAGEREF _Toc97195059 \h </w:instrText>
            </w:r>
            <w:r>
              <w:rPr>
                <w:noProof/>
                <w:webHidden/>
              </w:rPr>
            </w:r>
            <w:r>
              <w:rPr>
                <w:noProof/>
                <w:webHidden/>
              </w:rPr>
              <w:fldChar w:fldCharType="separate"/>
            </w:r>
            <w:r>
              <w:rPr>
                <w:noProof/>
                <w:webHidden/>
              </w:rPr>
              <w:t>15</w:t>
            </w:r>
            <w:r>
              <w:rPr>
                <w:noProof/>
                <w:webHidden/>
              </w:rPr>
              <w:fldChar w:fldCharType="end"/>
            </w:r>
          </w:hyperlink>
        </w:p>
        <w:p w14:paraId="764F25EF" w14:textId="3DCA0529" w:rsidR="00F04ACE" w:rsidRDefault="00F04ACE">
          <w:pPr>
            <w:pStyle w:val="TOC2"/>
            <w:rPr>
              <w:rFonts w:asciiTheme="minorHAnsi" w:eastAsiaTheme="minorEastAsia" w:hAnsiTheme="minorHAnsi"/>
              <w:noProof/>
            </w:rPr>
          </w:pPr>
          <w:hyperlink w:anchor="_Toc97195060" w:history="1">
            <w:r w:rsidRPr="00721DA9">
              <w:rPr>
                <w:rStyle w:val="Hyperlink"/>
                <w:noProof/>
              </w:rPr>
              <w:t>Microscopy and culture</w:t>
            </w:r>
            <w:r>
              <w:rPr>
                <w:noProof/>
                <w:webHidden/>
              </w:rPr>
              <w:tab/>
            </w:r>
            <w:r>
              <w:rPr>
                <w:noProof/>
                <w:webHidden/>
              </w:rPr>
              <w:fldChar w:fldCharType="begin"/>
            </w:r>
            <w:r>
              <w:rPr>
                <w:noProof/>
                <w:webHidden/>
              </w:rPr>
              <w:instrText xml:space="preserve"> PAGEREF _Toc97195060 \h </w:instrText>
            </w:r>
            <w:r>
              <w:rPr>
                <w:noProof/>
                <w:webHidden/>
              </w:rPr>
            </w:r>
            <w:r>
              <w:rPr>
                <w:noProof/>
                <w:webHidden/>
              </w:rPr>
              <w:fldChar w:fldCharType="separate"/>
            </w:r>
            <w:r>
              <w:rPr>
                <w:noProof/>
                <w:webHidden/>
              </w:rPr>
              <w:t>16</w:t>
            </w:r>
            <w:r>
              <w:rPr>
                <w:noProof/>
                <w:webHidden/>
              </w:rPr>
              <w:fldChar w:fldCharType="end"/>
            </w:r>
          </w:hyperlink>
        </w:p>
        <w:p w14:paraId="556F4792" w14:textId="619D4A1F" w:rsidR="00F04ACE" w:rsidRDefault="00F04ACE">
          <w:pPr>
            <w:pStyle w:val="TOC2"/>
            <w:rPr>
              <w:rFonts w:asciiTheme="minorHAnsi" w:eastAsiaTheme="minorEastAsia" w:hAnsiTheme="minorHAnsi"/>
              <w:noProof/>
            </w:rPr>
          </w:pPr>
          <w:hyperlink w:anchor="_Toc97195061" w:history="1">
            <w:r w:rsidRPr="00721DA9">
              <w:rPr>
                <w:rStyle w:val="Hyperlink"/>
                <w:noProof/>
              </w:rPr>
              <w:t>Drug susceptibility testing (DST)</w:t>
            </w:r>
            <w:r>
              <w:rPr>
                <w:noProof/>
                <w:webHidden/>
              </w:rPr>
              <w:tab/>
            </w:r>
            <w:r>
              <w:rPr>
                <w:noProof/>
                <w:webHidden/>
              </w:rPr>
              <w:fldChar w:fldCharType="begin"/>
            </w:r>
            <w:r>
              <w:rPr>
                <w:noProof/>
                <w:webHidden/>
              </w:rPr>
              <w:instrText xml:space="preserve"> PAGEREF _Toc97195061 \h </w:instrText>
            </w:r>
            <w:r>
              <w:rPr>
                <w:noProof/>
                <w:webHidden/>
              </w:rPr>
            </w:r>
            <w:r>
              <w:rPr>
                <w:noProof/>
                <w:webHidden/>
              </w:rPr>
              <w:fldChar w:fldCharType="separate"/>
            </w:r>
            <w:r>
              <w:rPr>
                <w:noProof/>
                <w:webHidden/>
              </w:rPr>
              <w:t>16</w:t>
            </w:r>
            <w:r>
              <w:rPr>
                <w:noProof/>
                <w:webHidden/>
              </w:rPr>
              <w:fldChar w:fldCharType="end"/>
            </w:r>
          </w:hyperlink>
        </w:p>
        <w:p w14:paraId="29198EB9" w14:textId="10E19A3F" w:rsidR="00F04ACE" w:rsidRDefault="00F04ACE">
          <w:pPr>
            <w:pStyle w:val="TOC2"/>
            <w:rPr>
              <w:rFonts w:asciiTheme="minorHAnsi" w:eastAsiaTheme="minorEastAsia" w:hAnsiTheme="minorHAnsi"/>
              <w:noProof/>
            </w:rPr>
          </w:pPr>
          <w:hyperlink w:anchor="_Toc97195062" w:history="1">
            <w:r w:rsidRPr="00721DA9">
              <w:rPr>
                <w:rStyle w:val="Hyperlink"/>
                <w:noProof/>
              </w:rPr>
              <w:t>Nucleic acid amplification tests (NAAT)/PCR</w:t>
            </w:r>
            <w:r>
              <w:rPr>
                <w:noProof/>
                <w:webHidden/>
              </w:rPr>
              <w:tab/>
            </w:r>
            <w:r>
              <w:rPr>
                <w:noProof/>
                <w:webHidden/>
              </w:rPr>
              <w:fldChar w:fldCharType="begin"/>
            </w:r>
            <w:r>
              <w:rPr>
                <w:noProof/>
                <w:webHidden/>
              </w:rPr>
              <w:instrText xml:space="preserve"> PAGEREF _Toc97195062 \h </w:instrText>
            </w:r>
            <w:r>
              <w:rPr>
                <w:noProof/>
                <w:webHidden/>
              </w:rPr>
            </w:r>
            <w:r>
              <w:rPr>
                <w:noProof/>
                <w:webHidden/>
              </w:rPr>
              <w:fldChar w:fldCharType="separate"/>
            </w:r>
            <w:r>
              <w:rPr>
                <w:noProof/>
                <w:webHidden/>
              </w:rPr>
              <w:t>16</w:t>
            </w:r>
            <w:r>
              <w:rPr>
                <w:noProof/>
                <w:webHidden/>
              </w:rPr>
              <w:fldChar w:fldCharType="end"/>
            </w:r>
          </w:hyperlink>
        </w:p>
        <w:p w14:paraId="54850B26" w14:textId="5BE7D37C" w:rsidR="00F04ACE" w:rsidRDefault="00F04ACE">
          <w:pPr>
            <w:pStyle w:val="TOC2"/>
            <w:rPr>
              <w:rFonts w:asciiTheme="minorHAnsi" w:eastAsiaTheme="minorEastAsia" w:hAnsiTheme="minorHAnsi"/>
              <w:noProof/>
            </w:rPr>
          </w:pPr>
          <w:hyperlink w:anchor="_Toc97195063" w:history="1">
            <w:r w:rsidRPr="00721DA9">
              <w:rPr>
                <w:rStyle w:val="Hyperlink"/>
                <w:noProof/>
              </w:rPr>
              <w:t>Genotyping - including whole genome sequencing of M. tuberculosis</w:t>
            </w:r>
            <w:r>
              <w:rPr>
                <w:noProof/>
                <w:webHidden/>
              </w:rPr>
              <w:tab/>
            </w:r>
            <w:r>
              <w:rPr>
                <w:noProof/>
                <w:webHidden/>
              </w:rPr>
              <w:fldChar w:fldCharType="begin"/>
            </w:r>
            <w:r>
              <w:rPr>
                <w:noProof/>
                <w:webHidden/>
              </w:rPr>
              <w:instrText xml:space="preserve"> PAGEREF _Toc97195063 \h </w:instrText>
            </w:r>
            <w:r>
              <w:rPr>
                <w:noProof/>
                <w:webHidden/>
              </w:rPr>
            </w:r>
            <w:r>
              <w:rPr>
                <w:noProof/>
                <w:webHidden/>
              </w:rPr>
              <w:fldChar w:fldCharType="separate"/>
            </w:r>
            <w:r>
              <w:rPr>
                <w:noProof/>
                <w:webHidden/>
              </w:rPr>
              <w:t>17</w:t>
            </w:r>
            <w:r>
              <w:rPr>
                <w:noProof/>
                <w:webHidden/>
              </w:rPr>
              <w:fldChar w:fldCharType="end"/>
            </w:r>
          </w:hyperlink>
        </w:p>
        <w:p w14:paraId="0F0996A3" w14:textId="71469733" w:rsidR="00F04ACE" w:rsidRDefault="00F04ACE">
          <w:pPr>
            <w:pStyle w:val="TOC2"/>
            <w:rPr>
              <w:rFonts w:asciiTheme="minorHAnsi" w:eastAsiaTheme="minorEastAsia" w:hAnsiTheme="minorHAnsi"/>
              <w:noProof/>
            </w:rPr>
          </w:pPr>
          <w:hyperlink w:anchor="_Toc97195064" w:history="1">
            <w:r w:rsidRPr="00721DA9">
              <w:rPr>
                <w:rStyle w:val="Hyperlink"/>
                <w:noProof/>
              </w:rPr>
              <w:t>List of Reference Laboratories</w:t>
            </w:r>
            <w:r>
              <w:rPr>
                <w:noProof/>
                <w:webHidden/>
              </w:rPr>
              <w:tab/>
            </w:r>
            <w:r>
              <w:rPr>
                <w:noProof/>
                <w:webHidden/>
              </w:rPr>
              <w:fldChar w:fldCharType="begin"/>
            </w:r>
            <w:r>
              <w:rPr>
                <w:noProof/>
                <w:webHidden/>
              </w:rPr>
              <w:instrText xml:space="preserve"> PAGEREF _Toc97195064 \h </w:instrText>
            </w:r>
            <w:r>
              <w:rPr>
                <w:noProof/>
                <w:webHidden/>
              </w:rPr>
            </w:r>
            <w:r>
              <w:rPr>
                <w:noProof/>
                <w:webHidden/>
              </w:rPr>
              <w:fldChar w:fldCharType="separate"/>
            </w:r>
            <w:r>
              <w:rPr>
                <w:noProof/>
                <w:webHidden/>
              </w:rPr>
              <w:t>17</w:t>
            </w:r>
            <w:r>
              <w:rPr>
                <w:noProof/>
                <w:webHidden/>
              </w:rPr>
              <w:fldChar w:fldCharType="end"/>
            </w:r>
          </w:hyperlink>
        </w:p>
        <w:p w14:paraId="7DE498EB" w14:textId="717EACAD" w:rsidR="00F04ACE" w:rsidRDefault="00F04ACE" w:rsidP="00F04ACE">
          <w:pPr>
            <w:pStyle w:val="TOC1"/>
            <w:rPr>
              <w:rFonts w:asciiTheme="minorHAnsi" w:eastAsiaTheme="minorEastAsia" w:hAnsiTheme="minorHAnsi"/>
            </w:rPr>
          </w:pPr>
          <w:hyperlink w:anchor="_Toc97195065" w:history="1">
            <w:r w:rsidRPr="00721DA9">
              <w:rPr>
                <w:rStyle w:val="Hyperlink"/>
              </w:rPr>
              <w:t>9.</w:t>
            </w:r>
            <w:r>
              <w:rPr>
                <w:rFonts w:asciiTheme="minorHAnsi" w:eastAsiaTheme="minorEastAsia" w:hAnsiTheme="minorHAnsi"/>
              </w:rPr>
              <w:tab/>
            </w:r>
            <w:r w:rsidRPr="00721DA9">
              <w:rPr>
                <w:rStyle w:val="Hyperlink"/>
              </w:rPr>
              <w:t>Case management</w:t>
            </w:r>
            <w:r>
              <w:rPr>
                <w:webHidden/>
              </w:rPr>
              <w:tab/>
            </w:r>
            <w:r>
              <w:rPr>
                <w:webHidden/>
              </w:rPr>
              <w:fldChar w:fldCharType="begin"/>
            </w:r>
            <w:r>
              <w:rPr>
                <w:webHidden/>
              </w:rPr>
              <w:instrText xml:space="preserve"> PAGEREF _Toc97195065 \h </w:instrText>
            </w:r>
            <w:r>
              <w:rPr>
                <w:webHidden/>
              </w:rPr>
            </w:r>
            <w:r>
              <w:rPr>
                <w:webHidden/>
              </w:rPr>
              <w:fldChar w:fldCharType="separate"/>
            </w:r>
            <w:r>
              <w:rPr>
                <w:webHidden/>
              </w:rPr>
              <w:t>19</w:t>
            </w:r>
            <w:r>
              <w:rPr>
                <w:webHidden/>
              </w:rPr>
              <w:fldChar w:fldCharType="end"/>
            </w:r>
          </w:hyperlink>
        </w:p>
        <w:p w14:paraId="45CB67EE" w14:textId="1D22E1A7" w:rsidR="00F04ACE" w:rsidRDefault="00F04ACE">
          <w:pPr>
            <w:pStyle w:val="TOC2"/>
            <w:rPr>
              <w:rFonts w:asciiTheme="minorHAnsi" w:eastAsiaTheme="minorEastAsia" w:hAnsiTheme="minorHAnsi"/>
              <w:noProof/>
            </w:rPr>
          </w:pPr>
          <w:hyperlink w:anchor="_Toc97195066" w:history="1">
            <w:r w:rsidRPr="00721DA9">
              <w:rPr>
                <w:rStyle w:val="Hyperlink"/>
                <w:noProof/>
              </w:rPr>
              <w:t>Response times</w:t>
            </w:r>
            <w:r>
              <w:rPr>
                <w:noProof/>
                <w:webHidden/>
              </w:rPr>
              <w:tab/>
            </w:r>
            <w:r>
              <w:rPr>
                <w:noProof/>
                <w:webHidden/>
              </w:rPr>
              <w:fldChar w:fldCharType="begin"/>
            </w:r>
            <w:r>
              <w:rPr>
                <w:noProof/>
                <w:webHidden/>
              </w:rPr>
              <w:instrText xml:space="preserve"> PAGEREF _Toc97195066 \h </w:instrText>
            </w:r>
            <w:r>
              <w:rPr>
                <w:noProof/>
                <w:webHidden/>
              </w:rPr>
            </w:r>
            <w:r>
              <w:rPr>
                <w:noProof/>
                <w:webHidden/>
              </w:rPr>
              <w:fldChar w:fldCharType="separate"/>
            </w:r>
            <w:r>
              <w:rPr>
                <w:noProof/>
                <w:webHidden/>
              </w:rPr>
              <w:t>19</w:t>
            </w:r>
            <w:r>
              <w:rPr>
                <w:noProof/>
                <w:webHidden/>
              </w:rPr>
              <w:fldChar w:fldCharType="end"/>
            </w:r>
          </w:hyperlink>
        </w:p>
        <w:p w14:paraId="275EF958" w14:textId="518FACA4" w:rsidR="00F04ACE" w:rsidRDefault="00F04ACE">
          <w:pPr>
            <w:pStyle w:val="TOC2"/>
            <w:rPr>
              <w:rFonts w:asciiTheme="minorHAnsi" w:eastAsiaTheme="minorEastAsia" w:hAnsiTheme="minorHAnsi"/>
              <w:noProof/>
            </w:rPr>
          </w:pPr>
          <w:hyperlink w:anchor="_Toc97195067" w:history="1">
            <w:r w:rsidRPr="00721DA9">
              <w:rPr>
                <w:rStyle w:val="Hyperlink"/>
                <w:noProof/>
              </w:rPr>
              <w:t>Response procedure</w:t>
            </w:r>
            <w:r>
              <w:rPr>
                <w:noProof/>
                <w:webHidden/>
              </w:rPr>
              <w:tab/>
            </w:r>
            <w:r>
              <w:rPr>
                <w:noProof/>
                <w:webHidden/>
              </w:rPr>
              <w:fldChar w:fldCharType="begin"/>
            </w:r>
            <w:r>
              <w:rPr>
                <w:noProof/>
                <w:webHidden/>
              </w:rPr>
              <w:instrText xml:space="preserve"> PAGEREF _Toc97195067 \h </w:instrText>
            </w:r>
            <w:r>
              <w:rPr>
                <w:noProof/>
                <w:webHidden/>
              </w:rPr>
            </w:r>
            <w:r>
              <w:rPr>
                <w:noProof/>
                <w:webHidden/>
              </w:rPr>
              <w:fldChar w:fldCharType="separate"/>
            </w:r>
            <w:r>
              <w:rPr>
                <w:noProof/>
                <w:webHidden/>
              </w:rPr>
              <w:t>19</w:t>
            </w:r>
            <w:r>
              <w:rPr>
                <w:noProof/>
                <w:webHidden/>
              </w:rPr>
              <w:fldChar w:fldCharType="end"/>
            </w:r>
          </w:hyperlink>
        </w:p>
        <w:p w14:paraId="01905D52" w14:textId="1949AB07" w:rsidR="00F04ACE" w:rsidRDefault="00F04ACE">
          <w:pPr>
            <w:pStyle w:val="TOC2"/>
            <w:rPr>
              <w:rFonts w:asciiTheme="minorHAnsi" w:eastAsiaTheme="minorEastAsia" w:hAnsiTheme="minorHAnsi"/>
              <w:noProof/>
            </w:rPr>
          </w:pPr>
          <w:hyperlink w:anchor="_Toc97195068" w:history="1">
            <w:r w:rsidRPr="00721DA9">
              <w:rPr>
                <w:rStyle w:val="Hyperlink"/>
                <w:noProof/>
              </w:rPr>
              <w:t>Case treatment</w:t>
            </w:r>
            <w:r>
              <w:rPr>
                <w:noProof/>
                <w:webHidden/>
              </w:rPr>
              <w:tab/>
            </w:r>
            <w:r>
              <w:rPr>
                <w:noProof/>
                <w:webHidden/>
              </w:rPr>
              <w:fldChar w:fldCharType="begin"/>
            </w:r>
            <w:r>
              <w:rPr>
                <w:noProof/>
                <w:webHidden/>
              </w:rPr>
              <w:instrText xml:space="preserve"> PAGEREF _Toc97195068 \h </w:instrText>
            </w:r>
            <w:r>
              <w:rPr>
                <w:noProof/>
                <w:webHidden/>
              </w:rPr>
            </w:r>
            <w:r>
              <w:rPr>
                <w:noProof/>
                <w:webHidden/>
              </w:rPr>
              <w:fldChar w:fldCharType="separate"/>
            </w:r>
            <w:r>
              <w:rPr>
                <w:noProof/>
                <w:webHidden/>
              </w:rPr>
              <w:t>20</w:t>
            </w:r>
            <w:r>
              <w:rPr>
                <w:noProof/>
                <w:webHidden/>
              </w:rPr>
              <w:fldChar w:fldCharType="end"/>
            </w:r>
          </w:hyperlink>
        </w:p>
        <w:p w14:paraId="1A58B6AF" w14:textId="2C9FB689" w:rsidR="00F04ACE" w:rsidRDefault="00F04ACE">
          <w:pPr>
            <w:pStyle w:val="TOC2"/>
            <w:rPr>
              <w:rFonts w:asciiTheme="minorHAnsi" w:eastAsiaTheme="minorEastAsia" w:hAnsiTheme="minorHAnsi"/>
              <w:noProof/>
            </w:rPr>
          </w:pPr>
          <w:hyperlink w:anchor="_Toc97195069" w:history="1">
            <w:r w:rsidRPr="00721DA9">
              <w:rPr>
                <w:rStyle w:val="Hyperlink"/>
                <w:noProof/>
              </w:rPr>
              <w:t>Education</w:t>
            </w:r>
            <w:r>
              <w:rPr>
                <w:noProof/>
                <w:webHidden/>
              </w:rPr>
              <w:tab/>
            </w:r>
            <w:r>
              <w:rPr>
                <w:noProof/>
                <w:webHidden/>
              </w:rPr>
              <w:fldChar w:fldCharType="begin"/>
            </w:r>
            <w:r>
              <w:rPr>
                <w:noProof/>
                <w:webHidden/>
              </w:rPr>
              <w:instrText xml:space="preserve"> PAGEREF _Toc97195069 \h </w:instrText>
            </w:r>
            <w:r>
              <w:rPr>
                <w:noProof/>
                <w:webHidden/>
              </w:rPr>
            </w:r>
            <w:r>
              <w:rPr>
                <w:noProof/>
                <w:webHidden/>
              </w:rPr>
              <w:fldChar w:fldCharType="separate"/>
            </w:r>
            <w:r>
              <w:rPr>
                <w:noProof/>
                <w:webHidden/>
              </w:rPr>
              <w:t>21</w:t>
            </w:r>
            <w:r>
              <w:rPr>
                <w:noProof/>
                <w:webHidden/>
              </w:rPr>
              <w:fldChar w:fldCharType="end"/>
            </w:r>
          </w:hyperlink>
        </w:p>
        <w:p w14:paraId="58650B46" w14:textId="21CE3D25" w:rsidR="00F04ACE" w:rsidRDefault="00F04ACE">
          <w:pPr>
            <w:pStyle w:val="TOC2"/>
            <w:rPr>
              <w:rFonts w:asciiTheme="minorHAnsi" w:eastAsiaTheme="minorEastAsia" w:hAnsiTheme="minorHAnsi"/>
              <w:noProof/>
            </w:rPr>
          </w:pPr>
          <w:hyperlink w:anchor="_Toc97195070" w:history="1">
            <w:r w:rsidRPr="00721DA9">
              <w:rPr>
                <w:rStyle w:val="Hyperlink"/>
                <w:noProof/>
              </w:rPr>
              <w:t>Isolation and restriction</w:t>
            </w:r>
            <w:r>
              <w:rPr>
                <w:noProof/>
                <w:webHidden/>
              </w:rPr>
              <w:tab/>
            </w:r>
            <w:r>
              <w:rPr>
                <w:noProof/>
                <w:webHidden/>
              </w:rPr>
              <w:fldChar w:fldCharType="begin"/>
            </w:r>
            <w:r>
              <w:rPr>
                <w:noProof/>
                <w:webHidden/>
              </w:rPr>
              <w:instrText xml:space="preserve"> PAGEREF _Toc97195070 \h </w:instrText>
            </w:r>
            <w:r>
              <w:rPr>
                <w:noProof/>
                <w:webHidden/>
              </w:rPr>
            </w:r>
            <w:r>
              <w:rPr>
                <w:noProof/>
                <w:webHidden/>
              </w:rPr>
              <w:fldChar w:fldCharType="separate"/>
            </w:r>
            <w:r>
              <w:rPr>
                <w:noProof/>
                <w:webHidden/>
              </w:rPr>
              <w:t>22</w:t>
            </w:r>
            <w:r>
              <w:rPr>
                <w:noProof/>
                <w:webHidden/>
              </w:rPr>
              <w:fldChar w:fldCharType="end"/>
            </w:r>
          </w:hyperlink>
        </w:p>
        <w:p w14:paraId="376E6E82" w14:textId="4D1E9BFE" w:rsidR="00F04ACE" w:rsidRDefault="00F04ACE" w:rsidP="00F04ACE">
          <w:pPr>
            <w:pStyle w:val="TOC1"/>
            <w:rPr>
              <w:rFonts w:asciiTheme="minorHAnsi" w:eastAsiaTheme="minorEastAsia" w:hAnsiTheme="minorHAnsi"/>
            </w:rPr>
          </w:pPr>
          <w:hyperlink w:anchor="_Toc97195071" w:history="1">
            <w:r w:rsidRPr="00721DA9">
              <w:rPr>
                <w:rStyle w:val="Hyperlink"/>
              </w:rPr>
              <w:t>10.</w:t>
            </w:r>
            <w:r>
              <w:rPr>
                <w:rFonts w:asciiTheme="minorHAnsi" w:eastAsiaTheme="minorEastAsia" w:hAnsiTheme="minorHAnsi"/>
              </w:rPr>
              <w:tab/>
            </w:r>
            <w:r w:rsidRPr="00721DA9">
              <w:rPr>
                <w:rStyle w:val="Hyperlink"/>
              </w:rPr>
              <w:t>Environmental evaluation</w:t>
            </w:r>
            <w:r>
              <w:rPr>
                <w:webHidden/>
              </w:rPr>
              <w:tab/>
            </w:r>
            <w:r>
              <w:rPr>
                <w:webHidden/>
              </w:rPr>
              <w:fldChar w:fldCharType="begin"/>
            </w:r>
            <w:r>
              <w:rPr>
                <w:webHidden/>
              </w:rPr>
              <w:instrText xml:space="preserve"> PAGEREF _Toc97195071 \h </w:instrText>
            </w:r>
            <w:r>
              <w:rPr>
                <w:webHidden/>
              </w:rPr>
            </w:r>
            <w:r>
              <w:rPr>
                <w:webHidden/>
              </w:rPr>
              <w:fldChar w:fldCharType="separate"/>
            </w:r>
            <w:r>
              <w:rPr>
                <w:webHidden/>
              </w:rPr>
              <w:t>23</w:t>
            </w:r>
            <w:r>
              <w:rPr>
                <w:webHidden/>
              </w:rPr>
              <w:fldChar w:fldCharType="end"/>
            </w:r>
          </w:hyperlink>
        </w:p>
        <w:p w14:paraId="22924CF1" w14:textId="62985098" w:rsidR="00F04ACE" w:rsidRDefault="00F04ACE" w:rsidP="00F04ACE">
          <w:pPr>
            <w:pStyle w:val="TOC1"/>
            <w:rPr>
              <w:rFonts w:asciiTheme="minorHAnsi" w:eastAsiaTheme="minorEastAsia" w:hAnsiTheme="minorHAnsi"/>
            </w:rPr>
          </w:pPr>
          <w:hyperlink w:anchor="_Toc97195072" w:history="1">
            <w:r w:rsidRPr="00721DA9">
              <w:rPr>
                <w:rStyle w:val="Hyperlink"/>
              </w:rPr>
              <w:t>11.</w:t>
            </w:r>
            <w:r>
              <w:rPr>
                <w:rFonts w:asciiTheme="minorHAnsi" w:eastAsiaTheme="minorEastAsia" w:hAnsiTheme="minorHAnsi"/>
              </w:rPr>
              <w:tab/>
            </w:r>
            <w:r w:rsidRPr="00721DA9">
              <w:rPr>
                <w:rStyle w:val="Hyperlink"/>
              </w:rPr>
              <w:t>Contact management</w:t>
            </w:r>
            <w:r>
              <w:rPr>
                <w:webHidden/>
              </w:rPr>
              <w:tab/>
            </w:r>
            <w:r>
              <w:rPr>
                <w:webHidden/>
              </w:rPr>
              <w:fldChar w:fldCharType="begin"/>
            </w:r>
            <w:r>
              <w:rPr>
                <w:webHidden/>
              </w:rPr>
              <w:instrText xml:space="preserve"> PAGEREF _Toc97195072 \h </w:instrText>
            </w:r>
            <w:r>
              <w:rPr>
                <w:webHidden/>
              </w:rPr>
            </w:r>
            <w:r>
              <w:rPr>
                <w:webHidden/>
              </w:rPr>
              <w:fldChar w:fldCharType="separate"/>
            </w:r>
            <w:r>
              <w:rPr>
                <w:webHidden/>
              </w:rPr>
              <w:t>23</w:t>
            </w:r>
            <w:r>
              <w:rPr>
                <w:webHidden/>
              </w:rPr>
              <w:fldChar w:fldCharType="end"/>
            </w:r>
          </w:hyperlink>
        </w:p>
        <w:p w14:paraId="619E799D" w14:textId="50920AD2" w:rsidR="00F04ACE" w:rsidRDefault="00F04ACE">
          <w:pPr>
            <w:pStyle w:val="TOC2"/>
            <w:rPr>
              <w:rFonts w:asciiTheme="minorHAnsi" w:eastAsiaTheme="minorEastAsia" w:hAnsiTheme="minorHAnsi"/>
              <w:noProof/>
            </w:rPr>
          </w:pPr>
          <w:hyperlink w:anchor="_Toc97195073" w:history="1">
            <w:r w:rsidRPr="00721DA9">
              <w:rPr>
                <w:rStyle w:val="Hyperlink"/>
                <w:noProof/>
              </w:rPr>
              <w:t>Identification of contacts</w:t>
            </w:r>
            <w:r>
              <w:rPr>
                <w:noProof/>
                <w:webHidden/>
              </w:rPr>
              <w:tab/>
            </w:r>
            <w:r>
              <w:rPr>
                <w:noProof/>
                <w:webHidden/>
              </w:rPr>
              <w:fldChar w:fldCharType="begin"/>
            </w:r>
            <w:r>
              <w:rPr>
                <w:noProof/>
                <w:webHidden/>
              </w:rPr>
              <w:instrText xml:space="preserve"> PAGEREF _Toc97195073 \h </w:instrText>
            </w:r>
            <w:r>
              <w:rPr>
                <w:noProof/>
                <w:webHidden/>
              </w:rPr>
            </w:r>
            <w:r>
              <w:rPr>
                <w:noProof/>
                <w:webHidden/>
              </w:rPr>
              <w:fldChar w:fldCharType="separate"/>
            </w:r>
            <w:r>
              <w:rPr>
                <w:noProof/>
                <w:webHidden/>
              </w:rPr>
              <w:t>23</w:t>
            </w:r>
            <w:r>
              <w:rPr>
                <w:noProof/>
                <w:webHidden/>
              </w:rPr>
              <w:fldChar w:fldCharType="end"/>
            </w:r>
          </w:hyperlink>
        </w:p>
        <w:p w14:paraId="17AC617E" w14:textId="4D5BAB50" w:rsidR="00F04ACE" w:rsidRDefault="00F04ACE">
          <w:pPr>
            <w:pStyle w:val="TOC2"/>
            <w:rPr>
              <w:rFonts w:asciiTheme="minorHAnsi" w:eastAsiaTheme="minorEastAsia" w:hAnsiTheme="minorHAnsi"/>
              <w:noProof/>
            </w:rPr>
          </w:pPr>
          <w:hyperlink w:anchor="_Toc97195074" w:history="1">
            <w:r w:rsidRPr="00721DA9">
              <w:rPr>
                <w:rStyle w:val="Hyperlink"/>
                <w:noProof/>
              </w:rPr>
              <w:t>Contact definition &amp; exposure risk classification of contacts</w:t>
            </w:r>
            <w:r>
              <w:rPr>
                <w:noProof/>
                <w:webHidden/>
              </w:rPr>
              <w:tab/>
            </w:r>
            <w:r>
              <w:rPr>
                <w:noProof/>
                <w:webHidden/>
              </w:rPr>
              <w:fldChar w:fldCharType="begin"/>
            </w:r>
            <w:r>
              <w:rPr>
                <w:noProof/>
                <w:webHidden/>
              </w:rPr>
              <w:instrText xml:space="preserve"> PAGEREF _Toc97195074 \h </w:instrText>
            </w:r>
            <w:r>
              <w:rPr>
                <w:noProof/>
                <w:webHidden/>
              </w:rPr>
            </w:r>
            <w:r>
              <w:rPr>
                <w:noProof/>
                <w:webHidden/>
              </w:rPr>
              <w:fldChar w:fldCharType="separate"/>
            </w:r>
            <w:r>
              <w:rPr>
                <w:noProof/>
                <w:webHidden/>
              </w:rPr>
              <w:t>23</w:t>
            </w:r>
            <w:r>
              <w:rPr>
                <w:noProof/>
                <w:webHidden/>
              </w:rPr>
              <w:fldChar w:fldCharType="end"/>
            </w:r>
          </w:hyperlink>
        </w:p>
        <w:p w14:paraId="4B24D000" w14:textId="27EBAB8B" w:rsidR="00F04ACE" w:rsidRDefault="00F04ACE">
          <w:pPr>
            <w:pStyle w:val="TOC2"/>
            <w:rPr>
              <w:rFonts w:asciiTheme="minorHAnsi" w:eastAsiaTheme="minorEastAsia" w:hAnsiTheme="minorHAnsi"/>
              <w:noProof/>
            </w:rPr>
          </w:pPr>
          <w:hyperlink w:anchor="_Toc97195075" w:history="1">
            <w:r w:rsidRPr="00721DA9">
              <w:rPr>
                <w:rStyle w:val="Hyperlink"/>
                <w:noProof/>
              </w:rPr>
              <w:t>Management of identified contacts</w:t>
            </w:r>
            <w:r>
              <w:rPr>
                <w:noProof/>
                <w:webHidden/>
              </w:rPr>
              <w:tab/>
            </w:r>
            <w:r>
              <w:rPr>
                <w:noProof/>
                <w:webHidden/>
              </w:rPr>
              <w:fldChar w:fldCharType="begin"/>
            </w:r>
            <w:r>
              <w:rPr>
                <w:noProof/>
                <w:webHidden/>
              </w:rPr>
              <w:instrText xml:space="preserve"> PAGEREF _Toc97195075 \h </w:instrText>
            </w:r>
            <w:r>
              <w:rPr>
                <w:noProof/>
                <w:webHidden/>
              </w:rPr>
            </w:r>
            <w:r>
              <w:rPr>
                <w:noProof/>
                <w:webHidden/>
              </w:rPr>
              <w:fldChar w:fldCharType="separate"/>
            </w:r>
            <w:r>
              <w:rPr>
                <w:noProof/>
                <w:webHidden/>
              </w:rPr>
              <w:t>25</w:t>
            </w:r>
            <w:r>
              <w:rPr>
                <w:noProof/>
                <w:webHidden/>
              </w:rPr>
              <w:fldChar w:fldCharType="end"/>
            </w:r>
          </w:hyperlink>
        </w:p>
        <w:p w14:paraId="5E4C76CD" w14:textId="11C8B08E" w:rsidR="00F04ACE" w:rsidRDefault="00F04ACE">
          <w:pPr>
            <w:pStyle w:val="TOC2"/>
            <w:rPr>
              <w:rFonts w:asciiTheme="minorHAnsi" w:eastAsiaTheme="minorEastAsia" w:hAnsiTheme="minorHAnsi"/>
              <w:noProof/>
            </w:rPr>
          </w:pPr>
          <w:hyperlink w:anchor="_Toc97195076" w:history="1">
            <w:r w:rsidRPr="00721DA9">
              <w:rPr>
                <w:rStyle w:val="Hyperlink"/>
                <w:noProof/>
              </w:rPr>
              <w:t>Education</w:t>
            </w:r>
            <w:r>
              <w:rPr>
                <w:noProof/>
                <w:webHidden/>
              </w:rPr>
              <w:tab/>
            </w:r>
            <w:r>
              <w:rPr>
                <w:noProof/>
                <w:webHidden/>
              </w:rPr>
              <w:fldChar w:fldCharType="begin"/>
            </w:r>
            <w:r>
              <w:rPr>
                <w:noProof/>
                <w:webHidden/>
              </w:rPr>
              <w:instrText xml:space="preserve"> PAGEREF _Toc97195076 \h </w:instrText>
            </w:r>
            <w:r>
              <w:rPr>
                <w:noProof/>
                <w:webHidden/>
              </w:rPr>
            </w:r>
            <w:r>
              <w:rPr>
                <w:noProof/>
                <w:webHidden/>
              </w:rPr>
              <w:fldChar w:fldCharType="separate"/>
            </w:r>
            <w:r>
              <w:rPr>
                <w:noProof/>
                <w:webHidden/>
              </w:rPr>
              <w:t>25</w:t>
            </w:r>
            <w:r>
              <w:rPr>
                <w:noProof/>
                <w:webHidden/>
              </w:rPr>
              <w:fldChar w:fldCharType="end"/>
            </w:r>
          </w:hyperlink>
        </w:p>
        <w:p w14:paraId="36767868" w14:textId="7857BF76" w:rsidR="00F04ACE" w:rsidRDefault="00F04ACE">
          <w:pPr>
            <w:pStyle w:val="TOC2"/>
            <w:rPr>
              <w:rFonts w:asciiTheme="minorHAnsi" w:eastAsiaTheme="minorEastAsia" w:hAnsiTheme="minorHAnsi"/>
              <w:noProof/>
            </w:rPr>
          </w:pPr>
          <w:hyperlink w:anchor="_Toc97195077" w:history="1">
            <w:r w:rsidRPr="00721DA9">
              <w:rPr>
                <w:rStyle w:val="Hyperlink"/>
                <w:noProof/>
              </w:rPr>
              <w:t>Isolation and restriction</w:t>
            </w:r>
            <w:r>
              <w:rPr>
                <w:noProof/>
                <w:webHidden/>
              </w:rPr>
              <w:tab/>
            </w:r>
            <w:r>
              <w:rPr>
                <w:noProof/>
                <w:webHidden/>
              </w:rPr>
              <w:fldChar w:fldCharType="begin"/>
            </w:r>
            <w:r>
              <w:rPr>
                <w:noProof/>
                <w:webHidden/>
              </w:rPr>
              <w:instrText xml:space="preserve"> PAGEREF _Toc97195077 \h </w:instrText>
            </w:r>
            <w:r>
              <w:rPr>
                <w:noProof/>
                <w:webHidden/>
              </w:rPr>
            </w:r>
            <w:r>
              <w:rPr>
                <w:noProof/>
                <w:webHidden/>
              </w:rPr>
              <w:fldChar w:fldCharType="separate"/>
            </w:r>
            <w:r>
              <w:rPr>
                <w:noProof/>
                <w:webHidden/>
              </w:rPr>
              <w:t>26</w:t>
            </w:r>
            <w:r>
              <w:rPr>
                <w:noProof/>
                <w:webHidden/>
              </w:rPr>
              <w:fldChar w:fldCharType="end"/>
            </w:r>
          </w:hyperlink>
        </w:p>
        <w:p w14:paraId="79F5F0C4" w14:textId="13337D31" w:rsidR="00F04ACE" w:rsidRDefault="00F04ACE" w:rsidP="00F04ACE">
          <w:pPr>
            <w:pStyle w:val="TOC1"/>
            <w:rPr>
              <w:rFonts w:asciiTheme="minorHAnsi" w:eastAsiaTheme="minorEastAsia" w:hAnsiTheme="minorHAnsi"/>
            </w:rPr>
          </w:pPr>
          <w:hyperlink w:anchor="_Toc97195078" w:history="1">
            <w:r w:rsidRPr="00721DA9">
              <w:rPr>
                <w:rStyle w:val="Hyperlink"/>
              </w:rPr>
              <w:t>12.</w:t>
            </w:r>
            <w:r>
              <w:rPr>
                <w:rFonts w:asciiTheme="minorHAnsi" w:eastAsiaTheme="minorEastAsia" w:hAnsiTheme="minorHAnsi"/>
              </w:rPr>
              <w:tab/>
            </w:r>
            <w:r w:rsidRPr="00721DA9">
              <w:rPr>
                <w:rStyle w:val="Hyperlink"/>
              </w:rPr>
              <w:t>Special situations</w:t>
            </w:r>
            <w:r>
              <w:rPr>
                <w:webHidden/>
              </w:rPr>
              <w:tab/>
            </w:r>
            <w:r>
              <w:rPr>
                <w:webHidden/>
              </w:rPr>
              <w:fldChar w:fldCharType="begin"/>
            </w:r>
            <w:r>
              <w:rPr>
                <w:webHidden/>
              </w:rPr>
              <w:instrText xml:space="preserve"> PAGEREF _Toc97195078 \h </w:instrText>
            </w:r>
            <w:r>
              <w:rPr>
                <w:webHidden/>
              </w:rPr>
            </w:r>
            <w:r>
              <w:rPr>
                <w:webHidden/>
              </w:rPr>
              <w:fldChar w:fldCharType="separate"/>
            </w:r>
            <w:r>
              <w:rPr>
                <w:webHidden/>
              </w:rPr>
              <w:t>26</w:t>
            </w:r>
            <w:r>
              <w:rPr>
                <w:webHidden/>
              </w:rPr>
              <w:fldChar w:fldCharType="end"/>
            </w:r>
          </w:hyperlink>
        </w:p>
        <w:p w14:paraId="6B2277E0" w14:textId="444C81A0" w:rsidR="00F04ACE" w:rsidRDefault="00F04ACE">
          <w:pPr>
            <w:pStyle w:val="TOC2"/>
            <w:rPr>
              <w:rFonts w:asciiTheme="minorHAnsi" w:eastAsiaTheme="minorEastAsia" w:hAnsiTheme="minorHAnsi"/>
              <w:noProof/>
            </w:rPr>
          </w:pPr>
          <w:hyperlink w:anchor="_Toc97195079" w:history="1">
            <w:r w:rsidRPr="00721DA9">
              <w:rPr>
                <w:rStyle w:val="Hyperlink"/>
                <w:noProof/>
              </w:rPr>
              <w:t>Drug Resistant TB</w:t>
            </w:r>
            <w:r>
              <w:rPr>
                <w:noProof/>
                <w:webHidden/>
              </w:rPr>
              <w:tab/>
            </w:r>
            <w:r>
              <w:rPr>
                <w:noProof/>
                <w:webHidden/>
              </w:rPr>
              <w:fldChar w:fldCharType="begin"/>
            </w:r>
            <w:r>
              <w:rPr>
                <w:noProof/>
                <w:webHidden/>
              </w:rPr>
              <w:instrText xml:space="preserve"> PAGEREF _Toc97195079 \h </w:instrText>
            </w:r>
            <w:r>
              <w:rPr>
                <w:noProof/>
                <w:webHidden/>
              </w:rPr>
            </w:r>
            <w:r>
              <w:rPr>
                <w:noProof/>
                <w:webHidden/>
              </w:rPr>
              <w:fldChar w:fldCharType="separate"/>
            </w:r>
            <w:r>
              <w:rPr>
                <w:noProof/>
                <w:webHidden/>
              </w:rPr>
              <w:t>26</w:t>
            </w:r>
            <w:r>
              <w:rPr>
                <w:noProof/>
                <w:webHidden/>
              </w:rPr>
              <w:fldChar w:fldCharType="end"/>
            </w:r>
          </w:hyperlink>
        </w:p>
        <w:p w14:paraId="245DC323" w14:textId="3C24380A" w:rsidR="00F04ACE" w:rsidRDefault="00F04ACE">
          <w:pPr>
            <w:pStyle w:val="TOC2"/>
            <w:rPr>
              <w:rFonts w:asciiTheme="minorHAnsi" w:eastAsiaTheme="minorEastAsia" w:hAnsiTheme="minorHAnsi"/>
              <w:noProof/>
            </w:rPr>
          </w:pPr>
          <w:hyperlink w:anchor="_Toc97195080" w:history="1">
            <w:r w:rsidRPr="00721DA9">
              <w:rPr>
                <w:rStyle w:val="Hyperlink"/>
                <w:noProof/>
              </w:rPr>
              <w:t>TB-HIV coinfection</w:t>
            </w:r>
            <w:r>
              <w:rPr>
                <w:noProof/>
                <w:webHidden/>
              </w:rPr>
              <w:tab/>
            </w:r>
            <w:r>
              <w:rPr>
                <w:noProof/>
                <w:webHidden/>
              </w:rPr>
              <w:fldChar w:fldCharType="begin"/>
            </w:r>
            <w:r>
              <w:rPr>
                <w:noProof/>
                <w:webHidden/>
              </w:rPr>
              <w:instrText xml:space="preserve"> PAGEREF _Toc97195080 \h </w:instrText>
            </w:r>
            <w:r>
              <w:rPr>
                <w:noProof/>
                <w:webHidden/>
              </w:rPr>
            </w:r>
            <w:r>
              <w:rPr>
                <w:noProof/>
                <w:webHidden/>
              </w:rPr>
              <w:fldChar w:fldCharType="separate"/>
            </w:r>
            <w:r>
              <w:rPr>
                <w:noProof/>
                <w:webHidden/>
              </w:rPr>
              <w:t>27</w:t>
            </w:r>
            <w:r>
              <w:rPr>
                <w:noProof/>
                <w:webHidden/>
              </w:rPr>
              <w:fldChar w:fldCharType="end"/>
            </w:r>
          </w:hyperlink>
        </w:p>
        <w:p w14:paraId="3C13EBCF" w14:textId="0C920224" w:rsidR="00F04ACE" w:rsidRDefault="00F04ACE">
          <w:pPr>
            <w:pStyle w:val="TOC2"/>
            <w:rPr>
              <w:rFonts w:asciiTheme="minorHAnsi" w:eastAsiaTheme="minorEastAsia" w:hAnsiTheme="minorHAnsi"/>
              <w:noProof/>
            </w:rPr>
          </w:pPr>
          <w:hyperlink w:anchor="_Toc97195081" w:history="1">
            <w:r w:rsidRPr="00721DA9">
              <w:rPr>
                <w:rStyle w:val="Hyperlink"/>
                <w:noProof/>
              </w:rPr>
              <w:t>TB in children</w:t>
            </w:r>
            <w:r>
              <w:rPr>
                <w:noProof/>
                <w:webHidden/>
              </w:rPr>
              <w:tab/>
            </w:r>
            <w:r>
              <w:rPr>
                <w:noProof/>
                <w:webHidden/>
              </w:rPr>
              <w:fldChar w:fldCharType="begin"/>
            </w:r>
            <w:r>
              <w:rPr>
                <w:noProof/>
                <w:webHidden/>
              </w:rPr>
              <w:instrText xml:space="preserve"> PAGEREF _Toc97195081 \h </w:instrText>
            </w:r>
            <w:r>
              <w:rPr>
                <w:noProof/>
                <w:webHidden/>
              </w:rPr>
            </w:r>
            <w:r>
              <w:rPr>
                <w:noProof/>
                <w:webHidden/>
              </w:rPr>
              <w:fldChar w:fldCharType="separate"/>
            </w:r>
            <w:r>
              <w:rPr>
                <w:noProof/>
                <w:webHidden/>
              </w:rPr>
              <w:t>27</w:t>
            </w:r>
            <w:r>
              <w:rPr>
                <w:noProof/>
                <w:webHidden/>
              </w:rPr>
              <w:fldChar w:fldCharType="end"/>
            </w:r>
          </w:hyperlink>
        </w:p>
        <w:p w14:paraId="634A32B9" w14:textId="47FA6259" w:rsidR="00F04ACE" w:rsidRDefault="00F04ACE">
          <w:pPr>
            <w:pStyle w:val="TOC2"/>
            <w:rPr>
              <w:rFonts w:asciiTheme="minorHAnsi" w:eastAsiaTheme="minorEastAsia" w:hAnsiTheme="minorHAnsi"/>
              <w:noProof/>
            </w:rPr>
          </w:pPr>
          <w:hyperlink w:anchor="_Toc97195082" w:history="1">
            <w:r w:rsidRPr="00721DA9">
              <w:rPr>
                <w:rStyle w:val="Hyperlink"/>
                <w:noProof/>
              </w:rPr>
              <w:t>TB in healthcare facilities</w:t>
            </w:r>
            <w:r>
              <w:rPr>
                <w:noProof/>
                <w:webHidden/>
              </w:rPr>
              <w:tab/>
            </w:r>
            <w:r>
              <w:rPr>
                <w:noProof/>
                <w:webHidden/>
              </w:rPr>
              <w:fldChar w:fldCharType="begin"/>
            </w:r>
            <w:r>
              <w:rPr>
                <w:noProof/>
                <w:webHidden/>
              </w:rPr>
              <w:instrText xml:space="preserve"> PAGEREF _Toc97195082 \h </w:instrText>
            </w:r>
            <w:r>
              <w:rPr>
                <w:noProof/>
                <w:webHidden/>
              </w:rPr>
            </w:r>
            <w:r>
              <w:rPr>
                <w:noProof/>
                <w:webHidden/>
              </w:rPr>
              <w:fldChar w:fldCharType="separate"/>
            </w:r>
            <w:r>
              <w:rPr>
                <w:noProof/>
                <w:webHidden/>
              </w:rPr>
              <w:t>27</w:t>
            </w:r>
            <w:r>
              <w:rPr>
                <w:noProof/>
                <w:webHidden/>
              </w:rPr>
              <w:fldChar w:fldCharType="end"/>
            </w:r>
          </w:hyperlink>
        </w:p>
        <w:p w14:paraId="3088CAD6" w14:textId="4A2A04DA" w:rsidR="00F04ACE" w:rsidRDefault="00F04ACE">
          <w:pPr>
            <w:pStyle w:val="TOC2"/>
            <w:rPr>
              <w:rFonts w:asciiTheme="minorHAnsi" w:eastAsiaTheme="minorEastAsia" w:hAnsiTheme="minorHAnsi"/>
              <w:noProof/>
            </w:rPr>
          </w:pPr>
          <w:hyperlink w:anchor="_Toc97195083" w:history="1">
            <w:r w:rsidRPr="00721DA9">
              <w:rPr>
                <w:rStyle w:val="Hyperlink"/>
                <w:noProof/>
              </w:rPr>
              <w:t>TB in other institutional settings</w:t>
            </w:r>
            <w:r>
              <w:rPr>
                <w:noProof/>
                <w:webHidden/>
              </w:rPr>
              <w:tab/>
            </w:r>
            <w:r>
              <w:rPr>
                <w:noProof/>
                <w:webHidden/>
              </w:rPr>
              <w:fldChar w:fldCharType="begin"/>
            </w:r>
            <w:r>
              <w:rPr>
                <w:noProof/>
                <w:webHidden/>
              </w:rPr>
              <w:instrText xml:space="preserve"> PAGEREF _Toc97195083 \h </w:instrText>
            </w:r>
            <w:r>
              <w:rPr>
                <w:noProof/>
                <w:webHidden/>
              </w:rPr>
            </w:r>
            <w:r>
              <w:rPr>
                <w:noProof/>
                <w:webHidden/>
              </w:rPr>
              <w:fldChar w:fldCharType="separate"/>
            </w:r>
            <w:r>
              <w:rPr>
                <w:noProof/>
                <w:webHidden/>
              </w:rPr>
              <w:t>28</w:t>
            </w:r>
            <w:r>
              <w:rPr>
                <w:noProof/>
                <w:webHidden/>
              </w:rPr>
              <w:fldChar w:fldCharType="end"/>
            </w:r>
          </w:hyperlink>
        </w:p>
        <w:p w14:paraId="0ADA2F3D" w14:textId="3D2C1AAB" w:rsidR="00F04ACE" w:rsidRDefault="00F04ACE">
          <w:pPr>
            <w:pStyle w:val="TOC2"/>
            <w:rPr>
              <w:rFonts w:asciiTheme="minorHAnsi" w:eastAsiaTheme="minorEastAsia" w:hAnsiTheme="minorHAnsi"/>
              <w:noProof/>
            </w:rPr>
          </w:pPr>
          <w:hyperlink w:anchor="_Toc97195084" w:history="1">
            <w:r w:rsidRPr="00721DA9">
              <w:rPr>
                <w:rStyle w:val="Hyperlink"/>
                <w:noProof/>
              </w:rPr>
              <w:t>Airline contact tracing of TB cases</w:t>
            </w:r>
            <w:r>
              <w:rPr>
                <w:noProof/>
                <w:webHidden/>
              </w:rPr>
              <w:tab/>
            </w:r>
            <w:r>
              <w:rPr>
                <w:noProof/>
                <w:webHidden/>
              </w:rPr>
              <w:fldChar w:fldCharType="begin"/>
            </w:r>
            <w:r>
              <w:rPr>
                <w:noProof/>
                <w:webHidden/>
              </w:rPr>
              <w:instrText xml:space="preserve"> PAGEREF _Toc97195084 \h </w:instrText>
            </w:r>
            <w:r>
              <w:rPr>
                <w:noProof/>
                <w:webHidden/>
              </w:rPr>
            </w:r>
            <w:r>
              <w:rPr>
                <w:noProof/>
                <w:webHidden/>
              </w:rPr>
              <w:fldChar w:fldCharType="separate"/>
            </w:r>
            <w:r>
              <w:rPr>
                <w:noProof/>
                <w:webHidden/>
              </w:rPr>
              <w:t>28</w:t>
            </w:r>
            <w:r>
              <w:rPr>
                <w:noProof/>
                <w:webHidden/>
              </w:rPr>
              <w:fldChar w:fldCharType="end"/>
            </w:r>
          </w:hyperlink>
        </w:p>
        <w:p w14:paraId="6F52F32D" w14:textId="442B291C" w:rsidR="00F04ACE" w:rsidRDefault="00F04ACE" w:rsidP="00F04ACE">
          <w:pPr>
            <w:pStyle w:val="TOC1"/>
            <w:rPr>
              <w:rFonts w:asciiTheme="minorHAnsi" w:eastAsiaTheme="minorEastAsia" w:hAnsiTheme="minorHAnsi"/>
            </w:rPr>
          </w:pPr>
          <w:hyperlink w:anchor="_Toc97195085" w:history="1">
            <w:r w:rsidRPr="00721DA9">
              <w:rPr>
                <w:rStyle w:val="Hyperlink"/>
              </w:rPr>
              <w:t>13.</w:t>
            </w:r>
            <w:r>
              <w:rPr>
                <w:rFonts w:asciiTheme="minorHAnsi" w:eastAsiaTheme="minorEastAsia" w:hAnsiTheme="minorHAnsi"/>
              </w:rPr>
              <w:tab/>
            </w:r>
            <w:r w:rsidRPr="00721DA9">
              <w:rPr>
                <w:rStyle w:val="Hyperlink"/>
              </w:rPr>
              <w:t>References and additional sources of information</w:t>
            </w:r>
            <w:r>
              <w:rPr>
                <w:webHidden/>
              </w:rPr>
              <w:tab/>
            </w:r>
            <w:r>
              <w:rPr>
                <w:webHidden/>
              </w:rPr>
              <w:fldChar w:fldCharType="begin"/>
            </w:r>
            <w:r>
              <w:rPr>
                <w:webHidden/>
              </w:rPr>
              <w:instrText xml:space="preserve"> PAGEREF _Toc97195085 \h </w:instrText>
            </w:r>
            <w:r>
              <w:rPr>
                <w:webHidden/>
              </w:rPr>
            </w:r>
            <w:r>
              <w:rPr>
                <w:webHidden/>
              </w:rPr>
              <w:fldChar w:fldCharType="separate"/>
            </w:r>
            <w:r>
              <w:rPr>
                <w:webHidden/>
              </w:rPr>
              <w:t>30</w:t>
            </w:r>
            <w:r>
              <w:rPr>
                <w:webHidden/>
              </w:rPr>
              <w:fldChar w:fldCharType="end"/>
            </w:r>
          </w:hyperlink>
        </w:p>
        <w:p w14:paraId="5C47F224" w14:textId="35BBEE28" w:rsidR="00F04ACE" w:rsidRDefault="00F04ACE" w:rsidP="00F04ACE">
          <w:pPr>
            <w:pStyle w:val="TOC1"/>
            <w:rPr>
              <w:rFonts w:asciiTheme="minorHAnsi" w:eastAsiaTheme="minorEastAsia" w:hAnsiTheme="minorHAnsi"/>
            </w:rPr>
          </w:pPr>
          <w:hyperlink w:anchor="_Toc97195086" w:history="1">
            <w:r w:rsidRPr="00721DA9">
              <w:rPr>
                <w:rStyle w:val="Hyperlink"/>
              </w:rPr>
              <w:t>14.</w:t>
            </w:r>
            <w:r>
              <w:rPr>
                <w:rFonts w:asciiTheme="minorHAnsi" w:eastAsiaTheme="minorEastAsia" w:hAnsiTheme="minorHAnsi"/>
              </w:rPr>
              <w:tab/>
            </w:r>
            <w:r w:rsidRPr="00721DA9">
              <w:rPr>
                <w:rStyle w:val="Hyperlink"/>
              </w:rPr>
              <w:t>Appendices</w:t>
            </w:r>
            <w:r>
              <w:rPr>
                <w:webHidden/>
              </w:rPr>
              <w:tab/>
            </w:r>
            <w:r>
              <w:rPr>
                <w:webHidden/>
              </w:rPr>
              <w:fldChar w:fldCharType="begin"/>
            </w:r>
            <w:r>
              <w:rPr>
                <w:webHidden/>
              </w:rPr>
              <w:instrText xml:space="preserve"> PAGEREF _Toc97195086 \h </w:instrText>
            </w:r>
            <w:r>
              <w:rPr>
                <w:webHidden/>
              </w:rPr>
            </w:r>
            <w:r>
              <w:rPr>
                <w:webHidden/>
              </w:rPr>
              <w:fldChar w:fldCharType="separate"/>
            </w:r>
            <w:r>
              <w:rPr>
                <w:webHidden/>
              </w:rPr>
              <w:t>33</w:t>
            </w:r>
            <w:r>
              <w:rPr>
                <w:webHidden/>
              </w:rPr>
              <w:fldChar w:fldCharType="end"/>
            </w:r>
          </w:hyperlink>
        </w:p>
        <w:p w14:paraId="4F214564" w14:textId="6902101B" w:rsidR="00F04ACE" w:rsidRDefault="00F04ACE" w:rsidP="00F04ACE">
          <w:pPr>
            <w:pStyle w:val="TOC1"/>
            <w:rPr>
              <w:rFonts w:asciiTheme="minorHAnsi" w:eastAsiaTheme="minorEastAsia" w:hAnsiTheme="minorHAnsi"/>
            </w:rPr>
          </w:pPr>
          <w:hyperlink w:anchor="_Toc97195087" w:history="1">
            <w:r w:rsidRPr="00721DA9">
              <w:rPr>
                <w:rStyle w:val="Hyperlink"/>
              </w:rPr>
              <w:t>15.</w:t>
            </w:r>
            <w:r>
              <w:rPr>
                <w:rFonts w:asciiTheme="minorHAnsi" w:eastAsiaTheme="minorEastAsia" w:hAnsiTheme="minorHAnsi"/>
              </w:rPr>
              <w:tab/>
            </w:r>
            <w:r w:rsidRPr="00721DA9">
              <w:rPr>
                <w:rStyle w:val="Hyperlink"/>
              </w:rPr>
              <w:t>Jurisdiction specific issues</w:t>
            </w:r>
            <w:r>
              <w:rPr>
                <w:webHidden/>
              </w:rPr>
              <w:tab/>
            </w:r>
            <w:r>
              <w:rPr>
                <w:webHidden/>
              </w:rPr>
              <w:fldChar w:fldCharType="begin"/>
            </w:r>
            <w:r>
              <w:rPr>
                <w:webHidden/>
              </w:rPr>
              <w:instrText xml:space="preserve"> PAGEREF _Toc97195087 \h </w:instrText>
            </w:r>
            <w:r>
              <w:rPr>
                <w:webHidden/>
              </w:rPr>
            </w:r>
            <w:r>
              <w:rPr>
                <w:webHidden/>
              </w:rPr>
              <w:fldChar w:fldCharType="separate"/>
            </w:r>
            <w:r>
              <w:rPr>
                <w:webHidden/>
              </w:rPr>
              <w:t>33</w:t>
            </w:r>
            <w:r>
              <w:rPr>
                <w:webHidden/>
              </w:rPr>
              <w:fldChar w:fldCharType="end"/>
            </w:r>
          </w:hyperlink>
        </w:p>
        <w:p w14:paraId="544F6877" w14:textId="4A6FDFE6" w:rsidR="002F6001" w:rsidRPr="007A4336" w:rsidRDefault="002F6001" w:rsidP="007A4336">
          <w:r w:rsidRPr="004D44EC">
            <w:rPr>
              <w:rFonts w:ascii="Tahoma" w:hAnsi="Tahoma"/>
            </w:rPr>
            <w:fldChar w:fldCharType="end"/>
          </w:r>
        </w:p>
      </w:sdtContent>
    </w:sdt>
    <w:p w14:paraId="305BC86A" w14:textId="7DF9768D" w:rsidR="002F6001" w:rsidRPr="004D44EC" w:rsidRDefault="002F6001" w:rsidP="00CD6F51">
      <w:pPr>
        <w:rPr>
          <w:highlight w:val="yellow"/>
        </w:rPr>
        <w:sectPr w:rsidR="002F6001" w:rsidRPr="004D44EC" w:rsidSect="00062009">
          <w:headerReference w:type="even" r:id="rId20"/>
          <w:headerReference w:type="default" r:id="rId21"/>
          <w:headerReference w:type="first" r:id="rId22"/>
          <w:footnotePr>
            <w:numFmt w:val="chicago"/>
          </w:footnotePr>
          <w:pgSz w:w="12240" w:h="15840"/>
          <w:pgMar w:top="178" w:right="1134" w:bottom="851" w:left="1134" w:header="720" w:footer="142" w:gutter="0"/>
          <w:cols w:space="720"/>
        </w:sectPr>
      </w:pPr>
    </w:p>
    <w:p w14:paraId="4C2469F7" w14:textId="491B3312" w:rsidR="003171CF" w:rsidRPr="007A4336" w:rsidRDefault="003171CF" w:rsidP="00CA7F5E">
      <w:pPr>
        <w:pStyle w:val="Heading1"/>
      </w:pPr>
      <w:bookmarkStart w:id="3" w:name="_Toc97195028"/>
      <w:r w:rsidRPr="00FA2B06">
        <w:lastRenderedPageBreak/>
        <w:t>Summary</w:t>
      </w:r>
      <w:bookmarkEnd w:id="3"/>
    </w:p>
    <w:p w14:paraId="2C02124E" w14:textId="73CF84BD" w:rsidR="003171CF" w:rsidRPr="004D44EC" w:rsidRDefault="005167F4" w:rsidP="00993C7C">
      <w:pPr>
        <w:rPr>
          <w:rFonts w:cs="Arial"/>
        </w:rPr>
      </w:pPr>
      <w:r w:rsidRPr="004D44EC">
        <w:t xml:space="preserve">This guideline </w:t>
      </w:r>
      <w:r w:rsidR="00A8061F" w:rsidRPr="004D44EC">
        <w:t>focuses on the public health aspects of the management of tuberculosis (TB)</w:t>
      </w:r>
      <w:r w:rsidRPr="004D44EC">
        <w:t xml:space="preserve"> in Australia</w:t>
      </w:r>
      <w:r w:rsidR="00A8061F" w:rsidRPr="004D44EC">
        <w:t>.</w:t>
      </w:r>
      <w:r w:rsidR="00A8061F" w:rsidRPr="004D44EC">
        <w:rPr>
          <w:rFonts w:cs="Arial"/>
        </w:rPr>
        <w:t xml:space="preserve"> </w:t>
      </w:r>
      <w:r w:rsidR="003171CF" w:rsidRPr="004D44EC">
        <w:rPr>
          <w:rFonts w:cs="Arial"/>
        </w:rPr>
        <w:t xml:space="preserve">The most important priorities for </w:t>
      </w:r>
      <w:r w:rsidR="00A8061F" w:rsidRPr="004D44EC">
        <w:rPr>
          <w:rFonts w:cs="Arial"/>
        </w:rPr>
        <w:t xml:space="preserve">TB </w:t>
      </w:r>
      <w:r w:rsidR="003171CF" w:rsidRPr="004D44EC">
        <w:rPr>
          <w:rFonts w:cs="Arial"/>
        </w:rPr>
        <w:t>control and prevention are:</w:t>
      </w:r>
    </w:p>
    <w:p w14:paraId="6685118D" w14:textId="236223EB" w:rsidR="008365DB" w:rsidRPr="004D44EC" w:rsidRDefault="003171CF" w:rsidP="001C34D7">
      <w:pPr>
        <w:pStyle w:val="ListBullet2"/>
      </w:pPr>
      <w:r w:rsidRPr="004D44EC">
        <w:t>The timely identification and trea</w:t>
      </w:r>
      <w:r w:rsidR="00F9486A" w:rsidRPr="004D44EC">
        <w:t>tment of persons with active TB</w:t>
      </w:r>
      <w:r w:rsidR="00D60195" w:rsidRPr="004D44EC">
        <w:t>; including those with</w:t>
      </w:r>
      <w:r w:rsidR="00163DC4" w:rsidRPr="004D44EC">
        <w:t xml:space="preserve"> drug-resistant TB</w:t>
      </w:r>
      <w:r w:rsidR="00785F64" w:rsidRPr="004D44EC">
        <w:t xml:space="preserve"> (DR-TB)</w:t>
      </w:r>
      <w:r w:rsidR="00C56EAB" w:rsidRPr="004D44EC">
        <w:t>.</w:t>
      </w:r>
    </w:p>
    <w:p w14:paraId="6F292308" w14:textId="4840CA4E" w:rsidR="003171CF" w:rsidRPr="004D44EC" w:rsidRDefault="003171CF" w:rsidP="001C34D7">
      <w:pPr>
        <w:pStyle w:val="ListBullet2"/>
      </w:pPr>
      <w:r w:rsidRPr="004D44EC">
        <w:t>The detection</w:t>
      </w:r>
      <w:r w:rsidR="004A6CB2" w:rsidRPr="004D44EC">
        <w:t xml:space="preserve"> and management</w:t>
      </w:r>
      <w:r w:rsidRPr="004D44EC">
        <w:t xml:space="preserve"> of in</w:t>
      </w:r>
      <w:r w:rsidR="00F9486A" w:rsidRPr="004D44EC">
        <w:t>fection in contacts of TB cases</w:t>
      </w:r>
      <w:r w:rsidR="00C56EAB" w:rsidRPr="004D44EC">
        <w:t>.</w:t>
      </w:r>
    </w:p>
    <w:p w14:paraId="1672B1F1" w14:textId="54FD265A" w:rsidR="00905115" w:rsidRPr="004D44EC" w:rsidRDefault="00A8061F" w:rsidP="001C34D7">
      <w:pPr>
        <w:pStyle w:val="ListBullet2"/>
      </w:pPr>
      <w:r w:rsidRPr="004D44EC">
        <w:t>Detection and prevention of TB in</w:t>
      </w:r>
      <w:r w:rsidR="00C56EAB" w:rsidRPr="004D44EC">
        <w:t xml:space="preserve"> population</w:t>
      </w:r>
      <w:r w:rsidR="00271414">
        <w:t>s</w:t>
      </w:r>
      <w:r w:rsidR="00905115" w:rsidRPr="004D44EC">
        <w:t xml:space="preserve">: </w:t>
      </w:r>
    </w:p>
    <w:p w14:paraId="4A3A7099" w14:textId="1FB2B665" w:rsidR="003171CF" w:rsidRPr="004D44EC" w:rsidRDefault="00905115" w:rsidP="001C34D7">
      <w:pPr>
        <w:pStyle w:val="ListBullet3"/>
      </w:pPr>
      <w:r w:rsidRPr="004D44EC">
        <w:t xml:space="preserve">With latent </w:t>
      </w:r>
      <w:r w:rsidR="00863550">
        <w:t xml:space="preserve">TB </w:t>
      </w:r>
      <w:r w:rsidRPr="004D44EC">
        <w:t xml:space="preserve">infection (LTBI), and </w:t>
      </w:r>
    </w:p>
    <w:p w14:paraId="3D1E58CF" w14:textId="5455E4E3" w:rsidR="00905115" w:rsidRPr="004D44EC" w:rsidRDefault="00905115" w:rsidP="001C34D7">
      <w:pPr>
        <w:pStyle w:val="ListBullet3"/>
      </w:pPr>
      <w:r w:rsidRPr="004D44EC">
        <w:t>High</w:t>
      </w:r>
      <w:r w:rsidR="00F467BF">
        <w:t>-</w:t>
      </w:r>
      <w:r w:rsidRPr="004D44EC">
        <w:t>risk groups (</w:t>
      </w:r>
      <w:proofErr w:type="gramStart"/>
      <w:r w:rsidRPr="004D44EC">
        <w:t>e.g.</w:t>
      </w:r>
      <w:proofErr w:type="gramEnd"/>
      <w:r w:rsidRPr="004D44EC">
        <w:t xml:space="preserve"> migrants)</w:t>
      </w:r>
      <w:r w:rsidR="001227AA">
        <w:t>.</w:t>
      </w:r>
      <w:r w:rsidRPr="004D44EC">
        <w:t xml:space="preserve"> </w:t>
      </w:r>
    </w:p>
    <w:p w14:paraId="3EFE68CF" w14:textId="77777777" w:rsidR="003171CF" w:rsidRPr="007A4336" w:rsidRDefault="003171CF" w:rsidP="00CA7F5E">
      <w:pPr>
        <w:pStyle w:val="Heading2"/>
      </w:pPr>
      <w:bookmarkStart w:id="4" w:name="_Toc97195029"/>
      <w:r w:rsidRPr="00FA2B06">
        <w:t>Public health priority</w:t>
      </w:r>
      <w:bookmarkEnd w:id="4"/>
    </w:p>
    <w:p w14:paraId="499757C9" w14:textId="57376A5A" w:rsidR="005410B2" w:rsidRPr="003031A7" w:rsidRDefault="003171CF" w:rsidP="001C34D7">
      <w:pPr>
        <w:pStyle w:val="ListBullet2"/>
      </w:pPr>
      <w:r w:rsidRPr="004D44EC">
        <w:t>High for</w:t>
      </w:r>
      <w:r w:rsidR="00163DC4" w:rsidRPr="004D44EC">
        <w:t xml:space="preserve"> p</w:t>
      </w:r>
      <w:r w:rsidRPr="004D44EC">
        <w:t xml:space="preserve">ulmonary </w:t>
      </w:r>
      <w:r w:rsidR="00F9486A" w:rsidRPr="004D44EC">
        <w:t>(including laryngeal) TB cases</w:t>
      </w:r>
      <w:r w:rsidR="00D60195" w:rsidRPr="004D44EC">
        <w:t xml:space="preserve">; with urgency to </w:t>
      </w:r>
      <w:r w:rsidR="00CA63A8" w:rsidRPr="004D44EC">
        <w:t xml:space="preserve">assess likelihood and consequences of infectiousness and to </w:t>
      </w:r>
      <w:r w:rsidR="00D60195" w:rsidRPr="004D44EC">
        <w:t>determine drug resistance profile</w:t>
      </w:r>
      <w:r w:rsidR="005410B2" w:rsidRPr="004D44EC">
        <w:t>; follow up and treatment for a smear positive pulmonary TB case should commence within one working day</w:t>
      </w:r>
      <w:r w:rsidR="00DD3899" w:rsidRPr="004D44EC">
        <w:t>.</w:t>
      </w:r>
    </w:p>
    <w:p w14:paraId="5FBC63FD" w14:textId="134B7D6E" w:rsidR="003171CF" w:rsidRPr="004D44EC" w:rsidRDefault="00CA63A8" w:rsidP="001C34D7">
      <w:pPr>
        <w:pStyle w:val="ListBullet2"/>
      </w:pPr>
      <w:r w:rsidRPr="004D44EC">
        <w:t xml:space="preserve">Routine for extrapulmonary </w:t>
      </w:r>
      <w:r w:rsidR="00702598" w:rsidRPr="004D44EC">
        <w:t xml:space="preserve">cases </w:t>
      </w:r>
      <w:r w:rsidRPr="004D44EC">
        <w:t xml:space="preserve">and </w:t>
      </w:r>
      <w:r w:rsidR="00702598" w:rsidRPr="004D44EC">
        <w:t xml:space="preserve">people with </w:t>
      </w:r>
      <w:r w:rsidRPr="004D44EC">
        <w:t xml:space="preserve">latent </w:t>
      </w:r>
      <w:r w:rsidR="00F9486A" w:rsidRPr="004D44EC">
        <w:t xml:space="preserve">TB </w:t>
      </w:r>
      <w:r w:rsidR="00702598" w:rsidRPr="004D44EC">
        <w:t>infection (LTBI)</w:t>
      </w:r>
      <w:r w:rsidR="00F9486A" w:rsidRPr="004D44EC">
        <w:t>.</w:t>
      </w:r>
    </w:p>
    <w:p w14:paraId="5954D92B" w14:textId="77777777" w:rsidR="003171CF" w:rsidRPr="007A4336" w:rsidRDefault="003171CF" w:rsidP="00CA7F5E">
      <w:pPr>
        <w:pStyle w:val="Heading2"/>
      </w:pPr>
      <w:bookmarkStart w:id="5" w:name="_Case_management"/>
      <w:bookmarkStart w:id="6" w:name="_Case_management_1"/>
      <w:bookmarkStart w:id="7" w:name="_Case_management_2"/>
      <w:bookmarkStart w:id="8" w:name="_Case_management_3"/>
      <w:bookmarkStart w:id="9" w:name="_Toc97195030"/>
      <w:bookmarkEnd w:id="5"/>
      <w:bookmarkEnd w:id="6"/>
      <w:bookmarkEnd w:id="7"/>
      <w:bookmarkEnd w:id="8"/>
      <w:r w:rsidRPr="007A4336">
        <w:t>Case management</w:t>
      </w:r>
      <w:bookmarkEnd w:id="9"/>
    </w:p>
    <w:p w14:paraId="757190E5" w14:textId="25DA3FE0" w:rsidR="00017157" w:rsidRPr="004D44EC" w:rsidRDefault="005A55B1" w:rsidP="001C34D7">
      <w:pPr>
        <w:pStyle w:val="ListBullet2"/>
      </w:pPr>
      <w:r w:rsidRPr="004D44EC">
        <w:t>Notify</w:t>
      </w:r>
      <w:r w:rsidR="00017157" w:rsidRPr="004D44EC">
        <w:t xml:space="preserve"> microbiologically confirmed or clinically diagnosed TB cases in accordance with state public and environmental health laws</w:t>
      </w:r>
      <w:r w:rsidR="00442F13" w:rsidRPr="004D44EC">
        <w:t>; unless otherwise stated (</w:t>
      </w:r>
      <w:proofErr w:type="gramStart"/>
      <w:r w:rsidR="00C56EAB" w:rsidRPr="004D44EC">
        <w:t>e.g.</w:t>
      </w:r>
      <w:proofErr w:type="gramEnd"/>
      <w:r w:rsidR="00442F13" w:rsidRPr="004D44EC">
        <w:t xml:space="preserve"> laboratory mandated notification)</w:t>
      </w:r>
      <w:r w:rsidR="00E72862" w:rsidRPr="004D44EC">
        <w:t>,</w:t>
      </w:r>
      <w:r w:rsidR="00442F13" w:rsidRPr="004D44EC">
        <w:t xml:space="preserve"> it is the responsibility of the diagnosing medical officer to ensure notification occurs</w:t>
      </w:r>
      <w:r w:rsidR="007C7F50" w:rsidRPr="004D44EC">
        <w:t>.</w:t>
      </w:r>
    </w:p>
    <w:p w14:paraId="0C66934A" w14:textId="77777777" w:rsidR="001227AA" w:rsidRPr="004D44EC" w:rsidRDefault="001227AA" w:rsidP="001C34D7">
      <w:pPr>
        <w:pStyle w:val="ListBullet2"/>
      </w:pPr>
      <w:r w:rsidRPr="004D44EC">
        <w:t>Assess infectiousness of the case.</w:t>
      </w:r>
    </w:p>
    <w:p w14:paraId="7474D371" w14:textId="35C71E48" w:rsidR="00905115" w:rsidRPr="004D44EC" w:rsidRDefault="00905115" w:rsidP="001C34D7">
      <w:pPr>
        <w:pStyle w:val="ListBullet2"/>
      </w:pPr>
      <w:r w:rsidRPr="004D44EC">
        <w:t xml:space="preserve">Ensure appropriate infection control precautions have been implemented: airborne precautions are indicated for all potentially infectious cases. </w:t>
      </w:r>
    </w:p>
    <w:p w14:paraId="4863CF59" w14:textId="35C4F285" w:rsidR="00017157" w:rsidRPr="004D44EC" w:rsidRDefault="00D22A62" w:rsidP="001C34D7">
      <w:pPr>
        <w:pStyle w:val="ListBullet2"/>
      </w:pPr>
      <w:r>
        <w:t>The attending medical officer is to i</w:t>
      </w:r>
      <w:r w:rsidR="00442F13" w:rsidRPr="004D44EC">
        <w:t>mplement</w:t>
      </w:r>
      <w:r w:rsidR="00F4604A" w:rsidRPr="004D44EC">
        <w:t xml:space="preserve"> </w:t>
      </w:r>
      <w:r w:rsidR="00442F13" w:rsidRPr="004D44EC">
        <w:t xml:space="preserve">appropriate treatment in a timely manner with </w:t>
      </w:r>
      <w:r w:rsidR="0098468B">
        <w:t xml:space="preserve">clinical resources and patient </w:t>
      </w:r>
      <w:r w:rsidR="00442F13" w:rsidRPr="004D44EC">
        <w:t>support provided by public health/TB services.</w:t>
      </w:r>
    </w:p>
    <w:p w14:paraId="0E3A8933" w14:textId="77777777" w:rsidR="001227AA" w:rsidRDefault="001227AA" w:rsidP="001C34D7">
      <w:pPr>
        <w:pStyle w:val="ListBullet2"/>
      </w:pPr>
      <w:r>
        <w:t>Ensure treatment regimen and duration is appropriate considering site of disease, comorbidities and any antimicrobial resistance detected.</w:t>
      </w:r>
    </w:p>
    <w:p w14:paraId="552FD717" w14:textId="77777777" w:rsidR="001227AA" w:rsidRDefault="001227AA" w:rsidP="001C34D7">
      <w:pPr>
        <w:pStyle w:val="ListBullet2"/>
      </w:pPr>
      <w:r>
        <w:t>Ensure microbiological and clinical response to treatment is monitored.</w:t>
      </w:r>
    </w:p>
    <w:p w14:paraId="77A8CABE" w14:textId="02894382" w:rsidR="003171CF" w:rsidRPr="001B4F02" w:rsidRDefault="00442F13" w:rsidP="001C34D7">
      <w:pPr>
        <w:pStyle w:val="ListBullet2"/>
      </w:pPr>
      <w:r w:rsidRPr="001B4F02">
        <w:t>E</w:t>
      </w:r>
      <w:r w:rsidR="003171CF" w:rsidRPr="001B4F02">
        <w:t xml:space="preserve">xclude from </w:t>
      </w:r>
      <w:r w:rsidR="00A66766" w:rsidRPr="001B4F02">
        <w:t>congregated settings</w:t>
      </w:r>
      <w:r w:rsidRPr="001B4F02">
        <w:t>,</w:t>
      </w:r>
      <w:r w:rsidR="00A66766" w:rsidRPr="001B4F02">
        <w:t xml:space="preserve"> for example </w:t>
      </w:r>
      <w:r w:rsidR="003171CF" w:rsidRPr="001B4F02">
        <w:t>workplaces, educational and</w:t>
      </w:r>
      <w:r w:rsidR="00F9486A" w:rsidRPr="001B4F02">
        <w:t xml:space="preserve"> childcare settings</w:t>
      </w:r>
      <w:r w:rsidRPr="001B4F02">
        <w:t xml:space="preserve"> for as long as the case is assessed as </w:t>
      </w:r>
      <w:r w:rsidR="00F4604A" w:rsidRPr="001B4F02">
        <w:t xml:space="preserve">likely </w:t>
      </w:r>
      <w:r w:rsidRPr="001B4F02">
        <w:t>infectious</w:t>
      </w:r>
      <w:r w:rsidR="00F9486A" w:rsidRPr="001B4F02">
        <w:t>.</w:t>
      </w:r>
    </w:p>
    <w:p w14:paraId="00A0DCF2" w14:textId="4FE09811" w:rsidR="0098468B" w:rsidRPr="00593133" w:rsidRDefault="0098468B" w:rsidP="001C34D7">
      <w:pPr>
        <w:pStyle w:val="ListBullet2"/>
      </w:pPr>
      <w:r>
        <w:t>Report treatment outcomes to Public Health authorities</w:t>
      </w:r>
      <w:r w:rsidR="00593133">
        <w:t>.</w:t>
      </w:r>
    </w:p>
    <w:p w14:paraId="2176D2D6" w14:textId="77777777" w:rsidR="003171CF" w:rsidRPr="007A4336" w:rsidRDefault="003171CF" w:rsidP="00CA7F5E">
      <w:pPr>
        <w:pStyle w:val="Heading2"/>
      </w:pPr>
      <w:bookmarkStart w:id="10" w:name="_Contact_management"/>
      <w:bookmarkStart w:id="11" w:name="_Contact_management_1"/>
      <w:bookmarkStart w:id="12" w:name="_Toc97195031"/>
      <w:bookmarkEnd w:id="10"/>
      <w:bookmarkEnd w:id="11"/>
      <w:r w:rsidRPr="00FA2B06">
        <w:t>Contact management</w:t>
      </w:r>
      <w:bookmarkEnd w:id="12"/>
    </w:p>
    <w:p w14:paraId="6683204D" w14:textId="77777777" w:rsidR="003171CF" w:rsidRPr="004D44EC" w:rsidRDefault="003171CF" w:rsidP="001C34D7">
      <w:pPr>
        <w:pStyle w:val="ListBullet2"/>
      </w:pPr>
      <w:proofErr w:type="gramStart"/>
      <w:r w:rsidRPr="004D44EC">
        <w:t>Conduct an investigation</w:t>
      </w:r>
      <w:proofErr w:type="gramEnd"/>
      <w:r w:rsidRPr="004D44EC">
        <w:t xml:space="preserve"> to:</w:t>
      </w:r>
    </w:p>
    <w:p w14:paraId="4F7B0B87" w14:textId="1FFA1488" w:rsidR="003171CF" w:rsidRPr="004D44EC" w:rsidRDefault="005A4971" w:rsidP="001C34D7">
      <w:pPr>
        <w:pStyle w:val="ListBullet3"/>
      </w:pPr>
      <w:r w:rsidRPr="004D44EC">
        <w:t>Determine</w:t>
      </w:r>
      <w:r w:rsidR="003171CF" w:rsidRPr="004D44EC">
        <w:t xml:space="preserve"> the source</w:t>
      </w:r>
      <w:r w:rsidR="00F9486A" w:rsidRPr="004D44EC">
        <w:t xml:space="preserve"> of infection </w:t>
      </w:r>
      <w:r w:rsidR="005A55B1" w:rsidRPr="004D44EC">
        <w:t>for</w:t>
      </w:r>
      <w:r w:rsidR="00F9486A" w:rsidRPr="004D44EC">
        <w:t xml:space="preserve"> the index case</w:t>
      </w:r>
      <w:r w:rsidR="00C56EAB" w:rsidRPr="004D44EC">
        <w:t>.</w:t>
      </w:r>
    </w:p>
    <w:p w14:paraId="3E7626EA" w14:textId="57F26FBC" w:rsidR="003171CF" w:rsidRPr="004D44EC" w:rsidRDefault="005A4971" w:rsidP="001C34D7">
      <w:pPr>
        <w:pStyle w:val="ListBullet3"/>
      </w:pPr>
      <w:r w:rsidRPr="004D44EC">
        <w:t>Screen</w:t>
      </w:r>
      <w:r w:rsidR="003171CF" w:rsidRPr="004D44EC">
        <w:t xml:space="preserve"> contacts </w:t>
      </w:r>
      <w:r w:rsidR="00D60195" w:rsidRPr="004D44EC">
        <w:t>for TB disease and</w:t>
      </w:r>
      <w:r w:rsidR="003171CF" w:rsidRPr="004D44EC">
        <w:t xml:space="preserve"> infect</w:t>
      </w:r>
      <w:r w:rsidR="00D60195" w:rsidRPr="004D44EC">
        <w:t>ion</w:t>
      </w:r>
      <w:r w:rsidR="003171CF" w:rsidRPr="004D44EC">
        <w:t xml:space="preserve">, with persons in prolonged </w:t>
      </w:r>
      <w:r w:rsidR="00F4604A" w:rsidRPr="004D44EC">
        <w:t xml:space="preserve">close </w:t>
      </w:r>
      <w:r w:rsidR="003171CF" w:rsidRPr="004D44EC">
        <w:t xml:space="preserve">contact with pulmonary cases as </w:t>
      </w:r>
      <w:proofErr w:type="gramStart"/>
      <w:r w:rsidR="003171CF" w:rsidRPr="004D44EC">
        <w:t>first prio</w:t>
      </w:r>
      <w:r w:rsidR="00F9486A" w:rsidRPr="004D44EC">
        <w:t>rity</w:t>
      </w:r>
      <w:proofErr w:type="gramEnd"/>
      <w:r w:rsidR="00F9486A" w:rsidRPr="004D44EC">
        <w:t>.</w:t>
      </w:r>
    </w:p>
    <w:p w14:paraId="55BFB5EC" w14:textId="535A4523" w:rsidR="00FC352A" w:rsidRPr="004D44EC" w:rsidRDefault="003171CF" w:rsidP="001C34D7">
      <w:pPr>
        <w:pStyle w:val="ListBullet2"/>
      </w:pPr>
      <w:r w:rsidRPr="004D44EC">
        <w:t xml:space="preserve">Any contacts with symptoms suspicious of TB should be </w:t>
      </w:r>
      <w:r w:rsidR="00F9486A" w:rsidRPr="004D44EC">
        <w:t xml:space="preserve">referred immediately for </w:t>
      </w:r>
      <w:r w:rsidR="00BF06B9" w:rsidRPr="004D44EC">
        <w:t xml:space="preserve">medical </w:t>
      </w:r>
      <w:r w:rsidR="00F9486A" w:rsidRPr="004D44EC">
        <w:t>review.</w:t>
      </w:r>
    </w:p>
    <w:p w14:paraId="36B3138C" w14:textId="3E9FAA8F" w:rsidR="003171CF" w:rsidRPr="004D44EC" w:rsidRDefault="003171CF" w:rsidP="001C34D7">
      <w:pPr>
        <w:pStyle w:val="ListBullet2"/>
      </w:pPr>
      <w:r w:rsidRPr="004D44EC">
        <w:t xml:space="preserve">Any asymptomatic contacts with </w:t>
      </w:r>
      <w:r w:rsidR="00D60195" w:rsidRPr="004D44EC">
        <w:t>likely</w:t>
      </w:r>
      <w:r w:rsidRPr="004D44EC">
        <w:t xml:space="preserve"> recent infection (positive tuberculin skin test (TST) and/or interferon gamma release assay (IGRA)</w:t>
      </w:r>
      <w:r w:rsidR="00E72862" w:rsidRPr="004D44EC">
        <w:t>)</w:t>
      </w:r>
      <w:r w:rsidRPr="004D44EC">
        <w:t xml:space="preserve"> should be referred to a </w:t>
      </w:r>
      <w:r w:rsidR="009C724C" w:rsidRPr="004D44EC">
        <w:t>clinician</w:t>
      </w:r>
      <w:r w:rsidRPr="004D44EC">
        <w:t xml:space="preserve"> experienced in TB to exclude active disease and consider preve</w:t>
      </w:r>
      <w:r w:rsidR="00F9486A" w:rsidRPr="004D44EC">
        <w:t>ntive treatment.</w:t>
      </w:r>
    </w:p>
    <w:p w14:paraId="69920021" w14:textId="1E8A74C5" w:rsidR="00BF06B9" w:rsidRPr="004D44EC" w:rsidRDefault="00BF06B9" w:rsidP="001C34D7">
      <w:pPr>
        <w:pStyle w:val="ListBullet2"/>
      </w:pPr>
      <w:r w:rsidRPr="004D44EC">
        <w:t>A chest radiograph reviewed by a medical officer is an essential tool in the assessment of both symptomatic TB contacts and those with a positive test for latent infection</w:t>
      </w:r>
      <w:r w:rsidR="00C56EAB" w:rsidRPr="004D44EC">
        <w:t>.</w:t>
      </w:r>
    </w:p>
    <w:p w14:paraId="0F01C285" w14:textId="77777777" w:rsidR="00A1633B" w:rsidRPr="004D44EC" w:rsidRDefault="003171CF" w:rsidP="001C34D7">
      <w:pPr>
        <w:pStyle w:val="ListBullet2"/>
      </w:pPr>
      <w:r w:rsidRPr="004D44EC">
        <w:lastRenderedPageBreak/>
        <w:t>An evaluation of results of contact tracing in each risk group should be carried out to determine if contact management activit</w:t>
      </w:r>
      <w:r w:rsidR="00F9486A" w:rsidRPr="004D44EC">
        <w:t>y should be extended or ceased.</w:t>
      </w:r>
    </w:p>
    <w:p w14:paraId="6BC187AC" w14:textId="77777777" w:rsidR="002E1CF0" w:rsidRPr="007A4336" w:rsidRDefault="002E1CF0" w:rsidP="00CA7F5E">
      <w:pPr>
        <w:pStyle w:val="Heading1"/>
      </w:pPr>
      <w:bookmarkStart w:id="13" w:name="_Toc97195032"/>
      <w:r w:rsidRPr="007A4336">
        <w:t>The disease</w:t>
      </w:r>
      <w:bookmarkEnd w:id="13"/>
    </w:p>
    <w:p w14:paraId="7A7ED235" w14:textId="77777777" w:rsidR="002E1CF0" w:rsidRPr="007A4336" w:rsidRDefault="002E1CF0" w:rsidP="00CA7F5E">
      <w:pPr>
        <w:pStyle w:val="Heading2"/>
      </w:pPr>
      <w:bookmarkStart w:id="14" w:name="_Toc97195033"/>
      <w:r w:rsidRPr="00FA2B06">
        <w:t>Infectious agents</w:t>
      </w:r>
      <w:bookmarkEnd w:id="14"/>
    </w:p>
    <w:p w14:paraId="6E533DDA" w14:textId="599B2BDB" w:rsidR="002E1CF0" w:rsidRPr="004D44EC" w:rsidRDefault="002E1CF0" w:rsidP="002E1CF0">
      <w:pPr>
        <w:rPr>
          <w:rFonts w:cs="Arial"/>
        </w:rPr>
      </w:pPr>
      <w:bookmarkStart w:id="15" w:name="_Hlk96980343"/>
      <w:r w:rsidRPr="004D44EC">
        <w:rPr>
          <w:rFonts w:cs="Arial"/>
        </w:rPr>
        <w:t xml:space="preserve">TB is caused by </w:t>
      </w:r>
      <w:r w:rsidR="00F4604A" w:rsidRPr="004D44EC">
        <w:rPr>
          <w:rFonts w:cs="Arial"/>
        </w:rPr>
        <w:t xml:space="preserve">any of </w:t>
      </w:r>
      <w:r w:rsidRPr="004D44EC">
        <w:rPr>
          <w:rFonts w:cs="Arial"/>
        </w:rPr>
        <w:t xml:space="preserve">the </w:t>
      </w:r>
      <w:r w:rsidRPr="003031A7">
        <w:rPr>
          <w:rStyle w:val="Emphasis"/>
        </w:rPr>
        <w:t>M</w:t>
      </w:r>
      <w:r w:rsidR="00AC4375" w:rsidRPr="003031A7">
        <w:rPr>
          <w:rStyle w:val="Emphasis"/>
        </w:rPr>
        <w:t>ycobacterium</w:t>
      </w:r>
      <w:r w:rsidRPr="003031A7">
        <w:rPr>
          <w:rStyle w:val="Emphasis"/>
        </w:rPr>
        <w:t xml:space="preserve"> tuberculosis </w:t>
      </w:r>
      <w:r w:rsidRPr="004D44EC">
        <w:rPr>
          <w:rFonts w:cs="Arial"/>
        </w:rPr>
        <w:t>complex</w:t>
      </w:r>
      <w:r w:rsidR="00F4604A" w:rsidRPr="004D44EC">
        <w:rPr>
          <w:rFonts w:cs="Arial"/>
        </w:rPr>
        <w:t xml:space="preserve"> bacilli</w:t>
      </w:r>
      <w:r w:rsidRPr="004D44EC">
        <w:rPr>
          <w:rFonts w:cs="Arial"/>
        </w:rPr>
        <w:t xml:space="preserve">. </w:t>
      </w:r>
      <w:r w:rsidRPr="003031A7">
        <w:rPr>
          <w:rStyle w:val="Emphasis"/>
        </w:rPr>
        <w:t xml:space="preserve">M. tuberculosis </w:t>
      </w:r>
      <w:r w:rsidRPr="004D44EC">
        <w:rPr>
          <w:rFonts w:cs="Arial"/>
        </w:rPr>
        <w:t xml:space="preserve">is responsible for most cases. </w:t>
      </w:r>
      <w:r w:rsidRPr="003031A7">
        <w:rPr>
          <w:rStyle w:val="Emphasis"/>
        </w:rPr>
        <w:t>M</w:t>
      </w:r>
      <w:r w:rsidR="00AC4375" w:rsidRPr="003031A7">
        <w:rPr>
          <w:rStyle w:val="Emphasis"/>
        </w:rPr>
        <w:t>.</w:t>
      </w:r>
      <w:r w:rsidRPr="003031A7">
        <w:rPr>
          <w:rStyle w:val="Emphasis"/>
        </w:rPr>
        <w:t xml:space="preserve"> </w:t>
      </w:r>
      <w:proofErr w:type="spellStart"/>
      <w:r w:rsidRPr="003031A7">
        <w:rPr>
          <w:rStyle w:val="Emphasis"/>
        </w:rPr>
        <w:t>bovi</w:t>
      </w:r>
      <w:bookmarkStart w:id="16" w:name="OLE_LINK1"/>
      <w:bookmarkStart w:id="17" w:name="OLE_LINK2"/>
      <w:r w:rsidRPr="003031A7">
        <w:rPr>
          <w:rStyle w:val="Emphasis"/>
        </w:rPr>
        <w:t>s</w:t>
      </w:r>
      <w:proofErr w:type="spellEnd"/>
      <w:r w:rsidR="00B558E7" w:rsidRPr="003031A7">
        <w:rPr>
          <w:rStyle w:val="Emphasis"/>
        </w:rPr>
        <w:t>,</w:t>
      </w:r>
      <w:r w:rsidRPr="003031A7">
        <w:rPr>
          <w:rStyle w:val="Emphasis"/>
        </w:rPr>
        <w:t xml:space="preserve"> </w:t>
      </w:r>
      <w:r w:rsidR="00E63C91" w:rsidRPr="003031A7">
        <w:rPr>
          <w:rStyle w:val="Emphasis"/>
        </w:rPr>
        <w:t xml:space="preserve">M. </w:t>
      </w:r>
      <w:proofErr w:type="spellStart"/>
      <w:r w:rsidR="00E63C91" w:rsidRPr="003031A7">
        <w:rPr>
          <w:rStyle w:val="Emphasis"/>
        </w:rPr>
        <w:t>africanum</w:t>
      </w:r>
      <w:proofErr w:type="spellEnd"/>
      <w:r w:rsidR="00E63C91" w:rsidRPr="003031A7">
        <w:rPr>
          <w:rStyle w:val="Emphasis"/>
        </w:rPr>
        <w:t>,</w:t>
      </w:r>
      <w:r w:rsidRPr="003031A7">
        <w:rPr>
          <w:rStyle w:val="Emphasis"/>
        </w:rPr>
        <w:t xml:space="preserve"> M. </w:t>
      </w:r>
      <w:proofErr w:type="spellStart"/>
      <w:r w:rsidRPr="003031A7">
        <w:rPr>
          <w:rStyle w:val="Emphasis"/>
        </w:rPr>
        <w:t>canetii</w:t>
      </w:r>
      <w:proofErr w:type="spellEnd"/>
      <w:r w:rsidR="00DF567E" w:rsidRPr="003031A7">
        <w:rPr>
          <w:rStyle w:val="Emphasis"/>
        </w:rPr>
        <w:t xml:space="preserve">, </w:t>
      </w:r>
      <w:r w:rsidRPr="003031A7">
        <w:rPr>
          <w:rStyle w:val="Emphasis"/>
        </w:rPr>
        <w:t xml:space="preserve">M. </w:t>
      </w:r>
      <w:proofErr w:type="spellStart"/>
      <w:r w:rsidRPr="003031A7">
        <w:rPr>
          <w:rStyle w:val="Emphasis"/>
        </w:rPr>
        <w:t>caprae</w:t>
      </w:r>
      <w:bookmarkEnd w:id="16"/>
      <w:bookmarkEnd w:id="17"/>
      <w:proofErr w:type="spellEnd"/>
      <w:r w:rsidRPr="003031A7">
        <w:rPr>
          <w:rStyle w:val="Emphasis"/>
        </w:rPr>
        <w:t xml:space="preserve"> </w:t>
      </w:r>
      <w:r w:rsidR="00DF567E" w:rsidRPr="004D44EC">
        <w:rPr>
          <w:rFonts w:cs="Arial"/>
          <w:iCs/>
        </w:rPr>
        <w:t>and other</w:t>
      </w:r>
      <w:r w:rsidR="00844492" w:rsidRPr="004D44EC">
        <w:rPr>
          <w:rFonts w:cs="Arial"/>
          <w:iCs/>
        </w:rPr>
        <w:t xml:space="preserve"> species</w:t>
      </w:r>
      <w:r w:rsidR="00DF567E" w:rsidRPr="003031A7">
        <w:rPr>
          <w:rStyle w:val="Emphasis"/>
        </w:rPr>
        <w:t xml:space="preserve"> </w:t>
      </w:r>
      <w:r w:rsidR="00DF567E" w:rsidRPr="004D44EC">
        <w:rPr>
          <w:rFonts w:cs="Arial"/>
        </w:rPr>
        <w:t xml:space="preserve">very rarely </w:t>
      </w:r>
      <w:r w:rsidRPr="004D44EC">
        <w:rPr>
          <w:rFonts w:cs="Arial"/>
        </w:rPr>
        <w:t>cause TB</w:t>
      </w:r>
      <w:r w:rsidR="00F4604A" w:rsidRPr="004D44EC">
        <w:rPr>
          <w:rFonts w:cs="Arial"/>
        </w:rPr>
        <w:t xml:space="preserve"> disease</w:t>
      </w:r>
      <w:r w:rsidRPr="004D44EC">
        <w:rPr>
          <w:rFonts w:cs="Arial"/>
        </w:rPr>
        <w:t xml:space="preserve"> in Australia.</w:t>
      </w:r>
      <w:r w:rsidR="00794CDD" w:rsidRPr="004D44EC">
        <w:rPr>
          <w:rFonts w:cs="Arial"/>
        </w:rPr>
        <w:t xml:space="preserve"> </w:t>
      </w:r>
      <w:proofErr w:type="spellStart"/>
      <w:r w:rsidR="00794CDD" w:rsidRPr="004D44EC">
        <w:rPr>
          <w:rFonts w:cs="Arial"/>
        </w:rPr>
        <w:t>Bacill</w:t>
      </w:r>
      <w:r w:rsidR="00BD34A5" w:rsidRPr="004D44EC">
        <w:rPr>
          <w:rFonts w:cs="Arial"/>
        </w:rPr>
        <w:t>e</w:t>
      </w:r>
      <w:proofErr w:type="spellEnd"/>
      <w:r w:rsidR="00794CDD" w:rsidRPr="004D44EC">
        <w:rPr>
          <w:rFonts w:cs="Arial"/>
        </w:rPr>
        <w:t xml:space="preserve"> </w:t>
      </w:r>
      <w:r w:rsidR="004C4A6F" w:rsidRPr="004D44EC">
        <w:rPr>
          <w:rFonts w:cs="Arial"/>
        </w:rPr>
        <w:t>Cal</w:t>
      </w:r>
      <w:r w:rsidR="00BD34A5" w:rsidRPr="004D44EC">
        <w:rPr>
          <w:rFonts w:cs="Arial"/>
        </w:rPr>
        <w:t>mette-Guerin (BCG)</w:t>
      </w:r>
      <w:r w:rsidR="001C1CCB" w:rsidRPr="004D44EC">
        <w:rPr>
          <w:rFonts w:cs="Arial"/>
        </w:rPr>
        <w:t xml:space="preserve"> variant of </w:t>
      </w:r>
      <w:r w:rsidR="001C1CCB" w:rsidRPr="003031A7">
        <w:rPr>
          <w:rStyle w:val="Emphasis"/>
        </w:rPr>
        <w:t xml:space="preserve">M. </w:t>
      </w:r>
      <w:proofErr w:type="spellStart"/>
      <w:r w:rsidR="001C1CCB" w:rsidRPr="003031A7">
        <w:rPr>
          <w:rStyle w:val="Emphasis"/>
        </w:rPr>
        <w:t>bovis</w:t>
      </w:r>
      <w:proofErr w:type="spellEnd"/>
      <w:r w:rsidR="001C1CCB" w:rsidRPr="004D44EC">
        <w:rPr>
          <w:rFonts w:cs="Arial"/>
        </w:rPr>
        <w:t xml:space="preserve"> may be isolated </w:t>
      </w:r>
      <w:r w:rsidR="004B54B3" w:rsidRPr="004D44EC">
        <w:rPr>
          <w:rFonts w:cs="Arial"/>
        </w:rPr>
        <w:t>following vaccination or use as adjuvant therapy for bladder cancer</w:t>
      </w:r>
      <w:r w:rsidR="00750178" w:rsidRPr="004D44EC">
        <w:rPr>
          <w:rFonts w:cs="Arial"/>
        </w:rPr>
        <w:t>; BCG is not nationally notifiable or considered to be a TB case.</w:t>
      </w:r>
    </w:p>
    <w:p w14:paraId="562EB92F" w14:textId="1C74AF47" w:rsidR="002E1CF0" w:rsidRPr="007A4336" w:rsidRDefault="002E1CF0" w:rsidP="00CA7F5E">
      <w:pPr>
        <w:pStyle w:val="Heading2"/>
      </w:pPr>
      <w:bookmarkStart w:id="18" w:name="_Toc97195034"/>
      <w:r w:rsidRPr="00FA2B06">
        <w:t>Reservoir</w:t>
      </w:r>
      <w:bookmarkEnd w:id="18"/>
    </w:p>
    <w:p w14:paraId="59831D22" w14:textId="2CD0F2D2" w:rsidR="002E1CF0" w:rsidRPr="004D44EC" w:rsidRDefault="002E1CF0" w:rsidP="002E1CF0">
      <w:pPr>
        <w:rPr>
          <w:rFonts w:cs="Arial"/>
        </w:rPr>
      </w:pPr>
      <w:r w:rsidRPr="004D44EC">
        <w:rPr>
          <w:rFonts w:cs="Arial"/>
        </w:rPr>
        <w:t xml:space="preserve">Humans are the primary reservoir for </w:t>
      </w:r>
      <w:r w:rsidRPr="003031A7">
        <w:rPr>
          <w:rStyle w:val="Emphasis"/>
        </w:rPr>
        <w:t>M. tuberculosis,</w:t>
      </w:r>
      <w:r w:rsidRPr="004D44EC">
        <w:rPr>
          <w:rFonts w:cs="Arial"/>
        </w:rPr>
        <w:t xml:space="preserve"> </w:t>
      </w:r>
      <w:r w:rsidR="00DF567E" w:rsidRPr="004D44EC">
        <w:rPr>
          <w:rFonts w:cs="Arial"/>
        </w:rPr>
        <w:t xml:space="preserve">but it can infect </w:t>
      </w:r>
      <w:r w:rsidRPr="004D44EC">
        <w:rPr>
          <w:rFonts w:cs="Arial"/>
        </w:rPr>
        <w:t>other animals</w:t>
      </w:r>
      <w:r w:rsidR="00E63C91" w:rsidRPr="004D44EC">
        <w:rPr>
          <w:rFonts w:cs="Arial"/>
        </w:rPr>
        <w:t xml:space="preserve"> </w:t>
      </w:r>
      <w:r w:rsidR="002A54A5" w:rsidRPr="004D44EC">
        <w:rPr>
          <w:rFonts w:cs="Arial"/>
        </w:rPr>
        <w:fldChar w:fldCharType="begin"/>
      </w:r>
      <w:r w:rsidR="00C5513E">
        <w:rPr>
          <w:rFonts w:cs="Arial"/>
        </w:rPr>
        <w:instrText xml:space="preserve"> ADDIN EN.CITE &lt;EndNote&gt;&lt;Cite&gt;&lt;Author&gt;Raviglione&lt;/Author&gt;&lt;Year&gt;2015&lt;/Year&gt;&lt;RecNum&gt;1&lt;/RecNum&gt;&lt;DisplayText&gt;(1)&lt;/DisplayText&gt;&lt;record&gt;&lt;rec-number&gt;1&lt;/rec-number&gt;&lt;foreign-keys&gt;&lt;key app="EN" db-id="sr9paxs2qve9wpext2i5swxe50w0rs9dzze2" timestamp="1628681196"&gt;1&lt;/key&gt;&lt;/foreign-keys&gt;&lt;ref-type name="Book Section"&gt;5&lt;/ref-type&gt;&lt;contributors&gt;&lt;authors&gt;&lt;author&gt;Raviglione, M.C.&lt;/author&gt;&lt;author&gt;Getahun, H.&lt;/author&gt;&lt;/authors&gt;&lt;secondary-authors&gt;&lt;author&gt;Heymann, D.L.&lt;/author&gt;&lt;/secondary-authors&gt;&lt;/contributors&gt;&lt;titles&gt;&lt;title&gt;Tuberculosis and other mycobacterial diseases&lt;/title&gt;&lt;secondary-title&gt;Control of communicable diseases manual&lt;/secondary-title&gt;&lt;/titles&gt;&lt;pages&gt;637-50&lt;/pages&gt;&lt;edition&gt;20th&lt;/edition&gt;&lt;dates&gt;&lt;year&gt;2015&lt;/year&gt;&lt;/dates&gt;&lt;pub-location&gt;Washington&lt;/pub-location&gt;&lt;publisher&gt;American Public Health Association&lt;/publisher&gt;&lt;urls&gt;&lt;/urls&gt;&lt;/record&gt;&lt;/Cite&gt;&lt;/EndNote&gt;</w:instrText>
      </w:r>
      <w:r w:rsidR="002A54A5" w:rsidRPr="004D44EC">
        <w:rPr>
          <w:rFonts w:cs="Arial"/>
        </w:rPr>
        <w:fldChar w:fldCharType="separate"/>
      </w:r>
      <w:r w:rsidR="00BF3E54" w:rsidRPr="004D44EC">
        <w:rPr>
          <w:rFonts w:cs="Arial"/>
          <w:noProof/>
        </w:rPr>
        <w:t>(1)</w:t>
      </w:r>
      <w:r w:rsidR="002A54A5" w:rsidRPr="004D44EC">
        <w:rPr>
          <w:rFonts w:cs="Arial"/>
        </w:rPr>
        <w:fldChar w:fldCharType="end"/>
      </w:r>
      <w:r w:rsidR="00E63C91" w:rsidRPr="004D44EC">
        <w:rPr>
          <w:rFonts w:cs="Arial"/>
        </w:rPr>
        <w:t>.</w:t>
      </w:r>
      <w:r w:rsidRPr="004D44EC">
        <w:rPr>
          <w:rFonts w:cs="Arial"/>
        </w:rPr>
        <w:t xml:space="preserve"> </w:t>
      </w:r>
      <w:r w:rsidRPr="003031A7">
        <w:rPr>
          <w:rStyle w:val="Emphasis"/>
        </w:rPr>
        <w:t xml:space="preserve">M. </w:t>
      </w:r>
      <w:proofErr w:type="spellStart"/>
      <w:r w:rsidRPr="003031A7">
        <w:rPr>
          <w:rStyle w:val="Emphasis"/>
        </w:rPr>
        <w:t>bovis</w:t>
      </w:r>
      <w:proofErr w:type="spellEnd"/>
      <w:r w:rsidRPr="004D44EC">
        <w:rPr>
          <w:rFonts w:cs="Arial"/>
        </w:rPr>
        <w:t xml:space="preserve"> </w:t>
      </w:r>
      <w:r w:rsidR="00671010" w:rsidRPr="004D44EC">
        <w:rPr>
          <w:rFonts w:cs="Arial"/>
        </w:rPr>
        <w:t>is characteristically fo</w:t>
      </w:r>
      <w:r w:rsidRPr="004D44EC">
        <w:rPr>
          <w:rFonts w:cs="Arial"/>
        </w:rPr>
        <w:t>und in cattle and other mammals.</w:t>
      </w:r>
    </w:p>
    <w:p w14:paraId="1601921F" w14:textId="77777777" w:rsidR="002E1CF0" w:rsidRPr="007A4336" w:rsidRDefault="002E1CF0" w:rsidP="00CA7F5E">
      <w:pPr>
        <w:pStyle w:val="Heading2"/>
      </w:pPr>
      <w:bookmarkStart w:id="19" w:name="_Mode_of_transmission"/>
      <w:bookmarkStart w:id="20" w:name="_Toc97195035"/>
      <w:bookmarkEnd w:id="19"/>
      <w:r w:rsidRPr="00FA2B06">
        <w:rPr>
          <w:lang w:val="en-AU"/>
        </w:rPr>
        <w:t xml:space="preserve">Mode of </w:t>
      </w:r>
      <w:r w:rsidRPr="007A4336">
        <w:t>transmission</w:t>
      </w:r>
      <w:bookmarkEnd w:id="20"/>
    </w:p>
    <w:p w14:paraId="554F70E6" w14:textId="6A1504BE" w:rsidR="002E1CF0" w:rsidRPr="004D44EC" w:rsidRDefault="002E1CF0" w:rsidP="001C34D7">
      <w:pPr>
        <w:pStyle w:val="ListBullet2"/>
      </w:pPr>
      <w:r w:rsidRPr="004D44EC">
        <w:t xml:space="preserve">TB is </w:t>
      </w:r>
      <w:r w:rsidR="00200A36" w:rsidRPr="004D44EC">
        <w:t xml:space="preserve">primarily </w:t>
      </w:r>
      <w:r w:rsidRPr="004D44EC">
        <w:t xml:space="preserve">transmitted by inhalation of infectious </w:t>
      </w:r>
      <w:r w:rsidR="00715329">
        <w:t>aerosols</w:t>
      </w:r>
      <w:r w:rsidRPr="004D44EC">
        <w:t xml:space="preserve"> produced by persons with pulmonary or laryngeal </w:t>
      </w:r>
      <w:r w:rsidR="00E95AA3" w:rsidRPr="004D44EC">
        <w:t xml:space="preserve">TB </w:t>
      </w:r>
      <w:r w:rsidRPr="004D44EC">
        <w:t>during coughing, laughing, s</w:t>
      </w:r>
      <w:r w:rsidR="00DF567E" w:rsidRPr="004D44EC">
        <w:t>peaking</w:t>
      </w:r>
      <w:r w:rsidRPr="004D44EC">
        <w:t xml:space="preserve">, </w:t>
      </w:r>
      <w:proofErr w:type="gramStart"/>
      <w:r w:rsidRPr="004D44EC">
        <w:t>singing</w:t>
      </w:r>
      <w:proofErr w:type="gramEnd"/>
      <w:r w:rsidRPr="004D44EC">
        <w:t xml:space="preserve"> or sneezing.</w:t>
      </w:r>
    </w:p>
    <w:p w14:paraId="625B35D8" w14:textId="77777777" w:rsidR="001C34D7" w:rsidRDefault="002E1CF0" w:rsidP="001C34D7">
      <w:pPr>
        <w:pStyle w:val="ListBullet2"/>
      </w:pPr>
      <w:r w:rsidRPr="004D44EC">
        <w:t>Transmission can occur from potentially high</w:t>
      </w:r>
      <w:r w:rsidR="00E95AA3" w:rsidRPr="004D44EC">
        <w:t>-</w:t>
      </w:r>
      <w:r w:rsidRPr="004D44EC">
        <w:t>risk procedures including sputum induction, treatment using a nebuliser, bronchoscopy, drainage of an open abscess</w:t>
      </w:r>
      <w:r w:rsidR="00671010" w:rsidRPr="004D44EC">
        <w:t xml:space="preserve"> (especially if irrigation of </w:t>
      </w:r>
      <w:r w:rsidR="00B558E7">
        <w:t xml:space="preserve">a </w:t>
      </w:r>
      <w:r w:rsidR="00671010" w:rsidRPr="004D44EC">
        <w:t>cavity)</w:t>
      </w:r>
      <w:r w:rsidRPr="004D44EC">
        <w:t xml:space="preserve">, autopsy or any procedure in which an aerosol containing </w:t>
      </w:r>
      <w:r w:rsidRPr="004D44EC">
        <w:rPr>
          <w:i/>
          <w:iCs/>
        </w:rPr>
        <w:t>M. tuberculosis</w:t>
      </w:r>
      <w:r w:rsidRPr="004D44EC">
        <w:t xml:space="preserve"> is generated.</w:t>
      </w:r>
    </w:p>
    <w:p w14:paraId="330DC99B" w14:textId="4DC6E565" w:rsidR="00D24B4F" w:rsidRPr="001C34D7" w:rsidRDefault="00DF567E" w:rsidP="001C34D7">
      <w:pPr>
        <w:pStyle w:val="ListBullet2"/>
      </w:pPr>
      <w:r w:rsidRPr="001C34D7">
        <w:t xml:space="preserve">Invasion of </w:t>
      </w:r>
      <w:r w:rsidRPr="001C34D7">
        <w:rPr>
          <w:i/>
          <w:iCs/>
        </w:rPr>
        <w:t>M. tuberculosis</w:t>
      </w:r>
      <w:r w:rsidRPr="001C34D7">
        <w:t xml:space="preserve"> may occur through mucous membranes (</w:t>
      </w:r>
      <w:proofErr w:type="gramStart"/>
      <w:r w:rsidRPr="001C34D7">
        <w:t>e</w:t>
      </w:r>
      <w:r w:rsidR="005C477B" w:rsidRPr="001C34D7">
        <w:t>.</w:t>
      </w:r>
      <w:r w:rsidRPr="001C34D7">
        <w:t>g.</w:t>
      </w:r>
      <w:proofErr w:type="gramEnd"/>
      <w:r w:rsidRPr="001C34D7">
        <w:t xml:space="preserve"> ingestion) or damaged skin</w:t>
      </w:r>
      <w:r w:rsidR="00D24B4F" w:rsidRPr="001C34D7">
        <w:t>.</w:t>
      </w:r>
    </w:p>
    <w:p w14:paraId="09BCF6BE" w14:textId="0E490B83" w:rsidR="002E1CF0" w:rsidRPr="004D44EC" w:rsidRDefault="002E1CF0" w:rsidP="001C34D7">
      <w:pPr>
        <w:pStyle w:val="ListBullet2"/>
      </w:pPr>
      <w:r w:rsidRPr="004D44EC">
        <w:t xml:space="preserve">Extra-pulmonary </w:t>
      </w:r>
      <w:r w:rsidR="00DF567E" w:rsidRPr="004D44EC">
        <w:t>TB</w:t>
      </w:r>
      <w:r w:rsidRPr="004D44EC">
        <w:t xml:space="preserve">, other than laryngeal, is generally not </w:t>
      </w:r>
      <w:r w:rsidR="00DF567E" w:rsidRPr="004D44EC">
        <w:t>infectious</w:t>
      </w:r>
      <w:r w:rsidRPr="004D44EC">
        <w:t xml:space="preserve">, </w:t>
      </w:r>
      <w:r w:rsidR="00DF567E" w:rsidRPr="004D44EC">
        <w:t xml:space="preserve">but </w:t>
      </w:r>
      <w:r w:rsidRPr="004D44EC">
        <w:t xml:space="preserve">can </w:t>
      </w:r>
      <w:r w:rsidR="003A193F" w:rsidRPr="004D44EC">
        <w:t xml:space="preserve">co-exist </w:t>
      </w:r>
      <w:r w:rsidRPr="004D44EC">
        <w:t xml:space="preserve">with </w:t>
      </w:r>
      <w:r w:rsidR="00DF567E" w:rsidRPr="004D44EC">
        <w:t xml:space="preserve">infectious </w:t>
      </w:r>
      <w:r w:rsidRPr="004D44EC">
        <w:t xml:space="preserve">pulmonary </w:t>
      </w:r>
      <w:r w:rsidR="00E95AA3" w:rsidRPr="004D44EC">
        <w:t>TB</w:t>
      </w:r>
      <w:r w:rsidRPr="004D44EC">
        <w:t>.</w:t>
      </w:r>
    </w:p>
    <w:p w14:paraId="31528F4C" w14:textId="11C54D02" w:rsidR="00D24B4F" w:rsidRPr="004D44EC" w:rsidRDefault="00D24B4F" w:rsidP="001C34D7">
      <w:pPr>
        <w:pStyle w:val="ListBullet2"/>
      </w:pPr>
      <w:r w:rsidRPr="004D44EC">
        <w:t>Laboratory acquisition via aerosol</w:t>
      </w:r>
      <w:r w:rsidR="000C1D27" w:rsidRPr="004D44EC">
        <w:t>iz</w:t>
      </w:r>
      <w:r w:rsidRPr="004D44EC">
        <w:t xml:space="preserve">ation of specimen or culture material or by inoculation, may occur in the absence of </w:t>
      </w:r>
      <w:r w:rsidR="00DF567E" w:rsidRPr="004D44EC">
        <w:t xml:space="preserve">adequate </w:t>
      </w:r>
      <w:r w:rsidRPr="004D44EC">
        <w:t>biocontainment practices.</w:t>
      </w:r>
    </w:p>
    <w:p w14:paraId="475019E5" w14:textId="62EE2953" w:rsidR="00671010" w:rsidRPr="003031A7" w:rsidRDefault="00671010" w:rsidP="003031A7">
      <w:r w:rsidRPr="003031A7">
        <w:t xml:space="preserve">Australia was declared free </w:t>
      </w:r>
      <w:r w:rsidR="00D24B4F" w:rsidRPr="003031A7">
        <w:t xml:space="preserve">of </w:t>
      </w:r>
      <w:r w:rsidR="00EF61F4" w:rsidRPr="003031A7">
        <w:t>b</w:t>
      </w:r>
      <w:r w:rsidR="00982232" w:rsidRPr="003031A7">
        <w:t xml:space="preserve">ovine </w:t>
      </w:r>
      <w:r w:rsidR="00EF61F4" w:rsidRPr="003031A7">
        <w:t xml:space="preserve">TB </w:t>
      </w:r>
      <w:r w:rsidR="00D24B4F" w:rsidRPr="003031A7">
        <w:t>in December 1997. H</w:t>
      </w:r>
      <w:r w:rsidRPr="003031A7">
        <w:t>uman disease may stil</w:t>
      </w:r>
      <w:r w:rsidR="00D24B4F" w:rsidRPr="003031A7">
        <w:t>l</w:t>
      </w:r>
      <w:r w:rsidRPr="003031A7">
        <w:t xml:space="preserve"> occur due to a long latency period or due to exposure in countries </w:t>
      </w:r>
      <w:r w:rsidR="00E63C91" w:rsidRPr="003031A7">
        <w:t>where</w:t>
      </w:r>
      <w:r w:rsidRPr="003031A7">
        <w:t xml:space="preserve"> M</w:t>
      </w:r>
      <w:r w:rsidR="003A193F" w:rsidRPr="003031A7">
        <w:t>.</w:t>
      </w:r>
      <w:r w:rsidRPr="003031A7">
        <w:t xml:space="preserve"> </w:t>
      </w:r>
      <w:proofErr w:type="spellStart"/>
      <w:r w:rsidRPr="003031A7">
        <w:t>bovis</w:t>
      </w:r>
      <w:proofErr w:type="spellEnd"/>
      <w:r w:rsidRPr="003031A7">
        <w:t xml:space="preserve"> </w:t>
      </w:r>
      <w:r w:rsidR="00DF567E" w:rsidRPr="003031A7">
        <w:t xml:space="preserve">is prevalent in </w:t>
      </w:r>
      <w:r w:rsidR="00E63C91" w:rsidRPr="003031A7">
        <w:t>cattle or other animals.</w:t>
      </w:r>
    </w:p>
    <w:p w14:paraId="66FE4460" w14:textId="77777777" w:rsidR="002E1CF0" w:rsidRPr="004D44EC" w:rsidRDefault="002E1CF0" w:rsidP="001C34D7">
      <w:pPr>
        <w:pStyle w:val="ListBullet2"/>
      </w:pPr>
      <w:r w:rsidRPr="004D44EC">
        <w:rPr>
          <w:i/>
          <w:iCs/>
        </w:rPr>
        <w:t xml:space="preserve">M. </w:t>
      </w:r>
      <w:proofErr w:type="spellStart"/>
      <w:r w:rsidRPr="004D44EC">
        <w:rPr>
          <w:i/>
          <w:iCs/>
        </w:rPr>
        <w:t>bovis</w:t>
      </w:r>
      <w:proofErr w:type="spellEnd"/>
      <w:r w:rsidRPr="004D44EC">
        <w:t xml:space="preserve"> </w:t>
      </w:r>
      <w:r w:rsidR="00E95AA3" w:rsidRPr="004D44EC">
        <w:t>TB</w:t>
      </w:r>
      <w:r w:rsidRPr="004D44EC">
        <w:t xml:space="preserve"> results mainly from ingestion of unpasteurised milk and dairy products.</w:t>
      </w:r>
    </w:p>
    <w:p w14:paraId="4391FD14" w14:textId="77777777" w:rsidR="002E1CF0" w:rsidRPr="004D44EC" w:rsidRDefault="002E1CF0" w:rsidP="001C34D7">
      <w:pPr>
        <w:pStyle w:val="ListBullet2"/>
      </w:pPr>
      <w:r w:rsidRPr="004D44EC">
        <w:t xml:space="preserve">Aerosol transmission of </w:t>
      </w:r>
      <w:r w:rsidRPr="004D44EC">
        <w:rPr>
          <w:i/>
          <w:iCs/>
        </w:rPr>
        <w:t xml:space="preserve">M. </w:t>
      </w:r>
      <w:proofErr w:type="spellStart"/>
      <w:r w:rsidRPr="004D44EC">
        <w:rPr>
          <w:i/>
          <w:iCs/>
        </w:rPr>
        <w:t>bovis</w:t>
      </w:r>
      <w:proofErr w:type="spellEnd"/>
      <w:r w:rsidRPr="004D44EC">
        <w:t xml:space="preserve"> has been reported among abattoir and dairy workers and other workers butchering or cutting infected animals (</w:t>
      </w:r>
      <w:proofErr w:type="gramStart"/>
      <w:r w:rsidRPr="004D44EC">
        <w:t>e.g.</w:t>
      </w:r>
      <w:proofErr w:type="gramEnd"/>
      <w:r w:rsidRPr="004D44EC">
        <w:t xml:space="preserve"> cattlemen, veterinarians).</w:t>
      </w:r>
    </w:p>
    <w:p w14:paraId="52A6B8D0" w14:textId="77777777" w:rsidR="002E1CF0" w:rsidRPr="007A4336" w:rsidRDefault="002E1CF0" w:rsidP="00CA7F5E">
      <w:pPr>
        <w:pStyle w:val="Heading2"/>
      </w:pPr>
      <w:bookmarkStart w:id="21" w:name="_Toc97195036"/>
      <w:r w:rsidRPr="00FA2B06">
        <w:t>Incubation period</w:t>
      </w:r>
      <w:bookmarkEnd w:id="21"/>
    </w:p>
    <w:p w14:paraId="610CE784" w14:textId="243EE7AB" w:rsidR="002E1CF0" w:rsidRPr="004D44EC" w:rsidRDefault="002E1CF0" w:rsidP="002E1CF0">
      <w:pPr>
        <w:rPr>
          <w:rFonts w:cs="Arial"/>
        </w:rPr>
      </w:pPr>
      <w:r w:rsidRPr="004D44EC">
        <w:rPr>
          <w:rFonts w:cs="Arial"/>
        </w:rPr>
        <w:t>The time from infection to the primary lesion or measurable significant immunological reaction</w:t>
      </w:r>
      <w:r w:rsidR="00E95AA3" w:rsidRPr="004D44EC">
        <w:rPr>
          <w:rFonts w:cs="Arial"/>
        </w:rPr>
        <w:t>,</w:t>
      </w:r>
      <w:r w:rsidRPr="004D44EC">
        <w:rPr>
          <w:rFonts w:cs="Arial"/>
        </w:rPr>
        <w:t xml:space="preserve"> </w:t>
      </w:r>
      <w:r w:rsidR="00CD29DC" w:rsidRPr="004D44EC">
        <w:rPr>
          <w:rFonts w:cs="Arial"/>
        </w:rPr>
        <w:t xml:space="preserve">positive TST </w:t>
      </w:r>
      <w:r w:rsidR="00A03285">
        <w:rPr>
          <w:rFonts w:cs="Arial"/>
        </w:rPr>
        <w:t>(</w:t>
      </w:r>
      <w:r w:rsidR="003A193F" w:rsidRPr="004D44EC">
        <w:rPr>
          <w:rFonts w:cs="Arial"/>
        </w:rPr>
        <w:t>or positive IGRA test)</w:t>
      </w:r>
      <w:r w:rsidR="00E95AA3" w:rsidRPr="004D44EC">
        <w:rPr>
          <w:rFonts w:cs="Arial"/>
        </w:rPr>
        <w:t>, can vary from 2–</w:t>
      </w:r>
      <w:r w:rsidRPr="004D44EC">
        <w:rPr>
          <w:rFonts w:cs="Arial"/>
        </w:rPr>
        <w:t>10 weeks</w:t>
      </w:r>
      <w:r w:rsidR="00BF1AE2" w:rsidRPr="004D44EC">
        <w:rPr>
          <w:rFonts w:cs="Arial"/>
        </w:rPr>
        <w:t xml:space="preserve"> </w:t>
      </w:r>
      <w:r w:rsidR="002A54A5" w:rsidRPr="004D44EC">
        <w:rPr>
          <w:rFonts w:cs="Arial"/>
        </w:rPr>
        <w:fldChar w:fldCharType="begin"/>
      </w:r>
      <w:r w:rsidR="00C5513E">
        <w:rPr>
          <w:rFonts w:cs="Arial"/>
        </w:rPr>
        <w:instrText xml:space="preserve"> ADDIN EN.CITE &lt;EndNote&gt;&lt;Cite&gt;&lt;Author&gt;Raviglione&lt;/Author&gt;&lt;Year&gt;2015&lt;/Year&gt;&lt;RecNum&gt;1&lt;/RecNum&gt;&lt;DisplayText&gt;(1)&lt;/DisplayText&gt;&lt;record&gt;&lt;rec-number&gt;1&lt;/rec-number&gt;&lt;foreign-keys&gt;&lt;key app="EN" db-id="sr9paxs2qve9wpext2i5swxe50w0rs9dzze2" timestamp="1628681196"&gt;1&lt;/key&gt;&lt;/foreign-keys&gt;&lt;ref-type name="Book Section"&gt;5&lt;/ref-type&gt;&lt;contributors&gt;&lt;authors&gt;&lt;author&gt;Raviglione, M.C.&lt;/author&gt;&lt;author&gt;Getahun, H.&lt;/author&gt;&lt;/authors&gt;&lt;secondary-authors&gt;&lt;author&gt;Heymann, D.L.&lt;/author&gt;&lt;/secondary-authors&gt;&lt;/contributors&gt;&lt;titles&gt;&lt;title&gt;Tuberculosis and other mycobacterial diseases&lt;/title&gt;&lt;secondary-title&gt;Control of communicable diseases manual&lt;/secondary-title&gt;&lt;/titles&gt;&lt;pages&gt;637-50&lt;/pages&gt;&lt;edition&gt;20th&lt;/edition&gt;&lt;dates&gt;&lt;year&gt;2015&lt;/year&gt;&lt;/dates&gt;&lt;pub-location&gt;Washington&lt;/pub-location&gt;&lt;publisher&gt;American Public Health Association&lt;/publisher&gt;&lt;urls&gt;&lt;/urls&gt;&lt;/record&gt;&lt;/Cite&gt;&lt;/EndNote&gt;</w:instrText>
      </w:r>
      <w:r w:rsidR="002A54A5" w:rsidRPr="004D44EC">
        <w:rPr>
          <w:rFonts w:cs="Arial"/>
        </w:rPr>
        <w:fldChar w:fldCharType="separate"/>
      </w:r>
      <w:r w:rsidR="00BF3E54" w:rsidRPr="004D44EC">
        <w:rPr>
          <w:rFonts w:cs="Arial"/>
          <w:noProof/>
        </w:rPr>
        <w:t>(1)</w:t>
      </w:r>
      <w:r w:rsidR="002A54A5" w:rsidRPr="004D44EC">
        <w:rPr>
          <w:rFonts w:cs="Arial"/>
        </w:rPr>
        <w:fldChar w:fldCharType="end"/>
      </w:r>
      <w:r w:rsidR="00BF1AE2" w:rsidRPr="004D44EC">
        <w:rPr>
          <w:rFonts w:cs="Arial"/>
        </w:rPr>
        <w:t>.</w:t>
      </w:r>
      <w:r w:rsidRPr="004D44EC">
        <w:rPr>
          <w:rFonts w:cs="Arial"/>
        </w:rPr>
        <w:t xml:space="preserve"> In the immunocompetent host, subsequent progression to active TB occurs in only 5–10</w:t>
      </w:r>
      <w:r w:rsidR="00E95AA3" w:rsidRPr="004D44EC">
        <w:rPr>
          <w:rFonts w:cs="Arial"/>
        </w:rPr>
        <w:t xml:space="preserve">% </w:t>
      </w:r>
      <w:r w:rsidRPr="004D44EC">
        <w:rPr>
          <w:rFonts w:cs="Arial"/>
        </w:rPr>
        <w:t>of those infected</w:t>
      </w:r>
      <w:r w:rsidR="001F188A" w:rsidRPr="004D44EC">
        <w:rPr>
          <w:rFonts w:cs="Arial"/>
        </w:rPr>
        <w:t>, although progression in up to</w:t>
      </w:r>
      <w:r w:rsidR="00233B48" w:rsidRPr="004D44EC">
        <w:rPr>
          <w:rFonts w:cs="Arial"/>
        </w:rPr>
        <w:t xml:space="preserve"> 14.5% has been estimated in an Australian setting </w:t>
      </w:r>
      <w:r w:rsidR="00233B48" w:rsidRPr="004D44EC">
        <w:rPr>
          <w:rFonts w:cs="Arial"/>
        </w:rPr>
        <w:fldChar w:fldCharType="begin">
          <w:fldData xml:space="preserve">PEVuZE5vdGU+PENpdGU+PEF1dGhvcj5UcmF1ZXI8L0F1dGhvcj48WWVhcj4yMDE2PC9ZZWFyPjxS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</w:fldData>
        </w:fldChar>
      </w:r>
      <w:r w:rsidR="00342D3C">
        <w:rPr>
          <w:rFonts w:cs="Arial"/>
        </w:rPr>
        <w:instrText xml:space="preserve"> ADDIN EN.CITE </w:instrText>
      </w:r>
      <w:r w:rsidR="00342D3C">
        <w:rPr>
          <w:rFonts w:cs="Arial"/>
        </w:rPr>
        <w:fldChar w:fldCharType="begin">
          <w:fldData xml:space="preserve">PEVuZE5vdGU+PENpdGU+PEF1dGhvcj5UcmF1ZXI8L0F1dGhvcj48WWVhcj4yMDE2PC9ZZWFyPjxS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</w:fldData>
        </w:fldChar>
      </w:r>
      <w:r w:rsidR="00342D3C">
        <w:rPr>
          <w:rFonts w:cs="Arial"/>
        </w:rPr>
        <w:instrText xml:space="preserve"> ADDIN EN.CITE.DATA </w:instrText>
      </w:r>
      <w:r w:rsidR="00342D3C">
        <w:rPr>
          <w:rFonts w:cs="Arial"/>
        </w:rPr>
      </w:r>
      <w:r w:rsidR="00342D3C">
        <w:rPr>
          <w:rFonts w:cs="Arial"/>
        </w:rPr>
        <w:fldChar w:fldCharType="end"/>
      </w:r>
      <w:r w:rsidR="00233B48" w:rsidRPr="004D44EC">
        <w:rPr>
          <w:rFonts w:cs="Arial"/>
        </w:rPr>
      </w:r>
      <w:r w:rsidR="00233B48" w:rsidRPr="004D44EC">
        <w:rPr>
          <w:rFonts w:cs="Arial"/>
        </w:rPr>
        <w:fldChar w:fldCharType="separate"/>
      </w:r>
      <w:r w:rsidR="00233B48" w:rsidRPr="004D44EC">
        <w:rPr>
          <w:rFonts w:cs="Arial"/>
          <w:noProof/>
        </w:rPr>
        <w:t>(2)</w:t>
      </w:r>
      <w:r w:rsidR="00233B48" w:rsidRPr="004D44EC">
        <w:rPr>
          <w:rFonts w:cs="Arial"/>
        </w:rPr>
        <w:fldChar w:fldCharType="end"/>
      </w:r>
      <w:r w:rsidR="00CE1938">
        <w:rPr>
          <w:rFonts w:cs="Arial"/>
        </w:rPr>
        <w:t>.</w:t>
      </w:r>
      <w:r w:rsidRPr="004D44EC">
        <w:rPr>
          <w:rFonts w:cs="Arial"/>
        </w:rPr>
        <w:t xml:space="preserve"> This progression can occur from weeks to decades later</w:t>
      </w:r>
      <w:r w:rsidR="00D30B84" w:rsidRPr="004D44EC">
        <w:rPr>
          <w:rFonts w:cs="Arial"/>
        </w:rPr>
        <w:t xml:space="preserve"> – </w:t>
      </w:r>
      <w:r w:rsidRPr="004D44EC">
        <w:rPr>
          <w:rFonts w:cs="Arial"/>
        </w:rPr>
        <w:t xml:space="preserve">although </w:t>
      </w:r>
      <w:r w:rsidR="00D56D00" w:rsidRPr="004D44EC">
        <w:rPr>
          <w:rFonts w:cs="Arial"/>
        </w:rPr>
        <w:t xml:space="preserve">most </w:t>
      </w:r>
      <w:r w:rsidRPr="004D44EC">
        <w:rPr>
          <w:rFonts w:cs="Arial"/>
        </w:rPr>
        <w:t xml:space="preserve">will occur within 2 years from initial </w:t>
      </w:r>
      <w:r w:rsidR="00D56D00" w:rsidRPr="004D44EC">
        <w:rPr>
          <w:rFonts w:cs="Arial"/>
        </w:rPr>
        <w:t>or re-</w:t>
      </w:r>
      <w:r w:rsidRPr="004D44EC">
        <w:rPr>
          <w:rFonts w:cs="Arial"/>
        </w:rPr>
        <w:t xml:space="preserve">infection. </w:t>
      </w:r>
      <w:r w:rsidR="00D74AB0" w:rsidRPr="004D44EC">
        <w:rPr>
          <w:rFonts w:cs="Arial"/>
        </w:rPr>
        <w:t>Asymptomatic i</w:t>
      </w:r>
      <w:r w:rsidRPr="004D44EC">
        <w:rPr>
          <w:rFonts w:cs="Arial"/>
        </w:rPr>
        <w:t xml:space="preserve">nfection with </w:t>
      </w:r>
      <w:r w:rsidRPr="003031A7">
        <w:rPr>
          <w:rStyle w:val="Emphasis"/>
        </w:rPr>
        <w:t>M. tuberculosis</w:t>
      </w:r>
      <w:r w:rsidRPr="004D44EC">
        <w:rPr>
          <w:rFonts w:cs="Arial"/>
        </w:rPr>
        <w:t>, often referred to as LTBI</w:t>
      </w:r>
      <w:r w:rsidR="00D74AB0" w:rsidRPr="004D44EC">
        <w:rPr>
          <w:rFonts w:cs="Arial"/>
        </w:rPr>
        <w:t xml:space="preserve"> or TB immunoreactivity</w:t>
      </w:r>
      <w:r w:rsidRPr="004D44EC">
        <w:rPr>
          <w:rFonts w:cs="Arial"/>
        </w:rPr>
        <w:t>, can persist for a lifetime</w:t>
      </w:r>
      <w:r w:rsidR="00127811" w:rsidRPr="004D44EC">
        <w:rPr>
          <w:rFonts w:cs="Arial"/>
        </w:rPr>
        <w:t xml:space="preserve"> </w:t>
      </w:r>
      <w:r w:rsidR="00127811" w:rsidRPr="004D44EC">
        <w:rPr>
          <w:rFonts w:cs="Arial"/>
        </w:rPr>
        <w:fldChar w:fldCharType="begin"/>
      </w:r>
      <w:r w:rsidR="00500899">
        <w:rPr>
          <w:rFonts w:cs="Arial"/>
        </w:rPr>
        <w:instrText xml:space="preserve"> ADDIN EN.CITE &lt;EndNote&gt;&lt;Cite&gt;&lt;Author&gt;Behr&lt;/Author&gt;&lt;Year&gt;2018&lt;/Year&gt;&lt;RecNum&gt;3&lt;/RecNum&gt;&lt;DisplayText&gt;(3)&lt;/DisplayText&gt;&lt;record&gt;&lt;rec-number&gt;3&lt;/rec-number&gt;&lt;foreign-keys&gt;&lt;key app="EN" db-id="sr9paxs2qve9wpext2i5swxe50w0rs9dzze2" timestamp="1628681196"&gt;3&lt;/key&gt;&lt;/foreign-keys&gt;&lt;ref-type name="Journal Article"&gt;17&lt;/ref-type&gt;&lt;contributors&gt;&lt;authors&gt;&lt;author&gt;Behr, MA.&lt;/author&gt;&lt;author&gt;Edelstein, PH.&lt;/author&gt;&lt;author&gt;Ramakrishnan, L.&lt;/author&gt;&lt;/authors&gt;&lt;/contributors&gt;&lt;titles&gt;&lt;title&gt;Revisiting the timetable of tuberculosis&lt;/title&gt;&lt;secondary-title&gt;British Medical Association&lt;/secondary-title&gt;&lt;/titles&gt;&lt;periodical&gt;&lt;full-title&gt;British Medical Association&lt;/full-title&gt;&lt;/periodical&gt;&lt;pages&gt;1-10&lt;/pages&gt;&lt;volume&gt;362&lt;/volume&gt;&lt;number&gt;k2738&lt;/number&gt;&lt;dates&gt;&lt;year&gt;2018&lt;/year&gt;&lt;/dates&gt;&lt;urls&gt;&lt;related-urls&gt;&lt;url&gt;https://www.bmj.com/content/bmj/362/bmj.k2738.full.pdf&lt;/url&gt;&lt;/related-urls&gt;&lt;/urls&gt;&lt;electronic-resource-num&gt;10.1136/bmj.k2738 %J BMJ&lt;/electronic-resource-num&gt;&lt;/record&gt;&lt;/Cite&gt;&lt;/EndNote&gt;</w:instrText>
      </w:r>
      <w:r w:rsidR="00127811" w:rsidRPr="004D44EC">
        <w:rPr>
          <w:rFonts w:cs="Arial"/>
        </w:rPr>
        <w:fldChar w:fldCharType="separate"/>
      </w:r>
      <w:r w:rsidR="00233B48" w:rsidRPr="004D44EC">
        <w:rPr>
          <w:rFonts w:cs="Arial"/>
          <w:noProof/>
        </w:rPr>
        <w:t>(3)</w:t>
      </w:r>
      <w:r w:rsidR="00127811" w:rsidRPr="004D44EC">
        <w:rPr>
          <w:rFonts w:cs="Arial"/>
        </w:rPr>
        <w:fldChar w:fldCharType="end"/>
      </w:r>
      <w:r w:rsidRPr="004D44EC">
        <w:rPr>
          <w:rFonts w:cs="Arial"/>
        </w:rPr>
        <w:t xml:space="preserve">. </w:t>
      </w:r>
    </w:p>
    <w:p w14:paraId="471A98A1" w14:textId="77777777" w:rsidR="002E1CF0" w:rsidRPr="007A4336" w:rsidRDefault="002E1CF0" w:rsidP="00CA7F5E">
      <w:pPr>
        <w:pStyle w:val="Heading2"/>
      </w:pPr>
      <w:bookmarkStart w:id="22" w:name="_Toc97195037"/>
      <w:r w:rsidRPr="00FA2B06">
        <w:t>Infectious period</w:t>
      </w:r>
      <w:bookmarkEnd w:id="22"/>
    </w:p>
    <w:p w14:paraId="625E44FC" w14:textId="7A233DCB" w:rsidR="002E1CF0" w:rsidRPr="004D44EC" w:rsidRDefault="002E1CF0" w:rsidP="002E1CF0">
      <w:pPr>
        <w:rPr>
          <w:rFonts w:cs="Arial"/>
        </w:rPr>
      </w:pPr>
      <w:r w:rsidRPr="004D44EC">
        <w:rPr>
          <w:rFonts w:cs="Arial"/>
        </w:rPr>
        <w:t xml:space="preserve">A person is infectious </w:t>
      </w:r>
      <w:r w:rsidR="001F188A" w:rsidRPr="004D44EC">
        <w:rPr>
          <w:rFonts w:cs="Arial"/>
        </w:rPr>
        <w:t xml:space="preserve">when </w:t>
      </w:r>
      <w:r w:rsidRPr="004D44EC">
        <w:rPr>
          <w:rFonts w:cs="Arial"/>
        </w:rPr>
        <w:t xml:space="preserve">viable bacilli are </w:t>
      </w:r>
      <w:r w:rsidR="009C724C" w:rsidRPr="004D44EC">
        <w:rPr>
          <w:rFonts w:cs="Arial"/>
        </w:rPr>
        <w:t xml:space="preserve">aerosolised. </w:t>
      </w:r>
      <w:r w:rsidRPr="004D44EC">
        <w:rPr>
          <w:rFonts w:cs="Arial"/>
        </w:rPr>
        <w:t xml:space="preserve">In practice, the greatest risk of transmitting infection is in the period prior to </w:t>
      </w:r>
      <w:proofErr w:type="gramStart"/>
      <w:r w:rsidRPr="004D44EC">
        <w:rPr>
          <w:rFonts w:cs="Arial"/>
        </w:rPr>
        <w:t>diagnosis</w:t>
      </w:r>
      <w:r w:rsidR="00D74AB0" w:rsidRPr="004D44EC">
        <w:rPr>
          <w:rFonts w:cs="Arial"/>
        </w:rPr>
        <w:t>, before</w:t>
      </w:r>
      <w:proofErr w:type="gramEnd"/>
      <w:r w:rsidR="00D74AB0" w:rsidRPr="004D44EC">
        <w:rPr>
          <w:rFonts w:cs="Arial"/>
        </w:rPr>
        <w:t xml:space="preserve"> </w:t>
      </w:r>
      <w:r w:rsidRPr="004D44EC">
        <w:rPr>
          <w:rFonts w:cs="Arial"/>
        </w:rPr>
        <w:t xml:space="preserve">effective treatment </w:t>
      </w:r>
      <w:r w:rsidR="00D74AB0" w:rsidRPr="004D44EC">
        <w:rPr>
          <w:rFonts w:cs="Arial"/>
        </w:rPr>
        <w:t>is initiated</w:t>
      </w:r>
      <w:r w:rsidRPr="004D44EC">
        <w:rPr>
          <w:rFonts w:cs="Arial"/>
        </w:rPr>
        <w:t>.</w:t>
      </w:r>
      <w:r w:rsidR="00BF7F64" w:rsidRPr="004D44EC">
        <w:rPr>
          <w:rFonts w:cs="Arial"/>
        </w:rPr>
        <w:t xml:space="preserve"> </w:t>
      </w:r>
      <w:r w:rsidR="00593133">
        <w:t xml:space="preserve">Persons with pulmonary/laryngeal TB may be infectious up to three months prior to symptom </w:t>
      </w:r>
      <w:r w:rsidR="00593133">
        <w:lastRenderedPageBreak/>
        <w:t>onset (</w:t>
      </w:r>
      <w:hyperlink r:id="rId23" w:history="1">
        <w:r w:rsidR="00593133" w:rsidRPr="0086135D">
          <w:rPr>
            <w:color w:val="0000FF"/>
            <w:u w:val="single"/>
          </w:rPr>
          <w:t>TB Contact Investigation Interviewing Skills Course | Guides &amp; Toolkits | Publications &amp; Products | TB |CDC</w:t>
        </w:r>
      </w:hyperlink>
      <w:r w:rsidR="00593133" w:rsidRPr="003031A7">
        <w:t>).</w:t>
      </w:r>
      <w:r w:rsidR="00593133">
        <w:rPr>
          <w:rFonts w:cs="Arial"/>
        </w:rPr>
        <w:t xml:space="preserve"> </w:t>
      </w:r>
      <w:r w:rsidRPr="004D44EC">
        <w:rPr>
          <w:rFonts w:cs="Arial"/>
        </w:rPr>
        <w:t xml:space="preserve">The risk of transmitting infection </w:t>
      </w:r>
      <w:r w:rsidR="0086135D">
        <w:rPr>
          <w:rFonts w:cs="Arial"/>
        </w:rPr>
        <w:t xml:space="preserve">declines </w:t>
      </w:r>
      <w:r w:rsidRPr="004D44EC">
        <w:rPr>
          <w:rFonts w:cs="Arial"/>
        </w:rPr>
        <w:t xml:space="preserve">within days </w:t>
      </w:r>
      <w:r w:rsidR="00D74AB0" w:rsidRPr="004D44EC">
        <w:rPr>
          <w:rFonts w:cs="Arial"/>
        </w:rPr>
        <w:t>of</w:t>
      </w:r>
      <w:r w:rsidRPr="004D44EC">
        <w:rPr>
          <w:rFonts w:cs="Arial"/>
        </w:rPr>
        <w:t xml:space="preserve"> commencing </w:t>
      </w:r>
      <w:r w:rsidR="00D74AB0" w:rsidRPr="004D44EC">
        <w:rPr>
          <w:rFonts w:cs="Arial"/>
        </w:rPr>
        <w:t xml:space="preserve">effective </w:t>
      </w:r>
      <w:r w:rsidRPr="004D44EC">
        <w:rPr>
          <w:rFonts w:cs="Arial"/>
        </w:rPr>
        <w:t>TB treatment</w:t>
      </w:r>
      <w:r w:rsidR="00D74AB0" w:rsidRPr="004D44EC">
        <w:rPr>
          <w:rFonts w:cs="Arial"/>
        </w:rPr>
        <w:t>, which emphasi</w:t>
      </w:r>
      <w:r w:rsidR="00CE1938">
        <w:rPr>
          <w:rFonts w:cs="Arial"/>
        </w:rPr>
        <w:t>s</w:t>
      </w:r>
      <w:r w:rsidR="00D74AB0" w:rsidRPr="004D44EC">
        <w:rPr>
          <w:rFonts w:cs="Arial"/>
        </w:rPr>
        <w:t>es the public health importance of rapidly ruling out drug resistance in all infectious cases.</w:t>
      </w:r>
      <w:r w:rsidR="00091C9A">
        <w:rPr>
          <w:rFonts w:cs="Arial"/>
        </w:rPr>
        <w:t xml:space="preserve"> </w:t>
      </w:r>
    </w:p>
    <w:p w14:paraId="37313A9E" w14:textId="77777777" w:rsidR="00961B5D" w:rsidRPr="004D44EC" w:rsidRDefault="008E77FC" w:rsidP="00961B5D">
      <w:pPr>
        <w:rPr>
          <w:rFonts w:cs="Arial"/>
        </w:rPr>
      </w:pPr>
      <w:r w:rsidRPr="004D44EC">
        <w:rPr>
          <w:rFonts w:cs="Arial"/>
        </w:rPr>
        <w:t>The likelihood that TB will be transmitted to others (excluding host factors) is determined by the</w:t>
      </w:r>
      <w:r w:rsidR="002E1CF0" w:rsidRPr="004D44EC">
        <w:rPr>
          <w:rFonts w:cs="Arial"/>
        </w:rPr>
        <w:t xml:space="preserve"> </w:t>
      </w:r>
    </w:p>
    <w:p w14:paraId="34B76736" w14:textId="5BCFE04B" w:rsidR="00961B5D" w:rsidRPr="001C34D7" w:rsidRDefault="002E1CF0" w:rsidP="003031A7">
      <w:pPr>
        <w:pStyle w:val="ListNumber3"/>
      </w:pPr>
      <w:r w:rsidRPr="001C34D7">
        <w:t xml:space="preserve">degree of </w:t>
      </w:r>
      <w:r w:rsidR="00D74AB0" w:rsidRPr="001C34D7">
        <w:t>infectiousness</w:t>
      </w:r>
      <w:r w:rsidR="000C1D27" w:rsidRPr="001C34D7">
        <w:t>:</w:t>
      </w:r>
    </w:p>
    <w:p w14:paraId="79CBD9BA" w14:textId="738F9DB1" w:rsidR="00D5500A" w:rsidRPr="004D44EC" w:rsidRDefault="00961B5D" w:rsidP="001C34D7">
      <w:pPr>
        <w:pStyle w:val="ListBullet3"/>
      </w:pPr>
      <w:r w:rsidRPr="004D44EC">
        <w:t>n</w:t>
      </w:r>
      <w:r w:rsidR="002E1CF0" w:rsidRPr="004D44EC">
        <w:t>umber of bacilli discharged</w:t>
      </w:r>
      <w:r w:rsidRPr="004D44EC">
        <w:t xml:space="preserve"> (</w:t>
      </w:r>
      <w:r w:rsidR="0086135D">
        <w:t xml:space="preserve">greater when acid fast bacilli detected on </w:t>
      </w:r>
      <w:r w:rsidR="00720C28">
        <w:t>sputum</w:t>
      </w:r>
      <w:r w:rsidR="0086135D">
        <w:t xml:space="preserve"> smear microscopy and </w:t>
      </w:r>
      <w:r w:rsidRPr="004D44EC">
        <w:t>highest with laryngeal and cavitating pulmonary TB</w:t>
      </w:r>
      <w:r w:rsidR="0086135D">
        <w:t>)</w:t>
      </w:r>
      <w:r w:rsidR="00715329">
        <w:t>,</w:t>
      </w:r>
    </w:p>
    <w:p w14:paraId="1C6CAC29" w14:textId="01D0DA7C" w:rsidR="002E1CF0" w:rsidRPr="004D44EC" w:rsidRDefault="00D74AB0" w:rsidP="001C34D7">
      <w:pPr>
        <w:pStyle w:val="ListBullet3"/>
      </w:pPr>
      <w:r w:rsidRPr="004D44EC">
        <w:t>viability</w:t>
      </w:r>
      <w:r w:rsidR="002E1CF0" w:rsidRPr="004D44EC">
        <w:t xml:space="preserve"> of bacilli</w:t>
      </w:r>
      <w:r w:rsidR="000C1D27" w:rsidRPr="004D44EC">
        <w:t>,</w:t>
      </w:r>
    </w:p>
    <w:p w14:paraId="27790F67" w14:textId="10AD3528" w:rsidR="00961B5D" w:rsidRPr="004D44EC" w:rsidRDefault="000C1D27" w:rsidP="003031A7">
      <w:pPr>
        <w:pStyle w:val="ListNumber3"/>
      </w:pPr>
      <w:r w:rsidRPr="004D44EC">
        <w:t>c</w:t>
      </w:r>
      <w:r w:rsidR="00961B5D" w:rsidRPr="004D44EC">
        <w:t xml:space="preserve">apacity for aerosolization </w:t>
      </w:r>
      <w:r w:rsidR="00FC36D2" w:rsidRPr="004D44EC">
        <w:t xml:space="preserve">(patient induced </w:t>
      </w:r>
      <w:proofErr w:type="gramStart"/>
      <w:r w:rsidR="00FC36D2" w:rsidRPr="004D44EC">
        <w:t>e</w:t>
      </w:r>
      <w:r w:rsidRPr="004D44EC">
        <w:t>.</w:t>
      </w:r>
      <w:r w:rsidR="00FC36D2" w:rsidRPr="004D44EC">
        <w:t>g</w:t>
      </w:r>
      <w:r w:rsidRPr="004D44EC">
        <w:t>.</w:t>
      </w:r>
      <w:proofErr w:type="gramEnd"/>
      <w:r w:rsidR="00FC36D2" w:rsidRPr="004D44EC">
        <w:t xml:space="preserve"> coughing, or, by medical intervention)</w:t>
      </w:r>
      <w:r w:rsidRPr="004D44EC">
        <w:t>,</w:t>
      </w:r>
    </w:p>
    <w:p w14:paraId="1CBD18E9" w14:textId="33B06205" w:rsidR="002E1CF0" w:rsidRPr="004D44EC" w:rsidRDefault="000C1D27" w:rsidP="003031A7">
      <w:pPr>
        <w:pStyle w:val="ListNumber3"/>
      </w:pPr>
      <w:r w:rsidRPr="004D44EC">
        <w:t>p</w:t>
      </w:r>
      <w:r w:rsidR="00961B5D" w:rsidRPr="004D44EC">
        <w:t xml:space="preserve">ersistence/survival in aerosol </w:t>
      </w:r>
      <w:r w:rsidR="00D74AB0" w:rsidRPr="004D44EC">
        <w:t>(a</w:t>
      </w:r>
      <w:r w:rsidR="002E1CF0" w:rsidRPr="004D44EC">
        <w:t>dequacy of ventilation</w:t>
      </w:r>
      <w:r w:rsidR="00D74AB0" w:rsidRPr="004D44EC">
        <w:t xml:space="preserve">; </w:t>
      </w:r>
      <w:r w:rsidR="002E1CF0" w:rsidRPr="004D44EC">
        <w:t>sun or UV light</w:t>
      </w:r>
      <w:r w:rsidR="00D74AB0" w:rsidRPr="004D44EC">
        <w:t xml:space="preserve"> exposure)</w:t>
      </w:r>
      <w:r w:rsidRPr="004D44EC">
        <w:t>,</w:t>
      </w:r>
    </w:p>
    <w:p w14:paraId="3DC9A805" w14:textId="13A17273" w:rsidR="00961B5D" w:rsidRPr="004D44EC" w:rsidRDefault="00901A38" w:rsidP="003031A7">
      <w:pPr>
        <w:pStyle w:val="ListNumber3"/>
      </w:pPr>
      <w:r w:rsidRPr="004D44EC">
        <w:t>i</w:t>
      </w:r>
      <w:r w:rsidR="00961B5D" w:rsidRPr="004D44EC">
        <w:t>ntimacy and duration of exposure</w:t>
      </w:r>
      <w:r w:rsidR="000C1D27" w:rsidRPr="004D44EC">
        <w:t>.</w:t>
      </w:r>
    </w:p>
    <w:p w14:paraId="234ECEEA" w14:textId="2A862E7E" w:rsidR="002E1CF0" w:rsidRPr="007A4336" w:rsidRDefault="002E1CF0" w:rsidP="00CA7F5E">
      <w:pPr>
        <w:pStyle w:val="Heading2"/>
      </w:pPr>
      <w:bookmarkStart w:id="23" w:name="_Toc97195038"/>
      <w:r w:rsidRPr="00FA2B06">
        <w:t>Clinical presentation and outcome</w:t>
      </w:r>
      <w:bookmarkEnd w:id="23"/>
    </w:p>
    <w:p w14:paraId="2164AA12" w14:textId="3F7003D1" w:rsidR="002E1CF0" w:rsidRPr="003031A7" w:rsidRDefault="007B0E43" w:rsidP="003031A7">
      <w:r w:rsidRPr="003031A7">
        <w:t xml:space="preserve">Approximately two thirds </w:t>
      </w:r>
      <w:r w:rsidR="002E1CF0" w:rsidRPr="003031A7">
        <w:t>of all cases in Australia present with pulmonary TB (disease involving the lungs) and can have the following common symptoms:</w:t>
      </w:r>
    </w:p>
    <w:p w14:paraId="1B996D7E" w14:textId="4ED2032A" w:rsidR="002E1CF0" w:rsidRPr="004D44EC" w:rsidRDefault="002E1CF0" w:rsidP="001C34D7">
      <w:pPr>
        <w:pStyle w:val="ListBullet2"/>
      </w:pPr>
      <w:r w:rsidRPr="004D44EC">
        <w:t>Fever and night sweats</w:t>
      </w:r>
      <w:r w:rsidR="000C1D27" w:rsidRPr="004D44EC">
        <w:t>.</w:t>
      </w:r>
    </w:p>
    <w:p w14:paraId="680A4A32" w14:textId="46EE04A8" w:rsidR="002E1CF0" w:rsidRPr="004D44EC" w:rsidRDefault="00D74AB0" w:rsidP="001C34D7">
      <w:pPr>
        <w:pStyle w:val="ListBullet2"/>
      </w:pPr>
      <w:r w:rsidRPr="004D44EC">
        <w:t>Unintended l</w:t>
      </w:r>
      <w:r w:rsidR="002E1CF0" w:rsidRPr="004D44EC">
        <w:t>oss of weight</w:t>
      </w:r>
      <w:r w:rsidR="000C1D27" w:rsidRPr="004D44EC">
        <w:t>.</w:t>
      </w:r>
    </w:p>
    <w:p w14:paraId="7CEC13C8" w14:textId="4BB213CE" w:rsidR="00FD498C" w:rsidRDefault="002E1CF0" w:rsidP="001C34D7">
      <w:pPr>
        <w:pStyle w:val="ListBullet2"/>
      </w:pPr>
      <w:r w:rsidRPr="004D44EC">
        <w:t>Feeling generally tired and unwell.</w:t>
      </w:r>
    </w:p>
    <w:p w14:paraId="2EE2FCD5" w14:textId="03799575" w:rsidR="00B358DF" w:rsidRPr="00B358DF" w:rsidRDefault="00B358DF" w:rsidP="001C34D7">
      <w:pPr>
        <w:pStyle w:val="ListBullet2"/>
      </w:pPr>
      <w:r w:rsidRPr="00B358DF">
        <w:t>Cough of any duration but especially lasting greater than 2 weeks</w:t>
      </w:r>
      <w:r>
        <w:t>.</w:t>
      </w:r>
    </w:p>
    <w:p w14:paraId="09AEAE67" w14:textId="6A67587B" w:rsidR="00B358DF" w:rsidRPr="007C1B5F" w:rsidRDefault="00B358DF" w:rsidP="001C34D7">
      <w:pPr>
        <w:pStyle w:val="ListBullet2"/>
      </w:pPr>
      <w:r w:rsidRPr="00B358DF">
        <w:t>Haemoptysis</w:t>
      </w:r>
      <w:r>
        <w:t>.</w:t>
      </w:r>
    </w:p>
    <w:p w14:paraId="78506657" w14:textId="1F6D9509" w:rsidR="002E1CF0" w:rsidRPr="004D44EC" w:rsidRDefault="00FD498C" w:rsidP="002E1CF0">
      <w:pPr>
        <w:rPr>
          <w:rFonts w:cs="Arial"/>
        </w:rPr>
      </w:pPr>
      <w:r>
        <w:rPr>
          <w:rFonts w:cs="Arial"/>
        </w:rPr>
        <w:t xml:space="preserve">Symptom onset may be more acute in children. </w:t>
      </w:r>
      <w:r w:rsidR="002E1CF0" w:rsidRPr="004D44EC">
        <w:rPr>
          <w:rFonts w:cs="Arial"/>
        </w:rPr>
        <w:t xml:space="preserve">Clinical suspicion of TB should be high in any person with </w:t>
      </w:r>
      <w:r w:rsidR="00553FA0" w:rsidRPr="004D44EC">
        <w:rPr>
          <w:rFonts w:cs="Arial"/>
        </w:rPr>
        <w:t>possible</w:t>
      </w:r>
      <w:r w:rsidR="00D74AB0" w:rsidRPr="004D44EC">
        <w:rPr>
          <w:rFonts w:cs="Arial"/>
        </w:rPr>
        <w:t xml:space="preserve"> TB </w:t>
      </w:r>
      <w:r w:rsidR="002E1CF0" w:rsidRPr="004D44EC">
        <w:rPr>
          <w:rFonts w:cs="Arial"/>
        </w:rPr>
        <w:t>exposure and a respiratory infection unresponsive to standard treatments</w:t>
      </w:r>
      <w:r w:rsidR="00D5500A" w:rsidRPr="004D44EC">
        <w:rPr>
          <w:rFonts w:cs="Arial"/>
        </w:rPr>
        <w:t>,</w:t>
      </w:r>
      <w:r w:rsidR="002E1CF0" w:rsidRPr="004D44EC">
        <w:rPr>
          <w:rFonts w:cs="Arial"/>
        </w:rPr>
        <w:t xml:space="preserve"> or an unexp</w:t>
      </w:r>
      <w:r w:rsidR="00B4060E" w:rsidRPr="004D44EC">
        <w:rPr>
          <w:rFonts w:cs="Arial"/>
        </w:rPr>
        <w:t>lained non-respiratory illness.</w:t>
      </w:r>
    </w:p>
    <w:p w14:paraId="5E800A72" w14:textId="40D83905" w:rsidR="002E1CF0" w:rsidRDefault="00CA6DF9" w:rsidP="002E1CF0">
      <w:pPr>
        <w:rPr>
          <w:rFonts w:cs="Arial"/>
        </w:rPr>
      </w:pPr>
      <w:r w:rsidRPr="004D44EC">
        <w:rPr>
          <w:rFonts w:cs="Arial"/>
        </w:rPr>
        <w:t>Extra</w:t>
      </w:r>
      <w:r w:rsidR="002E1CF0" w:rsidRPr="004D44EC">
        <w:rPr>
          <w:rFonts w:cs="Arial"/>
        </w:rPr>
        <w:t xml:space="preserve">-pulmonary TB (disease involving organs other than lungs) can present with a wide range of symptoms dependant on the site of disease and is often accompanied by intermittent fever or weight loss. </w:t>
      </w:r>
      <w:r w:rsidR="00B358DF" w:rsidRPr="00B358DF">
        <w:rPr>
          <w:rFonts w:cs="Arial"/>
        </w:rPr>
        <w:t xml:space="preserve">Patients with </w:t>
      </w:r>
      <w:r w:rsidR="00B358DF">
        <w:rPr>
          <w:rFonts w:cs="Arial"/>
        </w:rPr>
        <w:t>e</w:t>
      </w:r>
      <w:r w:rsidR="00B358DF" w:rsidRPr="004D44EC">
        <w:rPr>
          <w:rFonts w:cs="Arial"/>
        </w:rPr>
        <w:t xml:space="preserve">xtra-pulmonary </w:t>
      </w:r>
      <w:r w:rsidR="00B358DF" w:rsidRPr="00B358DF">
        <w:rPr>
          <w:rFonts w:cs="Arial"/>
        </w:rPr>
        <w:t>TB may also have co-existent pulmonary TB.</w:t>
      </w:r>
    </w:p>
    <w:p w14:paraId="421038B4" w14:textId="06FA847A" w:rsidR="00B358DF" w:rsidRPr="004D44EC" w:rsidRDefault="00B358DF" w:rsidP="002E1CF0">
      <w:pPr>
        <w:rPr>
          <w:rFonts w:cs="Arial"/>
        </w:rPr>
      </w:pPr>
      <w:r w:rsidRPr="00B358DF">
        <w:rPr>
          <w:rFonts w:cs="Arial"/>
        </w:rPr>
        <w:t xml:space="preserve">Some patients with microbiological proven TB may be asymptomatic and only diagnosed by active case finding activities </w:t>
      </w:r>
      <w:proofErr w:type="gramStart"/>
      <w:r w:rsidRPr="00B358DF">
        <w:rPr>
          <w:rFonts w:cs="Arial"/>
        </w:rPr>
        <w:t>e.g.</w:t>
      </w:r>
      <w:proofErr w:type="gramEnd"/>
      <w:r w:rsidRPr="00B358DF">
        <w:rPr>
          <w:rFonts w:cs="Arial"/>
        </w:rPr>
        <w:t xml:space="preserve"> migrant screening</w:t>
      </w:r>
      <w:r>
        <w:rPr>
          <w:rFonts w:cs="Arial"/>
        </w:rPr>
        <w:t>.</w:t>
      </w:r>
    </w:p>
    <w:p w14:paraId="711D9A77" w14:textId="589FF4F9" w:rsidR="002E1CF0" w:rsidRPr="004D44EC" w:rsidRDefault="002E1CF0" w:rsidP="002E1CF0">
      <w:pPr>
        <w:rPr>
          <w:rFonts w:cs="Arial"/>
        </w:rPr>
      </w:pPr>
      <w:r w:rsidRPr="004D44EC">
        <w:rPr>
          <w:rFonts w:cs="Arial"/>
        </w:rPr>
        <w:t>A person with LTBI has no symptoms</w:t>
      </w:r>
      <w:r w:rsidR="00916A57" w:rsidRPr="004D44EC">
        <w:rPr>
          <w:rFonts w:cs="Arial"/>
        </w:rPr>
        <w:t xml:space="preserve"> or signs</w:t>
      </w:r>
      <w:r w:rsidRPr="004D44EC">
        <w:rPr>
          <w:rFonts w:cs="Arial"/>
        </w:rPr>
        <w:t xml:space="preserve"> and is not infectious. </w:t>
      </w:r>
    </w:p>
    <w:p w14:paraId="17BBCC61" w14:textId="3F2C8313" w:rsidR="002E1CF0" w:rsidRPr="004D44EC" w:rsidRDefault="002E1CF0" w:rsidP="002E1CF0">
      <w:pPr>
        <w:rPr>
          <w:rFonts w:cs="Arial"/>
        </w:rPr>
      </w:pPr>
      <w:r w:rsidRPr="004D44EC">
        <w:rPr>
          <w:rFonts w:cs="Arial"/>
        </w:rPr>
        <w:t xml:space="preserve">The use of standardised TB treatment for an appropriate period of time </w:t>
      </w:r>
      <w:r w:rsidR="00D34A05" w:rsidRPr="004D44EC">
        <w:rPr>
          <w:rFonts w:cs="Arial"/>
        </w:rPr>
        <w:t>result</w:t>
      </w:r>
      <w:r w:rsidR="00916A57" w:rsidRPr="004D44EC">
        <w:rPr>
          <w:rFonts w:cs="Arial"/>
        </w:rPr>
        <w:t>s</w:t>
      </w:r>
      <w:r w:rsidR="00D34A05" w:rsidRPr="004D44EC">
        <w:rPr>
          <w:rFonts w:cs="Arial"/>
        </w:rPr>
        <w:t xml:space="preserve"> in cure rates over 98% </w:t>
      </w:r>
      <w:r w:rsidRPr="004D44EC">
        <w:rPr>
          <w:rFonts w:cs="Arial"/>
        </w:rPr>
        <w:t>in drug s</w:t>
      </w:r>
      <w:r w:rsidR="00916A57" w:rsidRPr="004D44EC">
        <w:rPr>
          <w:rFonts w:cs="Arial"/>
        </w:rPr>
        <w:t>usceptible TB</w:t>
      </w:r>
      <w:r w:rsidR="00901A38" w:rsidRPr="004D44EC">
        <w:rPr>
          <w:rFonts w:cs="Arial"/>
        </w:rPr>
        <w:t xml:space="preserve"> </w:t>
      </w:r>
      <w:r w:rsidR="002A54A5" w:rsidRPr="004D44EC">
        <w:rPr>
          <w:rFonts w:cs="Arial"/>
        </w:rPr>
        <w:fldChar w:fldCharType="begin"/>
      </w:r>
      <w:r w:rsidR="00342D3C">
        <w:rPr>
          <w:rFonts w:cs="Arial"/>
        </w:rPr>
        <w:instrText xml:space="preserve"> ADDIN EN.CITE &lt;EndNote&gt;&lt;Cite&gt;&lt;Author&gt;Hong Kong Chest Service/British Medical Research Council&lt;/Author&gt;&lt;Year&gt;1987&lt;/Year&gt;&lt;RecNum&gt;4&lt;/RecNum&gt;&lt;DisplayText&gt;(4)&lt;/DisplayText&gt;&lt;record&gt;&lt;rec-number&gt;4&lt;/rec-number&gt;&lt;foreign-keys&gt;&lt;key app="EN" db-id="sr9paxs2qve9wpext2i5swxe50w0rs9dzze2" timestamp="1628681196"&gt;4&lt;/key&gt;&lt;/foreign-keys&gt;&lt;ref-type name="Journal Article"&gt;17&lt;/ref-type&gt;&lt;contributors&gt;&lt;authors&gt;&lt;author&gt;Hong Kong Chest Service/British Medical Research Council,&lt;/author&gt;&lt;/authors&gt;&lt;/contributors&gt;&lt;titles&gt;&lt;title&gt;Five-year follow-up of a controlled trial of five 6-month regimens of chemotherapy for pulmonary tuberculosis&lt;/title&gt;&lt;secondary-title&gt;American Review of Respiratory Disease&lt;/secondary-title&gt;&lt;/titles&gt;&lt;periodical&gt;&lt;full-title&gt;American Review of Respiratory Disease&lt;/full-title&gt;&lt;/periodical&gt;&lt;pages&gt;1339-42&lt;/pages&gt;&lt;volume&gt;136&lt;/volume&gt;&lt;number&gt;6&lt;/number&gt;&lt;edition&gt;1987/12/01&lt;/edition&gt;&lt;dates&gt;&lt;year&gt;1987&lt;/year&gt;&lt;pub-dates&gt;&lt;date&gt;Dec&lt;/date&gt;&lt;/pub-dates&gt;&lt;/dates&gt;&lt;isbn&gt;0003-0805 (Print)&amp;#xD;0003-0805 (Linking)&lt;/isbn&gt;&lt;urls&gt;&lt;related-urls&gt;&lt;url&gt;https://www.ncbi.nlm.nih.gov/pubmed/2891333&lt;/url&gt;&lt;/related-urls&gt;&lt;/urls&gt;&lt;remote-database-provider&gt;Nlm&lt;/remote-database-provider&gt;&lt;language&gt;eng&lt;/language&gt;&lt;/record&gt;&lt;/Cite&gt;&lt;/EndNote&gt;</w:instrText>
      </w:r>
      <w:r w:rsidR="002A54A5" w:rsidRPr="004D44EC">
        <w:rPr>
          <w:rFonts w:cs="Arial"/>
        </w:rPr>
        <w:fldChar w:fldCharType="separate"/>
      </w:r>
      <w:r w:rsidR="00233B48" w:rsidRPr="004D44EC">
        <w:rPr>
          <w:rFonts w:cs="Arial"/>
          <w:noProof/>
        </w:rPr>
        <w:t>(4)</w:t>
      </w:r>
      <w:r w:rsidR="002A54A5" w:rsidRPr="004D44EC">
        <w:rPr>
          <w:rFonts w:cs="Arial"/>
        </w:rPr>
        <w:fldChar w:fldCharType="end"/>
      </w:r>
      <w:r w:rsidR="00901A38" w:rsidRPr="004D44EC">
        <w:rPr>
          <w:rFonts w:cs="Arial"/>
        </w:rPr>
        <w:t>.</w:t>
      </w:r>
      <w:r w:rsidRPr="004D44EC">
        <w:rPr>
          <w:rFonts w:cs="Arial"/>
        </w:rPr>
        <w:t xml:space="preserve"> Deaths from TB in the Australian setting should be a rare occurrence </w:t>
      </w:r>
      <w:r w:rsidR="00916A57" w:rsidRPr="004D44EC">
        <w:rPr>
          <w:rFonts w:cs="Arial"/>
        </w:rPr>
        <w:t>in the absence o</w:t>
      </w:r>
      <w:r w:rsidR="00F33A0C" w:rsidRPr="004D44EC">
        <w:rPr>
          <w:rFonts w:cs="Arial"/>
        </w:rPr>
        <w:t>f</w:t>
      </w:r>
      <w:r w:rsidR="00916A57" w:rsidRPr="004D44EC">
        <w:rPr>
          <w:rFonts w:cs="Arial"/>
        </w:rPr>
        <w:t xml:space="preserve"> significant </w:t>
      </w:r>
      <w:r w:rsidRPr="004D44EC">
        <w:rPr>
          <w:rFonts w:cs="Arial"/>
        </w:rPr>
        <w:t>co-morbidities</w:t>
      </w:r>
      <w:r w:rsidR="00916A57" w:rsidRPr="004D44EC">
        <w:rPr>
          <w:rFonts w:cs="Arial"/>
        </w:rPr>
        <w:t xml:space="preserve">; </w:t>
      </w:r>
      <w:r w:rsidRPr="004D44EC">
        <w:rPr>
          <w:rFonts w:cs="Arial"/>
        </w:rPr>
        <w:t xml:space="preserve">delayed or missed diagnosis </w:t>
      </w:r>
      <w:r w:rsidR="00916A57" w:rsidRPr="004D44EC">
        <w:rPr>
          <w:rFonts w:cs="Arial"/>
        </w:rPr>
        <w:t>is the most important risk factor</w:t>
      </w:r>
      <w:r w:rsidRPr="004D44EC">
        <w:rPr>
          <w:rFonts w:cs="Arial"/>
        </w:rPr>
        <w:t xml:space="preserve">. The success of treatment </w:t>
      </w:r>
      <w:r w:rsidR="00916A57" w:rsidRPr="004D44EC">
        <w:rPr>
          <w:rFonts w:cs="Arial"/>
        </w:rPr>
        <w:t xml:space="preserve">requires optimal </w:t>
      </w:r>
      <w:r w:rsidR="00593133">
        <w:rPr>
          <w:rFonts w:cs="Arial"/>
        </w:rPr>
        <w:t>therapeutic</w:t>
      </w:r>
      <w:r w:rsidR="0086135D">
        <w:rPr>
          <w:rFonts w:cs="Arial"/>
        </w:rPr>
        <w:t xml:space="preserve"> selection </w:t>
      </w:r>
      <w:r w:rsidR="00D34A05" w:rsidRPr="004D44EC">
        <w:rPr>
          <w:rFonts w:cs="Arial"/>
        </w:rPr>
        <w:t>(</w:t>
      </w:r>
      <w:proofErr w:type="gramStart"/>
      <w:r w:rsidRPr="004D44EC">
        <w:rPr>
          <w:rFonts w:cs="Arial"/>
        </w:rPr>
        <w:t>i.e.</w:t>
      </w:r>
      <w:proofErr w:type="gramEnd"/>
      <w:r w:rsidRPr="004D44EC">
        <w:rPr>
          <w:rFonts w:cs="Arial"/>
        </w:rPr>
        <w:t xml:space="preserve"> the right dose, drug combination and duration</w:t>
      </w:r>
      <w:r w:rsidR="00D34A05" w:rsidRPr="004D44EC">
        <w:rPr>
          <w:rFonts w:cs="Arial"/>
        </w:rPr>
        <w:t>)</w:t>
      </w:r>
      <w:r w:rsidR="00916A57" w:rsidRPr="004D44EC">
        <w:rPr>
          <w:rFonts w:cs="Arial"/>
        </w:rPr>
        <w:t xml:space="preserve"> delivered without interruption (ensuring uninterrupted drug </w:t>
      </w:r>
      <w:r w:rsidRPr="004D44EC">
        <w:rPr>
          <w:rFonts w:cs="Arial"/>
        </w:rPr>
        <w:t xml:space="preserve">supply </w:t>
      </w:r>
      <w:r w:rsidR="00D34A05" w:rsidRPr="004D44EC">
        <w:rPr>
          <w:rFonts w:cs="Arial"/>
        </w:rPr>
        <w:t>and patient adherence</w:t>
      </w:r>
      <w:r w:rsidR="00916A57" w:rsidRPr="004D44EC">
        <w:rPr>
          <w:rFonts w:cs="Arial"/>
        </w:rPr>
        <w:t>)</w:t>
      </w:r>
      <w:r w:rsidR="00D34A05" w:rsidRPr="004D44EC">
        <w:rPr>
          <w:rFonts w:cs="Arial"/>
        </w:rPr>
        <w:t xml:space="preserve">. </w:t>
      </w:r>
      <w:r w:rsidR="00916A57" w:rsidRPr="004D44EC">
        <w:rPr>
          <w:rFonts w:cs="Arial"/>
        </w:rPr>
        <w:t>TB d</w:t>
      </w:r>
      <w:r w:rsidRPr="004D44EC">
        <w:rPr>
          <w:rFonts w:cs="Arial"/>
        </w:rPr>
        <w:t xml:space="preserve">isease does not confer </w:t>
      </w:r>
      <w:r w:rsidR="004E1E4F">
        <w:rPr>
          <w:rFonts w:cs="Arial"/>
        </w:rPr>
        <w:t xml:space="preserve">reliable </w:t>
      </w:r>
      <w:r w:rsidRPr="004D44EC">
        <w:rPr>
          <w:rFonts w:cs="Arial"/>
        </w:rPr>
        <w:t>protective immunity a</w:t>
      </w:r>
      <w:r w:rsidR="00916A57" w:rsidRPr="004D44EC">
        <w:rPr>
          <w:rFonts w:cs="Arial"/>
        </w:rPr>
        <w:t xml:space="preserve">nd future </w:t>
      </w:r>
      <w:proofErr w:type="gramStart"/>
      <w:r w:rsidR="00916A57" w:rsidRPr="004D44EC">
        <w:rPr>
          <w:rFonts w:cs="Arial"/>
        </w:rPr>
        <w:t>relapse</w:t>
      </w:r>
      <w:proofErr w:type="gramEnd"/>
      <w:r w:rsidR="00916A57" w:rsidRPr="004D44EC">
        <w:rPr>
          <w:rFonts w:cs="Arial"/>
        </w:rPr>
        <w:t xml:space="preserve"> or </w:t>
      </w:r>
      <w:r w:rsidRPr="004D44EC">
        <w:rPr>
          <w:rFonts w:cs="Arial"/>
        </w:rPr>
        <w:t xml:space="preserve">reinfection </w:t>
      </w:r>
      <w:r w:rsidR="00916A57" w:rsidRPr="004D44EC">
        <w:rPr>
          <w:rFonts w:cs="Arial"/>
        </w:rPr>
        <w:t>remain a risk</w:t>
      </w:r>
      <w:r w:rsidRPr="004D44EC">
        <w:rPr>
          <w:rFonts w:cs="Arial"/>
        </w:rPr>
        <w:t>.</w:t>
      </w:r>
      <w:r w:rsidR="00C92C03">
        <w:rPr>
          <w:rFonts w:cs="Arial"/>
        </w:rPr>
        <w:t xml:space="preserve"> </w:t>
      </w:r>
    </w:p>
    <w:p w14:paraId="1A9C768A" w14:textId="37684E19" w:rsidR="002E1CF0" w:rsidRPr="007A4336" w:rsidRDefault="002E1CF0" w:rsidP="00CA7F5E">
      <w:pPr>
        <w:pStyle w:val="Heading2"/>
      </w:pPr>
      <w:bookmarkStart w:id="24" w:name="_Toc97195039"/>
      <w:r w:rsidRPr="00FA2B06">
        <w:t xml:space="preserve">Persons at increased risk of </w:t>
      </w:r>
      <w:bookmarkStart w:id="25" w:name="_Toc205707936"/>
      <w:r w:rsidR="00991C03" w:rsidRPr="00FA2B06">
        <w:t>TB</w:t>
      </w:r>
      <w:bookmarkEnd w:id="24"/>
    </w:p>
    <w:p w14:paraId="7F7C42AD" w14:textId="070C971B" w:rsidR="002E1CF0" w:rsidRPr="004D44EC" w:rsidRDefault="002E1CF0" w:rsidP="00993C7C">
      <w:pPr>
        <w:rPr>
          <w:rFonts w:cs="Arial"/>
        </w:rPr>
      </w:pPr>
      <w:r w:rsidRPr="004D44EC">
        <w:rPr>
          <w:rFonts w:cs="Arial"/>
        </w:rPr>
        <w:t xml:space="preserve">Those </w:t>
      </w:r>
      <w:r w:rsidR="00991C03" w:rsidRPr="004D44EC">
        <w:rPr>
          <w:rFonts w:cs="Arial"/>
        </w:rPr>
        <w:t xml:space="preserve">with </w:t>
      </w:r>
      <w:r w:rsidRPr="004D44EC">
        <w:rPr>
          <w:rFonts w:cs="Arial"/>
        </w:rPr>
        <w:t xml:space="preserve">increased </w:t>
      </w:r>
      <w:r w:rsidR="00991C03" w:rsidRPr="004D44EC">
        <w:rPr>
          <w:rFonts w:cs="Arial"/>
        </w:rPr>
        <w:t xml:space="preserve">TB </w:t>
      </w:r>
      <w:r w:rsidRPr="004D44EC">
        <w:rPr>
          <w:rFonts w:cs="Arial"/>
        </w:rPr>
        <w:t>exposure</w:t>
      </w:r>
      <w:r w:rsidR="00991C03" w:rsidRPr="004D44EC">
        <w:rPr>
          <w:rFonts w:cs="Arial"/>
        </w:rPr>
        <w:t xml:space="preserve"> risk</w:t>
      </w:r>
      <w:r w:rsidRPr="004D44EC">
        <w:rPr>
          <w:rFonts w:cs="Arial"/>
        </w:rPr>
        <w:t xml:space="preserve"> include: </w:t>
      </w:r>
    </w:p>
    <w:p w14:paraId="5D16F00A" w14:textId="25782ACD" w:rsidR="002E1CF0" w:rsidRPr="004D44EC" w:rsidRDefault="007666BE" w:rsidP="001C34D7">
      <w:pPr>
        <w:pStyle w:val="ListBullet2"/>
      </w:pPr>
      <w:r w:rsidRPr="004D44EC">
        <w:t>C</w:t>
      </w:r>
      <w:r w:rsidR="002E1CF0" w:rsidRPr="004D44EC">
        <w:t>lose contact</w:t>
      </w:r>
      <w:r w:rsidR="00552AD3">
        <w:t>s</w:t>
      </w:r>
      <w:r w:rsidR="002E1CF0" w:rsidRPr="004D44EC">
        <w:t xml:space="preserve"> with a</w:t>
      </w:r>
      <w:r w:rsidRPr="004D44EC">
        <w:t>n infectious TB</w:t>
      </w:r>
      <w:r w:rsidR="002E1CF0" w:rsidRPr="004D44EC">
        <w:t xml:space="preserve"> case (</w:t>
      </w:r>
      <w:r w:rsidR="00D24B4F" w:rsidRPr="004D44EC">
        <w:t xml:space="preserve">especially </w:t>
      </w:r>
      <w:r w:rsidR="002E1CF0" w:rsidRPr="004D44EC">
        <w:t>household members)</w:t>
      </w:r>
      <w:r w:rsidR="003C6AAD" w:rsidRPr="004D44EC">
        <w:t>.</w:t>
      </w:r>
    </w:p>
    <w:p w14:paraId="54039FF3" w14:textId="4C708308" w:rsidR="002E1CF0" w:rsidRPr="004D44EC" w:rsidRDefault="007666BE" w:rsidP="001C34D7">
      <w:pPr>
        <w:pStyle w:val="ListBullet2"/>
      </w:pPr>
      <w:r w:rsidRPr="004D44EC">
        <w:t>H</w:t>
      </w:r>
      <w:r w:rsidR="003A1CDB" w:rsidRPr="004D44EC">
        <w:t>ealth</w:t>
      </w:r>
      <w:r w:rsidR="002E1CF0" w:rsidRPr="004D44EC">
        <w:t xml:space="preserve">care workers (HCW) </w:t>
      </w:r>
      <w:r w:rsidRPr="004D44EC">
        <w:t xml:space="preserve">who were born or have worked in </w:t>
      </w:r>
      <w:r w:rsidR="003C6AAD" w:rsidRPr="004D44EC">
        <w:t>countries with a high incidence of TB (defined as a TB incidence of ≥ 40 per 100,000). A list of</w:t>
      </w:r>
      <w:r w:rsidR="006241B6" w:rsidRPr="004D44EC">
        <w:t xml:space="preserve"> current</w:t>
      </w:r>
      <w:r w:rsidR="003C6AAD" w:rsidRPr="004D44EC">
        <w:t xml:space="preserve"> high TB incidence countries is available on the NSW Health website: </w:t>
      </w:r>
      <w:hyperlink r:id="rId24" w:history="1">
        <w:r w:rsidR="00F10446">
          <w:rPr>
            <w:rStyle w:val="Hyperlink"/>
          </w:rPr>
          <w:t>High TB incidence countries (nsw.gov.au)</w:t>
        </w:r>
      </w:hyperlink>
      <w:r w:rsidR="003C6AAD" w:rsidRPr="004D44EC">
        <w:t>.</w:t>
      </w:r>
    </w:p>
    <w:p w14:paraId="1876F2EE" w14:textId="55C74887" w:rsidR="00D15AD1" w:rsidRPr="004D44EC" w:rsidRDefault="00F01483" w:rsidP="001C34D7">
      <w:pPr>
        <w:pStyle w:val="ListBullet2"/>
      </w:pPr>
      <w:r w:rsidRPr="004D44EC">
        <w:lastRenderedPageBreak/>
        <w:t xml:space="preserve">Migrants </w:t>
      </w:r>
      <w:r w:rsidR="00D15AD1" w:rsidRPr="004D44EC">
        <w:t xml:space="preserve">(especially arriving in </w:t>
      </w:r>
      <w:r w:rsidR="009868CA" w:rsidRPr="004D44EC">
        <w:t>Australia</w:t>
      </w:r>
      <w:r w:rsidR="00D15AD1" w:rsidRPr="004D44EC">
        <w:t xml:space="preserve"> in the preceding 24 months) </w:t>
      </w:r>
      <w:r w:rsidR="003A1CDB" w:rsidRPr="004D44EC">
        <w:t xml:space="preserve">from </w:t>
      </w:r>
      <w:r w:rsidR="003C6AAD" w:rsidRPr="004D44EC">
        <w:t>high TB incidence countries.</w:t>
      </w:r>
    </w:p>
    <w:p w14:paraId="2A1C11D5" w14:textId="214ADD7D" w:rsidR="002E1CF0" w:rsidRPr="004D44EC" w:rsidRDefault="004D44EC" w:rsidP="001C34D7">
      <w:pPr>
        <w:pStyle w:val="ListBullet2"/>
      </w:pPr>
      <w:r w:rsidRPr="004D44EC">
        <w:t xml:space="preserve">Recently returned travellers from high TB incidence countries, especially those that have spent a prolonged </w:t>
      </w:r>
      <w:proofErr w:type="gramStart"/>
      <w:r w:rsidRPr="004D44EC">
        <w:t>period of time</w:t>
      </w:r>
      <w:proofErr w:type="gramEnd"/>
      <w:r w:rsidR="005C6F79">
        <w:t xml:space="preserve"> there</w:t>
      </w:r>
      <w:r w:rsidRPr="004D44EC">
        <w:t>, with the risk increasing with the duration of travel</w:t>
      </w:r>
      <w:r w:rsidR="003C6AAD" w:rsidRPr="004D44EC">
        <w:t>.</w:t>
      </w:r>
    </w:p>
    <w:p w14:paraId="11E4E914" w14:textId="07F38331" w:rsidR="002E1CF0" w:rsidRPr="004D44EC" w:rsidRDefault="00D5500A" w:rsidP="001C34D7">
      <w:pPr>
        <w:pStyle w:val="ListBullet2"/>
      </w:pPr>
      <w:r w:rsidRPr="004D44EC">
        <w:t>P</w:t>
      </w:r>
      <w:r w:rsidR="002E1CF0" w:rsidRPr="004D44EC">
        <w:t xml:space="preserve">eople living in overcrowded conditions </w:t>
      </w:r>
      <w:r w:rsidR="00D15AD1" w:rsidRPr="004D44EC">
        <w:t xml:space="preserve">where TB cases are known to occur </w:t>
      </w:r>
      <w:r w:rsidR="002E1CF0" w:rsidRPr="004D44EC">
        <w:t>(</w:t>
      </w:r>
      <w:proofErr w:type="gramStart"/>
      <w:r w:rsidR="002E1CF0" w:rsidRPr="004D44EC">
        <w:t>e.g.</w:t>
      </w:r>
      <w:proofErr w:type="gramEnd"/>
      <w:r w:rsidR="002E1CF0" w:rsidRPr="004D44EC">
        <w:t xml:space="preserve"> some Australian </w:t>
      </w:r>
      <w:r w:rsidR="00F412EB">
        <w:t xml:space="preserve">Aboriginal and Torres Strait Islander </w:t>
      </w:r>
      <w:r w:rsidR="002E1CF0" w:rsidRPr="004D44EC">
        <w:t xml:space="preserve">communities or </w:t>
      </w:r>
      <w:r w:rsidR="004D44EC">
        <w:t>correctional facilities</w:t>
      </w:r>
      <w:r w:rsidR="007666BE" w:rsidRPr="004D44EC">
        <w:t>)</w:t>
      </w:r>
      <w:r w:rsidR="002E1CF0" w:rsidRPr="004D44EC">
        <w:t xml:space="preserve">. </w:t>
      </w:r>
    </w:p>
    <w:p w14:paraId="7486A556" w14:textId="0E0EB6F1" w:rsidR="00D15AD1" w:rsidRPr="004D44EC" w:rsidRDefault="00D15AD1" w:rsidP="002E1CF0">
      <w:pPr>
        <w:rPr>
          <w:rFonts w:cs="Arial"/>
        </w:rPr>
      </w:pPr>
      <w:r w:rsidRPr="004D44EC">
        <w:rPr>
          <w:rFonts w:cs="Arial"/>
        </w:rPr>
        <w:t xml:space="preserve">HCWs who have worked with TB patients or </w:t>
      </w:r>
      <w:r w:rsidR="00552AD3">
        <w:rPr>
          <w:rFonts w:cs="Arial"/>
        </w:rPr>
        <w:t xml:space="preserve">in </w:t>
      </w:r>
      <w:r w:rsidRPr="004D44EC">
        <w:rPr>
          <w:rFonts w:cs="Arial"/>
        </w:rPr>
        <w:t>TB laboratories in Australia have a modest increase in exposure risk.</w:t>
      </w:r>
      <w:r w:rsidR="00091C9A">
        <w:rPr>
          <w:rFonts w:cs="Arial"/>
        </w:rPr>
        <w:t xml:space="preserve"> </w:t>
      </w:r>
      <w:r w:rsidR="00200A36" w:rsidRPr="004D44EC">
        <w:rPr>
          <w:rFonts w:cs="Arial"/>
        </w:rPr>
        <w:t>HCW</w:t>
      </w:r>
      <w:r w:rsidR="00B76048" w:rsidRPr="004D44EC">
        <w:rPr>
          <w:rFonts w:cs="Arial"/>
        </w:rPr>
        <w:t>s</w:t>
      </w:r>
      <w:r w:rsidR="00200A36" w:rsidRPr="004D44EC">
        <w:rPr>
          <w:rFonts w:cs="Arial"/>
        </w:rPr>
        <w:t xml:space="preserve"> who have worked in high TB incidence settings ha</w:t>
      </w:r>
      <w:r w:rsidR="00B76048" w:rsidRPr="004D44EC">
        <w:rPr>
          <w:rFonts w:cs="Arial"/>
        </w:rPr>
        <w:t>ve</w:t>
      </w:r>
      <w:r w:rsidR="00200A36" w:rsidRPr="004D44EC">
        <w:rPr>
          <w:rFonts w:cs="Arial"/>
        </w:rPr>
        <w:t xml:space="preserve"> a high</w:t>
      </w:r>
      <w:r w:rsidR="00C0435F">
        <w:rPr>
          <w:rFonts w:cs="Arial"/>
        </w:rPr>
        <w:t xml:space="preserve"> </w:t>
      </w:r>
      <w:r w:rsidR="00200A36" w:rsidRPr="004D44EC">
        <w:rPr>
          <w:rFonts w:cs="Arial"/>
        </w:rPr>
        <w:t xml:space="preserve">risk of </w:t>
      </w:r>
      <w:r w:rsidR="00B76048" w:rsidRPr="004D44EC">
        <w:rPr>
          <w:rFonts w:cs="Arial"/>
        </w:rPr>
        <w:t xml:space="preserve">previous </w:t>
      </w:r>
      <w:r w:rsidR="00200A36" w:rsidRPr="004D44EC">
        <w:rPr>
          <w:rFonts w:cs="Arial"/>
        </w:rPr>
        <w:t xml:space="preserve">TB exposure/infection. </w:t>
      </w:r>
    </w:p>
    <w:p w14:paraId="15CE6FCC" w14:textId="5306F540" w:rsidR="002E1CF0" w:rsidRPr="004D44EC" w:rsidRDefault="007666BE" w:rsidP="00993C7C">
      <w:pPr>
        <w:rPr>
          <w:rFonts w:cs="Arial"/>
        </w:rPr>
      </w:pPr>
      <w:r w:rsidRPr="004D44EC">
        <w:rPr>
          <w:rFonts w:cs="Arial"/>
        </w:rPr>
        <w:t>S</w:t>
      </w:r>
      <w:r w:rsidR="002E1CF0" w:rsidRPr="004D44EC">
        <w:rPr>
          <w:rFonts w:cs="Arial"/>
        </w:rPr>
        <w:t xml:space="preserve">ome groups are more susceptible </w:t>
      </w:r>
      <w:r w:rsidRPr="004D44EC">
        <w:rPr>
          <w:rFonts w:cs="Arial"/>
        </w:rPr>
        <w:t>to</w:t>
      </w:r>
      <w:r w:rsidR="00FC36D2" w:rsidRPr="004D44EC">
        <w:rPr>
          <w:rFonts w:cs="Arial"/>
        </w:rPr>
        <w:t xml:space="preserve"> </w:t>
      </w:r>
      <w:r w:rsidR="002E1CF0" w:rsidRPr="004D44EC">
        <w:rPr>
          <w:rFonts w:cs="Arial"/>
        </w:rPr>
        <w:t>progress</w:t>
      </w:r>
      <w:r w:rsidR="00C323E3" w:rsidRPr="004D44EC">
        <w:rPr>
          <w:rFonts w:cs="Arial"/>
        </w:rPr>
        <w:t>ion</w:t>
      </w:r>
      <w:r w:rsidR="002E1CF0" w:rsidRPr="004D44EC">
        <w:rPr>
          <w:rFonts w:cs="Arial"/>
        </w:rPr>
        <w:t xml:space="preserve"> to TB </w:t>
      </w:r>
      <w:r w:rsidRPr="004D44EC">
        <w:rPr>
          <w:rFonts w:cs="Arial"/>
        </w:rPr>
        <w:t>disease following infection</w:t>
      </w:r>
      <w:r w:rsidR="002E1CF0" w:rsidRPr="004D44EC">
        <w:rPr>
          <w:rFonts w:cs="Arial"/>
        </w:rPr>
        <w:t>. Th</w:t>
      </w:r>
      <w:r w:rsidRPr="004D44EC">
        <w:rPr>
          <w:rFonts w:cs="Arial"/>
        </w:rPr>
        <w:t>ese include people with recent primary or re-infection</w:t>
      </w:r>
      <w:r w:rsidR="00C1164C" w:rsidRPr="004D44EC">
        <w:rPr>
          <w:rFonts w:cs="Arial"/>
        </w:rPr>
        <w:t xml:space="preserve"> (especially within 2 years post exposure but declining with time)</w:t>
      </w:r>
      <w:r w:rsidRPr="004D44EC">
        <w:rPr>
          <w:rFonts w:cs="Arial"/>
        </w:rPr>
        <w:t>, immun</w:t>
      </w:r>
      <w:r w:rsidR="00B40C07">
        <w:rPr>
          <w:rFonts w:cs="Arial"/>
        </w:rPr>
        <w:t>o</w:t>
      </w:r>
      <w:r w:rsidRPr="004D44EC">
        <w:rPr>
          <w:rFonts w:cs="Arial"/>
        </w:rPr>
        <w:t>compromised individuals or young children with immature immune systems</w:t>
      </w:r>
      <w:r w:rsidR="009F1C8C" w:rsidRPr="004D44EC">
        <w:rPr>
          <w:rFonts w:cs="Arial"/>
        </w:rPr>
        <w:t xml:space="preserve"> </w:t>
      </w:r>
      <w:r w:rsidR="002A54A5" w:rsidRPr="004D44EC">
        <w:rPr>
          <w:rFonts w:cs="Arial"/>
        </w:rPr>
        <w:fldChar w:fldCharType="begin"/>
      </w:r>
      <w:r w:rsidR="00342D3C">
        <w:rPr>
          <w:rFonts w:cs="Arial"/>
        </w:rPr>
        <w:instrText xml:space="preserve"> ADDIN EN.CITE &lt;EndNote&gt;&lt;Cite&gt;&lt;Author&gt;Fitzgerald&lt;/Author&gt;&lt;Year&gt;2015&lt;/Year&gt;&lt;RecNum&gt;5&lt;/RecNum&gt;&lt;DisplayText&gt;(5)&lt;/DisplayText&gt;&lt;record&gt;&lt;rec-number&gt;5&lt;/rec-number&gt;&lt;foreign-keys&gt;&lt;key app="EN" db-id="sr9paxs2qve9wpext2i5swxe50w0rs9dzze2" timestamp="1628681196"&gt;5&lt;/key&gt;&lt;/foreign-keys&gt;&lt;ref-type name="Book Section"&gt;5&lt;/ref-type&gt;&lt;contributors&gt;&lt;authors&gt;&lt;author&gt;Fitzgerald, D.W. &lt;/author&gt;&lt;author&gt;Sterling, T.R.&lt;/author&gt;&lt;author&gt;Haas, D.W.&lt;/author&gt;&lt;/authors&gt;&lt;secondary-authors&gt;&lt;author&gt;Bennett, J. E.&lt;/author&gt;&lt;author&gt;Dolin, R.&lt;/author&gt;&lt;author&gt;Blaser, M.J.&lt;/author&gt;&lt;/secondary-authors&gt;&lt;/contributors&gt;&lt;titles&gt;&lt;title&gt;&lt;style face="italic" font="default" size="100%"&gt;Mycobacterium tuberculosis&lt;/style&gt;&lt;/title&gt;&lt;secondary-title&gt;Mandell, Douglas, and Bennett&amp;apos;s principles and practice of infectious diseases&lt;/secondary-title&gt;&lt;/titles&gt;&lt;pages&gt;2787-818&lt;/pages&gt;&lt;edition&gt;8th &lt;/edition&gt;&lt;section&gt;251&lt;/section&gt;&lt;dates&gt;&lt;year&gt;2015&lt;/year&gt;&lt;/dates&gt;&lt;pub-location&gt;Philadelphia&lt;/pub-location&gt;&lt;publisher&gt;Elsevier Sanders&lt;/publisher&gt;&lt;urls&gt;&lt;/urls&gt;&lt;/record&gt;&lt;/Cite&gt;&lt;/EndNote&gt;</w:instrText>
      </w:r>
      <w:r w:rsidR="002A54A5" w:rsidRPr="004D44EC">
        <w:rPr>
          <w:rFonts w:cs="Arial"/>
        </w:rPr>
        <w:fldChar w:fldCharType="separate"/>
      </w:r>
      <w:r w:rsidR="00233B48" w:rsidRPr="004D44EC">
        <w:rPr>
          <w:rFonts w:cs="Arial"/>
          <w:noProof/>
        </w:rPr>
        <w:t>(5)</w:t>
      </w:r>
      <w:r w:rsidR="002A54A5" w:rsidRPr="004D44EC">
        <w:rPr>
          <w:rFonts w:cs="Arial"/>
        </w:rPr>
        <w:fldChar w:fldCharType="end"/>
      </w:r>
      <w:r w:rsidR="009F1C8C" w:rsidRPr="004D44EC">
        <w:rPr>
          <w:rFonts w:cs="Arial"/>
        </w:rPr>
        <w:t>.</w:t>
      </w:r>
      <w:r w:rsidRPr="004D44EC">
        <w:rPr>
          <w:rFonts w:cs="Arial"/>
        </w:rPr>
        <w:t xml:space="preserve"> High</w:t>
      </w:r>
      <w:r w:rsidR="00C0435F">
        <w:rPr>
          <w:rFonts w:cs="Arial"/>
        </w:rPr>
        <w:t>-</w:t>
      </w:r>
      <w:r w:rsidRPr="004D44EC">
        <w:rPr>
          <w:rFonts w:cs="Arial"/>
        </w:rPr>
        <w:t>risk groups include:</w:t>
      </w:r>
    </w:p>
    <w:p w14:paraId="005DECEF" w14:textId="6E6568D8" w:rsidR="009868CA" w:rsidRPr="004D44EC" w:rsidRDefault="00D5500A" w:rsidP="001C34D7">
      <w:pPr>
        <w:pStyle w:val="ListBullet2"/>
      </w:pPr>
      <w:r w:rsidRPr="004D44EC">
        <w:t>C</w:t>
      </w:r>
      <w:r w:rsidR="002E1CF0" w:rsidRPr="004D44EC">
        <w:t xml:space="preserve">hildren </w:t>
      </w:r>
      <w:r w:rsidR="003A1CDB" w:rsidRPr="004D44EC">
        <w:t>&lt;</w:t>
      </w:r>
      <w:r w:rsidR="002E1CF0" w:rsidRPr="004D44EC">
        <w:t>5 years of age</w:t>
      </w:r>
      <w:r w:rsidR="007666BE" w:rsidRPr="004D44EC">
        <w:t xml:space="preserve"> (especially those &lt;2yrs of age</w:t>
      </w:r>
      <w:r w:rsidR="00C1164C" w:rsidRPr="004D44EC">
        <w:t xml:space="preserve"> where risk of progression is </w:t>
      </w:r>
      <w:r w:rsidR="000553F9" w:rsidRPr="004D44EC">
        <w:t>high</w:t>
      </w:r>
      <w:r w:rsidR="00200A36" w:rsidRPr="004D44EC">
        <w:t>est</w:t>
      </w:r>
      <w:r w:rsidR="000553F9" w:rsidRPr="004D44EC">
        <w:t>)</w:t>
      </w:r>
      <w:r w:rsidR="009F1C8C" w:rsidRPr="004D44EC">
        <w:t>.</w:t>
      </w:r>
    </w:p>
    <w:p w14:paraId="2BA39C2F" w14:textId="0E544E1D" w:rsidR="002E1CF0" w:rsidRPr="004D44EC" w:rsidRDefault="00B76048" w:rsidP="001C34D7">
      <w:pPr>
        <w:pStyle w:val="ListBullet2"/>
      </w:pPr>
      <w:r w:rsidRPr="004D44EC">
        <w:t>E</w:t>
      </w:r>
      <w:r w:rsidR="002E1CF0" w:rsidRPr="004D44EC">
        <w:t>lderly</w:t>
      </w:r>
      <w:r w:rsidRPr="004D44EC">
        <w:t xml:space="preserve"> people</w:t>
      </w:r>
      <w:r w:rsidR="009F1C8C" w:rsidRPr="004D44EC">
        <w:t>.</w:t>
      </w:r>
    </w:p>
    <w:p w14:paraId="3EAB7DF5" w14:textId="3D5C0986" w:rsidR="002E1CF0" w:rsidRPr="004D44EC" w:rsidRDefault="00B76048" w:rsidP="001C34D7">
      <w:pPr>
        <w:pStyle w:val="ListBullet2"/>
      </w:pPr>
      <w:r w:rsidRPr="004D44EC">
        <w:t xml:space="preserve">People with </w:t>
      </w:r>
      <w:r w:rsidR="007666BE" w:rsidRPr="004D44EC">
        <w:t xml:space="preserve">severe </w:t>
      </w:r>
      <w:r w:rsidR="009F1C8C" w:rsidRPr="004D44EC">
        <w:t>malnourish</w:t>
      </w:r>
      <w:r w:rsidRPr="004D44EC">
        <w:t>ment</w:t>
      </w:r>
      <w:r w:rsidR="009F1C8C" w:rsidRPr="004D44EC">
        <w:t>.</w:t>
      </w:r>
    </w:p>
    <w:p w14:paraId="540BF366" w14:textId="2BBE7489" w:rsidR="002E1CF0" w:rsidRPr="004D44EC" w:rsidRDefault="007666BE" w:rsidP="001C34D7">
      <w:pPr>
        <w:pStyle w:val="ListBullet2"/>
      </w:pPr>
      <w:r w:rsidRPr="004D44EC">
        <w:t>P</w:t>
      </w:r>
      <w:r w:rsidR="002E1CF0" w:rsidRPr="004D44EC">
        <w:t xml:space="preserve">eople living with HIV, </w:t>
      </w:r>
      <w:r w:rsidRPr="004D44EC">
        <w:t xml:space="preserve">poorly controlled </w:t>
      </w:r>
      <w:r w:rsidR="002E1CF0" w:rsidRPr="004D44EC">
        <w:t>diabetes</w:t>
      </w:r>
      <w:r w:rsidRPr="004D44EC">
        <w:t xml:space="preserve">, </w:t>
      </w:r>
      <w:r w:rsidR="002E1CF0" w:rsidRPr="004D44EC">
        <w:t>renal failure</w:t>
      </w:r>
      <w:r w:rsidRPr="004D44EC">
        <w:t>, or any immunocompromising disease.</w:t>
      </w:r>
    </w:p>
    <w:p w14:paraId="69857043" w14:textId="12EF48AA" w:rsidR="002E1CF0" w:rsidRPr="004D44EC" w:rsidRDefault="007666BE" w:rsidP="001C34D7">
      <w:pPr>
        <w:pStyle w:val="ListBullet2"/>
      </w:pPr>
      <w:r w:rsidRPr="004D44EC">
        <w:t xml:space="preserve">Patients receiving </w:t>
      </w:r>
      <w:r w:rsidR="002E1CF0" w:rsidRPr="004D44EC">
        <w:t>immunomodulating therapies</w:t>
      </w:r>
      <w:r w:rsidR="003A1CDB" w:rsidRPr="004D44EC">
        <w:t xml:space="preserve">, </w:t>
      </w:r>
      <w:proofErr w:type="gramStart"/>
      <w:r w:rsidR="003A1CDB" w:rsidRPr="004D44EC">
        <w:t>e.g.</w:t>
      </w:r>
      <w:proofErr w:type="gramEnd"/>
      <w:r w:rsidR="002E1CF0" w:rsidRPr="004D44EC">
        <w:t xml:space="preserve"> </w:t>
      </w:r>
      <w:r w:rsidRPr="004D44EC">
        <w:t xml:space="preserve">high dose </w:t>
      </w:r>
      <w:r w:rsidR="002E1CF0" w:rsidRPr="004D44EC">
        <w:t>corticosteroids, anti-TNF inhibitors</w:t>
      </w:r>
      <w:r w:rsidR="00C1164C" w:rsidRPr="004D44EC">
        <w:t>, organ rejection drugs</w:t>
      </w:r>
      <w:r w:rsidR="002E1CF0" w:rsidRPr="004D44EC">
        <w:t xml:space="preserve"> </w:t>
      </w:r>
      <w:r w:rsidRPr="004D44EC">
        <w:t xml:space="preserve">or </w:t>
      </w:r>
      <w:r w:rsidR="002E1CF0" w:rsidRPr="004D44EC">
        <w:t xml:space="preserve">cancer </w:t>
      </w:r>
      <w:r w:rsidRPr="004D44EC">
        <w:t>chemotherapy</w:t>
      </w:r>
      <w:r w:rsidR="002E1CF0" w:rsidRPr="004D44EC">
        <w:t xml:space="preserve">. </w:t>
      </w:r>
    </w:p>
    <w:p w14:paraId="3F309CDF" w14:textId="4888F977" w:rsidR="002E1CF0" w:rsidRPr="004D44EC" w:rsidRDefault="009868CA" w:rsidP="002E1CF0">
      <w:pPr>
        <w:rPr>
          <w:rFonts w:cs="Arial"/>
        </w:rPr>
      </w:pPr>
      <w:r w:rsidRPr="004D44EC">
        <w:rPr>
          <w:rFonts w:cs="Arial"/>
        </w:rPr>
        <w:t xml:space="preserve">Persons </w:t>
      </w:r>
      <w:r w:rsidR="00D21317" w:rsidRPr="004D44EC">
        <w:rPr>
          <w:rFonts w:cs="Arial"/>
        </w:rPr>
        <w:t xml:space="preserve">with </w:t>
      </w:r>
      <w:r w:rsidRPr="004D44EC">
        <w:rPr>
          <w:rFonts w:cs="Arial"/>
        </w:rPr>
        <w:t>a past history of treated TB or radiological evidence of past untreated TB (</w:t>
      </w:r>
      <w:proofErr w:type="gramStart"/>
      <w:r w:rsidRPr="004D44EC">
        <w:rPr>
          <w:rFonts w:cs="Arial"/>
        </w:rPr>
        <w:t>e.g.</w:t>
      </w:r>
      <w:proofErr w:type="gramEnd"/>
      <w:r w:rsidRPr="004D44EC">
        <w:rPr>
          <w:rFonts w:cs="Arial"/>
        </w:rPr>
        <w:t xml:space="preserve"> fibrotic areas, apical scarring or blunted </w:t>
      </w:r>
      <w:proofErr w:type="spellStart"/>
      <w:r w:rsidRPr="004D44EC">
        <w:rPr>
          <w:rFonts w:cs="Arial"/>
        </w:rPr>
        <w:t>costo</w:t>
      </w:r>
      <w:proofErr w:type="spellEnd"/>
      <w:r w:rsidRPr="004D44EC">
        <w:rPr>
          <w:rFonts w:cs="Arial"/>
        </w:rPr>
        <w:t>-phrenic angles) are at heightened risk of re</w:t>
      </w:r>
      <w:r w:rsidR="00E849D6">
        <w:rPr>
          <w:rFonts w:cs="Arial"/>
        </w:rPr>
        <w:t>-</w:t>
      </w:r>
      <w:r w:rsidRPr="004D44EC">
        <w:rPr>
          <w:rFonts w:cs="Arial"/>
        </w:rPr>
        <w:t>presenting with TB (relapse/reactivation and re-infection),</w:t>
      </w:r>
      <w:r w:rsidR="007356BC" w:rsidRPr="004D44EC">
        <w:rPr>
          <w:rFonts w:cs="Arial"/>
        </w:rPr>
        <w:t xml:space="preserve"> especially if they </w:t>
      </w:r>
      <w:r w:rsidR="00E849D6">
        <w:rPr>
          <w:rFonts w:cs="Arial"/>
        </w:rPr>
        <w:t>become</w:t>
      </w:r>
      <w:r w:rsidR="00E849D6" w:rsidRPr="004D44EC">
        <w:rPr>
          <w:rFonts w:cs="Arial"/>
        </w:rPr>
        <w:t xml:space="preserve"> </w:t>
      </w:r>
      <w:r w:rsidR="007356BC" w:rsidRPr="004D44EC">
        <w:rPr>
          <w:rFonts w:cs="Arial"/>
        </w:rPr>
        <w:t>immune compromise</w:t>
      </w:r>
      <w:r w:rsidR="00E849D6">
        <w:rPr>
          <w:rFonts w:cs="Arial"/>
        </w:rPr>
        <w:t>d</w:t>
      </w:r>
      <w:r w:rsidR="00B76048" w:rsidRPr="004D44EC">
        <w:rPr>
          <w:rFonts w:cs="Arial"/>
        </w:rPr>
        <w:t>.</w:t>
      </w:r>
    </w:p>
    <w:p w14:paraId="46FEEB62" w14:textId="57DDBA0E" w:rsidR="009B00F0" w:rsidRPr="004D44EC" w:rsidRDefault="002E1CF0" w:rsidP="002E1CF0">
      <w:pPr>
        <w:rPr>
          <w:rFonts w:cs="Arial"/>
        </w:rPr>
      </w:pPr>
      <w:r w:rsidRPr="004D44EC">
        <w:rPr>
          <w:rFonts w:cs="Arial"/>
        </w:rPr>
        <w:t xml:space="preserve">Aboriginal and Torres Strait </w:t>
      </w:r>
      <w:r w:rsidR="00B76048" w:rsidRPr="004D44EC">
        <w:rPr>
          <w:rFonts w:cs="Arial"/>
        </w:rPr>
        <w:t>Islander people</w:t>
      </w:r>
      <w:r w:rsidR="00F412EB">
        <w:rPr>
          <w:rFonts w:cs="Arial"/>
        </w:rPr>
        <w:t>s</w:t>
      </w:r>
      <w:r w:rsidR="00B76048" w:rsidRPr="004D44EC">
        <w:rPr>
          <w:rFonts w:cs="Arial"/>
        </w:rPr>
        <w:t xml:space="preserve"> </w:t>
      </w:r>
      <w:r w:rsidRPr="004D44EC">
        <w:rPr>
          <w:rFonts w:cs="Arial"/>
        </w:rPr>
        <w:t xml:space="preserve">in some parts of Australia are at increased risk of TB due to </w:t>
      </w:r>
      <w:r w:rsidR="007666BE" w:rsidRPr="004D44EC">
        <w:rPr>
          <w:rFonts w:cs="Arial"/>
        </w:rPr>
        <w:t xml:space="preserve">a combination of TB exposure and other </w:t>
      </w:r>
      <w:r w:rsidRPr="004D44EC">
        <w:rPr>
          <w:rFonts w:cs="Arial"/>
        </w:rPr>
        <w:t xml:space="preserve">adverse factors. These include high rates of chronic </w:t>
      </w:r>
      <w:r w:rsidR="001602BD" w:rsidRPr="004D44EC">
        <w:rPr>
          <w:rFonts w:cs="Arial"/>
        </w:rPr>
        <w:t xml:space="preserve">non-communicable </w:t>
      </w:r>
      <w:r w:rsidRPr="004D44EC">
        <w:rPr>
          <w:rFonts w:cs="Arial"/>
        </w:rPr>
        <w:t>disease</w:t>
      </w:r>
      <w:r w:rsidR="003E253D" w:rsidRPr="004D44EC">
        <w:rPr>
          <w:rFonts w:cs="Arial"/>
        </w:rPr>
        <w:t>, which</w:t>
      </w:r>
      <w:r w:rsidR="009868CA" w:rsidRPr="004D44EC">
        <w:rPr>
          <w:rFonts w:cs="Arial"/>
        </w:rPr>
        <w:t xml:space="preserve"> both</w:t>
      </w:r>
      <w:r w:rsidR="003E253D" w:rsidRPr="004D44EC">
        <w:rPr>
          <w:rFonts w:cs="Arial"/>
        </w:rPr>
        <w:t xml:space="preserve"> </w:t>
      </w:r>
      <w:r w:rsidRPr="004D44EC">
        <w:rPr>
          <w:rFonts w:cs="Arial"/>
        </w:rPr>
        <w:t xml:space="preserve">increase the risk of </w:t>
      </w:r>
      <w:r w:rsidR="007666BE" w:rsidRPr="004D44EC">
        <w:rPr>
          <w:rFonts w:cs="Arial"/>
        </w:rPr>
        <w:t xml:space="preserve">TB </w:t>
      </w:r>
      <w:r w:rsidRPr="004D44EC">
        <w:rPr>
          <w:rFonts w:cs="Arial"/>
        </w:rPr>
        <w:t xml:space="preserve">reactivation and </w:t>
      </w:r>
      <w:r w:rsidR="003E253D" w:rsidRPr="004D44EC">
        <w:rPr>
          <w:rFonts w:cs="Arial"/>
        </w:rPr>
        <w:t>may</w:t>
      </w:r>
      <w:r w:rsidRPr="004D44EC">
        <w:rPr>
          <w:rFonts w:cs="Arial"/>
        </w:rPr>
        <w:t xml:space="preserve"> confound the diagnosis </w:t>
      </w:r>
      <w:r w:rsidR="003A1CDB" w:rsidRPr="004D44EC">
        <w:rPr>
          <w:rFonts w:cs="Arial"/>
        </w:rPr>
        <w:t xml:space="preserve">(e.g. </w:t>
      </w:r>
      <w:r w:rsidRPr="004D44EC">
        <w:rPr>
          <w:rFonts w:cs="Arial"/>
        </w:rPr>
        <w:t>presence of chronic lung disease</w:t>
      </w:r>
      <w:r w:rsidR="003A1CDB" w:rsidRPr="004D44EC">
        <w:rPr>
          <w:rFonts w:cs="Arial"/>
        </w:rPr>
        <w:t>)</w:t>
      </w:r>
      <w:r w:rsidR="00723B1D">
        <w:rPr>
          <w:rFonts w:cs="Arial"/>
        </w:rPr>
        <w:t xml:space="preserve"> </w:t>
      </w:r>
      <w:r w:rsidR="00723B1D">
        <w:rPr>
          <w:rFonts w:cs="Arial"/>
        </w:rPr>
        <w:fldChar w:fldCharType="begin"/>
      </w:r>
      <w:r w:rsidR="00342D3C">
        <w:rPr>
          <w:rFonts w:cs="Arial"/>
        </w:rPr>
        <w:instrText xml:space="preserve"> ADDIN EN.CITE &lt;EndNote&gt;&lt;Cite&gt;&lt;Author&gt;Bright&lt;/Author&gt;&lt;Year&gt;2018&lt;/Year&gt;&lt;RecNum&gt;6&lt;/RecNum&gt;&lt;DisplayText&gt;(6)&lt;/DisplayText&gt;&lt;record&gt;&lt;rec-number&gt;6&lt;/rec-number&gt;&lt;foreign-keys&gt;&lt;key app="EN" db-id="sr9paxs2qve9wpext2i5swxe50w0rs9dzze2" timestamp="1628681197"&gt;6&lt;/key&gt;&lt;/foreign-keys&gt;&lt;ref-type name="Journal Article"&gt;17&lt;/ref-type&gt;&lt;contributors&gt;&lt;authors&gt;&lt;author&gt;Bright, A.&lt;/author&gt;&lt;author&gt;Denholm, J.&lt;/author&gt;&lt;author&gt;Coulter, C.&lt;/author&gt;&lt;author&gt;Waring, J.&lt;/author&gt;&lt;author&gt;Stapledon, R.&lt;/author&gt;&lt;/authors&gt;&lt;/contributors&gt;&lt;auth-address&gt;Office of Health Protection and Response Division, Department of Health, Canberra, ACT.&amp;#xD;Victorian Tuberculosis Program, Melbourne Health, Melbourne Vic.&amp;#xD;Queensland Mycobacterium Reference Laboratory, Pathology Queensland, Brisbane Qld.&amp;#xD;Western Australia Tuberculosis Program, WA Health, Perth WA.&amp;#xD;South Australian Tuberculosis Services, Royal Adelaide Hospital, Adelaide SA.&lt;/auth-address&gt;&lt;titles&gt;&lt;title&gt;Tuberculosis notifications in Australia, 2015-2018&lt;/title&gt;&lt;secondary-title&gt;Communicable Diseases Intelligence.&lt;/secondary-title&gt;&lt;/titles&gt;&lt;periodical&gt;&lt;full-title&gt;Communicable Diseases Intelligence.&lt;/full-title&gt;&lt;/periodical&gt;&lt;pages&gt;1-39&lt;/pages&gt;&lt;volume&gt;44&lt;/volume&gt;&lt;edition&gt;2020/12/07&lt;/edition&gt;&lt;keywords&gt;&lt;keyword&gt;Australia&lt;/keyword&gt;&lt;keyword&gt;Mycobacterium tuberculosis&lt;/keyword&gt;&lt;keyword&gt;annual report&lt;/keyword&gt;&lt;keyword&gt;communicable disease surveillance&lt;/keyword&gt;&lt;keyword&gt;epidemiology&lt;/keyword&gt;&lt;keyword&gt;tuberculosis&lt;/keyword&gt;&lt;/keywords&gt;&lt;dates&gt;&lt;year&gt;2018&lt;/year&gt;&lt;pub-dates&gt;&lt;date&gt;Oct 25&lt;/date&gt;&lt;/pub-dates&gt;&lt;/dates&gt;&lt;isbn&gt;2209-6051 (Electronic)&amp;#xD;2209-6051 (Linking)&lt;/isbn&gt;&lt;accession-num&gt;33278873&lt;/accession-num&gt;&lt;urls&gt;&lt;related-urls&gt;&lt;url&gt;https://www.ncbi.nlm.nih.gov/pubmed/33278873&lt;/url&gt;&lt;/related-urls&gt;&lt;/urls&gt;&lt;electronic-resource-num&gt;10.33321/cdi.2020.44.88&lt;/electronic-resource-num&gt;&lt;/record&gt;&lt;/Cite&gt;&lt;/EndNote&gt;</w:instrText>
      </w:r>
      <w:r w:rsidR="00723B1D">
        <w:rPr>
          <w:rFonts w:cs="Arial"/>
        </w:rPr>
        <w:fldChar w:fldCharType="separate"/>
      </w:r>
      <w:r w:rsidR="00723B1D">
        <w:rPr>
          <w:rFonts w:cs="Arial"/>
          <w:noProof/>
        </w:rPr>
        <w:t>(6)</w:t>
      </w:r>
      <w:r w:rsidR="00723B1D">
        <w:rPr>
          <w:rFonts w:cs="Arial"/>
        </w:rPr>
        <w:fldChar w:fldCharType="end"/>
      </w:r>
      <w:bookmarkEnd w:id="25"/>
      <w:r w:rsidR="009A0256" w:rsidRPr="004D44EC">
        <w:rPr>
          <w:rFonts w:cs="Arial"/>
        </w:rPr>
        <w:t>.</w:t>
      </w:r>
      <w:r w:rsidR="00011265" w:rsidRPr="004D44EC">
        <w:rPr>
          <w:rFonts w:cs="Arial"/>
        </w:rPr>
        <w:t xml:space="preserve"> </w:t>
      </w:r>
    </w:p>
    <w:p w14:paraId="3C98D64F" w14:textId="77777777" w:rsidR="002E1CF0" w:rsidRPr="007A4336" w:rsidRDefault="002E1CF0" w:rsidP="00CA7F5E">
      <w:pPr>
        <w:pStyle w:val="Heading2"/>
      </w:pPr>
      <w:bookmarkStart w:id="26" w:name="_Toc97195040"/>
      <w:r w:rsidRPr="00FA2B06">
        <w:t>Disease occurrence and public health significance</w:t>
      </w:r>
      <w:bookmarkEnd w:id="26"/>
      <w:r w:rsidRPr="00FA2B06">
        <w:t xml:space="preserve"> </w:t>
      </w:r>
    </w:p>
    <w:p w14:paraId="4E626805" w14:textId="4D8BA21A" w:rsidR="00096250" w:rsidRPr="004D44EC" w:rsidRDefault="002E1CF0" w:rsidP="002E1CF0">
      <w:pPr>
        <w:rPr>
          <w:rFonts w:cs="Arial"/>
        </w:rPr>
      </w:pPr>
      <w:r w:rsidRPr="004D44EC">
        <w:rPr>
          <w:rFonts w:cs="Arial"/>
        </w:rPr>
        <w:t xml:space="preserve">The World Health Organization (WHO) estimated the global burden of TB in </w:t>
      </w:r>
      <w:r w:rsidR="00B76048" w:rsidRPr="004D44EC">
        <w:rPr>
          <w:rFonts w:cs="Arial"/>
        </w:rPr>
        <w:t xml:space="preserve">2019 </w:t>
      </w:r>
      <w:r w:rsidRPr="004D44EC">
        <w:rPr>
          <w:rFonts w:cs="Arial"/>
        </w:rPr>
        <w:t xml:space="preserve">at </w:t>
      </w:r>
      <w:r w:rsidR="000F22CE" w:rsidRPr="004D44EC">
        <w:rPr>
          <w:rFonts w:cs="Arial"/>
        </w:rPr>
        <w:t>10</w:t>
      </w:r>
      <w:r w:rsidRPr="004D44EC">
        <w:rPr>
          <w:rFonts w:cs="Arial"/>
        </w:rPr>
        <w:t xml:space="preserve"> million</w:t>
      </w:r>
      <w:r w:rsidR="009036F7" w:rsidRPr="004D44EC">
        <w:rPr>
          <w:rFonts w:cs="Arial"/>
        </w:rPr>
        <w:t xml:space="preserve"> </w:t>
      </w:r>
      <w:r w:rsidRPr="004D44EC">
        <w:rPr>
          <w:rFonts w:cs="Arial"/>
        </w:rPr>
        <w:t>incident cases (</w:t>
      </w:r>
      <w:r w:rsidR="00B76048" w:rsidRPr="004D44EC">
        <w:rPr>
          <w:rFonts w:cs="Arial"/>
        </w:rPr>
        <w:t xml:space="preserve">130 </w:t>
      </w:r>
      <w:r w:rsidRPr="004D44EC">
        <w:rPr>
          <w:rFonts w:cs="Arial"/>
        </w:rPr>
        <w:t>cases per 100</w:t>
      </w:r>
      <w:r w:rsidR="00460CA6" w:rsidRPr="004D44EC">
        <w:rPr>
          <w:rFonts w:cs="Arial"/>
        </w:rPr>
        <w:t>,</w:t>
      </w:r>
      <w:r w:rsidRPr="004D44EC">
        <w:rPr>
          <w:rFonts w:cs="Arial"/>
        </w:rPr>
        <w:t>000 population</w:t>
      </w:r>
      <w:r w:rsidR="00B76048" w:rsidRPr="004D44EC">
        <w:rPr>
          <w:rFonts w:cs="Arial"/>
        </w:rPr>
        <w:t xml:space="preserve"> per year</w:t>
      </w:r>
      <w:r w:rsidRPr="004D44EC">
        <w:rPr>
          <w:rFonts w:cs="Arial"/>
        </w:rPr>
        <w:t>)</w:t>
      </w:r>
      <w:r w:rsidR="00E07560" w:rsidRPr="004D44EC">
        <w:rPr>
          <w:rFonts w:cs="Arial"/>
        </w:rPr>
        <w:t>. Of these the South</w:t>
      </w:r>
      <w:r w:rsidR="00112A2D">
        <w:rPr>
          <w:rFonts w:cs="Arial"/>
        </w:rPr>
        <w:t>-</w:t>
      </w:r>
      <w:r w:rsidR="00E07560" w:rsidRPr="004D44EC">
        <w:rPr>
          <w:rFonts w:cs="Arial"/>
        </w:rPr>
        <w:t>East Asia and Western Pacific regions accounted for approximately 4</w:t>
      </w:r>
      <w:r w:rsidR="000F4159" w:rsidRPr="004D44EC">
        <w:rPr>
          <w:rFonts w:cs="Arial"/>
        </w:rPr>
        <w:t>4</w:t>
      </w:r>
      <w:r w:rsidR="00E07560" w:rsidRPr="004D44EC">
        <w:rPr>
          <w:rFonts w:cs="Arial"/>
        </w:rPr>
        <w:t>% and 1</w:t>
      </w:r>
      <w:r w:rsidR="000F4159" w:rsidRPr="004D44EC">
        <w:rPr>
          <w:rFonts w:cs="Arial"/>
        </w:rPr>
        <w:t>8</w:t>
      </w:r>
      <w:r w:rsidR="00E07560" w:rsidRPr="004D44EC">
        <w:rPr>
          <w:rFonts w:cs="Arial"/>
        </w:rPr>
        <w:t>% respectively.</w:t>
      </w:r>
      <w:r w:rsidRPr="004D44EC">
        <w:rPr>
          <w:rFonts w:cs="Arial"/>
        </w:rPr>
        <w:t xml:space="preserve"> </w:t>
      </w:r>
      <w:r w:rsidR="00E07560" w:rsidRPr="004D44EC">
        <w:rPr>
          <w:rFonts w:cs="Arial"/>
        </w:rPr>
        <w:t xml:space="preserve">Approximately </w:t>
      </w:r>
      <w:r w:rsidR="007A16A7" w:rsidRPr="004D44EC">
        <w:rPr>
          <w:rFonts w:cs="Arial"/>
        </w:rPr>
        <w:t>8.</w:t>
      </w:r>
      <w:r w:rsidR="00203E53" w:rsidRPr="004D44EC">
        <w:rPr>
          <w:rFonts w:cs="Arial"/>
        </w:rPr>
        <w:t>2</w:t>
      </w:r>
      <w:r w:rsidR="00E07560" w:rsidRPr="004D44EC">
        <w:rPr>
          <w:rFonts w:cs="Arial"/>
        </w:rPr>
        <w:t xml:space="preserve">% of the incident </w:t>
      </w:r>
      <w:r w:rsidR="00CD7654" w:rsidRPr="004D44EC">
        <w:rPr>
          <w:rFonts w:cs="Arial"/>
        </w:rPr>
        <w:t xml:space="preserve">TB </w:t>
      </w:r>
      <w:r w:rsidR="00E07560" w:rsidRPr="004D44EC">
        <w:rPr>
          <w:rFonts w:cs="Arial"/>
        </w:rPr>
        <w:t>cases were among people living with HIV</w:t>
      </w:r>
      <w:r w:rsidR="009A0256" w:rsidRPr="004D44EC">
        <w:rPr>
          <w:rFonts w:cs="Arial"/>
        </w:rPr>
        <w:t>.</w:t>
      </w:r>
      <w:r w:rsidR="00D21317" w:rsidRPr="004D44EC">
        <w:rPr>
          <w:rFonts w:cs="Arial"/>
        </w:rPr>
        <w:t xml:space="preserve"> </w:t>
      </w:r>
      <w:r w:rsidR="00E07560" w:rsidRPr="004D44EC">
        <w:rPr>
          <w:rFonts w:cs="Arial"/>
        </w:rPr>
        <w:t xml:space="preserve">There were </w:t>
      </w:r>
      <w:r w:rsidRPr="004D44EC">
        <w:rPr>
          <w:rFonts w:cs="Arial"/>
        </w:rPr>
        <w:t>an associated 1.</w:t>
      </w:r>
      <w:r w:rsidR="000F4159" w:rsidRPr="004D44EC">
        <w:rPr>
          <w:rFonts w:cs="Arial"/>
        </w:rPr>
        <w:t>2</w:t>
      </w:r>
      <w:r w:rsidRPr="004D44EC">
        <w:rPr>
          <w:rFonts w:cs="Arial"/>
        </w:rPr>
        <w:t xml:space="preserve"> million deaths</w:t>
      </w:r>
      <w:r w:rsidR="00E07560" w:rsidRPr="004D44EC">
        <w:rPr>
          <w:rFonts w:cs="Arial"/>
        </w:rPr>
        <w:t xml:space="preserve"> </w:t>
      </w:r>
      <w:r w:rsidR="00CD7654" w:rsidRPr="004D44EC">
        <w:rPr>
          <w:rFonts w:cs="Arial"/>
        </w:rPr>
        <w:t xml:space="preserve">in HIV negative people with an additional </w:t>
      </w:r>
      <w:r w:rsidR="00203E53" w:rsidRPr="004D44EC">
        <w:rPr>
          <w:rFonts w:cs="Arial"/>
        </w:rPr>
        <w:t>208</w:t>
      </w:r>
      <w:r w:rsidR="00CD7654" w:rsidRPr="004D44EC">
        <w:rPr>
          <w:rFonts w:cs="Arial"/>
        </w:rPr>
        <w:t>,000 in the HIV positive</w:t>
      </w:r>
      <w:r w:rsidRPr="004D44EC">
        <w:rPr>
          <w:rFonts w:cs="Arial"/>
        </w:rPr>
        <w:t>, most of which occurred in Asia and Africa</w:t>
      </w:r>
      <w:r w:rsidR="009A6CA4">
        <w:rPr>
          <w:rFonts w:cs="Arial"/>
        </w:rPr>
        <w:t xml:space="preserve"> </w:t>
      </w:r>
      <w:r w:rsidR="009A6CA4">
        <w:rPr>
          <w:rFonts w:cs="Arial"/>
        </w:rPr>
        <w:fldChar w:fldCharType="begin"/>
      </w:r>
      <w:r w:rsidR="00342D3C">
        <w:rPr>
          <w:rFonts w:cs="Arial"/>
        </w:rPr>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9A6CA4">
        <w:rPr>
          <w:rFonts w:cs="Arial"/>
        </w:rPr>
        <w:fldChar w:fldCharType="separate"/>
      </w:r>
      <w:r w:rsidR="009A6CA4">
        <w:rPr>
          <w:rFonts w:cs="Arial"/>
          <w:noProof/>
        </w:rPr>
        <w:t>(7)</w:t>
      </w:r>
      <w:r w:rsidR="009A6CA4">
        <w:rPr>
          <w:rFonts w:cs="Arial"/>
        </w:rPr>
        <w:fldChar w:fldCharType="end"/>
      </w:r>
      <w:r w:rsidRPr="004D44EC">
        <w:rPr>
          <w:rFonts w:cs="Arial"/>
        </w:rPr>
        <w:t xml:space="preserve">. </w:t>
      </w:r>
    </w:p>
    <w:p w14:paraId="303D610F" w14:textId="49D7153C" w:rsidR="00096250" w:rsidRPr="004D44EC" w:rsidRDefault="00096250" w:rsidP="00096250">
      <w:pPr>
        <w:rPr>
          <w:rFonts w:cs="Arial"/>
        </w:rPr>
      </w:pPr>
      <w:r w:rsidRPr="004D44EC">
        <w:rPr>
          <w:rFonts w:cs="Arial"/>
        </w:rPr>
        <w:t xml:space="preserve">In Australia, the incidence of TB has remained low, </w:t>
      </w:r>
      <w:r w:rsidR="00F01483" w:rsidRPr="004D44EC">
        <w:rPr>
          <w:rFonts w:cs="Arial"/>
        </w:rPr>
        <w:t>with rates varying between 5.0 and 6.</w:t>
      </w:r>
      <w:r w:rsidR="00203E53" w:rsidRPr="004D44EC">
        <w:rPr>
          <w:rFonts w:cs="Arial"/>
        </w:rPr>
        <w:t>0</w:t>
      </w:r>
      <w:r w:rsidR="00F01483" w:rsidRPr="004D44EC">
        <w:rPr>
          <w:rFonts w:cs="Arial"/>
        </w:rPr>
        <w:t xml:space="preserve"> per 100,000 for many years</w:t>
      </w:r>
      <w:r w:rsidR="00112A2D">
        <w:rPr>
          <w:rFonts w:cs="Arial"/>
        </w:rPr>
        <w:t xml:space="preserve"> </w:t>
      </w:r>
      <w:r w:rsidR="00112A2D">
        <w:rPr>
          <w:rFonts w:cs="Arial"/>
        </w:rPr>
        <w:fldChar w:fldCharType="begin">
          <w:fldData xml:space="preserve">PEVuZE5vdGU+PENpdGU+PEF1dGhvcj5CcmlnaHQ8L0F1dGhvcj48WWVhcj4yMDE4PC9ZZWFyPjxS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</w:fldData>
        </w:fldChar>
      </w:r>
      <w:r w:rsidR="00342D3C">
        <w:rPr>
          <w:rFonts w:cs="Arial"/>
        </w:rPr>
        <w:instrText xml:space="preserve"> ADDIN EN.CITE </w:instrText>
      </w:r>
      <w:r w:rsidR="00342D3C">
        <w:rPr>
          <w:rFonts w:cs="Arial"/>
        </w:rPr>
        <w:fldChar w:fldCharType="begin">
          <w:fldData xml:space="preserve">PEVuZE5vdGU+PENpdGU+PEF1dGhvcj5CcmlnaHQ8L0F1dGhvcj48WWVhcj4yMDE4PC9ZZWFyPjxS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</w:fldData>
        </w:fldChar>
      </w:r>
      <w:r w:rsidR="00342D3C">
        <w:rPr>
          <w:rFonts w:cs="Arial"/>
        </w:rPr>
        <w:instrText xml:space="preserve"> ADDIN EN.CITE.DATA </w:instrText>
      </w:r>
      <w:r w:rsidR="00342D3C">
        <w:rPr>
          <w:rFonts w:cs="Arial"/>
        </w:rPr>
      </w:r>
      <w:r w:rsidR="00342D3C">
        <w:rPr>
          <w:rFonts w:cs="Arial"/>
        </w:rPr>
        <w:fldChar w:fldCharType="end"/>
      </w:r>
      <w:r w:rsidR="00112A2D">
        <w:rPr>
          <w:rFonts w:cs="Arial"/>
        </w:rPr>
      </w:r>
      <w:r w:rsidR="00112A2D">
        <w:rPr>
          <w:rFonts w:cs="Arial"/>
        </w:rPr>
        <w:fldChar w:fldCharType="separate"/>
      </w:r>
      <w:r w:rsidR="00723B1D">
        <w:rPr>
          <w:rFonts w:cs="Arial"/>
          <w:noProof/>
        </w:rPr>
        <w:t>(6, 8)</w:t>
      </w:r>
      <w:r w:rsidR="00112A2D">
        <w:rPr>
          <w:rFonts w:cs="Arial"/>
        </w:rPr>
        <w:fldChar w:fldCharType="end"/>
      </w:r>
      <w:r w:rsidR="00776E8C" w:rsidRPr="004D44EC">
        <w:rPr>
          <w:rFonts w:cs="Arial"/>
        </w:rPr>
        <w:t>.</w:t>
      </w:r>
      <w:r w:rsidRPr="004D44EC">
        <w:rPr>
          <w:rFonts w:cs="Arial"/>
        </w:rPr>
        <w:t xml:space="preserve"> These rates compare favourably with other developed countries</w:t>
      </w:r>
      <w:r w:rsidR="00091C9A">
        <w:rPr>
          <w:rFonts w:cs="Arial"/>
        </w:rPr>
        <w:t xml:space="preserve"> </w:t>
      </w:r>
      <w:r w:rsidR="009A6CA4">
        <w:rPr>
          <w:rFonts w:cs="Arial"/>
        </w:rPr>
        <w:fldChar w:fldCharType="begin"/>
      </w:r>
      <w:r w:rsidR="00342D3C">
        <w:rPr>
          <w:rFonts w:cs="Arial"/>
        </w:rPr>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9A6CA4">
        <w:rPr>
          <w:rFonts w:cs="Arial"/>
        </w:rPr>
        <w:fldChar w:fldCharType="separate"/>
      </w:r>
      <w:r w:rsidR="009A6CA4">
        <w:rPr>
          <w:rFonts w:cs="Arial"/>
          <w:noProof/>
        </w:rPr>
        <w:t>(7)</w:t>
      </w:r>
      <w:r w:rsidR="009A6CA4">
        <w:rPr>
          <w:rFonts w:cs="Arial"/>
        </w:rPr>
        <w:fldChar w:fldCharType="end"/>
      </w:r>
      <w:r w:rsidR="009A6CA4">
        <w:rPr>
          <w:rFonts w:cs="Arial"/>
        </w:rPr>
        <w:t xml:space="preserve"> </w:t>
      </w:r>
      <w:r w:rsidR="00F01483" w:rsidRPr="004D44EC">
        <w:rPr>
          <w:rFonts w:cs="Arial"/>
        </w:rPr>
        <w:t xml:space="preserve">but show no trend of further decrease. </w:t>
      </w:r>
      <w:r w:rsidRPr="004D44EC">
        <w:rPr>
          <w:rFonts w:cs="Arial"/>
        </w:rPr>
        <w:t>Significantly higher rates of disease occur in specific subgroups, such as persons born overseas</w:t>
      </w:r>
      <w:r w:rsidR="00F01483" w:rsidRPr="004D44EC">
        <w:rPr>
          <w:rFonts w:cs="Arial"/>
        </w:rPr>
        <w:t xml:space="preserve"> and Aboriginal and Torres Strait Islander peoples compared to non-</w:t>
      </w:r>
      <w:r w:rsidR="00176C4D">
        <w:rPr>
          <w:rFonts w:cs="Arial"/>
        </w:rPr>
        <w:t>I</w:t>
      </w:r>
      <w:r w:rsidR="00176C4D" w:rsidRPr="004D44EC">
        <w:rPr>
          <w:rFonts w:cs="Arial"/>
        </w:rPr>
        <w:t xml:space="preserve">ndigenous </w:t>
      </w:r>
      <w:r w:rsidR="00F01483" w:rsidRPr="004D44EC">
        <w:rPr>
          <w:rFonts w:cs="Arial"/>
        </w:rPr>
        <w:t>Australian born</w:t>
      </w:r>
      <w:r w:rsidR="009A0256" w:rsidRPr="004D44EC">
        <w:rPr>
          <w:rFonts w:cs="Arial"/>
        </w:rPr>
        <w:t xml:space="preserve"> </w:t>
      </w:r>
      <w:r w:rsidRPr="004D44EC">
        <w:rPr>
          <w:rFonts w:cs="Arial"/>
        </w:rPr>
        <w:fldChar w:fldCharType="begin">
          <w:fldData xml:space="preserve">PEVuZE5vdGU+PENpdGU+PEF1dGhvcj5CcmlnaHQ8L0F1dGhvcj48WWVhcj4yMDE4PC9ZZWFyPjxS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</w:fldData>
        </w:fldChar>
      </w:r>
      <w:r w:rsidR="00C61E42">
        <w:rPr>
          <w:rFonts w:cs="Arial"/>
        </w:rPr>
        <w:instrText xml:space="preserve"> ADDIN EN.CITE </w:instrText>
      </w:r>
      <w:r w:rsidR="00C61E42">
        <w:rPr>
          <w:rFonts w:cs="Arial"/>
        </w:rPr>
        <w:fldChar w:fldCharType="begin">
          <w:fldData xml:space="preserve">PEVuZE5vdGU+PENpdGU+PEF1dGhvcj5CcmlnaHQ8L0F1dGhvcj48WWVhcj4yMDE4PC9ZZWFyPjxS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</w:fldData>
        </w:fldChar>
      </w:r>
      <w:r w:rsidR="00C61E42">
        <w:rPr>
          <w:rFonts w:cs="Arial"/>
        </w:rPr>
        <w:instrText xml:space="preserve"> ADDIN EN.CITE.DATA </w:instrText>
      </w:r>
      <w:r w:rsidR="00C61E42">
        <w:rPr>
          <w:rFonts w:cs="Arial"/>
        </w:rPr>
      </w:r>
      <w:r w:rsidR="00C61E42">
        <w:rPr>
          <w:rFonts w:cs="Arial"/>
        </w:rPr>
        <w:fldChar w:fldCharType="end"/>
      </w:r>
      <w:r w:rsidRPr="004D44EC">
        <w:rPr>
          <w:rFonts w:cs="Arial"/>
        </w:rPr>
      </w:r>
      <w:r w:rsidRPr="004D44EC">
        <w:rPr>
          <w:rFonts w:cs="Arial"/>
        </w:rPr>
        <w:fldChar w:fldCharType="separate"/>
      </w:r>
      <w:r w:rsidR="003533EB">
        <w:rPr>
          <w:rFonts w:cs="Arial"/>
          <w:noProof/>
        </w:rPr>
        <w:t>(6, 9)</w:t>
      </w:r>
      <w:r w:rsidRPr="004D44EC">
        <w:rPr>
          <w:rFonts w:cs="Arial"/>
        </w:rPr>
        <w:fldChar w:fldCharType="end"/>
      </w:r>
      <w:r w:rsidR="009A0256" w:rsidRPr="004D44EC">
        <w:rPr>
          <w:rFonts w:cs="Arial"/>
        </w:rPr>
        <w:t>.</w:t>
      </w:r>
    </w:p>
    <w:p w14:paraId="3DC13CBD" w14:textId="44BCC976" w:rsidR="00C00499" w:rsidRPr="004D44EC" w:rsidRDefault="00D1132C" w:rsidP="00A1633B">
      <w:r w:rsidRPr="004D44EC">
        <w:rPr>
          <w:rFonts w:cs="Arial"/>
        </w:rPr>
        <w:t>Drug resistant TB has emerged globally and represents an ongoing concern in Australia</w:t>
      </w:r>
      <w:r w:rsidR="00A6036D" w:rsidRPr="004D44EC">
        <w:rPr>
          <w:rFonts w:cs="Arial"/>
        </w:rPr>
        <w:t xml:space="preserve"> given that 85–</w:t>
      </w:r>
      <w:r w:rsidR="00DB425B" w:rsidRPr="004D44EC">
        <w:rPr>
          <w:rFonts w:cs="Arial"/>
        </w:rPr>
        <w:t>90</w:t>
      </w:r>
      <w:r w:rsidR="00DB2906" w:rsidRPr="004D44EC">
        <w:rPr>
          <w:rFonts w:cs="Arial"/>
        </w:rPr>
        <w:t>% of TB notifications are in persons born overseas</w:t>
      </w:r>
      <w:r w:rsidRPr="004D44EC">
        <w:rPr>
          <w:rFonts w:cs="Arial"/>
        </w:rPr>
        <w:t>.</w:t>
      </w:r>
      <w:r w:rsidRPr="004D44EC">
        <w:t xml:space="preserve"> Previous tracking of </w:t>
      </w:r>
      <w:r w:rsidR="00F2706A" w:rsidRPr="004D44EC">
        <w:t>drug-resistance</w:t>
      </w:r>
      <w:r w:rsidRPr="004D44EC">
        <w:t xml:space="preserve"> </w:t>
      </w:r>
      <w:r w:rsidR="00B17ECA" w:rsidRPr="004D44EC">
        <w:t xml:space="preserve">primarily </w:t>
      </w:r>
      <w:r w:rsidRPr="004D44EC">
        <w:t>fo</w:t>
      </w:r>
      <w:r w:rsidR="00F2706A" w:rsidRPr="004D44EC">
        <w:t>cused on multi-drug resistant TB (MDR-TB)</w:t>
      </w:r>
      <w:r w:rsidRPr="004D44EC">
        <w:t>. Glo</w:t>
      </w:r>
      <w:r w:rsidR="008365DB" w:rsidRPr="004D44EC">
        <w:t xml:space="preserve">bally, there were an estimated </w:t>
      </w:r>
      <w:r w:rsidR="00FE696A" w:rsidRPr="004D44EC">
        <w:t>378</w:t>
      </w:r>
      <w:r w:rsidR="008365DB" w:rsidRPr="004D44EC">
        <w:t>,000 incident cases of MDR</w:t>
      </w:r>
      <w:r w:rsidR="00960C1B" w:rsidRPr="004D44EC">
        <w:t>-TB</w:t>
      </w:r>
      <w:r w:rsidRPr="004D44EC">
        <w:t xml:space="preserve"> in 201</w:t>
      </w:r>
      <w:r w:rsidR="00FE696A" w:rsidRPr="004D44EC">
        <w:t>8</w:t>
      </w:r>
      <w:r w:rsidRPr="004D44EC">
        <w:t xml:space="preserve">, </w:t>
      </w:r>
      <w:r w:rsidR="008365DB" w:rsidRPr="004D44EC">
        <w:t xml:space="preserve">and an additional </w:t>
      </w:r>
      <w:r w:rsidR="00CD7654" w:rsidRPr="004D44EC">
        <w:t>1</w:t>
      </w:r>
      <w:r w:rsidR="00FE696A" w:rsidRPr="004D44EC">
        <w:t>06</w:t>
      </w:r>
      <w:r w:rsidR="008365DB" w:rsidRPr="004D44EC">
        <w:t>,000 cases resistant to rifampicin</w:t>
      </w:r>
      <w:r w:rsidRPr="004D44EC">
        <w:t>. Of the total burden, an estimated</w:t>
      </w:r>
      <w:r w:rsidR="00996D87" w:rsidRPr="004D44EC">
        <w:t xml:space="preserve"> </w:t>
      </w:r>
      <w:r w:rsidR="002C2C54" w:rsidRPr="004D44EC">
        <w:t>3.4</w:t>
      </w:r>
      <w:r w:rsidRPr="004D44EC">
        <w:t xml:space="preserve">% (95% confidence interval [CI]: </w:t>
      </w:r>
      <w:r w:rsidR="002C2C54" w:rsidRPr="004D44EC">
        <w:t>2.5–4.4</w:t>
      </w:r>
      <w:r w:rsidRPr="004D44EC">
        <w:t xml:space="preserve">%) of </w:t>
      </w:r>
      <w:r w:rsidRPr="004D44EC">
        <w:lastRenderedPageBreak/>
        <w:t xml:space="preserve">new cases and </w:t>
      </w:r>
      <w:r w:rsidR="00C96D28" w:rsidRPr="004D44EC">
        <w:t>1</w:t>
      </w:r>
      <w:r w:rsidR="002C2C54" w:rsidRPr="004D44EC">
        <w:t>8</w:t>
      </w:r>
      <w:r w:rsidRPr="004D44EC">
        <w:t xml:space="preserve">% (95% CI: </w:t>
      </w:r>
      <w:r w:rsidR="002C2C54" w:rsidRPr="004D44EC">
        <w:t>7.6–31</w:t>
      </w:r>
      <w:r w:rsidRPr="004D44EC">
        <w:t>%) of p</w:t>
      </w:r>
      <w:r w:rsidR="008365DB" w:rsidRPr="004D44EC">
        <w:t>reviously treated cases were MDR</w:t>
      </w:r>
      <w:r w:rsidR="00C96D28" w:rsidRPr="004D44EC">
        <w:t>/RR</w:t>
      </w:r>
      <w:r w:rsidR="008365DB" w:rsidRPr="004D44EC">
        <w:t>-TB</w:t>
      </w:r>
      <w:r w:rsidR="009A6CA4">
        <w:t xml:space="preserve"> </w:t>
      </w:r>
      <w:r w:rsidR="009A6CA4">
        <w:fldChar w:fldCharType="begin"/>
      </w:r>
      <w:r w:rsidR="00342D3C">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9A6CA4">
        <w:fldChar w:fldCharType="separate"/>
      </w:r>
      <w:r w:rsidR="009A6CA4">
        <w:rPr>
          <w:noProof/>
        </w:rPr>
        <w:t>(7)</w:t>
      </w:r>
      <w:r w:rsidR="009A6CA4">
        <w:fldChar w:fldCharType="end"/>
      </w:r>
      <w:r w:rsidR="00805259" w:rsidRPr="004D44EC">
        <w:t>.</w:t>
      </w:r>
      <w:r w:rsidR="00C00499" w:rsidRPr="004D44EC">
        <w:t xml:space="preserve"> </w:t>
      </w:r>
      <w:r w:rsidR="00C00499" w:rsidRPr="004D44EC">
        <w:rPr>
          <w:rFonts w:cs="Arial"/>
        </w:rPr>
        <w:t>In Australia,</w:t>
      </w:r>
      <w:r w:rsidR="008365DB" w:rsidRPr="004D44EC">
        <w:rPr>
          <w:rFonts w:cs="Arial"/>
        </w:rPr>
        <w:t xml:space="preserve"> approximately</w:t>
      </w:r>
      <w:r w:rsidR="00C00499" w:rsidRPr="004D44EC">
        <w:rPr>
          <w:rFonts w:cs="Arial"/>
        </w:rPr>
        <w:t xml:space="preserve"> 2–4% of incident cases </w:t>
      </w:r>
      <w:r w:rsidR="008365DB" w:rsidRPr="004D44EC">
        <w:rPr>
          <w:rFonts w:cs="Arial"/>
        </w:rPr>
        <w:t>are</w:t>
      </w:r>
      <w:r w:rsidR="00C00499" w:rsidRPr="004D44EC">
        <w:rPr>
          <w:rFonts w:cs="Arial"/>
        </w:rPr>
        <w:t xml:space="preserve"> MDR-TB</w:t>
      </w:r>
      <w:r w:rsidR="003243F2">
        <w:rPr>
          <w:rFonts w:cs="Arial"/>
        </w:rPr>
        <w:t xml:space="preserve"> </w:t>
      </w:r>
      <w:r w:rsidR="003243F2">
        <w:rPr>
          <w:rFonts w:cs="Arial"/>
        </w:rPr>
        <w:fldChar w:fldCharType="begin">
          <w:fldData xml:space="preserve">PEVuZE5vdGU+PENpdGU+PEF1dGhvcj5DYW1waG9yPC9BdXRob3I+PFllYXI+MjAyMDwvWWVhcj48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</w:fldData>
        </w:fldChar>
      </w:r>
      <w:r w:rsidR="00342D3C">
        <w:rPr>
          <w:rFonts w:cs="Arial"/>
        </w:rPr>
        <w:instrText xml:space="preserve"> ADDIN EN.CITE </w:instrText>
      </w:r>
      <w:r w:rsidR="00342D3C">
        <w:rPr>
          <w:rFonts w:cs="Arial"/>
        </w:rPr>
        <w:fldChar w:fldCharType="begin">
          <w:fldData xml:space="preserve">PEVuZE5vdGU+PENpdGU+PEF1dGhvcj5DYW1waG9yPC9BdXRob3I+PFllYXI+MjAyMDwvWWVhcj48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</w:fldData>
        </w:fldChar>
      </w:r>
      <w:r w:rsidR="00342D3C">
        <w:rPr>
          <w:rFonts w:cs="Arial"/>
        </w:rPr>
        <w:instrText xml:space="preserve"> ADDIN EN.CITE.DATA </w:instrText>
      </w:r>
      <w:r w:rsidR="00342D3C">
        <w:rPr>
          <w:rFonts w:cs="Arial"/>
        </w:rPr>
      </w:r>
      <w:r w:rsidR="00342D3C">
        <w:rPr>
          <w:rFonts w:cs="Arial"/>
        </w:rPr>
        <w:fldChar w:fldCharType="end"/>
      </w:r>
      <w:r w:rsidR="003243F2">
        <w:rPr>
          <w:rFonts w:cs="Arial"/>
        </w:rPr>
      </w:r>
      <w:r w:rsidR="003243F2">
        <w:rPr>
          <w:rFonts w:cs="Arial"/>
        </w:rPr>
        <w:fldChar w:fldCharType="separate"/>
      </w:r>
      <w:r w:rsidR="003533EB">
        <w:rPr>
          <w:rFonts w:cs="Arial"/>
          <w:noProof/>
        </w:rPr>
        <w:t>(10)</w:t>
      </w:r>
      <w:r w:rsidR="003243F2">
        <w:rPr>
          <w:rFonts w:cs="Arial"/>
        </w:rPr>
        <w:fldChar w:fldCharType="end"/>
      </w:r>
      <w:r w:rsidR="003243F2">
        <w:rPr>
          <w:rFonts w:cs="Arial"/>
        </w:rPr>
        <w:t>.</w:t>
      </w:r>
    </w:p>
    <w:p w14:paraId="5EE4A65C" w14:textId="4E6DCB86" w:rsidR="00C00499" w:rsidRPr="004D44EC" w:rsidRDefault="00AA5B54" w:rsidP="00A1633B">
      <w:pPr>
        <w:rPr>
          <w:rFonts w:cs="Arial"/>
        </w:rPr>
      </w:pPr>
      <w:r w:rsidRPr="004D44EC">
        <w:rPr>
          <w:rFonts w:cs="Arial"/>
        </w:rPr>
        <w:t>The proportion of MDR</w:t>
      </w:r>
      <w:r w:rsidR="004449C9" w:rsidRPr="004D44EC">
        <w:rPr>
          <w:rFonts w:cs="Arial"/>
        </w:rPr>
        <w:t>-</w:t>
      </w:r>
      <w:r w:rsidRPr="004D44EC">
        <w:rPr>
          <w:rFonts w:cs="Arial"/>
        </w:rPr>
        <w:t xml:space="preserve">TB cases </w:t>
      </w:r>
      <w:r w:rsidR="00F01483" w:rsidRPr="004D44EC">
        <w:rPr>
          <w:rFonts w:cs="Arial"/>
        </w:rPr>
        <w:t xml:space="preserve">that are </w:t>
      </w:r>
      <w:r w:rsidRPr="004D44EC">
        <w:rPr>
          <w:rFonts w:cs="Arial"/>
        </w:rPr>
        <w:t>XDR</w:t>
      </w:r>
      <w:r w:rsidR="00F01483" w:rsidRPr="004D44EC">
        <w:rPr>
          <w:rFonts w:cs="Arial"/>
        </w:rPr>
        <w:t>-</w:t>
      </w:r>
      <w:r w:rsidRPr="004D44EC">
        <w:rPr>
          <w:rFonts w:cs="Arial"/>
        </w:rPr>
        <w:t xml:space="preserve">TB </w:t>
      </w:r>
      <w:r w:rsidR="004E1E4F">
        <w:rPr>
          <w:rFonts w:cs="Arial"/>
        </w:rPr>
        <w:t>(using pre-202</w:t>
      </w:r>
      <w:r w:rsidR="007179B6">
        <w:rPr>
          <w:rFonts w:cs="Arial"/>
        </w:rPr>
        <w:t>1</w:t>
      </w:r>
      <w:r w:rsidR="004E1E4F">
        <w:rPr>
          <w:rFonts w:cs="Arial"/>
        </w:rPr>
        <w:t xml:space="preserve"> WHO definition of XDR-TB) </w:t>
      </w:r>
      <w:r w:rsidRPr="004D44EC">
        <w:rPr>
          <w:rFonts w:cs="Arial"/>
        </w:rPr>
        <w:t xml:space="preserve">based on </w:t>
      </w:r>
      <w:r w:rsidR="00F01483" w:rsidRPr="004D44EC">
        <w:rPr>
          <w:rFonts w:cs="Arial"/>
        </w:rPr>
        <w:t xml:space="preserve">global </w:t>
      </w:r>
      <w:r w:rsidRPr="004D44EC">
        <w:rPr>
          <w:rFonts w:cs="Arial"/>
        </w:rPr>
        <w:t>surveillance and surv</w:t>
      </w:r>
      <w:r w:rsidR="00A6036D" w:rsidRPr="004D44EC">
        <w:rPr>
          <w:rFonts w:cs="Arial"/>
        </w:rPr>
        <w:t xml:space="preserve">ey data was 6.2% (95% CI: </w:t>
      </w:r>
      <w:r w:rsidR="00FE696A" w:rsidRPr="004D44EC">
        <w:rPr>
          <w:rFonts w:cs="Arial"/>
        </w:rPr>
        <w:t>4.4–8.2</w:t>
      </w:r>
      <w:r w:rsidRPr="004D44EC">
        <w:rPr>
          <w:rFonts w:cs="Arial"/>
        </w:rPr>
        <w:t>%)</w:t>
      </w:r>
      <w:r w:rsidR="009A6CA4">
        <w:rPr>
          <w:rFonts w:cs="Arial"/>
        </w:rPr>
        <w:t xml:space="preserve"> </w:t>
      </w:r>
      <w:r w:rsidR="009A6CA4">
        <w:rPr>
          <w:rFonts w:cs="Arial"/>
        </w:rPr>
        <w:fldChar w:fldCharType="begin"/>
      </w:r>
      <w:r w:rsidR="00342D3C">
        <w:rPr>
          <w:rFonts w:cs="Arial"/>
        </w:rPr>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9A6CA4">
        <w:rPr>
          <w:rFonts w:cs="Arial"/>
        </w:rPr>
        <w:fldChar w:fldCharType="separate"/>
      </w:r>
      <w:r w:rsidR="009A6CA4">
        <w:rPr>
          <w:rFonts w:cs="Arial"/>
          <w:noProof/>
        </w:rPr>
        <w:t>(7)</w:t>
      </w:r>
      <w:r w:rsidR="009A6CA4">
        <w:rPr>
          <w:rFonts w:cs="Arial"/>
        </w:rPr>
        <w:fldChar w:fldCharType="end"/>
      </w:r>
      <w:r w:rsidR="00805259" w:rsidRPr="004D44EC">
        <w:rPr>
          <w:rFonts w:cs="Arial"/>
        </w:rPr>
        <w:t>.</w:t>
      </w:r>
      <w:r w:rsidR="00091C9A">
        <w:rPr>
          <w:rFonts w:cs="Arial"/>
          <w:vertAlign w:val="superscript"/>
        </w:rPr>
        <w:t xml:space="preserve"> </w:t>
      </w:r>
      <w:r w:rsidRPr="004D44EC">
        <w:rPr>
          <w:rFonts w:cs="Arial"/>
        </w:rPr>
        <w:t>XDR</w:t>
      </w:r>
      <w:r w:rsidR="00F01483" w:rsidRPr="004D44EC">
        <w:rPr>
          <w:rFonts w:cs="Arial"/>
        </w:rPr>
        <w:t>-</w:t>
      </w:r>
      <w:r w:rsidRPr="004D44EC">
        <w:rPr>
          <w:rFonts w:cs="Arial"/>
        </w:rPr>
        <w:t xml:space="preserve">TB is rare in Australia. </w:t>
      </w:r>
      <w:r w:rsidR="00365C49" w:rsidRPr="004D44EC">
        <w:rPr>
          <w:rFonts w:cs="Arial"/>
        </w:rPr>
        <w:t>While recent WHO treatment guidelines have de-escalated the importance of injectable agents, o</w:t>
      </w:r>
      <w:r w:rsidR="009C6105" w:rsidRPr="004D44EC">
        <w:rPr>
          <w:rFonts w:cs="Arial"/>
        </w:rPr>
        <w:t>f</w:t>
      </w:r>
      <w:r w:rsidRPr="004D44EC">
        <w:rPr>
          <w:rFonts w:cs="Arial"/>
        </w:rPr>
        <w:t xml:space="preserve"> growing concern is the proportion of MDR/RR-TB cases with</w:t>
      </w:r>
      <w:r w:rsidR="00745BB9" w:rsidRPr="004D44EC">
        <w:rPr>
          <w:rFonts w:cs="Arial"/>
        </w:rPr>
        <w:t xml:space="preserve"> resistance to a fluoroquinolone. Available surveillance data from high burden countries reported a proportion of 20</w:t>
      </w:r>
      <w:r w:rsidR="00FE696A" w:rsidRPr="004D44EC">
        <w:rPr>
          <w:rFonts w:cs="Arial"/>
        </w:rPr>
        <w:t>.8</w:t>
      </w:r>
      <w:r w:rsidR="00745BB9" w:rsidRPr="004D44EC">
        <w:rPr>
          <w:rFonts w:cs="Arial"/>
        </w:rPr>
        <w:t>%</w:t>
      </w:r>
      <w:r w:rsidR="004449C9" w:rsidRPr="004D44EC">
        <w:rPr>
          <w:rFonts w:cs="Arial"/>
        </w:rPr>
        <w:t xml:space="preserve"> </w:t>
      </w:r>
      <w:r w:rsidR="00745BB9" w:rsidRPr="004D44EC">
        <w:rPr>
          <w:rFonts w:cs="Arial"/>
        </w:rPr>
        <w:t xml:space="preserve">(95% CI: </w:t>
      </w:r>
      <w:r w:rsidR="00FE696A" w:rsidRPr="004D44EC">
        <w:rPr>
          <w:rFonts w:cs="Arial"/>
        </w:rPr>
        <w:t>16.3–25.8</w:t>
      </w:r>
      <w:r w:rsidR="00745BB9" w:rsidRPr="004D44EC">
        <w:rPr>
          <w:rFonts w:cs="Arial"/>
        </w:rPr>
        <w:t>%)</w:t>
      </w:r>
      <w:r w:rsidR="009A6CA4">
        <w:rPr>
          <w:rFonts w:cs="Arial"/>
        </w:rPr>
        <w:t xml:space="preserve"> </w:t>
      </w:r>
      <w:r w:rsidR="009A6CA4">
        <w:rPr>
          <w:rFonts w:cs="Arial"/>
        </w:rPr>
        <w:fldChar w:fldCharType="begin"/>
      </w:r>
      <w:r w:rsidR="00342D3C">
        <w:rPr>
          <w:rFonts w:cs="Arial"/>
        </w:rPr>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9A6CA4">
        <w:rPr>
          <w:rFonts w:cs="Arial"/>
        </w:rPr>
        <w:fldChar w:fldCharType="separate"/>
      </w:r>
      <w:r w:rsidR="009A6CA4">
        <w:rPr>
          <w:rFonts w:cs="Arial"/>
          <w:noProof/>
        </w:rPr>
        <w:t>(7)</w:t>
      </w:r>
      <w:r w:rsidR="009A6CA4">
        <w:rPr>
          <w:rFonts w:cs="Arial"/>
        </w:rPr>
        <w:fldChar w:fldCharType="end"/>
      </w:r>
      <w:r w:rsidR="00F33A0C" w:rsidRPr="004D44EC">
        <w:rPr>
          <w:rFonts w:cs="Arial"/>
        </w:rPr>
        <w:t>.</w:t>
      </w:r>
      <w:r w:rsidRPr="004D44EC">
        <w:rPr>
          <w:rFonts w:cs="Arial"/>
        </w:rPr>
        <w:t xml:space="preserve"> </w:t>
      </w:r>
    </w:p>
    <w:p w14:paraId="04CEF04A" w14:textId="446186B2" w:rsidR="00A1633B" w:rsidRPr="004D44EC" w:rsidRDefault="002E1CF0" w:rsidP="00A1633B">
      <w:pPr>
        <w:rPr>
          <w:rFonts w:cs="Arial"/>
        </w:rPr>
      </w:pPr>
      <w:r w:rsidRPr="004D44EC">
        <w:rPr>
          <w:rFonts w:cs="Arial"/>
        </w:rPr>
        <w:t xml:space="preserve">The prevalence of </w:t>
      </w:r>
      <w:r w:rsidR="004449C9" w:rsidRPr="004D44EC">
        <w:rPr>
          <w:rFonts w:cs="Arial"/>
        </w:rPr>
        <w:t>R/</w:t>
      </w:r>
      <w:r w:rsidRPr="004D44EC">
        <w:rPr>
          <w:rFonts w:cs="Arial"/>
        </w:rPr>
        <w:t>M</w:t>
      </w:r>
      <w:r w:rsidR="004449C9" w:rsidRPr="004D44EC">
        <w:rPr>
          <w:rFonts w:cs="Arial"/>
        </w:rPr>
        <w:t>/X</w:t>
      </w:r>
      <w:r w:rsidRPr="004D44EC">
        <w:rPr>
          <w:rFonts w:cs="Arial"/>
        </w:rPr>
        <w:t>DR-TB often reflect</w:t>
      </w:r>
      <w:r w:rsidR="001D777F">
        <w:rPr>
          <w:rFonts w:cs="Arial"/>
        </w:rPr>
        <w:t>s</w:t>
      </w:r>
      <w:r w:rsidRPr="004D44EC">
        <w:rPr>
          <w:rFonts w:cs="Arial"/>
        </w:rPr>
        <w:t xml:space="preserve"> programmatic weaknesses in the countries where the disease was acquired. Compared to the treatment of drug-s</w:t>
      </w:r>
      <w:r w:rsidR="004449C9" w:rsidRPr="004D44EC">
        <w:rPr>
          <w:rFonts w:cs="Arial"/>
        </w:rPr>
        <w:t>usceptible (DS)-TB</w:t>
      </w:r>
      <w:r w:rsidRPr="004D44EC">
        <w:rPr>
          <w:rFonts w:cs="Arial"/>
        </w:rPr>
        <w:t xml:space="preserve">, the treatment of </w:t>
      </w:r>
      <w:r w:rsidR="004449C9" w:rsidRPr="004D44EC">
        <w:rPr>
          <w:rFonts w:cs="Arial"/>
        </w:rPr>
        <w:t>R/</w:t>
      </w:r>
      <w:r w:rsidRPr="004D44EC">
        <w:rPr>
          <w:rFonts w:cs="Arial"/>
        </w:rPr>
        <w:t>M</w:t>
      </w:r>
      <w:r w:rsidR="00F33A0C" w:rsidRPr="004D44EC">
        <w:rPr>
          <w:rFonts w:cs="Arial"/>
        </w:rPr>
        <w:t>/</w:t>
      </w:r>
      <w:r w:rsidRPr="004D44EC">
        <w:rPr>
          <w:rFonts w:cs="Arial"/>
        </w:rPr>
        <w:t xml:space="preserve">XDR-TB </w:t>
      </w:r>
      <w:r w:rsidR="00805259" w:rsidRPr="004D44EC">
        <w:rPr>
          <w:rFonts w:cs="Arial"/>
        </w:rPr>
        <w:t>is</w:t>
      </w:r>
      <w:r w:rsidRPr="004D44EC">
        <w:rPr>
          <w:rFonts w:cs="Arial"/>
        </w:rPr>
        <w:t xml:space="preserve"> longer (up to 2 years to complete)</w:t>
      </w:r>
      <w:r w:rsidR="00E0202A">
        <w:rPr>
          <w:rFonts w:cs="Arial"/>
        </w:rPr>
        <w:t>,</w:t>
      </w:r>
      <w:r w:rsidRPr="004D44EC">
        <w:rPr>
          <w:rFonts w:cs="Arial"/>
        </w:rPr>
        <w:t xml:space="preserve"> requires </w:t>
      </w:r>
      <w:r w:rsidR="00365C49" w:rsidRPr="004D44EC">
        <w:rPr>
          <w:rFonts w:cs="Arial"/>
        </w:rPr>
        <w:t xml:space="preserve">agents likely to be associated with adverse effects </w:t>
      </w:r>
      <w:r w:rsidRPr="004D44EC">
        <w:rPr>
          <w:rFonts w:cs="Arial"/>
        </w:rPr>
        <w:t xml:space="preserve">and </w:t>
      </w:r>
      <w:r w:rsidR="001B4F02" w:rsidRPr="001B4F02">
        <w:rPr>
          <w:rFonts w:cs="Arial"/>
        </w:rPr>
        <w:t>treatment success rates</w:t>
      </w:r>
      <w:r w:rsidR="001B4F02">
        <w:rPr>
          <w:rFonts w:cs="Arial"/>
        </w:rPr>
        <w:t xml:space="preserve"> are</w:t>
      </w:r>
      <w:r w:rsidR="001B4F02" w:rsidRPr="001B4F02">
        <w:rPr>
          <w:rFonts w:cs="Arial"/>
        </w:rPr>
        <w:t xml:space="preserve"> inferior</w:t>
      </w:r>
      <w:r w:rsidRPr="004D44EC">
        <w:rPr>
          <w:rFonts w:cs="Arial"/>
        </w:rPr>
        <w:t>.</w:t>
      </w:r>
    </w:p>
    <w:p w14:paraId="035E8D36" w14:textId="25D4D5A2" w:rsidR="00CD6F51" w:rsidRPr="00FB0C07" w:rsidRDefault="00CD6F51" w:rsidP="001C34D7">
      <w:pPr>
        <w:rPr>
          <w:rFonts w:cs="Arial"/>
        </w:rPr>
      </w:pPr>
      <w:r w:rsidRPr="004D44EC">
        <w:rPr>
          <w:rFonts w:cs="Arial"/>
        </w:rPr>
        <w:t xml:space="preserve">For the latest on </w:t>
      </w:r>
      <w:r w:rsidR="00774782" w:rsidRPr="004D44EC">
        <w:rPr>
          <w:rFonts w:cs="Arial"/>
        </w:rPr>
        <w:t xml:space="preserve">world </w:t>
      </w:r>
      <w:r w:rsidRPr="004D44EC">
        <w:rPr>
          <w:rFonts w:cs="Arial"/>
        </w:rPr>
        <w:t xml:space="preserve">TB notifications </w:t>
      </w:r>
      <w:r w:rsidR="00D01696" w:rsidRPr="004D44EC">
        <w:rPr>
          <w:rFonts w:cs="Arial"/>
        </w:rPr>
        <w:t>and drug resistance</w:t>
      </w:r>
      <w:r w:rsidR="00774782" w:rsidRPr="004D44EC">
        <w:rPr>
          <w:rFonts w:cs="Arial"/>
        </w:rPr>
        <w:t xml:space="preserve"> refer to the WHO Global Tuberculosis Report</w:t>
      </w:r>
      <w:r w:rsidR="00091C9A">
        <w:rPr>
          <w:rFonts w:cs="Arial"/>
        </w:rPr>
        <w:t xml:space="preserve"> </w:t>
      </w:r>
      <w:hyperlink r:id="rId25" w:history="1">
        <w:r w:rsidR="00AD1523">
          <w:rPr>
            <w:rStyle w:val="Hyperlink"/>
          </w:rPr>
          <w:t>TB reports (who.int)</w:t>
        </w:r>
      </w:hyperlink>
      <w:r w:rsidR="00805259" w:rsidRPr="004D44EC">
        <w:rPr>
          <w:rFonts w:cs="Arial"/>
        </w:rPr>
        <w:t xml:space="preserve"> </w:t>
      </w:r>
      <w:r w:rsidR="00774782" w:rsidRPr="004D44EC">
        <w:rPr>
          <w:rFonts w:cs="Arial"/>
        </w:rPr>
        <w:t xml:space="preserve">and for </w:t>
      </w:r>
      <w:r w:rsidRPr="004D44EC">
        <w:rPr>
          <w:rFonts w:cs="Arial"/>
        </w:rPr>
        <w:t>Australia, re</w:t>
      </w:r>
      <w:r w:rsidR="00D01696" w:rsidRPr="004D44EC">
        <w:rPr>
          <w:rFonts w:cs="Arial"/>
        </w:rPr>
        <w:t xml:space="preserve">fer to </w:t>
      </w:r>
      <w:r w:rsidRPr="004D44EC">
        <w:rPr>
          <w:rFonts w:cs="Arial"/>
        </w:rPr>
        <w:t>the annual reports available on th</w:t>
      </w:r>
      <w:r w:rsidR="00D01696" w:rsidRPr="004D44EC">
        <w:rPr>
          <w:rFonts w:cs="Arial"/>
        </w:rPr>
        <w:t>e Department of Health website:</w:t>
      </w:r>
      <w:r w:rsidRPr="004D44EC">
        <w:rPr>
          <w:rFonts w:cs="Arial"/>
        </w:rPr>
        <w:t xml:space="preserve"> </w:t>
      </w:r>
      <w:hyperlink r:id="rId26" w:history="1">
        <w:r w:rsidR="00AD1523">
          <w:rPr>
            <w:rStyle w:val="Hyperlink"/>
          </w:rPr>
          <w:t>Department of Health | Tuberculosis notifications in Australia annual reports</w:t>
        </w:r>
      </w:hyperlink>
      <w:r w:rsidR="003D12CC">
        <w:t>.</w:t>
      </w:r>
      <w:r w:rsidR="00D01696" w:rsidRPr="004D44EC">
        <w:rPr>
          <w:rFonts w:cs="Arial"/>
        </w:rPr>
        <w:t xml:space="preserve"> </w:t>
      </w:r>
    </w:p>
    <w:p w14:paraId="1AD810E7" w14:textId="77777777" w:rsidR="002E1CF0" w:rsidRPr="007A4336" w:rsidRDefault="002E1CF0" w:rsidP="00CA7F5E">
      <w:pPr>
        <w:pStyle w:val="Heading1"/>
      </w:pPr>
      <w:bookmarkStart w:id="27" w:name="_Hlk96982612"/>
      <w:bookmarkStart w:id="28" w:name="_Toc97195041"/>
      <w:bookmarkEnd w:id="15"/>
      <w:r w:rsidRPr="007A4336">
        <w:t>Routine prevention activities</w:t>
      </w:r>
      <w:bookmarkEnd w:id="28"/>
      <w:r w:rsidRPr="007A4336">
        <w:t xml:space="preserve"> </w:t>
      </w:r>
    </w:p>
    <w:p w14:paraId="6E0D3745" w14:textId="77777777" w:rsidR="002E1CF0" w:rsidRPr="007A4336" w:rsidRDefault="002E1CF0" w:rsidP="00CA7F5E">
      <w:pPr>
        <w:pStyle w:val="Heading2"/>
      </w:pPr>
      <w:bookmarkStart w:id="29" w:name="_Toc97195042"/>
      <w:bookmarkEnd w:id="27"/>
      <w:r w:rsidRPr="00FA2B06">
        <w:t>TB Program activities</w:t>
      </w:r>
      <w:bookmarkEnd w:id="29"/>
    </w:p>
    <w:p w14:paraId="0C0E4B9B" w14:textId="77777777" w:rsidR="002E1CF0" w:rsidRPr="004D44EC" w:rsidRDefault="002E1CF0" w:rsidP="002E1CF0">
      <w:pPr>
        <w:rPr>
          <w:rFonts w:cs="Arial"/>
        </w:rPr>
      </w:pPr>
      <w:bookmarkStart w:id="30" w:name="_Hlk96983020"/>
      <w:r w:rsidRPr="004D44EC">
        <w:rPr>
          <w:rFonts w:cs="Arial"/>
        </w:rPr>
        <w:t xml:space="preserve">The most effective means of preventing transmission of TB is early diagnosis and prompt effective treatment. Case management and contact screening undertaken by TB services are important public health measures in minimising transmission of infection and preventing emergence of drug resistance. </w:t>
      </w:r>
    </w:p>
    <w:p w14:paraId="1B771E67" w14:textId="1C81019A" w:rsidR="002E1CF0" w:rsidRPr="007A4336" w:rsidRDefault="007B6DB9" w:rsidP="00CA7F5E">
      <w:pPr>
        <w:pStyle w:val="Heading2"/>
      </w:pPr>
      <w:bookmarkStart w:id="31" w:name="_Hlk96983039"/>
      <w:bookmarkStart w:id="32" w:name="_Toc97195043"/>
      <w:bookmarkEnd w:id="30"/>
      <w:r w:rsidRPr="00FA2B06">
        <w:t xml:space="preserve">Migration </w:t>
      </w:r>
      <w:r w:rsidR="002E1CF0" w:rsidRPr="00FA2B06">
        <w:t>screening</w:t>
      </w:r>
      <w:bookmarkEnd w:id="32"/>
    </w:p>
    <w:p w14:paraId="411E0593" w14:textId="77777777" w:rsidR="00BF216D" w:rsidRPr="006A5E02" w:rsidRDefault="00BF216D" w:rsidP="00CA7F5E">
      <w:pPr>
        <w:pStyle w:val="Heading3"/>
      </w:pPr>
      <w:bookmarkStart w:id="33" w:name="_Hlk96983085"/>
      <w:bookmarkEnd w:id="31"/>
      <w:r w:rsidRPr="00FA2B06">
        <w:t>Pre-migration</w:t>
      </w:r>
    </w:p>
    <w:p w14:paraId="37C8B9E3" w14:textId="77777777" w:rsidR="00BF216D" w:rsidRPr="004D44EC" w:rsidRDefault="00BF216D" w:rsidP="00BF216D">
      <w:pPr>
        <w:rPr>
          <w:rFonts w:cs="Arial"/>
        </w:rPr>
      </w:pPr>
      <w:proofErr w:type="gramStart"/>
      <w:r w:rsidRPr="004D44EC">
        <w:rPr>
          <w:rFonts w:cs="Arial"/>
        </w:rPr>
        <w:t>In order to</w:t>
      </w:r>
      <w:proofErr w:type="gramEnd"/>
      <w:r w:rsidRPr="004D44EC">
        <w:rPr>
          <w:rFonts w:cs="Arial"/>
        </w:rPr>
        <w:t xml:space="preserve"> be granted a visa, all permanent visa applicants and some temporary visa applicants must undertake pre-migration health screening, through the Immigration Medical Examination (IME). An IME generally includes a medical examination and a chest X-ray (CXR) to screen for TB where the applicant is aged 11 years and over. </w:t>
      </w:r>
    </w:p>
    <w:p w14:paraId="2A8FF901" w14:textId="1CAB7E1D" w:rsidR="00BF216D" w:rsidRPr="004D44EC" w:rsidRDefault="00BF216D" w:rsidP="00BF216D">
      <w:pPr>
        <w:rPr>
          <w:rFonts w:cs="Arial"/>
        </w:rPr>
      </w:pPr>
      <w:r w:rsidRPr="004D44EC">
        <w:rPr>
          <w:rFonts w:cs="Arial"/>
        </w:rPr>
        <w:t>Children aged two years to under 11 years of age that satisfy higher TB risk criteria or applying for a refugee or humanitarian</w:t>
      </w:r>
      <w:r w:rsidR="00091C9A">
        <w:rPr>
          <w:rFonts w:cs="Arial"/>
        </w:rPr>
        <w:t xml:space="preserve"> </w:t>
      </w:r>
      <w:r w:rsidRPr="004D44EC">
        <w:rPr>
          <w:rFonts w:cs="Arial"/>
        </w:rPr>
        <w:t>visa must undertake either an Interferon Gamma Release Assay (IGRA) or a Tuberculin Skin Test (TST) in lieu of a CXR. If the TST is &gt;10mm or there is a positive IGRA</w:t>
      </w:r>
      <w:r w:rsidR="00CA2D90">
        <w:rPr>
          <w:rFonts w:cs="Arial"/>
        </w:rPr>
        <w:t>,</w:t>
      </w:r>
      <w:r w:rsidRPr="004D44EC">
        <w:rPr>
          <w:rFonts w:cs="Arial"/>
        </w:rPr>
        <w:t xml:space="preserve"> a CXR is then required. If the CXR has abnormal findings, further investigation is undertaken. Children treated for TB or evidence of LTBI are referred for a post-migration assessment (health undertaking)</w:t>
      </w:r>
      <w:r w:rsidR="002E1977">
        <w:rPr>
          <w:rFonts w:cs="Arial"/>
        </w:rPr>
        <w:t xml:space="preserve"> </w:t>
      </w:r>
      <w:r w:rsidR="002E1977">
        <w:rPr>
          <w:rFonts w:cs="Arial"/>
        </w:rPr>
        <w:fldChar w:fldCharType="begin"/>
      </w:r>
      <w:r w:rsidR="00342D3C">
        <w:rPr>
          <w:rFonts w:cs="Arial"/>
        </w:rPr>
        <w:instrText xml:space="preserve"> ADDIN EN.CITE &lt;EndNote&gt;&lt;Cite&gt;&lt;Author&gt;Krause&lt;/Author&gt;&lt;Year&gt;2015&lt;/Year&gt;&lt;RecNum&gt;11&lt;/RecNum&gt;&lt;DisplayText&gt;(11)&lt;/DisplayText&gt;&lt;record&gt;&lt;rec-number&gt;11&lt;/rec-number&gt;&lt;foreign-keys&gt;&lt;key app="EN" db-id="sr9paxs2qve9wpext2i5swxe50w0rs9dzze2" timestamp="1628681197"&gt;11&lt;/key&gt;&lt;/foreign-keys&gt;&lt;ref-type name="Journal Article"&gt;17&lt;/ref-type&gt;&lt;contributors&gt;&lt;authors&gt;&lt;author&gt;Krause, V. and&lt;/author&gt;&lt;author&gt;National Tuberculosis Advisory Committee,&lt;/author&gt;&lt;/authors&gt;&lt;/contributors&gt;&lt;titles&gt;&lt;title&gt;Policy recommendation: latent tuberculosis infection screening and treatment in children in immigration detention&lt;/title&gt;&lt;secondary-title&gt;Communicable Diseases Intelligence.&lt;/secondary-title&gt;&lt;/titles&gt;&lt;periodical&gt;&lt;full-title&gt;Communicable Diseases Intelligence.&lt;/full-title&gt;&lt;/periodical&gt;&lt;pages&gt;E597-E598&lt;/pages&gt;&lt;volume&gt;39&lt;/volume&gt;&lt;number&gt;4&lt;/number&gt;&lt;dates&gt;&lt;year&gt;2015&lt;/year&gt;&lt;/dates&gt;&lt;pub-location&gt;Canberra&lt;/pub-location&gt;&lt;urls&gt;&lt;related-urls&gt;&lt;url&gt;https://www1.health.gov.au/internet/main/publishing.nsf/Content/cda-cdi3904-pdf-cnt.htm/$FILE/cdi3904e.pdf&lt;/url&gt;&lt;/related-urls&gt;&lt;/urls&gt;&lt;/record&gt;&lt;/Cite&gt;&lt;/EndNote&gt;</w:instrText>
      </w:r>
      <w:r w:rsidR="002E1977">
        <w:rPr>
          <w:rFonts w:cs="Arial"/>
        </w:rPr>
        <w:fldChar w:fldCharType="separate"/>
      </w:r>
      <w:r w:rsidR="003533EB">
        <w:rPr>
          <w:rFonts w:cs="Arial"/>
          <w:noProof/>
        </w:rPr>
        <w:t>(11)</w:t>
      </w:r>
      <w:r w:rsidR="002E1977">
        <w:rPr>
          <w:rFonts w:cs="Arial"/>
        </w:rPr>
        <w:fldChar w:fldCharType="end"/>
      </w:r>
      <w:r w:rsidRPr="004D44EC">
        <w:rPr>
          <w:rFonts w:cs="Arial"/>
        </w:rPr>
        <w:t>.</w:t>
      </w:r>
      <w:r w:rsidR="00091C9A">
        <w:rPr>
          <w:rFonts w:cs="Arial"/>
        </w:rPr>
        <w:t xml:space="preserve"> </w:t>
      </w:r>
    </w:p>
    <w:p w14:paraId="70507666" w14:textId="77777777" w:rsidR="00BF216D" w:rsidRPr="004D44EC" w:rsidRDefault="00BF216D" w:rsidP="00993C7C">
      <w:pPr>
        <w:rPr>
          <w:rFonts w:cs="Arial"/>
        </w:rPr>
      </w:pPr>
      <w:r w:rsidRPr="004D44EC">
        <w:rPr>
          <w:rFonts w:cs="Arial"/>
        </w:rPr>
        <w:t xml:space="preserve">Temporary visa applicants only undertake an IME if they are from a higher TB risk country and intend to stay in Australia for six months or </w:t>
      </w:r>
      <w:proofErr w:type="gramStart"/>
      <w:r w:rsidRPr="004D44EC">
        <w:rPr>
          <w:rFonts w:cs="Arial"/>
        </w:rPr>
        <w:t>more, unless</w:t>
      </w:r>
      <w:proofErr w:type="gramEnd"/>
      <w:r w:rsidRPr="004D44EC">
        <w:rPr>
          <w:rFonts w:cs="Arial"/>
        </w:rPr>
        <w:t xml:space="preserve"> special circumstances apply. An IME is not required for temporary visa applicants from lower risk countries who intend to stay for less than six </w:t>
      </w:r>
      <w:proofErr w:type="gramStart"/>
      <w:r w:rsidRPr="004D44EC">
        <w:rPr>
          <w:rFonts w:cs="Arial"/>
        </w:rPr>
        <w:t>months, unless</w:t>
      </w:r>
      <w:proofErr w:type="gramEnd"/>
      <w:r w:rsidRPr="004D44EC">
        <w:rPr>
          <w:rFonts w:cs="Arial"/>
        </w:rPr>
        <w:t xml:space="preserve"> special circumstances apply. Special circumstances include where the applicant:</w:t>
      </w:r>
    </w:p>
    <w:p w14:paraId="59DB1B7E" w14:textId="77777777" w:rsidR="00BF216D" w:rsidRPr="004D44EC" w:rsidRDefault="00BF216D" w:rsidP="001C34D7">
      <w:pPr>
        <w:pStyle w:val="ListBullet2"/>
      </w:pPr>
      <w:r w:rsidRPr="004D44EC">
        <w:t>makes a declaration of previous TB or declares a close household contact with TB within the past five years.</w:t>
      </w:r>
    </w:p>
    <w:p w14:paraId="45BA951A" w14:textId="77777777" w:rsidR="00BF216D" w:rsidRPr="004D44EC" w:rsidRDefault="00BF216D" w:rsidP="001C34D7">
      <w:pPr>
        <w:pStyle w:val="ListBullet2"/>
      </w:pPr>
      <w:r w:rsidRPr="004D44EC">
        <w:t>is working as, or studying to be, a doctor, dentist, nurse, or paramedic.</w:t>
      </w:r>
    </w:p>
    <w:p w14:paraId="21F6E89B" w14:textId="77777777" w:rsidR="00BF216D" w:rsidRPr="004D44EC" w:rsidRDefault="00BF216D" w:rsidP="001C34D7">
      <w:pPr>
        <w:pStyle w:val="ListBullet2"/>
      </w:pPr>
      <w:r w:rsidRPr="004D44EC">
        <w:t>is from a high TB burden country and likely to enter a health care or hospital environment.</w:t>
      </w:r>
    </w:p>
    <w:p w14:paraId="184633D7" w14:textId="77777777" w:rsidR="00BF216D" w:rsidRPr="004D44EC" w:rsidRDefault="00BF216D" w:rsidP="001C34D7">
      <w:pPr>
        <w:pStyle w:val="ListBullet2"/>
      </w:pPr>
      <w:r w:rsidRPr="004D44EC">
        <w:t>is going to be working in a childcare centre.</w:t>
      </w:r>
    </w:p>
    <w:p w14:paraId="583F750D" w14:textId="65C1E91C" w:rsidR="00BF216D" w:rsidRPr="004D44EC" w:rsidRDefault="00BF216D" w:rsidP="001C34D7">
      <w:pPr>
        <w:pStyle w:val="ListBullet2"/>
      </w:pPr>
      <w:r w:rsidRPr="004D44EC">
        <w:lastRenderedPageBreak/>
        <w:t>is pregnant, from a high</w:t>
      </w:r>
      <w:r w:rsidR="00C0435F">
        <w:t>-</w:t>
      </w:r>
      <w:r w:rsidRPr="004D44EC">
        <w:t>risk country, and intends to deliver the baby in Australia.</w:t>
      </w:r>
    </w:p>
    <w:p w14:paraId="157A6B89" w14:textId="7C4DE000" w:rsidR="00BF216D" w:rsidRPr="004D44EC" w:rsidRDefault="00BF216D" w:rsidP="00BF216D">
      <w:pPr>
        <w:rPr>
          <w:rFonts w:cs="Arial"/>
        </w:rPr>
      </w:pPr>
      <w:r w:rsidRPr="004D44EC">
        <w:rPr>
          <w:rFonts w:cs="Arial"/>
        </w:rPr>
        <w:t xml:space="preserve">If CXR findings are recorded as “strongly suspicious of active TB”, panel physicians refer the applicant for further investigation. All cases with abnormal CXR findings are reviewed by Australian-based Medical Officers of the Commonwealth (MOCs), who may request further investigation and review. These health cases are </w:t>
      </w:r>
      <w:proofErr w:type="gramStart"/>
      <w:r w:rsidR="00F467BF" w:rsidRPr="004D44EC">
        <w:rPr>
          <w:rFonts w:cs="Arial"/>
        </w:rPr>
        <w:t>deferred</w:t>
      </w:r>
      <w:proofErr w:type="gramEnd"/>
      <w:r w:rsidRPr="004D44EC">
        <w:rPr>
          <w:rFonts w:cs="Arial"/>
        </w:rPr>
        <w:t xml:space="preserve"> and the visa application is put on hold while further investigations are undertaken. In such cases, sputum specimens are collected under direct observation over three consecutive mornings and sent for smear and culture investigations.</w:t>
      </w:r>
    </w:p>
    <w:p w14:paraId="147C2B42" w14:textId="28D420FB" w:rsidR="00BF216D" w:rsidRPr="003031A7" w:rsidRDefault="00BF216D" w:rsidP="003031A7">
      <w:r w:rsidRPr="004D44EC">
        <w:t>IMEs are conducted in Australia (onshore) and overseas</w:t>
      </w:r>
      <w:r w:rsidRPr="004D44EC" w:rsidDel="002545A2">
        <w:t xml:space="preserve"> </w:t>
      </w:r>
      <w:r w:rsidRPr="004D44EC">
        <w:t>(offshore). Cases of active TB identified onshore are notified through the National Notifiable Diseases Surveillance System (NNDSS)</w:t>
      </w:r>
      <w:r w:rsidR="00240C0D">
        <w:t xml:space="preserve"> as is required for other cases of TB diagnosed in Australia</w:t>
      </w:r>
      <w:r w:rsidRPr="004D44EC">
        <w:t>. Cases of active TB identified offshore are ordinarily referred for management through the na</w:t>
      </w:r>
      <w:r w:rsidRPr="003031A7">
        <w:t xml:space="preserve">tional TB program in the country of residence. </w:t>
      </w:r>
    </w:p>
    <w:p w14:paraId="7A943733" w14:textId="77777777" w:rsidR="00BF216D" w:rsidRPr="004D44EC" w:rsidRDefault="00BF216D" w:rsidP="003031A7">
      <w:r w:rsidRPr="003031A7">
        <w:t xml:space="preserve">If an applicant is found to have active TB, they must </w:t>
      </w:r>
      <w:r w:rsidRPr="004D44EC">
        <w:t xml:space="preserve">demonstrate that they have satisfactorily completed a full course of treatment and a MOC must be satisfied that they are not a threat to public health before they can be considered for the grant of a visa. </w:t>
      </w:r>
    </w:p>
    <w:p w14:paraId="23169085" w14:textId="77777777" w:rsidR="00BF216D" w:rsidRPr="006A5E02" w:rsidRDefault="00BF216D" w:rsidP="00CA7F5E">
      <w:pPr>
        <w:pStyle w:val="Heading3"/>
      </w:pPr>
      <w:r w:rsidRPr="00FA2B06">
        <w:t>Post-migration</w:t>
      </w:r>
    </w:p>
    <w:p w14:paraId="33B314DC" w14:textId="7A11E9FC" w:rsidR="00BF216D" w:rsidRPr="004D44EC" w:rsidRDefault="00BF216D" w:rsidP="003031A7">
      <w:r w:rsidRPr="004D44EC">
        <w:t xml:space="preserve">An offshore visa applicant, who intends to </w:t>
      </w:r>
      <w:r w:rsidRPr="003031A7">
        <w:t>stay</w:t>
      </w:r>
      <w:r w:rsidRPr="004D44EC">
        <w:t xml:space="preserve"> in Australia greater than 12 months</w:t>
      </w:r>
      <w:r w:rsidR="00CA2D90">
        <w:t>,</w:t>
      </w:r>
      <w:r w:rsidRPr="004D44EC">
        <w:t xml:space="preserve"> is placed on a health undertaking for post-migration health assessment as a condition of the grant of their visa if they: </w:t>
      </w:r>
    </w:p>
    <w:p w14:paraId="78340DE4" w14:textId="77777777" w:rsidR="00BF216D" w:rsidRPr="004D44EC" w:rsidRDefault="00BF216D" w:rsidP="007821C3">
      <w:pPr>
        <w:pStyle w:val="ListBullet2"/>
      </w:pPr>
      <w:r w:rsidRPr="004D44EC">
        <w:t>are diagnosed with TB and subsequently treated prior to migration</w:t>
      </w:r>
    </w:p>
    <w:p w14:paraId="0005D918" w14:textId="77777777" w:rsidR="00BF216D" w:rsidRPr="004D44EC" w:rsidRDefault="00BF216D" w:rsidP="007821C3">
      <w:pPr>
        <w:pStyle w:val="ListBullet2"/>
      </w:pPr>
      <w:r w:rsidRPr="004D44EC">
        <w:t>have had any previous TB treatment in the past five years</w:t>
      </w:r>
    </w:p>
    <w:p w14:paraId="7B662B88" w14:textId="77777777" w:rsidR="00BF216D" w:rsidRPr="004D44EC" w:rsidRDefault="00BF216D" w:rsidP="007821C3">
      <w:pPr>
        <w:pStyle w:val="ListBullet2"/>
      </w:pPr>
      <w:r w:rsidRPr="004D44EC">
        <w:t>have an abnormal CXR suspicious of TB but unlikely active TB on cultures</w:t>
      </w:r>
    </w:p>
    <w:p w14:paraId="19A0FAFE" w14:textId="77777777" w:rsidR="00BF216D" w:rsidRPr="004D44EC" w:rsidRDefault="00BF216D" w:rsidP="007821C3">
      <w:pPr>
        <w:pStyle w:val="ListBullet2"/>
      </w:pPr>
      <w:r w:rsidRPr="004D44EC">
        <w:t>have a positive IGRA or TST result</w:t>
      </w:r>
    </w:p>
    <w:p w14:paraId="4FC9A9FB" w14:textId="53CF215E" w:rsidR="00BF216D" w:rsidRPr="004D44EC" w:rsidRDefault="00BF216D" w:rsidP="007821C3">
      <w:pPr>
        <w:pStyle w:val="ListBullet2"/>
      </w:pPr>
      <w:r w:rsidRPr="004D44EC">
        <w:t xml:space="preserve">are a higher risk applicant such as a health care worker or immunocompromised person with </w:t>
      </w:r>
      <w:r w:rsidR="00CA2D90">
        <w:t>CXR</w:t>
      </w:r>
      <w:r w:rsidRPr="004D44EC">
        <w:t xml:space="preserve"> findings </w:t>
      </w:r>
    </w:p>
    <w:p w14:paraId="068AD582" w14:textId="77777777" w:rsidR="00BF216D" w:rsidRPr="004D44EC" w:rsidRDefault="00BF216D" w:rsidP="007821C3">
      <w:pPr>
        <w:pStyle w:val="ListBullet2"/>
      </w:pPr>
      <w:r w:rsidRPr="004D44EC">
        <w:t>are not fully screened (</w:t>
      </w:r>
      <w:proofErr w:type="gramStart"/>
      <w:r w:rsidRPr="004D44EC">
        <w:t>e.g.</w:t>
      </w:r>
      <w:proofErr w:type="gramEnd"/>
      <w:r w:rsidRPr="004D44EC">
        <w:t xml:space="preserve"> due to pregnancy for protection visa applicants). </w:t>
      </w:r>
    </w:p>
    <w:p w14:paraId="172D8F1B" w14:textId="2B608DDC" w:rsidR="00BF216D" w:rsidRPr="003031A7" w:rsidRDefault="00BF216D" w:rsidP="003031A7">
      <w:r w:rsidRPr="004D44EC">
        <w:t xml:space="preserve">A health undertaking is a mandatory agreement an applicant makes with the Australian Government to attend a medical follow up for a specific condition with a State or Territory health clinic after arrival in Australia. Applicants do not meet the health requirement for their visa if they do not accept the undertaking agreement. Health </w:t>
      </w:r>
      <w:r w:rsidRPr="003031A7">
        <w:t>undertakings are carried out in conjunction with jurisdictional TB Prevention and Control Services.</w:t>
      </w:r>
      <w:r w:rsidR="00091C9A" w:rsidRPr="003031A7">
        <w:t xml:space="preserve"> </w:t>
      </w:r>
    </w:p>
    <w:p w14:paraId="49D7BF19" w14:textId="4D92BF24" w:rsidR="00BF216D" w:rsidRPr="004D44EC" w:rsidRDefault="00BF216D" w:rsidP="003031A7">
      <w:r w:rsidRPr="003031A7">
        <w:t xml:space="preserve">Testing for and treatment of LTBI post-arrival is recommended in migrants most likely to benefit </w:t>
      </w:r>
      <w:r w:rsidRPr="003031A7">
        <w:fldChar w:fldCharType="begin"/>
      </w:r>
      <w:r w:rsidR="00342D3C" w:rsidRPr="003031A7">
        <w:instrText xml:space="preserve"> ADDIN EN.CITE &lt;EndNote&gt;&lt;Cite&gt;&lt;Author&gt;Denholm&lt;/Author&gt;&lt;Year&gt;2016&lt;/Year&gt;&lt;RecNum&gt;12&lt;/RecNum&gt;&lt;DisplayText&gt;(12)&lt;/DisplayText&gt;&lt;record&gt;&lt;rec-number&gt;12&lt;/rec-number&gt;&lt;foreign-keys&gt;&lt;key app="EN" db-id="sr9paxs2qve9wpext2i5swxe50w0rs9dzze2" timestamp="1628681197"&gt;12&lt;/key&gt;&lt;/foreign-keys&gt;&lt;ref-type name="Book Section"&gt;5&lt;/ref-type&gt;&lt;contributors&gt;&lt;authors&gt;&lt;author&gt;Denholm, J.&lt;/author&gt;&lt;author&gt;Bailes, M.&lt;/author&gt;&lt;author&gt;Francis, J.&lt;/author&gt;&lt;/authors&gt;&lt;secondary-authors&gt;&lt;author&gt;Chaves, N.J. &lt;/author&gt;&lt;author&gt;Paxton, G.&lt;/author&gt;&lt;author&gt;Biggs, B.A.&lt;/author&gt;&lt;author&gt;Thambiran, A. &lt;/author&gt;&lt;author&gt;Williams, J. &lt;/author&gt;&lt;author&gt;Gardiner, J.&lt;/author&gt;&lt;author&gt;Davis, J.S.&lt;/author&gt;&lt;author&gt;on behalf of the Australasian Society for Infectious Diseases and Refugee Health Network of Australia Guidelines writing group,&lt;/author&gt;&lt;/secondary-authors&gt;&lt;/contributors&gt;&lt;titles&gt;&lt;title&gt;Tuberculosis&lt;/title&gt;&lt;secondary-title&gt;Recommendations for comprehensive post-arrival health assessment for people from refugee-like backgrounds.&lt;/secondary-title&gt;&lt;/titles&gt;&lt;edition&gt;2nd&lt;/edition&gt;&lt;dates&gt;&lt;year&gt;2016&lt;/year&gt;&lt;/dates&gt;&lt;pub-location&gt;Surry Hills&lt;/pub-location&gt;&lt;publisher&gt;Australasian Society for Infectious Diseases&lt;/publisher&gt;&lt;urls&gt;&lt;related-urls&gt;&lt;url&gt;https://www.asid.net.au/documents/item/1225&lt;/url&gt;&lt;/related-urls&gt;&lt;/urls&gt;&lt;/record&gt;&lt;/Cite&gt;&lt;/EndNote&gt;</w:instrText>
      </w:r>
      <w:r w:rsidRPr="003031A7">
        <w:fldChar w:fldCharType="separate"/>
      </w:r>
      <w:r w:rsidR="003533EB" w:rsidRPr="003031A7">
        <w:t>(12)</w:t>
      </w:r>
      <w:r w:rsidRPr="003031A7">
        <w:fldChar w:fldCharType="end"/>
      </w:r>
      <w:r w:rsidRPr="003031A7">
        <w:t>. Priority should be given to LTBI testing and treating migrants</w:t>
      </w:r>
      <w:r w:rsidRPr="004D44EC">
        <w:t xml:space="preserve"> from countries with TB incidence of ≥100 cases per 100,000 population where age is less than 35* or age is &gt;35 </w:t>
      </w:r>
      <w:r w:rsidR="007B23D9">
        <w:t>with associated</w:t>
      </w:r>
      <w:r w:rsidRPr="004D44EC">
        <w:t xml:space="preserve"> risk factors for disease progression or any migrant with a history of TB contact in the preceding 2 years, as outlined in the NTAC national position statement on the management of latent tuberculosis: </w:t>
      </w:r>
      <w:bookmarkStart w:id="34" w:name="_Hlk96983326"/>
      <w:r w:rsidR="00F14C2B">
        <w:fldChar w:fldCharType="begin"/>
      </w:r>
      <w:r w:rsidR="00F14C2B">
        <w:instrText xml:space="preserve"> HYPERLINK "https://www1.health.gov.au/internet/main/publishing.nsf/Content/cdi4103-d" </w:instrText>
      </w:r>
      <w:r w:rsidR="00F14C2B">
        <w:fldChar w:fldCharType="separate"/>
      </w:r>
      <w:r w:rsidR="000C605E">
        <w:rPr>
          <w:rStyle w:val="Hyperlink"/>
        </w:rPr>
        <w:t>Department of Health | National position statement for the management of latent tuberculosis infection</w:t>
      </w:r>
      <w:r w:rsidR="00F14C2B">
        <w:rPr>
          <w:rStyle w:val="Hyperlink"/>
        </w:rPr>
        <w:fldChar w:fldCharType="end"/>
      </w:r>
      <w:bookmarkEnd w:id="34"/>
      <w:r w:rsidRPr="004D44EC">
        <w:t xml:space="preserve">. LTBI assessment of migrants from countries with lesser incidence of TB (40–99 per 100,000) should be considered as resourcing permits, especially where comorbid conditions raise the likelihood of disease progression. </w:t>
      </w:r>
    </w:p>
    <w:p w14:paraId="74CAF613" w14:textId="1C4A4112" w:rsidR="00BF216D" w:rsidRPr="00E71AC6" w:rsidRDefault="00BF216D" w:rsidP="00E71AC6">
      <w:pPr>
        <w:pStyle w:val="ListParagraph"/>
      </w:pPr>
      <w:r w:rsidRPr="00E71AC6">
        <w:t>*</w:t>
      </w:r>
      <w:r w:rsidR="005A0610" w:rsidRPr="00E71AC6">
        <w:t xml:space="preserve"> </w:t>
      </w:r>
      <w:r w:rsidRPr="00E71AC6">
        <w:t>Age cut off less important where a non-isoniazid containing regimen is used for treating LTBI</w:t>
      </w:r>
      <w:r w:rsidR="00A03285" w:rsidRPr="00E71AC6">
        <w:t>.</w:t>
      </w:r>
    </w:p>
    <w:p w14:paraId="2B472FBC" w14:textId="2836682A" w:rsidR="00196098" w:rsidRPr="004D44EC" w:rsidRDefault="00BF6091" w:rsidP="00AA59D5">
      <w:pPr>
        <w:keepNext/>
        <w:rPr>
          <w:rFonts w:cs="Arial"/>
        </w:rPr>
      </w:pPr>
      <w:r w:rsidRPr="004D44EC">
        <w:rPr>
          <w:rFonts w:cs="Arial"/>
        </w:rPr>
        <w:t>F</w:t>
      </w:r>
      <w:r w:rsidR="002F5C3E" w:rsidRPr="004D44EC">
        <w:rPr>
          <w:rFonts w:cs="Arial"/>
        </w:rPr>
        <w:t>or f</w:t>
      </w:r>
      <w:r w:rsidRPr="004D44EC">
        <w:rPr>
          <w:rFonts w:cs="Arial"/>
        </w:rPr>
        <w:t xml:space="preserve">urther information on </w:t>
      </w:r>
      <w:r w:rsidR="00426911" w:rsidRPr="004D44EC">
        <w:rPr>
          <w:rFonts w:cs="Arial"/>
        </w:rPr>
        <w:t xml:space="preserve">immigration </w:t>
      </w:r>
      <w:r w:rsidRPr="004D44EC">
        <w:rPr>
          <w:rFonts w:cs="Arial"/>
        </w:rPr>
        <w:t>screening</w:t>
      </w:r>
      <w:r w:rsidR="005555E0" w:rsidRPr="004D44EC">
        <w:rPr>
          <w:rFonts w:cs="Arial"/>
        </w:rPr>
        <w:t xml:space="preserve"> and health undertakings</w:t>
      </w:r>
      <w:r w:rsidRPr="004D44EC">
        <w:rPr>
          <w:rFonts w:cs="Arial"/>
        </w:rPr>
        <w:t>, refer to the</w:t>
      </w:r>
      <w:r w:rsidR="00196098" w:rsidRPr="004D44EC">
        <w:rPr>
          <w:rFonts w:cs="Arial"/>
        </w:rPr>
        <w:t>:</w:t>
      </w:r>
    </w:p>
    <w:p w14:paraId="64FF0D85" w14:textId="2E393575" w:rsidR="00196098" w:rsidRPr="004D44EC" w:rsidRDefault="00BF6091" w:rsidP="003031A7">
      <w:pPr>
        <w:pStyle w:val="ListBullet2"/>
      </w:pPr>
      <w:r w:rsidRPr="004D44EC">
        <w:t xml:space="preserve">Department of </w:t>
      </w:r>
      <w:r w:rsidR="009B41F9" w:rsidRPr="004D44EC">
        <w:t>Home Affairs</w:t>
      </w:r>
      <w:r w:rsidRPr="004D44EC">
        <w:t xml:space="preserve"> website: </w:t>
      </w:r>
      <w:bookmarkStart w:id="35" w:name="_Hlk96983276"/>
      <w:r w:rsidR="00F14C2B">
        <w:fldChar w:fldCharType="begin"/>
      </w:r>
      <w:r w:rsidR="00F14C2B">
        <w:instrText xml:space="preserve"> HYPERLINK "https://immi.homeaffairs.gov.au/help-support/meeting-our-requirements/health" </w:instrText>
      </w:r>
      <w:r w:rsidR="00F14C2B">
        <w:fldChar w:fldCharType="separate"/>
      </w:r>
      <w:r w:rsidR="002E1977">
        <w:rPr>
          <w:rStyle w:val="Hyperlink"/>
        </w:rPr>
        <w:t>Health (homeaffairs.gov.au)</w:t>
      </w:r>
      <w:r w:rsidR="00F14C2B">
        <w:rPr>
          <w:rStyle w:val="Hyperlink"/>
        </w:rPr>
        <w:fldChar w:fldCharType="end"/>
      </w:r>
      <w:r w:rsidR="0040275B" w:rsidRPr="004D44EC">
        <w:t xml:space="preserve"> </w:t>
      </w:r>
      <w:bookmarkEnd w:id="35"/>
    </w:p>
    <w:p w14:paraId="27B6996F" w14:textId="548E8DA3" w:rsidR="00196098" w:rsidRPr="004D44EC" w:rsidRDefault="00196098" w:rsidP="003031A7">
      <w:pPr>
        <w:pStyle w:val="ListBullet2"/>
      </w:pPr>
      <w:r w:rsidRPr="004D44EC">
        <w:lastRenderedPageBreak/>
        <w:t>NTAC Policy recommendation on LTBI screening and treatment in children in immigration detention:</w:t>
      </w:r>
      <w:bookmarkStart w:id="36" w:name="_Hlk96983291"/>
      <w:r w:rsidRPr="004D44EC">
        <w:t xml:space="preserve"> </w:t>
      </w:r>
      <w:hyperlink r:id="rId27" w:history="1">
        <w:r w:rsidR="000C605E">
          <w:rPr>
            <w:rStyle w:val="Hyperlink"/>
          </w:rPr>
          <w:t>Department of Health | Policy recommendation: latent tuberculosis infection screening and treatment in children in immigration detention</w:t>
        </w:r>
      </w:hyperlink>
      <w:bookmarkEnd w:id="36"/>
      <w:r w:rsidRPr="004D44EC">
        <w:t xml:space="preserve"> </w:t>
      </w:r>
    </w:p>
    <w:p w14:paraId="2329034E" w14:textId="5E9789E7" w:rsidR="005555E0" w:rsidRPr="004D44EC" w:rsidRDefault="00196098" w:rsidP="003031A7">
      <w:pPr>
        <w:pStyle w:val="ListBullet2"/>
      </w:pPr>
      <w:r w:rsidRPr="004D44EC">
        <w:t xml:space="preserve">ASID Refugee Guidelines 2016: </w:t>
      </w:r>
      <w:bookmarkStart w:id="37" w:name="_Hlk96983300"/>
      <w:r w:rsidR="00F14C2B">
        <w:fldChar w:fldCharType="begin"/>
      </w:r>
      <w:r w:rsidR="00F14C2B">
        <w:instrText xml:space="preserve"> HYPERLINK "https://www.asid.net.au/products/refugee-guidelines-2016" </w:instrText>
      </w:r>
      <w:r w:rsidR="00F14C2B">
        <w:fldChar w:fldCharType="separate"/>
      </w:r>
      <w:r w:rsidR="000C605E">
        <w:rPr>
          <w:rStyle w:val="Hyperlink"/>
        </w:rPr>
        <w:t>Refugee Guidelines 2016 - Australasian Society for Infectious Diseases (ASID) Limited</w:t>
      </w:r>
      <w:r w:rsidR="00F14C2B">
        <w:rPr>
          <w:rStyle w:val="Hyperlink"/>
        </w:rPr>
        <w:fldChar w:fldCharType="end"/>
      </w:r>
      <w:r w:rsidR="009C26CF" w:rsidRPr="003031A7">
        <w:rPr>
          <w:rStyle w:val="Emphasis"/>
        </w:rPr>
        <w:t>.</w:t>
      </w:r>
      <w:r w:rsidR="005555E0" w:rsidRPr="004D44EC">
        <w:t xml:space="preserve"> </w:t>
      </w:r>
      <w:bookmarkEnd w:id="37"/>
    </w:p>
    <w:p w14:paraId="777081DA" w14:textId="77777777" w:rsidR="002E1CF0" w:rsidRPr="007A4336" w:rsidRDefault="002E1CF0" w:rsidP="00CA7F5E">
      <w:pPr>
        <w:pStyle w:val="Heading2"/>
      </w:pPr>
      <w:bookmarkStart w:id="38" w:name="_Vaccination"/>
      <w:bookmarkStart w:id="39" w:name="_Toc97195044"/>
      <w:bookmarkEnd w:id="38"/>
      <w:r w:rsidRPr="00322226">
        <w:t>Vaccination</w:t>
      </w:r>
      <w:bookmarkEnd w:id="39"/>
    </w:p>
    <w:p w14:paraId="32328314" w14:textId="41826060" w:rsidR="002E1CF0" w:rsidRPr="004D44EC" w:rsidRDefault="002E1CF0" w:rsidP="002E1CF0">
      <w:pPr>
        <w:rPr>
          <w:rFonts w:cs="Arial"/>
        </w:rPr>
      </w:pPr>
      <w:proofErr w:type="spellStart"/>
      <w:r w:rsidRPr="004D44EC">
        <w:rPr>
          <w:rFonts w:cs="Arial"/>
        </w:rPr>
        <w:t>Bacille</w:t>
      </w:r>
      <w:proofErr w:type="spellEnd"/>
      <w:r w:rsidRPr="004D44EC">
        <w:rPr>
          <w:rFonts w:cs="Arial"/>
        </w:rPr>
        <w:t xml:space="preserve"> Calmette-Guerin (BCG) vaccination is an effective vaccine in reducing the risk of TB meningitis and disseminated disease in children aged &lt;5 years in countries of high TB prevalence</w:t>
      </w:r>
      <w:r w:rsidR="009A0256" w:rsidRPr="004D44EC">
        <w:rPr>
          <w:rFonts w:cs="Arial"/>
        </w:rPr>
        <w:t xml:space="preserve"> </w:t>
      </w:r>
      <w:r w:rsidR="002A54A5" w:rsidRPr="004D44EC">
        <w:rPr>
          <w:rFonts w:cs="Arial"/>
        </w:rPr>
        <w:fldChar w:fldCharType="begin"/>
      </w:r>
      <w:r w:rsidR="00C5513E">
        <w:rPr>
          <w:rFonts w:cs="Arial"/>
        </w:rPr>
        <w:instrText xml:space="preserve"> ADDIN EN.CITE &lt;EndNote&gt;&lt;Cite&gt;&lt;Author&gt;Raviglione&lt;/Author&gt;&lt;Year&gt;2015&lt;/Year&gt;&lt;RecNum&gt;1&lt;/RecNum&gt;&lt;DisplayText&gt;(1)&lt;/DisplayText&gt;&lt;record&gt;&lt;rec-number&gt;1&lt;/rec-number&gt;&lt;foreign-keys&gt;&lt;key app="EN" db-id="sr9paxs2qve9wpext2i5swxe50w0rs9dzze2" timestamp="1628681196"&gt;1&lt;/key&gt;&lt;/foreign-keys&gt;&lt;ref-type name="Book Section"&gt;5&lt;/ref-type&gt;&lt;contributors&gt;&lt;authors&gt;&lt;author&gt;Raviglione, M.C.&lt;/author&gt;&lt;author&gt;Getahun, H.&lt;/author&gt;&lt;/authors&gt;&lt;secondary-authors&gt;&lt;author&gt;Heymann, D.L.&lt;/author&gt;&lt;/secondary-authors&gt;&lt;/contributors&gt;&lt;titles&gt;&lt;title&gt;Tuberculosis and other mycobacterial diseases&lt;/title&gt;&lt;secondary-title&gt;Control of communicable diseases manual&lt;/secondary-title&gt;&lt;/titles&gt;&lt;pages&gt;637-50&lt;/pages&gt;&lt;edition&gt;20th&lt;/edition&gt;&lt;dates&gt;&lt;year&gt;2015&lt;/year&gt;&lt;/dates&gt;&lt;pub-location&gt;Washington&lt;/pub-location&gt;&lt;publisher&gt;American Public Health Association&lt;/publisher&gt;&lt;urls&gt;&lt;/urls&gt;&lt;/record&gt;&lt;/Cite&gt;&lt;/EndNote&gt;</w:instrText>
      </w:r>
      <w:r w:rsidR="002A54A5" w:rsidRPr="004D44EC">
        <w:rPr>
          <w:rFonts w:cs="Arial"/>
        </w:rPr>
        <w:fldChar w:fldCharType="separate"/>
      </w:r>
      <w:r w:rsidR="00BF3E54" w:rsidRPr="004D44EC">
        <w:rPr>
          <w:rFonts w:cs="Arial"/>
          <w:noProof/>
        </w:rPr>
        <w:t>(1)</w:t>
      </w:r>
      <w:r w:rsidR="002A54A5" w:rsidRPr="004D44EC">
        <w:rPr>
          <w:rFonts w:cs="Arial"/>
        </w:rPr>
        <w:fldChar w:fldCharType="end"/>
      </w:r>
      <w:r w:rsidR="009A0256" w:rsidRPr="004D44EC">
        <w:rPr>
          <w:rFonts w:cs="Arial"/>
        </w:rPr>
        <w:t>.</w:t>
      </w:r>
      <w:r w:rsidR="00B564EE" w:rsidRPr="004D44EC">
        <w:rPr>
          <w:rFonts w:cs="Arial"/>
        </w:rPr>
        <w:t xml:space="preserve"> However, i</w:t>
      </w:r>
      <w:r w:rsidRPr="004D44EC">
        <w:rPr>
          <w:rFonts w:cs="Arial"/>
        </w:rPr>
        <w:t xml:space="preserve">t has limited application in countries where the incidence of TB is low and is not recommended for general use in Australia as its overall efficacy is low. </w:t>
      </w:r>
      <w:r w:rsidR="003631F7">
        <w:rPr>
          <w:rFonts w:cs="Arial"/>
        </w:rPr>
        <w:t>F</w:t>
      </w:r>
      <w:r w:rsidR="003631F7" w:rsidRPr="003631F7">
        <w:rPr>
          <w:rFonts w:cs="Arial"/>
        </w:rPr>
        <w:t>urther information is contained in the current edition of the</w:t>
      </w:r>
      <w:r w:rsidR="00091C9A">
        <w:rPr>
          <w:rFonts w:cs="Arial"/>
        </w:rPr>
        <w:t xml:space="preserve"> </w:t>
      </w:r>
      <w:r w:rsidR="003631F7" w:rsidRPr="003631F7">
        <w:rPr>
          <w:rFonts w:cs="Arial"/>
        </w:rPr>
        <w:t xml:space="preserve">Australian Immunisation </w:t>
      </w:r>
      <w:r w:rsidR="002C05B5">
        <w:rPr>
          <w:rFonts w:cs="Arial"/>
        </w:rPr>
        <w:t>H</w:t>
      </w:r>
      <w:r w:rsidR="003631F7" w:rsidRPr="003631F7">
        <w:rPr>
          <w:rFonts w:cs="Arial"/>
        </w:rPr>
        <w:t>andbook</w:t>
      </w:r>
      <w:r w:rsidR="003631F7">
        <w:rPr>
          <w:rFonts w:cs="Arial"/>
        </w:rPr>
        <w:fldChar w:fldCharType="begin"/>
      </w:r>
      <w:r w:rsidR="00C61E42">
        <w:rPr>
          <w:rFonts w:cs="Arial"/>
        </w:rPr>
        <w:instrText xml:space="preserve"> ADDIN EN.CITE &lt;EndNote&gt;&lt;Cite&gt;&lt;Author&gt;Australian Technical Advisory Group on Immunisation (ATAGI)&lt;/Author&gt;&lt;Year&gt;2020&lt;/Year&gt;&lt;RecNum&gt;13&lt;/RecNum&gt;&lt;DisplayText&gt;(13)&lt;/DisplayText&gt;&lt;record&gt;&lt;rec-number&gt;13&lt;/rec-number&gt;&lt;foreign-keys&gt;&lt;key app="EN" db-id="sr9paxs2qve9wpext2i5swxe50w0rs9dzze2" timestamp="1628681198"&gt;13&lt;/key&gt;&lt;/foreign-keys&gt;&lt;ref-type name="Web Page"&gt;12&lt;/ref-type&gt;&lt;contributors&gt;&lt;authors&gt;&lt;author&gt;Australian Technical Advisory Group on Immunisation (ATAGI),&lt;/author&gt;&lt;/authors&gt;&lt;/contributors&gt;&lt;titles&gt;&lt;title&gt;Australian Immunisation Handbook&lt;/title&gt;&lt;/titles&gt;&lt;dates&gt;&lt;year&gt;2020&lt;/year&gt;&lt;/dates&gt;&lt;pub-location&gt;Canberra&lt;/pub-location&gt;&lt;publisher&gt;Australian Government: Department of Health&lt;/publisher&gt;&lt;urls&gt;&lt;related-urls&gt;&lt;url&gt;https://immunisationhandbook.health.gov.au/&lt;/url&gt;&lt;/related-urls&gt;&lt;/urls&gt;&lt;custom2&gt;5 August 2021&lt;/custom2&gt;&lt;/record&gt;&lt;/Cite&gt;&lt;/EndNote&gt;</w:instrText>
      </w:r>
      <w:r w:rsidR="003631F7">
        <w:rPr>
          <w:rFonts w:cs="Arial"/>
        </w:rPr>
        <w:fldChar w:fldCharType="separate"/>
      </w:r>
      <w:r w:rsidR="003533EB">
        <w:rPr>
          <w:rFonts w:cs="Arial"/>
          <w:noProof/>
        </w:rPr>
        <w:t>(13)</w:t>
      </w:r>
      <w:r w:rsidR="003631F7">
        <w:rPr>
          <w:rFonts w:cs="Arial"/>
        </w:rPr>
        <w:fldChar w:fldCharType="end"/>
      </w:r>
      <w:r w:rsidR="003631F7">
        <w:rPr>
          <w:rFonts w:cs="Arial"/>
        </w:rPr>
        <w:t xml:space="preserve">. </w:t>
      </w:r>
      <w:r w:rsidRPr="004D44EC">
        <w:rPr>
          <w:rFonts w:cs="Arial"/>
        </w:rPr>
        <w:t xml:space="preserve">It is only recommended for specific </w:t>
      </w:r>
      <w:r w:rsidR="00B2723F">
        <w:rPr>
          <w:rFonts w:cs="Arial"/>
        </w:rPr>
        <w:t xml:space="preserve">paediatric </w:t>
      </w:r>
      <w:r w:rsidRPr="004D44EC">
        <w:rPr>
          <w:rFonts w:cs="Arial"/>
        </w:rPr>
        <w:t>groups</w:t>
      </w:r>
      <w:r w:rsidR="009A0256" w:rsidRPr="004D44EC">
        <w:rPr>
          <w:rFonts w:cs="Arial"/>
        </w:rPr>
        <w:t xml:space="preserve"> </w:t>
      </w:r>
      <w:r w:rsidR="00B2723F">
        <w:rPr>
          <w:rFonts w:cs="Arial"/>
        </w:rPr>
        <w:t xml:space="preserve">considered to be at </w:t>
      </w:r>
      <w:r w:rsidR="00B2723F" w:rsidRPr="004D44EC">
        <w:rPr>
          <w:rFonts w:cs="Arial"/>
        </w:rPr>
        <w:t xml:space="preserve">high-risk </w:t>
      </w:r>
      <w:r w:rsidR="00B2723F">
        <w:rPr>
          <w:rFonts w:cs="Arial"/>
        </w:rPr>
        <w:t xml:space="preserve">for TB </w:t>
      </w:r>
      <w:r w:rsidR="002A54A5" w:rsidRPr="004D44EC">
        <w:rPr>
          <w:rFonts w:cs="Arial"/>
        </w:rPr>
        <w:fldChar w:fldCharType="begin"/>
      </w:r>
      <w:r w:rsidR="00342D3C">
        <w:rPr>
          <w:rFonts w:cs="Arial"/>
        </w:rPr>
        <w:instrText xml:space="preserve"> ADDIN EN.CITE &lt;EndNote&gt;&lt;Cite&gt;&lt;Author&gt;Australian Technical Advisory Group on Immunisation (ATAGI)&lt;/Author&gt;&lt;Year&gt;2017&lt;/Year&gt;&lt;RecNum&gt;14&lt;/RecNum&gt;&lt;DisplayText&gt;(14, 15)&lt;/DisplayText&gt;&lt;record&gt;&lt;rec-number&gt;14&lt;/rec-number&gt;&lt;foreign-keys&gt;&lt;key app="EN" db-id="sr9paxs2qve9wpext2i5swxe50w0rs9dzze2" timestamp="1628681198"&gt;14&lt;/key&gt;&lt;/foreign-keys&gt;&lt;ref-type name="Book"&gt;6&lt;/ref-type&gt;&lt;contributors&gt;&lt;authors&gt;&lt;author&gt;Australian Technical Advisory Group on Immunisation (ATAGI), &lt;/author&gt;&lt;/authors&gt;&lt;/contributors&gt;&lt;titles&gt;&lt;title&gt;The Australian Immunisation Handbook (2017 update)&lt;/title&gt;&lt;/titles&gt;&lt;edition&gt;10th&lt;/edition&gt;&lt;dates&gt;&lt;year&gt;2017&lt;/year&gt;&lt;/dates&gt;&lt;pub-location&gt;Canberra&lt;/pub-location&gt;&lt;publisher&gt;Australian Government: Department of Health&lt;/publisher&gt;&lt;urls&gt;&lt;related-urls&gt;&lt;url&gt;http://www.immunise.health.gov.au/internet/immunise/publishing.nsf/Content/Handbook10-home~handbook10part4~handbook10-4-20&lt;/url&gt;&lt;/related-urls&gt;&lt;/urls&gt;&lt;/record&gt;&lt;/Cite&gt;&lt;Cite&gt;&lt;Author&gt;National Tuberculosis Advisory Committee&lt;/Author&gt;&lt;Year&gt;2013&lt;/Year&gt;&lt;RecNum&gt;15&lt;/RecNum&gt;&lt;record&gt;&lt;rec-number&gt;15&lt;/rec-number&gt;&lt;foreign-keys&gt;&lt;key app="EN" db-id="sr9paxs2qve9wpext2i5swxe50w0rs9dzze2" timestamp="1628681198"&gt;15&lt;/key&gt;&lt;/foreign-keys&gt;&lt;ref-type name="Journal Article"&gt;17&lt;/ref-type&gt;&lt;contributors&gt;&lt;authors&gt;&lt;author&gt;National Tuberculosis Advisory Committee,&lt;/author&gt;&lt;/authors&gt;&lt;/contributors&gt;&lt;titles&gt;&lt;title&gt;The BCG vaccine: Information and recommendations for use in Australia&lt;/title&gt;&lt;secondary-title&gt;Communicable Diseases Intelligence&lt;/secondary-title&gt;&lt;/titles&gt;&lt;periodical&gt;&lt;full-title&gt;Communicable Diseases Intelligence&lt;/full-title&gt;&lt;/periodical&gt;&lt;pages&gt;E65-37&lt;/pages&gt;&lt;volume&gt;37&lt;/volume&gt;&lt;number&gt;1&lt;/number&gt;&lt;dates&gt;&lt;year&gt;2013&lt;/year&gt;&lt;/dates&gt;&lt;urls&gt;&lt;related-urls&gt;&lt;url&gt;http://www.health.gov.au/internet/main/publishing.nsf/content/cda-cdi3701h.htm&lt;/url&gt;&lt;/related-urls&gt;&lt;/urls&gt;&lt;/record&gt;&lt;/Cite&gt;&lt;/EndNote&gt;</w:instrText>
      </w:r>
      <w:r w:rsidR="002A54A5" w:rsidRPr="004D44EC">
        <w:rPr>
          <w:rFonts w:cs="Arial"/>
        </w:rPr>
        <w:fldChar w:fldCharType="separate"/>
      </w:r>
      <w:r w:rsidR="003533EB">
        <w:rPr>
          <w:rFonts w:cs="Arial"/>
          <w:noProof/>
        </w:rPr>
        <w:t>(14, 15)</w:t>
      </w:r>
      <w:r w:rsidR="002A54A5" w:rsidRPr="004D44EC">
        <w:rPr>
          <w:rFonts w:cs="Arial"/>
        </w:rPr>
        <w:fldChar w:fldCharType="end"/>
      </w:r>
      <w:r w:rsidR="00B2723F">
        <w:rPr>
          <w:rFonts w:cs="Arial"/>
        </w:rPr>
        <w:t>.</w:t>
      </w:r>
    </w:p>
    <w:p w14:paraId="2F653269" w14:textId="47D59B1C" w:rsidR="00800F89" w:rsidRPr="007A4336" w:rsidRDefault="00800F89" w:rsidP="00CA7F5E">
      <w:pPr>
        <w:pStyle w:val="Heading2"/>
      </w:pPr>
      <w:bookmarkStart w:id="40" w:name="_Toc97195045"/>
      <w:r w:rsidRPr="00FA2B06">
        <w:t>When BCG vaccine is not available</w:t>
      </w:r>
      <w:bookmarkEnd w:id="40"/>
    </w:p>
    <w:p w14:paraId="584BA888" w14:textId="77777777" w:rsidR="00800F89" w:rsidRPr="004D44EC" w:rsidRDefault="00800F89" w:rsidP="00993C7C">
      <w:r w:rsidRPr="004D44EC">
        <w:rPr>
          <w:rFonts w:cs="Arial"/>
        </w:rPr>
        <w:t xml:space="preserve">During periods of BCG vaccine shortage, </w:t>
      </w:r>
      <w:r w:rsidRPr="004D44EC">
        <w:t>jurisdictional health authorities may opt to adopt one or more of the following strategies:</w:t>
      </w:r>
    </w:p>
    <w:p w14:paraId="698D40B2" w14:textId="5D39DE61" w:rsidR="00800F89" w:rsidRPr="004D44EC" w:rsidRDefault="00800F89" w:rsidP="007821C3">
      <w:pPr>
        <w:pStyle w:val="ListBullet2"/>
      </w:pPr>
      <w:r w:rsidRPr="004D44EC">
        <w:t>Ration available vaccine supplies</w:t>
      </w:r>
      <w:r w:rsidR="00CA206E" w:rsidRPr="004D44EC">
        <w:t>.</w:t>
      </w:r>
    </w:p>
    <w:p w14:paraId="6AF7DDF4" w14:textId="6D3C901D" w:rsidR="00800F89" w:rsidRPr="004D44EC" w:rsidRDefault="00800F89" w:rsidP="007821C3">
      <w:pPr>
        <w:pStyle w:val="ListBullet2"/>
      </w:pPr>
      <w:r w:rsidRPr="004D44EC">
        <w:t>Maintain a registry/list of children to receive catch-up vaccination as and when supply becomes available</w:t>
      </w:r>
      <w:r w:rsidR="00CA206E" w:rsidRPr="004D44EC">
        <w:t>.</w:t>
      </w:r>
    </w:p>
    <w:p w14:paraId="420ACC0E" w14:textId="5DD51681" w:rsidR="00800F89" w:rsidRPr="004D44EC" w:rsidRDefault="00800F89" w:rsidP="007821C3">
      <w:pPr>
        <w:pStyle w:val="ListBullet2"/>
      </w:pPr>
      <w:r w:rsidRPr="004D44EC">
        <w:t>Source an alternative BCG product (</w:t>
      </w:r>
      <w:r w:rsidR="009340B5">
        <w:t>consult your jurisdictional TB services</w:t>
      </w:r>
      <w:r w:rsidRPr="004D44EC">
        <w:t>)</w:t>
      </w:r>
      <w:r w:rsidR="00707C26" w:rsidRPr="004D44EC">
        <w:t>.</w:t>
      </w:r>
    </w:p>
    <w:p w14:paraId="562AEBEA" w14:textId="357A2357" w:rsidR="00080A76" w:rsidRDefault="00080A76" w:rsidP="00800F89">
      <w:pPr>
        <w:rPr>
          <w:rFonts w:cs="Arial"/>
        </w:rPr>
      </w:pPr>
      <w:r w:rsidRPr="00080A76">
        <w:t>Offer pre and/or post-exposure TST or IGRA screening to children travelling to countries with high rates of TB based on a risk assessment.</w:t>
      </w:r>
    </w:p>
    <w:p w14:paraId="30BCD375" w14:textId="0C954955" w:rsidR="00800F89" w:rsidRPr="004D44EC" w:rsidRDefault="00800F89" w:rsidP="00800F89">
      <w:pPr>
        <w:rPr>
          <w:rFonts w:cs="Arial"/>
        </w:rPr>
      </w:pPr>
      <w:r w:rsidRPr="005074D9">
        <w:rPr>
          <w:rFonts w:cs="Arial"/>
        </w:rPr>
        <w:t xml:space="preserve">Where required, TST </w:t>
      </w:r>
      <w:r w:rsidR="0051386E" w:rsidRPr="005074D9">
        <w:rPr>
          <w:rFonts w:cs="Arial"/>
        </w:rPr>
        <w:t xml:space="preserve">or IGRA </w:t>
      </w:r>
      <w:r w:rsidRPr="005074D9">
        <w:rPr>
          <w:rFonts w:cs="Arial"/>
        </w:rPr>
        <w:t xml:space="preserve">screening may be offered. Screening should only be recommended for children under 5 years of age travelling to countries with a high incidence of TB. </w:t>
      </w:r>
      <w:r w:rsidRPr="005074D9">
        <w:t xml:space="preserve">For children aged 6 months and over, where possible </w:t>
      </w:r>
      <w:r w:rsidR="00A060DB">
        <w:t xml:space="preserve">pre-departure screening should be considered with testing </w:t>
      </w:r>
      <w:r w:rsidRPr="005074D9">
        <w:t>ag</w:t>
      </w:r>
      <w:r w:rsidRPr="00E57E89">
        <w:t>ain 2–3 months after returning from travel.</w:t>
      </w:r>
      <w:r w:rsidRPr="00E57E89">
        <w:rPr>
          <w:rFonts w:cs="Arial"/>
        </w:rPr>
        <w:t xml:space="preserve"> </w:t>
      </w:r>
      <w:r w:rsidRPr="00BF57B8">
        <w:t>Healthy babies under 6 month</w:t>
      </w:r>
      <w:r w:rsidR="00EB007D" w:rsidRPr="00BF57B8">
        <w:t>s of age</w:t>
      </w:r>
      <w:r w:rsidRPr="00BF57B8">
        <w:t xml:space="preserve"> may be assumed negative and only screened 2–3 months after returning to </w:t>
      </w:r>
      <w:r w:rsidRPr="008C2A39">
        <w:t>Australia</w:t>
      </w:r>
      <w:r w:rsidR="008C2A39">
        <w:t>.</w:t>
      </w:r>
    </w:p>
    <w:p w14:paraId="57090166" w14:textId="77777777" w:rsidR="00800F89" w:rsidRPr="004D44EC" w:rsidRDefault="00800F89" w:rsidP="00800F89">
      <w:r w:rsidRPr="004D44EC">
        <w:t xml:space="preserve">Children detected as having been exposed to/infected by TB while overseas should be referred to </w:t>
      </w:r>
      <w:r w:rsidRPr="004D44EC">
        <w:rPr>
          <w:rFonts w:cs="Arial"/>
        </w:rPr>
        <w:t>a specialist physician with experience in managing TB</w:t>
      </w:r>
      <w:r w:rsidRPr="004D44EC">
        <w:t xml:space="preserve"> to prevent progression to active disease. </w:t>
      </w:r>
    </w:p>
    <w:p w14:paraId="26A0A0AC" w14:textId="50B8C1D1" w:rsidR="00605A45" w:rsidRPr="007A4336" w:rsidRDefault="00605A45" w:rsidP="00CA7F5E">
      <w:pPr>
        <w:pStyle w:val="Heading2"/>
      </w:pPr>
      <w:bookmarkStart w:id="41" w:name="_Toc97195046"/>
      <w:r w:rsidRPr="00FA2B06">
        <w:t xml:space="preserve">Overseas </w:t>
      </w:r>
      <w:proofErr w:type="spellStart"/>
      <w:r w:rsidRPr="00FA2B06">
        <w:t>travellers</w:t>
      </w:r>
      <w:bookmarkEnd w:id="41"/>
      <w:proofErr w:type="spellEnd"/>
    </w:p>
    <w:p w14:paraId="7B409C81" w14:textId="725707A3" w:rsidR="007456C5" w:rsidRPr="004D44EC" w:rsidRDefault="00425062" w:rsidP="00605A45">
      <w:r w:rsidRPr="004D44EC">
        <w:t>While the overall risk of TB to travellers is low in most</w:t>
      </w:r>
      <w:r w:rsidR="00D026A2" w:rsidRPr="004D44EC">
        <w:t xml:space="preserve"> overseas</w:t>
      </w:r>
      <w:r w:rsidRPr="004D44EC">
        <w:t xml:space="preserve"> settings, it is important for practitioners giving advice to travellers to evaluate </w:t>
      </w:r>
      <w:r w:rsidR="00951C9D" w:rsidRPr="004D44EC">
        <w:t>the individual’s</w:t>
      </w:r>
      <w:r w:rsidRPr="004D44EC">
        <w:t xml:space="preserve"> risk</w:t>
      </w:r>
      <w:r w:rsidR="007456C5" w:rsidRPr="004D44EC">
        <w:t>s</w:t>
      </w:r>
      <w:r w:rsidR="009A0256" w:rsidRPr="004D44EC">
        <w:t xml:space="preserve"> </w:t>
      </w:r>
      <w:r w:rsidR="00BD7C3F" w:rsidRPr="004D44EC">
        <w:fldChar w:fldCharType="begin"/>
      </w:r>
      <w:r w:rsidR="00342D3C">
        <w:instrText xml:space="preserve"> ADDIN EN.CITE &lt;EndNote&gt;&lt;Cite&gt;&lt;Author&gt;Denholm&lt;/Author&gt;&lt;Year&gt;2016&lt;/Year&gt;&lt;RecNum&gt;16&lt;/RecNum&gt;&lt;DisplayText&gt;(16)&lt;/DisplayText&gt;&lt;record&gt;&lt;rec-number&gt;16&lt;/rec-number&gt;&lt;foreign-keys&gt;&lt;key app="EN" db-id="sr9paxs2qve9wpext2i5swxe50w0rs9dzze2" timestamp="1628681198"&gt;16&lt;/key&gt;&lt;/foreign-keys&gt;&lt;ref-type name="Journal Article"&gt;17&lt;/ref-type&gt;&lt;contributors&gt;&lt;authors&gt;&lt;author&gt;Denholm, J.T.&lt;/author&gt;&lt;author&gt;Thevarajan, I. &lt;/author&gt;&lt;/authors&gt;&lt;/contributors&gt;&lt;titles&gt;&lt;title&gt;Tuberculosis and the traveller: evaluating and reducing risk through travel consultation.&lt;/title&gt;&lt;secondary-title&gt;Journal of Travel Medicine&lt;/secondary-title&gt;&lt;/titles&gt;&lt;periodical&gt;&lt;full-title&gt;Journal of Travel Medicine&lt;/full-title&gt;&lt;/periodical&gt;&lt;pages&gt;1-6&lt;/pages&gt;&lt;volume&gt;23&lt;/volume&gt;&lt;number&gt;3&lt;/number&gt;&lt;dates&gt;&lt;year&gt;2016&lt;/year&gt;&lt;/dates&gt;&lt;urls&gt;&lt;/urls&gt;&lt;electronic-resource-num&gt;&lt;style face="underline" font="default" size="100%"&gt;https://doi.org/10.1093/jtm/taw008&lt;/style&gt;&lt;/electronic-resource-num&gt;&lt;/record&gt;&lt;/Cite&gt;&lt;/EndNote&gt;</w:instrText>
      </w:r>
      <w:r w:rsidR="00BD7C3F" w:rsidRPr="004D44EC">
        <w:fldChar w:fldCharType="separate"/>
      </w:r>
      <w:r w:rsidR="00417EC9">
        <w:rPr>
          <w:noProof/>
        </w:rPr>
        <w:t>(16)</w:t>
      </w:r>
      <w:r w:rsidR="00BD7C3F" w:rsidRPr="004D44EC">
        <w:fldChar w:fldCharType="end"/>
      </w:r>
      <w:r w:rsidR="009A0256" w:rsidRPr="004D44EC">
        <w:t>.</w:t>
      </w:r>
      <w:r w:rsidR="00951C9D" w:rsidRPr="004D44EC">
        <w:t xml:space="preserve"> </w:t>
      </w:r>
      <w:r w:rsidR="007456C5" w:rsidRPr="004D44EC">
        <w:t xml:space="preserve">Briefly, risk mitigation steps </w:t>
      </w:r>
      <w:r w:rsidR="000F198E" w:rsidRPr="004D44EC">
        <w:t>include</w:t>
      </w:r>
      <w:r w:rsidR="00731F0E" w:rsidRPr="004D44EC">
        <w:t xml:space="preserve"> the following:</w:t>
      </w:r>
      <w:r w:rsidR="000F198E" w:rsidRPr="004D44EC">
        <w:t xml:space="preserve"> </w:t>
      </w:r>
    </w:p>
    <w:p w14:paraId="78C0FFA4" w14:textId="77777777" w:rsidR="000F198E" w:rsidRPr="004D44EC" w:rsidRDefault="007456C5" w:rsidP="00993C7C">
      <w:r w:rsidRPr="004D44EC">
        <w:t>Pre-travel assessment</w:t>
      </w:r>
      <w:r w:rsidR="000F198E" w:rsidRPr="004D44EC">
        <w:t>, including</w:t>
      </w:r>
      <w:r w:rsidRPr="004D44EC">
        <w:t>:</w:t>
      </w:r>
    </w:p>
    <w:p w14:paraId="1F1C1D4F" w14:textId="18F8D27F" w:rsidR="007456C5" w:rsidRPr="004D44EC" w:rsidRDefault="000F198E" w:rsidP="007821C3">
      <w:pPr>
        <w:pStyle w:val="ListBullet2"/>
      </w:pPr>
      <w:r w:rsidRPr="004D44EC">
        <w:t xml:space="preserve">Assessment of risk by considering the </w:t>
      </w:r>
      <w:r w:rsidR="00731F0E" w:rsidRPr="004D44EC">
        <w:t xml:space="preserve">up-to-date information on the </w:t>
      </w:r>
      <w:r w:rsidRPr="004D44EC">
        <w:t>destination, the individual’s risk of progression to active disease if infected, and other personal circumstances that may predispose them to infection (</w:t>
      </w:r>
      <w:proofErr w:type="gramStart"/>
      <w:r w:rsidRPr="004D44EC">
        <w:t>e.g.</w:t>
      </w:r>
      <w:proofErr w:type="gramEnd"/>
      <w:r w:rsidRPr="004D44EC">
        <w:t xml:space="preserve"> visiting friends and relatives, working in healthcare </w:t>
      </w:r>
      <w:r w:rsidR="009C6520" w:rsidRPr="004D44EC">
        <w:t xml:space="preserve">or humanitarian aid </w:t>
      </w:r>
      <w:r w:rsidRPr="004D44EC">
        <w:t>settings)</w:t>
      </w:r>
      <w:r w:rsidR="00CA206E" w:rsidRPr="004D44EC">
        <w:t>.</w:t>
      </w:r>
    </w:p>
    <w:p w14:paraId="149D1460" w14:textId="33C3D47A" w:rsidR="000F198E" w:rsidRPr="004D44EC" w:rsidRDefault="00D026A2" w:rsidP="007821C3">
      <w:pPr>
        <w:pStyle w:val="ListBullet2"/>
      </w:pPr>
      <w:r w:rsidRPr="004D44EC">
        <w:t>T</w:t>
      </w:r>
      <w:r w:rsidR="000F198E" w:rsidRPr="004D44EC">
        <w:t xml:space="preserve">ailored education to groups at increased risk on their likelihood of exposure, risk reduction measures, and seeking medical care </w:t>
      </w:r>
      <w:r w:rsidR="00731F0E" w:rsidRPr="004D44EC">
        <w:t>in the event of prolonged</w:t>
      </w:r>
      <w:r w:rsidR="000F198E" w:rsidRPr="004D44EC">
        <w:t xml:space="preserve"> respiratory illness</w:t>
      </w:r>
      <w:r w:rsidR="00CA206E" w:rsidRPr="004D44EC">
        <w:t>.</w:t>
      </w:r>
    </w:p>
    <w:p w14:paraId="17397D1D" w14:textId="4DD9A214" w:rsidR="00EB007D" w:rsidRPr="004D44EC" w:rsidRDefault="00EB007D" w:rsidP="007821C3">
      <w:pPr>
        <w:pStyle w:val="ListBullet2"/>
      </w:pPr>
      <w:r w:rsidRPr="004D44EC">
        <w:t>B</w:t>
      </w:r>
      <w:r w:rsidR="00CA206E" w:rsidRPr="004D44EC">
        <w:t>CG</w:t>
      </w:r>
      <w:r w:rsidRPr="004D44EC">
        <w:t xml:space="preserve"> vaccination where previously recommended (see </w:t>
      </w:r>
      <w:hyperlink w:anchor="_Vaccination" w:history="1">
        <w:r w:rsidRPr="004D44EC">
          <w:rPr>
            <w:rStyle w:val="Hyperlink"/>
          </w:rPr>
          <w:t>Vaccination</w:t>
        </w:r>
      </w:hyperlink>
      <w:r w:rsidRPr="004D44EC">
        <w:t xml:space="preserve"> above)</w:t>
      </w:r>
      <w:r w:rsidR="00CA206E" w:rsidRPr="004D44EC">
        <w:t>.</w:t>
      </w:r>
    </w:p>
    <w:p w14:paraId="692374F3" w14:textId="6A440081" w:rsidR="00D026A2" w:rsidRPr="004D44EC" w:rsidRDefault="00D026A2" w:rsidP="007821C3">
      <w:pPr>
        <w:pStyle w:val="ListBullet2"/>
      </w:pPr>
      <w:r w:rsidRPr="004D44EC">
        <w:lastRenderedPageBreak/>
        <w:t>For persons with risk factors for progressing to active disease (</w:t>
      </w:r>
      <w:proofErr w:type="gramStart"/>
      <w:r w:rsidRPr="004D44EC">
        <w:t>e.g.</w:t>
      </w:r>
      <w:proofErr w:type="gramEnd"/>
      <w:r w:rsidRPr="004D44EC">
        <w:t xml:space="preserve"> immunosuppressed, children aged &lt;5 years</w:t>
      </w:r>
      <w:r w:rsidR="00800F89" w:rsidRPr="004D44EC">
        <w:t xml:space="preserve"> who have not received BCG</w:t>
      </w:r>
      <w:r w:rsidRPr="004D44EC">
        <w:t>), consider pre-travel LTBI testing</w:t>
      </w:r>
      <w:r w:rsidR="00467D08" w:rsidRPr="004D44EC">
        <w:t xml:space="preserve"> and referral for treatment (before/after) travel if positive</w:t>
      </w:r>
      <w:r w:rsidR="00CA206E" w:rsidRPr="004D44EC">
        <w:t>.</w:t>
      </w:r>
    </w:p>
    <w:p w14:paraId="0E65C197" w14:textId="77777777" w:rsidR="00853D97" w:rsidRDefault="00FF2E3E" w:rsidP="007821C3">
      <w:pPr>
        <w:pStyle w:val="ListBullet2"/>
      </w:pPr>
      <w:r w:rsidRPr="00FF2E3E">
        <w:t>It may be necessary to alter travel plans or not travel to the stated destination for persons assessed as being at very high risk of progression to severe TB disease, especially if the risk of acquisition of DR-TB is also high</w:t>
      </w:r>
      <w:r w:rsidR="00853D97">
        <w:t>.</w:t>
      </w:r>
    </w:p>
    <w:p w14:paraId="45758757" w14:textId="4CEA2A8D" w:rsidR="00731F0E" w:rsidRPr="004D44EC" w:rsidRDefault="009C6520" w:rsidP="00993C7C">
      <w:r w:rsidRPr="004D44EC">
        <w:t>During travel risk reduction measures:</w:t>
      </w:r>
    </w:p>
    <w:p w14:paraId="48D5F02B" w14:textId="4AC79703" w:rsidR="009C6520" w:rsidRPr="004D44EC" w:rsidRDefault="00CA206E" w:rsidP="007821C3">
      <w:pPr>
        <w:pStyle w:val="ListBullet2"/>
      </w:pPr>
      <w:r w:rsidRPr="004D44EC">
        <w:t>Generally,</w:t>
      </w:r>
      <w:r w:rsidR="00DB107E" w:rsidRPr="004D44EC">
        <w:t xml:space="preserve"> </w:t>
      </w:r>
      <w:r w:rsidR="005D76E8" w:rsidRPr="004D44EC">
        <w:t>travellers</w:t>
      </w:r>
      <w:r w:rsidR="00467D08" w:rsidRPr="004D44EC">
        <w:t xml:space="preserve"> should </w:t>
      </w:r>
      <w:r w:rsidR="00DB107E" w:rsidRPr="004D44EC">
        <w:t>avoid close contact or prolonged time with unwell people (known TB patients, persons with productive cough), particularly in confined or crowded</w:t>
      </w:r>
      <w:r w:rsidR="00C25835" w:rsidRPr="004D44EC">
        <w:t xml:space="preserve"> areas</w:t>
      </w:r>
      <w:r w:rsidR="00DB107E" w:rsidRPr="004D44EC">
        <w:t>, and avoid high-risk settings (</w:t>
      </w:r>
      <w:proofErr w:type="gramStart"/>
      <w:r w:rsidR="00DB107E" w:rsidRPr="004D44EC">
        <w:t>e.g.</w:t>
      </w:r>
      <w:proofErr w:type="gramEnd"/>
      <w:r w:rsidR="00DB107E" w:rsidRPr="004D44EC">
        <w:t xml:space="preserve"> clinics, hospitals, prisons or homeless shelters)</w:t>
      </w:r>
      <w:r w:rsidRPr="004D44EC">
        <w:t>.</w:t>
      </w:r>
    </w:p>
    <w:p w14:paraId="526B7A1C" w14:textId="4E6F5018" w:rsidR="00467D08" w:rsidRPr="004D44EC" w:rsidRDefault="00DB107E" w:rsidP="007821C3">
      <w:pPr>
        <w:pStyle w:val="ListBullet2"/>
      </w:pPr>
      <w:r w:rsidRPr="004D44EC">
        <w:t>Healthcare workers and similar personnel should undertake best practice infection control precautions,</w:t>
      </w:r>
      <w:r w:rsidR="00467D08" w:rsidRPr="004D44EC">
        <w:t xml:space="preserve"> </w:t>
      </w:r>
      <w:proofErr w:type="gramStart"/>
      <w:r w:rsidR="00467D08" w:rsidRPr="004D44EC">
        <w:t>giving prior consideration to</w:t>
      </w:r>
      <w:proofErr w:type="gramEnd"/>
      <w:r w:rsidR="00467D08" w:rsidRPr="004D44EC">
        <w:t xml:space="preserve"> resources available at destinations, and noting that </w:t>
      </w:r>
      <w:r w:rsidR="00080A76">
        <w:t xml:space="preserve">infection control </w:t>
      </w:r>
      <w:r w:rsidR="00467D08" w:rsidRPr="004D44EC">
        <w:t>practice</w:t>
      </w:r>
      <w:r w:rsidR="00080A76">
        <w:t>s</w:t>
      </w:r>
      <w:r w:rsidR="00467D08" w:rsidRPr="004D44EC">
        <w:t xml:space="preserve"> can vary widely.</w:t>
      </w:r>
    </w:p>
    <w:p w14:paraId="003871DF" w14:textId="77777777" w:rsidR="00467D08" w:rsidRPr="004D44EC" w:rsidRDefault="00467D08" w:rsidP="00993C7C">
      <w:r w:rsidRPr="004D44EC">
        <w:t>Post-travel:</w:t>
      </w:r>
    </w:p>
    <w:p w14:paraId="1075287E" w14:textId="33FA3E81" w:rsidR="00467D08" w:rsidRPr="004D44EC" w:rsidRDefault="00467D08" w:rsidP="007821C3">
      <w:pPr>
        <w:pStyle w:val="ListBullet2"/>
      </w:pPr>
      <w:r w:rsidRPr="004D44EC">
        <w:t xml:space="preserve">Generally routine follow-up is not needed for </w:t>
      </w:r>
      <w:r w:rsidR="005D76E8" w:rsidRPr="004D44EC">
        <w:t>travellers</w:t>
      </w:r>
      <w:r w:rsidR="0051386E" w:rsidRPr="004D44EC">
        <w:t xml:space="preserve"> without risk factors for </w:t>
      </w:r>
      <w:r w:rsidR="00CF3EB3" w:rsidRPr="004D44EC">
        <w:t xml:space="preserve">progression to active </w:t>
      </w:r>
      <w:proofErr w:type="gramStart"/>
      <w:r w:rsidR="00CF3EB3" w:rsidRPr="004D44EC">
        <w:t>disease</w:t>
      </w:r>
      <w:r w:rsidRPr="004D44EC">
        <w:t>, unless</w:t>
      </w:r>
      <w:proofErr w:type="gramEnd"/>
      <w:r w:rsidRPr="004D44EC">
        <w:t xml:space="preserve"> direct contact with TB is known to have occurred</w:t>
      </w:r>
      <w:r w:rsidR="00031B10" w:rsidRPr="004D44EC">
        <w:t>.</w:t>
      </w:r>
    </w:p>
    <w:p w14:paraId="799F3141" w14:textId="5CB0FC50" w:rsidR="00BD7C3F" w:rsidRPr="004D44EC" w:rsidRDefault="00BD7C3F" w:rsidP="007821C3">
      <w:pPr>
        <w:pStyle w:val="ListBullet2"/>
      </w:pPr>
      <w:r w:rsidRPr="004D44EC">
        <w:t>For individuals with risk factors for progressing to active disease, repeat LTBI test if baseline negative, and consider LTBI treatment if positive.</w:t>
      </w:r>
    </w:p>
    <w:p w14:paraId="6B317DC2" w14:textId="3C1A97E2" w:rsidR="00467D08" w:rsidRPr="004D44EC" w:rsidRDefault="00BD7C3F" w:rsidP="007821C3">
      <w:pPr>
        <w:pStyle w:val="ListBullet2"/>
      </w:pPr>
      <w:r w:rsidRPr="004D44EC">
        <w:t>I</w:t>
      </w:r>
      <w:r w:rsidR="00467D08" w:rsidRPr="004D44EC">
        <w:t>ndividuals</w:t>
      </w:r>
      <w:r w:rsidRPr="004D44EC">
        <w:t xml:space="preserve"> who develop symptoms consistent with TB during or post-travel should be investigated</w:t>
      </w:r>
      <w:r w:rsidR="009F4090" w:rsidRPr="004D44EC">
        <w:t xml:space="preserve"> for active disease.</w:t>
      </w:r>
    </w:p>
    <w:p w14:paraId="64B26426" w14:textId="77777777" w:rsidR="005D55A0" w:rsidRPr="007A4336" w:rsidRDefault="002E1CF0" w:rsidP="00CA7F5E">
      <w:pPr>
        <w:pStyle w:val="Heading1"/>
      </w:pPr>
      <w:bookmarkStart w:id="42" w:name="_Toc97195047"/>
      <w:bookmarkEnd w:id="33"/>
      <w:r w:rsidRPr="007A4336">
        <w:t>Surveillance objectives</w:t>
      </w:r>
      <w:bookmarkEnd w:id="42"/>
    </w:p>
    <w:p w14:paraId="395FA039" w14:textId="18085A6C" w:rsidR="002E1CF0" w:rsidRPr="004D44EC" w:rsidRDefault="002E1CF0" w:rsidP="007821C3">
      <w:pPr>
        <w:pStyle w:val="ListBullet2"/>
      </w:pPr>
      <w:r w:rsidRPr="004D44EC">
        <w:t xml:space="preserve">To monitor the epidemiology of TB in Australia </w:t>
      </w:r>
      <w:r w:rsidR="00E1021E" w:rsidRPr="004D44EC">
        <w:t xml:space="preserve">including risk factors </w:t>
      </w:r>
      <w:r w:rsidRPr="004D44EC">
        <w:t>to bett</w:t>
      </w:r>
      <w:r w:rsidR="00E224E3" w:rsidRPr="004D44EC">
        <w:t>er inform prevention strategies</w:t>
      </w:r>
      <w:r w:rsidR="00031B10" w:rsidRPr="004D44EC">
        <w:t>.</w:t>
      </w:r>
    </w:p>
    <w:p w14:paraId="26F09FB9" w14:textId="79800DFE" w:rsidR="00E1021E" w:rsidRPr="004D44EC" w:rsidRDefault="00E1021E" w:rsidP="007821C3">
      <w:pPr>
        <w:pStyle w:val="ListBullet2"/>
      </w:pPr>
      <w:r w:rsidRPr="004D44EC">
        <w:t>To identify infected contacts and reduce their risk of developing active TB</w:t>
      </w:r>
      <w:r w:rsidR="00031B10" w:rsidRPr="004D44EC">
        <w:t>.</w:t>
      </w:r>
    </w:p>
    <w:p w14:paraId="57ACBEF5" w14:textId="09E0C6F9" w:rsidR="00E1021E" w:rsidRPr="004D44EC" w:rsidRDefault="00E1021E" w:rsidP="007821C3">
      <w:pPr>
        <w:pStyle w:val="ListBullet2"/>
      </w:pPr>
      <w:r w:rsidRPr="004D44EC">
        <w:t xml:space="preserve">To provide evidence of Australia’s progress against national and international strategic </w:t>
      </w:r>
      <w:r w:rsidR="00C71122" w:rsidRPr="004D44EC">
        <w:t>disease control targets</w:t>
      </w:r>
      <w:r w:rsidR="00031B10" w:rsidRPr="004D44EC">
        <w:t>.</w:t>
      </w:r>
    </w:p>
    <w:p w14:paraId="4367EB36" w14:textId="5766D726" w:rsidR="00E1021E" w:rsidRPr="004D44EC" w:rsidRDefault="002E1CF0" w:rsidP="007821C3">
      <w:pPr>
        <w:pStyle w:val="ListBullet2"/>
      </w:pPr>
      <w:r w:rsidRPr="004D44EC">
        <w:t xml:space="preserve">To </w:t>
      </w:r>
      <w:r w:rsidR="00E224E3" w:rsidRPr="004D44EC">
        <w:t>monitor drug resistance</w:t>
      </w:r>
      <w:r w:rsidR="00031B10" w:rsidRPr="004D44EC">
        <w:t>.</w:t>
      </w:r>
    </w:p>
    <w:p w14:paraId="40170EA5" w14:textId="77777777" w:rsidR="002E1CF0" w:rsidRPr="007A4336" w:rsidRDefault="002E1CF0" w:rsidP="00CA7F5E">
      <w:pPr>
        <w:pStyle w:val="Heading1"/>
      </w:pPr>
      <w:bookmarkStart w:id="43" w:name="_Toc97195048"/>
      <w:r w:rsidRPr="007A4336">
        <w:t>Data management</w:t>
      </w:r>
      <w:bookmarkEnd w:id="43"/>
    </w:p>
    <w:p w14:paraId="4F99AAFB" w14:textId="4B3A920C" w:rsidR="002E1CF0" w:rsidRPr="004D44EC" w:rsidRDefault="002E1CF0" w:rsidP="002E1CF0">
      <w:pPr>
        <w:rPr>
          <w:rFonts w:cs="Arial"/>
        </w:rPr>
      </w:pPr>
      <w:r w:rsidRPr="004D44EC">
        <w:rPr>
          <w:rFonts w:cs="Arial"/>
        </w:rPr>
        <w:t xml:space="preserve">All cases fulfilling the TB case definition are to be notified and data entered onto jurisdictional disease databases. Each year’s core and enhanced data is to be completed by </w:t>
      </w:r>
      <w:r w:rsidR="00415570" w:rsidRPr="004D44EC">
        <w:rPr>
          <w:rFonts w:cs="Arial"/>
        </w:rPr>
        <w:t xml:space="preserve">May </w:t>
      </w:r>
      <w:r w:rsidRPr="004D44EC">
        <w:rPr>
          <w:rFonts w:cs="Arial"/>
        </w:rPr>
        <w:t xml:space="preserve">of the following year. Outcome data for cases needs to be updated by </w:t>
      </w:r>
      <w:r w:rsidR="00415570" w:rsidRPr="004D44EC">
        <w:rPr>
          <w:rFonts w:cs="Arial"/>
        </w:rPr>
        <w:t xml:space="preserve">May </w:t>
      </w:r>
      <w:r w:rsidR="003D7B31" w:rsidRPr="004D44EC">
        <w:rPr>
          <w:rFonts w:cs="Arial"/>
        </w:rPr>
        <w:t>following the end of the notification year</w:t>
      </w:r>
      <w:r w:rsidR="003D7B31" w:rsidRPr="004D44EC" w:rsidDel="003D7B31">
        <w:rPr>
          <w:rFonts w:cs="Arial"/>
        </w:rPr>
        <w:t xml:space="preserve"> </w:t>
      </w:r>
      <w:r w:rsidR="00C742EF" w:rsidRPr="004D44EC">
        <w:rPr>
          <w:rFonts w:cs="Arial"/>
        </w:rPr>
        <w:t xml:space="preserve">for drug susceptible cases </w:t>
      </w:r>
      <w:r w:rsidR="003D7B31" w:rsidRPr="004D44EC">
        <w:rPr>
          <w:rFonts w:cs="Arial"/>
        </w:rPr>
        <w:t xml:space="preserve">from the previous year, </w:t>
      </w:r>
      <w:r w:rsidR="00C742EF" w:rsidRPr="004D44EC">
        <w:rPr>
          <w:rFonts w:cs="Arial"/>
        </w:rPr>
        <w:t xml:space="preserve">and </w:t>
      </w:r>
      <w:r w:rsidR="003D7B31" w:rsidRPr="004D44EC">
        <w:rPr>
          <w:rFonts w:cs="Arial"/>
        </w:rPr>
        <w:t>MDR</w:t>
      </w:r>
      <w:r w:rsidR="004C3F1B">
        <w:rPr>
          <w:rFonts w:cs="Arial"/>
        </w:rPr>
        <w:t>-</w:t>
      </w:r>
      <w:r w:rsidR="003D7B31" w:rsidRPr="004D44EC">
        <w:rPr>
          <w:rFonts w:cs="Arial"/>
        </w:rPr>
        <w:t>TB cases from two years prior</w:t>
      </w:r>
      <w:r w:rsidRPr="004D44EC">
        <w:rPr>
          <w:rFonts w:cs="Arial"/>
        </w:rPr>
        <w:t>.</w:t>
      </w:r>
    </w:p>
    <w:p w14:paraId="55412D42" w14:textId="0D94F06F" w:rsidR="002E1CF0" w:rsidRPr="004D44EC" w:rsidRDefault="002E1CF0" w:rsidP="002E1CF0">
      <w:pPr>
        <w:rPr>
          <w:rFonts w:cs="Arial"/>
        </w:rPr>
      </w:pPr>
      <w:r w:rsidRPr="004D44EC">
        <w:rPr>
          <w:rFonts w:cs="Arial"/>
        </w:rPr>
        <w:t xml:space="preserve">Core </w:t>
      </w:r>
      <w:r w:rsidR="003D7B31" w:rsidRPr="004D44EC">
        <w:rPr>
          <w:rFonts w:cs="Arial"/>
        </w:rPr>
        <w:t xml:space="preserve">and enhanced </w:t>
      </w:r>
      <w:r w:rsidRPr="004D44EC">
        <w:rPr>
          <w:rFonts w:cs="Arial"/>
        </w:rPr>
        <w:t xml:space="preserve">de-identified </w:t>
      </w:r>
      <w:r w:rsidR="003D7B31" w:rsidRPr="004D44EC">
        <w:rPr>
          <w:rFonts w:cs="Arial"/>
        </w:rPr>
        <w:t xml:space="preserve">surveillance </w:t>
      </w:r>
      <w:r w:rsidRPr="004D44EC">
        <w:rPr>
          <w:rFonts w:cs="Arial"/>
        </w:rPr>
        <w:t xml:space="preserve">data on all confirmed cases of TB are reported to the Commonwealth via the National Notifiable Disease Surveillance System (NNDSS). Enhanced data includes risk factor information, clinical </w:t>
      </w:r>
      <w:r w:rsidR="00415570" w:rsidRPr="004D44EC">
        <w:rPr>
          <w:rFonts w:cs="Arial"/>
        </w:rPr>
        <w:t xml:space="preserve">presentation, </w:t>
      </w:r>
      <w:r w:rsidR="003D7B31" w:rsidRPr="004D44EC">
        <w:rPr>
          <w:rFonts w:cs="Arial"/>
        </w:rPr>
        <w:t xml:space="preserve">diagnostic information, </w:t>
      </w:r>
      <w:r w:rsidRPr="004D44EC">
        <w:rPr>
          <w:rFonts w:cs="Arial"/>
        </w:rPr>
        <w:t xml:space="preserve">and treatment outcomes. </w:t>
      </w:r>
    </w:p>
    <w:p w14:paraId="40722128" w14:textId="6A7CBBC8" w:rsidR="002E1CF0" w:rsidRPr="004D44EC" w:rsidRDefault="002E1CF0" w:rsidP="002E1CF0">
      <w:pPr>
        <w:rPr>
          <w:rFonts w:cs="Arial"/>
        </w:rPr>
      </w:pPr>
      <w:r w:rsidRPr="004D44EC">
        <w:rPr>
          <w:rFonts w:cs="Arial"/>
        </w:rPr>
        <w:t xml:space="preserve">Data on TB cases in Australia are reported to </w:t>
      </w:r>
      <w:r w:rsidR="00A03285">
        <w:rPr>
          <w:rFonts w:cs="Arial"/>
        </w:rPr>
        <w:t xml:space="preserve">the </w:t>
      </w:r>
      <w:r w:rsidRPr="004D44EC">
        <w:rPr>
          <w:rFonts w:cs="Arial"/>
        </w:rPr>
        <w:t>WHO annually.</w:t>
      </w:r>
    </w:p>
    <w:p w14:paraId="756ECFBF" w14:textId="77777777" w:rsidR="002E1CF0" w:rsidRPr="007A4336" w:rsidRDefault="002E1CF0" w:rsidP="00CA7F5E">
      <w:pPr>
        <w:pStyle w:val="Heading1"/>
      </w:pPr>
      <w:bookmarkStart w:id="44" w:name="_Toc97195049"/>
      <w:r w:rsidRPr="007A4336">
        <w:t>Communications</w:t>
      </w:r>
      <w:bookmarkEnd w:id="44"/>
    </w:p>
    <w:p w14:paraId="36EA9A4F" w14:textId="11BB95DB" w:rsidR="00A1633B" w:rsidRPr="004D44EC" w:rsidRDefault="00835E41" w:rsidP="00E224E3">
      <w:pPr>
        <w:rPr>
          <w:rFonts w:cs="Arial"/>
        </w:rPr>
      </w:pPr>
      <w:r w:rsidRPr="004D44EC">
        <w:rPr>
          <w:rFonts w:cs="Arial"/>
        </w:rPr>
        <w:t>While all cases of tuberculosis require formal notification, there are certain scenarios where prompt communication to senior Public Health person</w:t>
      </w:r>
      <w:r w:rsidR="003D7B31" w:rsidRPr="004D44EC">
        <w:rPr>
          <w:rFonts w:cs="Arial"/>
        </w:rPr>
        <w:t>nel</w:t>
      </w:r>
      <w:r w:rsidRPr="004D44EC">
        <w:rPr>
          <w:rFonts w:cs="Arial"/>
        </w:rPr>
        <w:t xml:space="preserve"> is indicated. Each jurisdiction will specify what such scenarios are, who to notify</w:t>
      </w:r>
      <w:r w:rsidR="003D7B31" w:rsidRPr="004D44EC">
        <w:rPr>
          <w:rFonts w:cs="Arial"/>
        </w:rPr>
        <w:t>,</w:t>
      </w:r>
      <w:r w:rsidRPr="004D44EC">
        <w:rPr>
          <w:rFonts w:cs="Arial"/>
        </w:rPr>
        <w:t xml:space="preserve"> and what timeframe is required. Examples include MDR/XDR-TB, TB likely acquired in a healthcare setting, where large numbers of people </w:t>
      </w:r>
      <w:r w:rsidRPr="004D44EC">
        <w:rPr>
          <w:rFonts w:cs="Arial"/>
        </w:rPr>
        <w:lastRenderedPageBreak/>
        <w:t xml:space="preserve">require contact screening, where widespread transmission becomes apparent and where prolonged presence </w:t>
      </w:r>
      <w:r w:rsidR="00446A3B" w:rsidRPr="004D44EC">
        <w:rPr>
          <w:rFonts w:cs="Arial"/>
        </w:rPr>
        <w:t>o</w:t>
      </w:r>
      <w:r w:rsidR="00446A3B">
        <w:rPr>
          <w:rFonts w:cs="Arial"/>
        </w:rPr>
        <w:t>f</w:t>
      </w:r>
      <w:r w:rsidR="00446A3B" w:rsidRPr="004D44EC">
        <w:rPr>
          <w:rFonts w:cs="Arial"/>
        </w:rPr>
        <w:t xml:space="preserve"> </w:t>
      </w:r>
      <w:r w:rsidRPr="004D44EC">
        <w:rPr>
          <w:rFonts w:cs="Arial"/>
        </w:rPr>
        <w:t>an infectious person on an airplane has occurred (usually an international flight). Any case where there is likely to be media interest is usually required to be communicated. Further reporting of cases and need for contact tracing within or between jurisdictions is made by the jurisdictional TB staff of the index case, on a case-by-case basis, in accordance with jurisdictional protocols which may also require notification of the Communicable Diseases department.</w:t>
      </w:r>
    </w:p>
    <w:p w14:paraId="612E98F2" w14:textId="77777777" w:rsidR="002E1CF0" w:rsidRPr="007A4336" w:rsidRDefault="002E1CF0" w:rsidP="00CA7F5E">
      <w:pPr>
        <w:pStyle w:val="Heading1"/>
      </w:pPr>
      <w:bookmarkStart w:id="45" w:name="_Toc97195050"/>
      <w:r w:rsidRPr="007A4336">
        <w:t>Case definition</w:t>
      </w:r>
      <w:bookmarkEnd w:id="45"/>
    </w:p>
    <w:p w14:paraId="53AE6A5C" w14:textId="77777777" w:rsidR="00506189" w:rsidRPr="007A4336" w:rsidRDefault="00506189" w:rsidP="00CA7F5E">
      <w:pPr>
        <w:pStyle w:val="Heading2"/>
      </w:pPr>
      <w:bookmarkStart w:id="46" w:name="_Toc29979755"/>
      <w:bookmarkStart w:id="47" w:name="_Toc97195051"/>
      <w:r w:rsidRPr="00944609">
        <w:t>Reporting</w:t>
      </w:r>
      <w:bookmarkEnd w:id="46"/>
      <w:bookmarkEnd w:id="47"/>
    </w:p>
    <w:p w14:paraId="65331B38" w14:textId="77777777" w:rsidR="00506189" w:rsidRPr="004D44EC" w:rsidRDefault="00506189" w:rsidP="00506189">
      <w:pPr>
        <w:rPr>
          <w:rFonts w:cs="Arial"/>
        </w:rPr>
      </w:pPr>
      <w:r w:rsidRPr="004D44EC">
        <w:rPr>
          <w:rFonts w:cs="Arial"/>
        </w:rPr>
        <w:t xml:space="preserve">Only </w:t>
      </w:r>
      <w:r w:rsidRPr="001C34D7">
        <w:rPr>
          <w:rStyle w:val="Strong"/>
        </w:rPr>
        <w:t>confirmed cases</w:t>
      </w:r>
      <w:r w:rsidRPr="004D44EC">
        <w:rPr>
          <w:rFonts w:cs="Arial"/>
        </w:rPr>
        <w:t xml:space="preserve"> should be notified.</w:t>
      </w:r>
    </w:p>
    <w:p w14:paraId="74A81E57" w14:textId="77777777" w:rsidR="00506189" w:rsidRPr="007A4336" w:rsidRDefault="00506189" w:rsidP="00CA7F5E">
      <w:pPr>
        <w:pStyle w:val="Heading2"/>
      </w:pPr>
      <w:bookmarkStart w:id="48" w:name="_Toc29979756"/>
      <w:bookmarkStart w:id="49" w:name="_Toc97195052"/>
      <w:r w:rsidRPr="00944609">
        <w:t>Confirmed case</w:t>
      </w:r>
      <w:bookmarkEnd w:id="48"/>
      <w:bookmarkEnd w:id="49"/>
    </w:p>
    <w:p w14:paraId="70A0D821" w14:textId="77777777" w:rsidR="00506189" w:rsidRPr="004D44EC" w:rsidRDefault="00506189" w:rsidP="00506189">
      <w:pPr>
        <w:rPr>
          <w:rFonts w:cs="Arial"/>
        </w:rPr>
      </w:pPr>
      <w:r w:rsidRPr="004D44EC">
        <w:rPr>
          <w:rFonts w:cs="Arial"/>
        </w:rPr>
        <w:t xml:space="preserve">A confirmed case requires a diagnosis accepted by the Director of Tuberculosis Control (or equivalent) in the relevant jurisdiction, based on either: </w:t>
      </w:r>
    </w:p>
    <w:p w14:paraId="659052D0" w14:textId="77777777" w:rsidR="00506189" w:rsidRPr="00944609" w:rsidRDefault="00506189" w:rsidP="00E71AC6">
      <w:pPr>
        <w:pStyle w:val="ListNumber"/>
      </w:pPr>
      <w:r w:rsidRPr="00944609">
        <w:t>Laboratory definitive evidence</w:t>
      </w:r>
    </w:p>
    <w:p w14:paraId="6CC5D3E5" w14:textId="77777777" w:rsidR="00506189" w:rsidRPr="004D44EC" w:rsidRDefault="00506189" w:rsidP="00E71AC6">
      <w:r w:rsidRPr="004D44EC">
        <w:t>OR</w:t>
      </w:r>
    </w:p>
    <w:p w14:paraId="7C5EEC54" w14:textId="77777777" w:rsidR="00506189" w:rsidRPr="00944609" w:rsidRDefault="00506189" w:rsidP="00E71AC6">
      <w:pPr>
        <w:pStyle w:val="ListNumber"/>
      </w:pPr>
      <w:r w:rsidRPr="00944609">
        <w:t>Clinical evidence</w:t>
      </w:r>
    </w:p>
    <w:p w14:paraId="609D4155" w14:textId="77777777" w:rsidR="00506189" w:rsidRPr="007A4336" w:rsidRDefault="00506189" w:rsidP="00CA7F5E">
      <w:pPr>
        <w:pStyle w:val="Heading2"/>
      </w:pPr>
      <w:bookmarkStart w:id="50" w:name="_Toc29979757"/>
      <w:bookmarkStart w:id="51" w:name="_Toc97195053"/>
      <w:r w:rsidRPr="008F0F2F">
        <w:t>Laboratory definitive evidence</w:t>
      </w:r>
      <w:bookmarkEnd w:id="50"/>
      <w:bookmarkEnd w:id="51"/>
    </w:p>
    <w:p w14:paraId="0BE04C99" w14:textId="4F4BC595" w:rsidR="00506189" w:rsidRPr="004D44EC" w:rsidRDefault="00506189" w:rsidP="003031A7">
      <w:pPr>
        <w:pStyle w:val="ListNumber2"/>
      </w:pPr>
      <w:r w:rsidRPr="004D44EC">
        <w:t xml:space="preserve">Isolation of </w:t>
      </w:r>
      <w:r w:rsidRPr="003031A7">
        <w:rPr>
          <w:rStyle w:val="Emphasis"/>
        </w:rPr>
        <w:t>M. tuberculosis</w:t>
      </w:r>
      <w:r w:rsidRPr="004D44EC">
        <w:t xml:space="preserve"> complex (excluding </w:t>
      </w:r>
      <w:r w:rsidRPr="003031A7">
        <w:rPr>
          <w:rStyle w:val="Emphasis"/>
        </w:rPr>
        <w:t>M. </w:t>
      </w:r>
      <w:proofErr w:type="spellStart"/>
      <w:r w:rsidRPr="003031A7">
        <w:rPr>
          <w:rStyle w:val="Emphasis"/>
        </w:rPr>
        <w:t>bovis</w:t>
      </w:r>
      <w:proofErr w:type="spellEnd"/>
      <w:r w:rsidRPr="004D44EC">
        <w:t xml:space="preserve"> var BCG</w:t>
      </w:r>
      <w:r w:rsidR="00844492" w:rsidRPr="004D44EC">
        <w:t>*</w:t>
      </w:r>
      <w:r w:rsidRPr="004D44EC">
        <w:t>) by culture</w:t>
      </w:r>
      <w:r w:rsidR="00ED72DE">
        <w:t xml:space="preserve"> (</w:t>
      </w:r>
      <w:r w:rsidR="00ED72DE" w:rsidRPr="004D44EC">
        <w:t>Note</w:t>
      </w:r>
      <w:r w:rsidR="00ED72DE">
        <w:t xml:space="preserve"> </w:t>
      </w:r>
      <w:r w:rsidR="00ED72DE" w:rsidRPr="004D44EC">
        <w:t xml:space="preserve">that </w:t>
      </w:r>
      <w:r w:rsidR="00ED72DE" w:rsidRPr="003031A7">
        <w:rPr>
          <w:rStyle w:val="Emphasis"/>
        </w:rPr>
        <w:t xml:space="preserve">M. </w:t>
      </w:r>
      <w:proofErr w:type="spellStart"/>
      <w:r w:rsidR="00ED72DE" w:rsidRPr="003031A7">
        <w:rPr>
          <w:rStyle w:val="Emphasis"/>
        </w:rPr>
        <w:t>bovis</w:t>
      </w:r>
      <w:proofErr w:type="spellEnd"/>
      <w:r w:rsidR="00ED72DE" w:rsidRPr="003031A7">
        <w:rPr>
          <w:rStyle w:val="Emphasis"/>
        </w:rPr>
        <w:t xml:space="preserve"> var BCG </w:t>
      </w:r>
      <w:r w:rsidR="00ED72DE" w:rsidRPr="004D44EC">
        <w:t xml:space="preserve">isolated from any site in those who have received BCG vaccine or therapeutic BCG bladder instillation for bladder cancer treatment are excluded as </w:t>
      </w:r>
      <w:proofErr w:type="gramStart"/>
      <w:r w:rsidR="00ED72DE" w:rsidRPr="004D44EC">
        <w:t>cases</w:t>
      </w:r>
      <w:r w:rsidR="00ED72DE">
        <w:t xml:space="preserve">, </w:t>
      </w:r>
      <w:r w:rsidR="00ED72DE" w:rsidRPr="004D44EC">
        <w:t>but</w:t>
      </w:r>
      <w:proofErr w:type="gramEnd"/>
      <w:r w:rsidR="00ED72DE" w:rsidRPr="004D44EC">
        <w:t xml:space="preserve"> should be notified as vaccine or medication related adverse events).</w:t>
      </w:r>
    </w:p>
    <w:p w14:paraId="36E74095" w14:textId="77777777" w:rsidR="00506189" w:rsidRPr="00E71AC6" w:rsidRDefault="00506189" w:rsidP="00E71AC6">
      <w:r w:rsidRPr="00E71AC6">
        <w:t>OR</w:t>
      </w:r>
    </w:p>
    <w:p w14:paraId="60A5540B" w14:textId="53DC1E8C" w:rsidR="00506189" w:rsidRPr="004D44EC" w:rsidRDefault="00506189" w:rsidP="003031A7">
      <w:pPr>
        <w:pStyle w:val="ListNumber2"/>
      </w:pPr>
      <w:r w:rsidRPr="004D44EC">
        <w:t xml:space="preserve">Detection of </w:t>
      </w:r>
      <w:r w:rsidRPr="003031A7">
        <w:rPr>
          <w:rStyle w:val="Emphasis"/>
        </w:rPr>
        <w:t>M. tuberculosis</w:t>
      </w:r>
      <w:r w:rsidRPr="004D44EC">
        <w:t xml:space="preserve"> complex by nucleic acid </w:t>
      </w:r>
      <w:r w:rsidR="00F705D8" w:rsidRPr="004D44EC">
        <w:t xml:space="preserve">amplification </w:t>
      </w:r>
      <w:r w:rsidRPr="004D44EC">
        <w:t>testing</w:t>
      </w:r>
      <w:r w:rsidR="00F705D8" w:rsidRPr="004D44EC">
        <w:t xml:space="preserve"> (NAAT)</w:t>
      </w:r>
      <w:r w:rsidRPr="004D44EC">
        <w:t xml:space="preserve"> EXCEPT where this is likely to be due to previously treated or inactive disease.</w:t>
      </w:r>
    </w:p>
    <w:p w14:paraId="41960183" w14:textId="77777777" w:rsidR="00506189" w:rsidRPr="007A4336" w:rsidRDefault="00506189" w:rsidP="00CA7F5E">
      <w:pPr>
        <w:pStyle w:val="Heading2"/>
      </w:pPr>
      <w:bookmarkStart w:id="52" w:name="_Toc29979758"/>
      <w:bookmarkStart w:id="53" w:name="_Toc97195054"/>
      <w:r w:rsidRPr="00944609">
        <w:t>Clinical evidence</w:t>
      </w:r>
      <w:bookmarkEnd w:id="52"/>
      <w:bookmarkEnd w:id="53"/>
    </w:p>
    <w:p w14:paraId="32C4DE6D" w14:textId="663A57E0" w:rsidR="00506189" w:rsidRPr="001C34D7" w:rsidRDefault="00506189" w:rsidP="00506189">
      <w:r w:rsidRPr="004D44EC">
        <w:rPr>
          <w:rFonts w:cs="Arial"/>
        </w:rPr>
        <w:t>A clinician experienced in TB makes a clinical diagnosis of TB, including clinical follow-up assessment to ensure a consistent clinical course.</w:t>
      </w:r>
    </w:p>
    <w:p w14:paraId="4595BB49" w14:textId="7C4CF272" w:rsidR="00E224E3" w:rsidRPr="004D44EC" w:rsidRDefault="00506189" w:rsidP="00506189">
      <w:r w:rsidRPr="004D44EC">
        <w:rPr>
          <w:rFonts w:cs="Arial"/>
        </w:rPr>
        <w:t xml:space="preserve">Case definitions can be found on the Department of Health website: </w:t>
      </w:r>
      <w:hyperlink r:id="rId28" w:history="1">
        <w:r w:rsidR="002366B1">
          <w:rPr>
            <w:rStyle w:val="Hyperlink"/>
          </w:rPr>
          <w:t>Department of Health | Australian national notifiable diseases and case definitions</w:t>
        </w:r>
      </w:hyperlink>
      <w:r w:rsidR="00DA7F8C" w:rsidRPr="004D44EC">
        <w:t>.</w:t>
      </w:r>
    </w:p>
    <w:p w14:paraId="1C3EC87F" w14:textId="77777777" w:rsidR="002E1CF0" w:rsidRPr="007A4336" w:rsidRDefault="002E1CF0" w:rsidP="00F04ACE">
      <w:pPr>
        <w:pStyle w:val="Heading1"/>
      </w:pPr>
      <w:bookmarkStart w:id="54" w:name="_Toc97195055"/>
      <w:r w:rsidRPr="007A4336">
        <w:t>Laboratory testing</w:t>
      </w:r>
      <w:bookmarkEnd w:id="54"/>
    </w:p>
    <w:p w14:paraId="2F9E75F9" w14:textId="77777777" w:rsidR="002E1CF0" w:rsidRPr="007A4336" w:rsidRDefault="002E1CF0" w:rsidP="00CA7F5E">
      <w:pPr>
        <w:pStyle w:val="Heading2"/>
      </w:pPr>
      <w:bookmarkStart w:id="55" w:name="_Toc97195056"/>
      <w:r w:rsidRPr="00944609">
        <w:t>Testing guidelines</w:t>
      </w:r>
      <w:bookmarkEnd w:id="55"/>
    </w:p>
    <w:p w14:paraId="615B4B2B" w14:textId="39371737" w:rsidR="002F39DC" w:rsidRPr="004D44EC" w:rsidRDefault="002E1CF0" w:rsidP="00993C7C">
      <w:pPr>
        <w:rPr>
          <w:rFonts w:cs="Arial"/>
        </w:rPr>
      </w:pPr>
      <w:r w:rsidRPr="004D44EC">
        <w:rPr>
          <w:rFonts w:cs="Arial"/>
        </w:rPr>
        <w:t xml:space="preserve">Laboratory testing for TB is indicated in people with a clinically compatible illness, particularly if they are at increased risk of TB. </w:t>
      </w:r>
      <w:r w:rsidR="008C780C" w:rsidRPr="004D44EC">
        <w:rPr>
          <w:rFonts w:cs="Arial"/>
        </w:rPr>
        <w:t>Every effort should be made to collect adequate laboratory specimens from pulmonary and extrapulmonary</w:t>
      </w:r>
      <w:r w:rsidR="00EB007D" w:rsidRPr="004D44EC">
        <w:rPr>
          <w:rFonts w:cs="Arial"/>
        </w:rPr>
        <w:t xml:space="preserve"> </w:t>
      </w:r>
      <w:r w:rsidR="006B5CD2" w:rsidRPr="004D44EC">
        <w:rPr>
          <w:rFonts w:cs="Arial"/>
        </w:rPr>
        <w:t xml:space="preserve">sites </w:t>
      </w:r>
      <w:proofErr w:type="gramStart"/>
      <w:r w:rsidR="006B5CD2" w:rsidRPr="004D44EC">
        <w:rPr>
          <w:rFonts w:cs="Arial"/>
        </w:rPr>
        <w:t>in order to</w:t>
      </w:r>
      <w:proofErr w:type="gramEnd"/>
      <w:r w:rsidR="006B5CD2" w:rsidRPr="004D44EC">
        <w:rPr>
          <w:rFonts w:cs="Arial"/>
        </w:rPr>
        <w:t xml:space="preserve"> establish a microbiological diagnosis. Detection of </w:t>
      </w:r>
      <w:r w:rsidR="006B5CD2" w:rsidRPr="003031A7">
        <w:rPr>
          <w:rStyle w:val="Emphasis"/>
        </w:rPr>
        <w:t>M. tuberculosis</w:t>
      </w:r>
      <w:r w:rsidR="006B5CD2" w:rsidRPr="004D44EC">
        <w:rPr>
          <w:rFonts w:cs="Arial"/>
        </w:rPr>
        <w:t xml:space="preserve"> </w:t>
      </w:r>
      <w:r w:rsidR="0089778A" w:rsidRPr="004D44EC">
        <w:rPr>
          <w:rFonts w:cs="Arial"/>
        </w:rPr>
        <w:t xml:space="preserve">complex </w:t>
      </w:r>
      <w:r w:rsidR="006B5CD2" w:rsidRPr="004D44EC">
        <w:rPr>
          <w:rFonts w:cs="Arial"/>
        </w:rPr>
        <w:t>DNA by NA</w:t>
      </w:r>
      <w:r w:rsidR="00F705D8" w:rsidRPr="004D44EC">
        <w:rPr>
          <w:rFonts w:cs="Arial"/>
        </w:rPr>
        <w:t>AT</w:t>
      </w:r>
      <w:r w:rsidR="006B5CD2" w:rsidRPr="004D44EC">
        <w:rPr>
          <w:rFonts w:cs="Arial"/>
        </w:rPr>
        <w:t xml:space="preserve"> </w:t>
      </w:r>
      <w:r w:rsidR="002F39DC" w:rsidRPr="004D44EC">
        <w:rPr>
          <w:rFonts w:cs="Arial"/>
        </w:rPr>
        <w:t>enables</w:t>
      </w:r>
      <w:r w:rsidR="006B5CD2" w:rsidRPr="004D44EC">
        <w:rPr>
          <w:rFonts w:cs="Arial"/>
        </w:rPr>
        <w:t xml:space="preserve"> a</w:t>
      </w:r>
      <w:r w:rsidR="002F39DC" w:rsidRPr="004D44EC">
        <w:rPr>
          <w:rFonts w:cs="Arial"/>
        </w:rPr>
        <w:t xml:space="preserve"> rapid</w:t>
      </w:r>
      <w:r w:rsidR="006B5CD2" w:rsidRPr="004D44EC">
        <w:rPr>
          <w:rFonts w:cs="Arial"/>
        </w:rPr>
        <w:t xml:space="preserve"> diagnosis</w:t>
      </w:r>
      <w:r w:rsidR="002F39DC" w:rsidRPr="004D44EC">
        <w:rPr>
          <w:rFonts w:cs="Arial"/>
        </w:rPr>
        <w:t xml:space="preserve">. Where </w:t>
      </w:r>
      <w:proofErr w:type="spellStart"/>
      <w:r w:rsidR="002F39DC" w:rsidRPr="004D44EC">
        <w:rPr>
          <w:rFonts w:cs="Arial"/>
        </w:rPr>
        <w:t>Xpert</w:t>
      </w:r>
      <w:proofErr w:type="spellEnd"/>
      <w:r w:rsidR="002F39DC" w:rsidRPr="004D44EC">
        <w:rPr>
          <w:rFonts w:cs="Arial"/>
        </w:rPr>
        <w:t xml:space="preserve"> MTB</w:t>
      </w:r>
      <w:r w:rsidR="006B5CD2" w:rsidRPr="004D44EC">
        <w:rPr>
          <w:rFonts w:cs="Arial"/>
        </w:rPr>
        <w:t>/</w:t>
      </w:r>
      <w:r w:rsidR="009D0756" w:rsidRPr="004D44EC">
        <w:rPr>
          <w:rFonts w:cs="Arial"/>
        </w:rPr>
        <w:t>R</w:t>
      </w:r>
      <w:r w:rsidR="009D0756">
        <w:rPr>
          <w:rFonts w:cs="Arial"/>
        </w:rPr>
        <w:t>IF</w:t>
      </w:r>
      <w:r w:rsidR="00EE1B87">
        <w:rPr>
          <w:rFonts w:cs="Arial"/>
        </w:rPr>
        <w:t xml:space="preserve"> </w:t>
      </w:r>
      <w:r w:rsidR="00EA5EFA">
        <w:t>(</w:t>
      </w:r>
      <w:proofErr w:type="spellStart"/>
      <w:r w:rsidR="00EA5EFA" w:rsidRPr="001C34D7">
        <w:t>Xpert</w:t>
      </w:r>
      <w:proofErr w:type="spellEnd"/>
      <w:r w:rsidR="00EA5EFA" w:rsidRPr="00EA5EFA">
        <w:rPr>
          <w:rFonts w:cs="Arial"/>
          <w:vertAlign w:val="superscript"/>
        </w:rPr>
        <w:t>®</w:t>
      </w:r>
      <w:r w:rsidR="00EA5EFA" w:rsidRPr="001C34D7">
        <w:t xml:space="preserve"> MTB/RIF</w:t>
      </w:r>
      <w:r w:rsidR="00EA5EFA">
        <w:t xml:space="preserve">) </w:t>
      </w:r>
      <w:r w:rsidR="0089778A" w:rsidRPr="004D44EC">
        <w:rPr>
          <w:rFonts w:cs="Arial"/>
        </w:rPr>
        <w:t xml:space="preserve">and </w:t>
      </w:r>
      <w:proofErr w:type="spellStart"/>
      <w:r w:rsidR="0089778A" w:rsidRPr="004D44EC">
        <w:rPr>
          <w:rFonts w:cs="Arial"/>
        </w:rPr>
        <w:t>Xpert</w:t>
      </w:r>
      <w:proofErr w:type="spellEnd"/>
      <w:r w:rsidR="0089778A" w:rsidRPr="004D44EC">
        <w:rPr>
          <w:rFonts w:cs="Arial"/>
        </w:rPr>
        <w:t xml:space="preserve"> MTB/</w:t>
      </w:r>
      <w:r w:rsidR="009D0756" w:rsidRPr="004D44EC">
        <w:rPr>
          <w:rFonts w:cs="Arial"/>
        </w:rPr>
        <w:t>R</w:t>
      </w:r>
      <w:r w:rsidR="009D0756">
        <w:rPr>
          <w:rFonts w:cs="Arial"/>
        </w:rPr>
        <w:t>IF</w:t>
      </w:r>
      <w:r w:rsidR="009D0756" w:rsidRPr="004D44EC">
        <w:rPr>
          <w:rFonts w:cs="Arial"/>
        </w:rPr>
        <w:t xml:space="preserve"> </w:t>
      </w:r>
      <w:r w:rsidR="0089778A" w:rsidRPr="004D44EC">
        <w:rPr>
          <w:rFonts w:cs="Arial"/>
        </w:rPr>
        <w:t>Ultra</w:t>
      </w:r>
      <w:r w:rsidR="00F705D8" w:rsidRPr="004D44EC">
        <w:rPr>
          <w:rFonts w:cs="Arial"/>
        </w:rPr>
        <w:t xml:space="preserve"> </w:t>
      </w:r>
      <w:r w:rsidR="00EA5EFA">
        <w:rPr>
          <w:rFonts w:cs="Arial"/>
        </w:rPr>
        <w:t>(</w:t>
      </w:r>
      <w:proofErr w:type="spellStart"/>
      <w:r w:rsidR="00EA5EFA" w:rsidRPr="004D44EC">
        <w:rPr>
          <w:rFonts w:cs="Arial"/>
        </w:rPr>
        <w:t>Xpert</w:t>
      </w:r>
      <w:proofErr w:type="spellEnd"/>
      <w:r w:rsidR="00EA5EFA" w:rsidRPr="00EA5EFA">
        <w:rPr>
          <w:rFonts w:cs="Arial"/>
          <w:vertAlign w:val="superscript"/>
        </w:rPr>
        <w:t>®</w:t>
      </w:r>
      <w:r w:rsidR="00EA5EFA" w:rsidRPr="004D44EC">
        <w:rPr>
          <w:rFonts w:cs="Arial"/>
        </w:rPr>
        <w:t xml:space="preserve"> Ultra</w:t>
      </w:r>
      <w:r w:rsidR="00EA5EFA">
        <w:rPr>
          <w:rFonts w:cs="Arial"/>
        </w:rPr>
        <w:t>)</w:t>
      </w:r>
      <w:r w:rsidR="00EA5EFA" w:rsidRPr="004D44EC">
        <w:rPr>
          <w:rFonts w:cs="Arial"/>
        </w:rPr>
        <w:t xml:space="preserve"> </w:t>
      </w:r>
      <w:r w:rsidR="00F705D8" w:rsidRPr="004D44EC">
        <w:rPr>
          <w:rFonts w:cs="Arial"/>
        </w:rPr>
        <w:t>assay</w:t>
      </w:r>
      <w:r w:rsidR="00EA5EFA">
        <w:rPr>
          <w:rFonts w:cs="Arial"/>
        </w:rPr>
        <w:t>s</w:t>
      </w:r>
      <w:r w:rsidR="00F705D8" w:rsidRPr="004D44EC">
        <w:rPr>
          <w:rFonts w:cs="Arial"/>
        </w:rPr>
        <w:t xml:space="preserve"> </w:t>
      </w:r>
      <w:r w:rsidR="00EA5EFA">
        <w:rPr>
          <w:rFonts w:cs="Arial"/>
        </w:rPr>
        <w:t>are</w:t>
      </w:r>
      <w:r w:rsidR="00F705D8" w:rsidRPr="004D44EC">
        <w:rPr>
          <w:rFonts w:cs="Arial"/>
        </w:rPr>
        <w:t xml:space="preserve"> used</w:t>
      </w:r>
      <w:r w:rsidR="006B5CD2" w:rsidRPr="004D44EC">
        <w:rPr>
          <w:rFonts w:cs="Arial"/>
        </w:rPr>
        <w:t>, the presence of rifamp</w:t>
      </w:r>
      <w:r w:rsidR="002F39DC" w:rsidRPr="004D44EC">
        <w:rPr>
          <w:rFonts w:cs="Arial"/>
        </w:rPr>
        <w:t>ic</w:t>
      </w:r>
      <w:r w:rsidR="006B5CD2" w:rsidRPr="004D44EC">
        <w:rPr>
          <w:rFonts w:cs="Arial"/>
        </w:rPr>
        <w:t xml:space="preserve">in </w:t>
      </w:r>
      <w:r w:rsidR="002F39DC" w:rsidRPr="004D44EC">
        <w:rPr>
          <w:rFonts w:cs="Arial"/>
        </w:rPr>
        <w:t>resistance</w:t>
      </w:r>
      <w:r w:rsidR="006B5CD2" w:rsidRPr="004D44EC">
        <w:rPr>
          <w:rFonts w:cs="Arial"/>
        </w:rPr>
        <w:t xml:space="preserve"> conferring mutations</w:t>
      </w:r>
      <w:r w:rsidR="002F39DC" w:rsidRPr="004D44EC">
        <w:rPr>
          <w:rFonts w:cs="Arial"/>
        </w:rPr>
        <w:t xml:space="preserve"> can also be detected directly from samples</w:t>
      </w:r>
      <w:r w:rsidR="006B5CD2" w:rsidRPr="004D44EC">
        <w:rPr>
          <w:rFonts w:cs="Arial"/>
        </w:rPr>
        <w:t xml:space="preserve">. </w:t>
      </w:r>
      <w:r w:rsidR="002F39DC" w:rsidRPr="004D44EC">
        <w:rPr>
          <w:rFonts w:cs="Arial"/>
        </w:rPr>
        <w:t xml:space="preserve">Detection of TB by culture remains the most sensitive method for detecting </w:t>
      </w:r>
      <w:r w:rsidR="002F39DC" w:rsidRPr="003031A7">
        <w:rPr>
          <w:rStyle w:val="Emphasis"/>
        </w:rPr>
        <w:t>M. tuberculosis</w:t>
      </w:r>
      <w:r w:rsidR="002F39DC" w:rsidRPr="004D44EC">
        <w:rPr>
          <w:rFonts w:cs="Arial"/>
        </w:rPr>
        <w:t xml:space="preserve"> </w:t>
      </w:r>
      <w:r w:rsidR="00252A9D" w:rsidRPr="004D44EC">
        <w:rPr>
          <w:rFonts w:cs="Arial"/>
        </w:rPr>
        <w:t xml:space="preserve">complex </w:t>
      </w:r>
      <w:proofErr w:type="gramStart"/>
      <w:r w:rsidR="002F39DC" w:rsidRPr="004D44EC">
        <w:rPr>
          <w:rFonts w:cs="Arial"/>
        </w:rPr>
        <w:t>and also</w:t>
      </w:r>
      <w:proofErr w:type="gramEnd"/>
      <w:r w:rsidR="002F39DC" w:rsidRPr="004D44EC">
        <w:rPr>
          <w:rFonts w:cs="Arial"/>
        </w:rPr>
        <w:t xml:space="preserve"> enables drug susceptibility testing and genetic typing to be performed. Further guidance can be found in the following NTAC documents</w:t>
      </w:r>
      <w:r w:rsidR="000B554C" w:rsidRPr="004D44EC">
        <w:rPr>
          <w:rFonts w:cs="Arial"/>
        </w:rPr>
        <w:t>:</w:t>
      </w:r>
    </w:p>
    <w:p w14:paraId="0AD26CFD" w14:textId="301C0523" w:rsidR="002F39DC" w:rsidRPr="004D44EC" w:rsidRDefault="00AF0875" w:rsidP="003031A7">
      <w:pPr>
        <w:pStyle w:val="ListNumber3"/>
        <w:numPr>
          <w:ilvl w:val="0"/>
          <w:numId w:val="28"/>
        </w:numPr>
      </w:pPr>
      <w:r w:rsidRPr="004D44EC">
        <w:t xml:space="preserve">Revised </w:t>
      </w:r>
      <w:r w:rsidR="002F39DC" w:rsidRPr="004D44EC">
        <w:t xml:space="preserve">Guidelines for Australian Laboratories performing </w:t>
      </w:r>
      <w:r w:rsidR="002F39DC" w:rsidRPr="004041E8">
        <w:t>mycobacter</w:t>
      </w:r>
      <w:r w:rsidR="008818ED" w:rsidRPr="004041E8">
        <w:t>i</w:t>
      </w:r>
      <w:r w:rsidR="001C25EA" w:rsidRPr="004041E8">
        <w:t>olo</w:t>
      </w:r>
      <w:r w:rsidR="00F22EF7" w:rsidRPr="004041E8">
        <w:t>gy</w:t>
      </w:r>
      <w:r w:rsidR="00B71785" w:rsidRPr="007A4336">
        <w:t xml:space="preserve"> </w:t>
      </w:r>
      <w:r w:rsidR="00D62136" w:rsidRPr="00D62136">
        <w:fldChar w:fldCharType="begin"/>
      </w:r>
      <w:r w:rsidR="00C61E42">
        <w:instrText xml:space="preserve"> ADDIN EN.CITE &lt;EndNote&gt;&lt;Cite&gt;&lt;Author&gt;Bastian&lt;/Author&gt;&lt;Year&gt;2020&lt;/Year&gt;&lt;RecNum&gt;17&lt;/RecNum&gt;&lt;DisplayText&gt;(17)&lt;/DisplayText&gt;&lt;record&gt;&lt;rec-number&gt;17&lt;/rec-number&gt;&lt;foreign-keys&gt;&lt;key app="EN" db-id="sr9paxs2qve9wpext2i5swxe50w0rs9dzze2" timestamp="1628681198"&gt;17&lt;/key&gt;&lt;/foreign-keys&gt;&lt;ref-type name="Journal Article"&gt;17&lt;/ref-type&gt;&lt;contributors&gt;&lt;authors&gt;&lt;author&gt;Bastian, I.&lt;/author&gt;&lt;author&gt;Shephard, L.&lt;/author&gt;&lt;author&gt;Lumb, R.&lt;/author&gt;&lt;author&gt;and the National Tuberculosis Advisory Committee,&lt;/author&gt;&lt;/authors&gt;&lt;/contributors&gt;&lt;auth-address&gt;SA Pathology, PO Box 14, Rundle Mall, Adelaide SA 5000.&lt;/auth-address&gt;&lt;titles&gt;&lt;title&gt;Revised guidelines for Australian laboratories performing mycobacteriology testing&lt;/title&gt;&lt;secondary-title&gt;Communicable Diseases Intelligence (2018)&lt;/secondary-title&gt;&lt;/titles&gt;&lt;periodical&gt;&lt;full-title&gt;Communicable Diseases Intelligence (2018)&lt;/full-title&gt;&lt;/periodical&gt;&lt;volume&gt;44&lt;/volume&gt;&lt;edition&gt;2020/01/16&lt;/edition&gt;&lt;keywords&gt;&lt;keyword&gt;Australia&lt;/keyword&gt;&lt;keyword&gt;Humans&lt;/keyword&gt;&lt;keyword&gt;Laboratories/standards&lt;/keyword&gt;&lt;keyword&gt;Mycobacterium tuberculosis&lt;/keyword&gt;&lt;keyword&gt;*Practice Guidelines as Topic&lt;/keyword&gt;&lt;keyword&gt;Tuberculosis/diagnosis/*microbiology&lt;/keyword&gt;&lt;/keywords&gt;&lt;dates&gt;&lt;year&gt;2020&lt;/year&gt;&lt;pub-dates&gt;&lt;date&gt;Jan 15&lt;/date&gt;&lt;/pub-dates&gt;&lt;/dates&gt;&lt;isbn&gt;2209-6051 (Electronic)&amp;#xD;2209-6051 (Linking)&lt;/isbn&gt;&lt;accession-num&gt;31940451&lt;/accession-num&gt;&lt;urls&gt;&lt;related-urls&gt;&lt;url&gt;https://www.ncbi.nlm.nih.gov/pubmed/31940451&lt;/url&gt;&lt;/related-urls&gt;&lt;/urls&gt;&lt;electronic-resource-num&gt;10.33321/cdi.2019.44.2&amp;#xD;10.33321/cdi.2020.44.2&lt;/electronic-resource-num&gt;&lt;/record&gt;&lt;/Cite&gt;&lt;/EndNote&gt;</w:instrText>
      </w:r>
      <w:r w:rsidR="00D62136" w:rsidRPr="00D62136">
        <w:fldChar w:fldCharType="separate"/>
      </w:r>
      <w:r w:rsidR="00417EC9">
        <w:rPr>
          <w:noProof/>
        </w:rPr>
        <w:t>(17)</w:t>
      </w:r>
      <w:r w:rsidR="00D62136" w:rsidRPr="00D62136">
        <w:fldChar w:fldCharType="end"/>
      </w:r>
      <w:r w:rsidR="00D62136" w:rsidRPr="007A4336">
        <w:t xml:space="preserve"> </w:t>
      </w:r>
    </w:p>
    <w:p w14:paraId="6D209005" w14:textId="76A0B44F" w:rsidR="005D55A0" w:rsidRPr="004D44EC" w:rsidRDefault="002F39DC" w:rsidP="003031A7">
      <w:pPr>
        <w:pStyle w:val="ListNumber3"/>
      </w:pPr>
      <w:r w:rsidRPr="004D44EC">
        <w:lastRenderedPageBreak/>
        <w:t xml:space="preserve">Defining a tuberculosis cluster or outbreak </w:t>
      </w:r>
      <w:r w:rsidR="006A0849">
        <w:fldChar w:fldCharType="begin"/>
      </w:r>
      <w:r w:rsidR="005B70DC">
        <w:instrText xml:space="preserve"> ADDIN EN.CITE &lt;EndNote&gt;&lt;Cite&gt;&lt;Author&gt;Denholm&lt;/Author&gt;&lt;Year&gt;2016&lt;/Year&gt;&lt;RecNum&gt;18&lt;/RecNum&gt;&lt;DisplayText&gt;(18)&lt;/DisplayText&gt;&lt;record&gt;&lt;rec-number&gt;18&lt;/rec-number&gt;&lt;foreign-keys&gt;&lt;key app="EN" db-id="sr9paxs2qve9wpext2i5swxe50w0rs9dzze2" timestamp="1628681199"&gt;18&lt;/key&gt;&lt;/foreign-keys&gt;&lt;ref-type name="Journal Article"&gt;17&lt;/ref-type&gt;&lt;contributors&gt;&lt;authors&gt;&lt;author&gt;Denholm, J. &lt;/author&gt;&lt;author&gt;Coulter, C. &lt;/author&gt;&lt;author&gt;Bastian, I. &lt;/author&gt;&lt;author&gt;and the National Tuberculosis Advisory Committee,&lt;/author&gt;&lt;/authors&gt;&lt;/contributors&gt;&lt;titles&gt;&lt;title&gt;Defining a tuberculosis cluster or outbreak&lt;/title&gt;&lt;secondary-title&gt;Communicable Diseases Intelligence (CDI)&lt;/secondary-title&gt;&lt;/titles&gt;&lt;periodical&gt;&lt;full-title&gt;Communicable Diseases Intelligence (CDI)&lt;/full-title&gt;&lt;/periodical&gt;&lt;pages&gt;E356-E359&lt;/pages&gt;&lt;volume&gt;40&lt;/volume&gt;&lt;number&gt;3&lt;/number&gt;&lt;dates&gt;&lt;year&gt;2016&lt;/year&gt;&lt;/dates&gt;&lt;urls&gt;&lt;related-urls&gt;&lt;url&gt;https://www1.health.gov.au/internet/main/publishing.nsf/Content/cda-cdi4003-pdf-cnt.htm/$FILE/cdi4003h.pdf&lt;/url&gt;&lt;/related-urls&gt;&lt;/urls&gt;&lt;/record&gt;&lt;/Cite&gt;&lt;/EndNote&gt;</w:instrText>
      </w:r>
      <w:r w:rsidR="006A0849">
        <w:fldChar w:fldCharType="separate"/>
      </w:r>
      <w:r w:rsidR="00417EC9">
        <w:rPr>
          <w:noProof/>
        </w:rPr>
        <w:t>(18)</w:t>
      </w:r>
      <w:r w:rsidR="006A0849">
        <w:fldChar w:fldCharType="end"/>
      </w:r>
      <w:r w:rsidR="006A0849">
        <w:t xml:space="preserve"> </w:t>
      </w:r>
    </w:p>
    <w:p w14:paraId="1542035C" w14:textId="77777777" w:rsidR="002E1CF0" w:rsidRPr="007A4336" w:rsidRDefault="00236C0F" w:rsidP="00CA7F5E">
      <w:pPr>
        <w:pStyle w:val="Heading2"/>
      </w:pPr>
      <w:bookmarkStart w:id="56" w:name="_Toc29979761"/>
      <w:bookmarkStart w:id="57" w:name="_Toc97195057"/>
      <w:r w:rsidRPr="00944609">
        <w:t>Pulmonary TB</w:t>
      </w:r>
      <w:bookmarkEnd w:id="56"/>
      <w:bookmarkEnd w:id="57"/>
    </w:p>
    <w:p w14:paraId="00A937BE" w14:textId="3BC025FC" w:rsidR="00C22231" w:rsidRPr="004D44EC" w:rsidRDefault="00C22231" w:rsidP="007821C3">
      <w:pPr>
        <w:pStyle w:val="ListBullet2"/>
      </w:pPr>
      <w:r w:rsidRPr="004D44EC">
        <w:t>The clinical service and</w:t>
      </w:r>
      <w:r w:rsidR="0076700C" w:rsidRPr="004D44EC">
        <w:t>/or laboratory should provide</w:t>
      </w:r>
      <w:r w:rsidR="005C477B" w:rsidRPr="004D44EC">
        <w:t xml:space="preserve"> an</w:t>
      </w:r>
      <w:r w:rsidR="0076700C" w:rsidRPr="004D44EC">
        <w:t xml:space="preserve"> </w:t>
      </w:r>
      <w:r w:rsidRPr="004D44EC">
        <w:t>instruction form to the patient describing the method of producing a good sputum specimen, the timing of the collection, and the handling of the specimen (</w:t>
      </w:r>
      <w:proofErr w:type="gramStart"/>
      <w:r w:rsidRPr="004D44EC">
        <w:t>e</w:t>
      </w:r>
      <w:r w:rsidR="005C477B" w:rsidRPr="004D44EC">
        <w:t>.</w:t>
      </w:r>
      <w:r w:rsidRPr="004D44EC">
        <w:t>g.</w:t>
      </w:r>
      <w:proofErr w:type="gramEnd"/>
      <w:r w:rsidRPr="004D44EC">
        <w:t xml:space="preserve"> refrigeration at 4</w:t>
      </w:r>
      <w:r w:rsidRPr="007821C3">
        <w:t>o</w:t>
      </w:r>
      <w:r w:rsidR="00594761" w:rsidRPr="007821C3">
        <w:t xml:space="preserve"> </w:t>
      </w:r>
      <w:r w:rsidR="00D40010">
        <w:t>-</w:t>
      </w:r>
      <w:r w:rsidR="00594761" w:rsidRPr="004D44EC">
        <w:t xml:space="preserve"> 8</w:t>
      </w:r>
      <w:r w:rsidR="00D40010" w:rsidRPr="007821C3">
        <w:t>o</w:t>
      </w:r>
      <w:r w:rsidRPr="004D44EC">
        <w:t>C pending submission to the laboratory)</w:t>
      </w:r>
      <w:r w:rsidR="005C477B" w:rsidRPr="004D44EC">
        <w:t>.</w:t>
      </w:r>
    </w:p>
    <w:p w14:paraId="2087977F" w14:textId="07599A0D" w:rsidR="002E1CF0" w:rsidRPr="004D44EC" w:rsidRDefault="006F2142" w:rsidP="007821C3">
      <w:pPr>
        <w:pStyle w:val="ListBullet2"/>
      </w:pPr>
      <w:r w:rsidRPr="004D44EC">
        <w:t>Sputum should be collected on 3 separate occasions (at least one early-morning specimen)</w:t>
      </w:r>
      <w:r w:rsidR="005C477B" w:rsidRPr="004D44EC">
        <w:t>.</w:t>
      </w:r>
    </w:p>
    <w:p w14:paraId="7C465535" w14:textId="2785F39D" w:rsidR="002E1CF0" w:rsidRPr="004D44EC" w:rsidRDefault="002E1CF0" w:rsidP="007821C3">
      <w:pPr>
        <w:pStyle w:val="ListBullet2"/>
      </w:pPr>
      <w:r w:rsidRPr="004D44EC">
        <w:t xml:space="preserve">Sputum induction (using nebulised hypertonic saline) </w:t>
      </w:r>
      <w:r w:rsidR="00D40010" w:rsidRPr="00D40010">
        <w:t>or gastric aspirate (children) should be utilised where a patient is unable to expectorate</w:t>
      </w:r>
      <w:r w:rsidR="00D40010">
        <w:t>.</w:t>
      </w:r>
    </w:p>
    <w:p w14:paraId="339D6145" w14:textId="0321AAAE" w:rsidR="005D55A0" w:rsidRPr="004D44EC" w:rsidRDefault="002E1CF0" w:rsidP="007821C3">
      <w:pPr>
        <w:pStyle w:val="ListBullet2"/>
      </w:pPr>
      <w:r w:rsidRPr="004D44EC">
        <w:t xml:space="preserve">Sputum samples should be collected in sterile, wide-mouth containers with a </w:t>
      </w:r>
      <w:r w:rsidR="00C22231" w:rsidRPr="004D44EC">
        <w:t xml:space="preserve">leak-proof </w:t>
      </w:r>
      <w:r w:rsidRPr="004D44EC">
        <w:t>screw-cap lid</w:t>
      </w:r>
      <w:r w:rsidR="00C22231" w:rsidRPr="004D44EC">
        <w:t>; samples must be appropriately labelled</w:t>
      </w:r>
      <w:r w:rsidR="00C742EF" w:rsidRPr="004D44EC">
        <w:t>.</w:t>
      </w:r>
    </w:p>
    <w:p w14:paraId="37A97553" w14:textId="1824298B" w:rsidR="00274307" w:rsidRPr="007A4336" w:rsidRDefault="00017866" w:rsidP="00CA7F5E">
      <w:pPr>
        <w:pStyle w:val="Heading2"/>
      </w:pPr>
      <w:bookmarkStart w:id="58" w:name="_Toc29979762"/>
      <w:bookmarkStart w:id="59" w:name="_Toc97195058"/>
      <w:r w:rsidRPr="00944609">
        <w:t>Infection control r</w:t>
      </w:r>
      <w:r w:rsidR="00274307" w:rsidRPr="00944609">
        <w:t>equirements for sputum collection</w:t>
      </w:r>
      <w:bookmarkEnd w:id="58"/>
      <w:bookmarkEnd w:id="59"/>
      <w:r w:rsidR="00274307" w:rsidRPr="00944609">
        <w:t xml:space="preserve"> </w:t>
      </w:r>
    </w:p>
    <w:p w14:paraId="18E32761" w14:textId="6C0EC5B5" w:rsidR="00017866" w:rsidRPr="004D44EC" w:rsidRDefault="00017866" w:rsidP="00E60A1F">
      <w:r w:rsidRPr="004D44EC">
        <w:t xml:space="preserve">Sputum collection from a coughing patient or by nebulized saline induction will generate infectious aerosols if the patient has </w:t>
      </w:r>
      <w:r w:rsidR="00C22231" w:rsidRPr="004D44EC">
        <w:t xml:space="preserve">pulmonary </w:t>
      </w:r>
      <w:r w:rsidRPr="004D44EC">
        <w:t xml:space="preserve">TB. It is important that sputum collection is performed in the </w:t>
      </w:r>
      <w:r w:rsidR="00A1226B" w:rsidRPr="004D44EC">
        <w:t xml:space="preserve">appropriate </w:t>
      </w:r>
      <w:r w:rsidRPr="004D44EC">
        <w:t>clinical or laboratory environment with engineering design</w:t>
      </w:r>
      <w:r w:rsidR="005C477B" w:rsidRPr="004D44EC">
        <w:t>ed</w:t>
      </w:r>
      <w:r w:rsidRPr="004D44EC">
        <w:t xml:space="preserve"> to prevent potential transmission of TB beyond the collection area. The sputum collection area should be under negative pressure in keeping with NTAC </w:t>
      </w:r>
      <w:r w:rsidR="00C22231" w:rsidRPr="004D44EC">
        <w:t>guidance</w:t>
      </w:r>
      <w:r w:rsidR="00C61E42">
        <w:t xml:space="preserve"> </w:t>
      </w:r>
      <w:r w:rsidR="00C61E42">
        <w:fldChar w:fldCharType="begin"/>
      </w:r>
      <w:r w:rsidR="00C61E42">
        <w:instrText xml:space="preserve"> ADDIN EN.CITE &lt;EndNote&gt;&lt;Cite&gt;&lt;Author&gt;Bastian&lt;/Author&gt;&lt;Year&gt;2020&lt;/Year&gt;&lt;RecNum&gt;17&lt;/RecNum&gt;&lt;DisplayText&gt;(17)&lt;/DisplayText&gt;&lt;record&gt;&lt;rec-number&gt;17&lt;/rec-number&gt;&lt;foreign-keys&gt;&lt;key app="EN" db-id="sr9paxs2qve9wpext2i5swxe50w0rs9dzze2" timestamp="1628681198"&gt;17&lt;/key&gt;&lt;/foreign-keys&gt;&lt;ref-type name="Journal Article"&gt;17&lt;/ref-type&gt;&lt;contributors&gt;&lt;authors&gt;&lt;author&gt;Bastian, I.&lt;/author&gt;&lt;author&gt;Shephard, L.&lt;/author&gt;&lt;author&gt;Lumb, R.&lt;/author&gt;&lt;author&gt;and the National Tuberculosis Advisory Committee,&lt;/author&gt;&lt;/authors&gt;&lt;/contributors&gt;&lt;auth-address&gt;SA Pathology, PO Box 14, Rundle Mall, Adelaide SA 5000.&lt;/auth-address&gt;&lt;titles&gt;&lt;title&gt;Revised guidelines for Australian laboratories performing mycobacteriology testing&lt;/title&gt;&lt;secondary-title&gt;Communicable Diseases Intelligence (2018)&lt;/secondary-title&gt;&lt;/titles&gt;&lt;periodical&gt;&lt;full-title&gt;Communicable Diseases Intelligence (2018)&lt;/full-title&gt;&lt;/periodical&gt;&lt;volume&gt;44&lt;/volume&gt;&lt;edition&gt;2020/01/16&lt;/edition&gt;&lt;keywords&gt;&lt;keyword&gt;Australia&lt;/keyword&gt;&lt;keyword&gt;Humans&lt;/keyword&gt;&lt;keyword&gt;Laboratories/standards&lt;/keyword&gt;&lt;keyword&gt;Mycobacterium tuberculosis&lt;/keyword&gt;&lt;keyword&gt;*Practice Guidelines as Topic&lt;/keyword&gt;&lt;keyword&gt;Tuberculosis/diagnosis/*microbiology&lt;/keyword&gt;&lt;/keywords&gt;&lt;dates&gt;&lt;year&gt;2020&lt;/year&gt;&lt;pub-dates&gt;&lt;date&gt;Jan 15&lt;/date&gt;&lt;/pub-dates&gt;&lt;/dates&gt;&lt;isbn&gt;2209-6051 (Electronic)&amp;#xD;2209-6051 (Linking)&lt;/isbn&gt;&lt;accession-num&gt;31940451&lt;/accession-num&gt;&lt;urls&gt;&lt;related-urls&gt;&lt;url&gt;https://www.ncbi.nlm.nih.gov/pubmed/31940451&lt;/url&gt;&lt;/related-urls&gt;&lt;/urls&gt;&lt;electronic-resource-num&gt;10.33321/cdi.2019.44.2&amp;#xD;10.33321/cdi.2020.44.2&lt;/electronic-resource-num&gt;&lt;/record&gt;&lt;/Cite&gt;&lt;/EndNote&gt;</w:instrText>
      </w:r>
      <w:r w:rsidR="00C61E42">
        <w:fldChar w:fldCharType="separate"/>
      </w:r>
      <w:r w:rsidR="00C61E42">
        <w:rPr>
          <w:noProof/>
        </w:rPr>
        <w:t>(17)</w:t>
      </w:r>
      <w:r w:rsidR="00C61E42">
        <w:fldChar w:fldCharType="end"/>
      </w:r>
      <w:r w:rsidR="00C2130C">
        <w:t xml:space="preserve"> and the Australian standard (46)</w:t>
      </w:r>
      <w:r w:rsidR="00C22231" w:rsidRPr="004D44EC">
        <w:t>. Where this is not possible, sputum collection should be performed in a well</w:t>
      </w:r>
      <w:r w:rsidR="00523712">
        <w:t>-</w:t>
      </w:r>
      <w:r w:rsidR="00C22231" w:rsidRPr="004D44EC">
        <w:t>ventilated area without shared airflow to other areas. For ambulant patients</w:t>
      </w:r>
      <w:r w:rsidR="00F705D8" w:rsidRPr="004D44EC">
        <w:t>,</w:t>
      </w:r>
      <w:r w:rsidR="00C22231" w:rsidRPr="004D44EC">
        <w:t xml:space="preserve"> sputum collection in an external area away from others is appropriate.</w:t>
      </w:r>
    </w:p>
    <w:p w14:paraId="48377922" w14:textId="3560815A" w:rsidR="00C22231" w:rsidRPr="004D44EC" w:rsidRDefault="00C22231" w:rsidP="00E60A1F">
      <w:r w:rsidRPr="004D44EC">
        <w:t>If a healthcare worker need</w:t>
      </w:r>
      <w:r w:rsidR="00553CEF">
        <w:t>s</w:t>
      </w:r>
      <w:r w:rsidRPr="004D44EC">
        <w:t xml:space="preserve"> </w:t>
      </w:r>
      <w:r w:rsidR="002E75A4">
        <w:t xml:space="preserve">to </w:t>
      </w:r>
      <w:r w:rsidRPr="004D44EC">
        <w:t>be in attendance during collection of a sputum sample, personal protective equipment for prevention of airborne transmission</w:t>
      </w:r>
      <w:r w:rsidR="00F705D8" w:rsidRPr="004D44EC">
        <w:t>, including a P2/N95 respirator mask</w:t>
      </w:r>
      <w:r w:rsidR="00A33A5D">
        <w:t>,</w:t>
      </w:r>
      <w:r w:rsidRPr="004D44EC">
        <w:t xml:space="preserve"> should be used.</w:t>
      </w:r>
    </w:p>
    <w:p w14:paraId="6D28F485" w14:textId="77777777" w:rsidR="002E1CF0" w:rsidRPr="007A4336" w:rsidRDefault="00236C0F" w:rsidP="00CA7F5E">
      <w:pPr>
        <w:pStyle w:val="Heading2"/>
      </w:pPr>
      <w:bookmarkStart w:id="60" w:name="_Toc29979763"/>
      <w:bookmarkStart w:id="61" w:name="_Toc97195059"/>
      <w:r w:rsidRPr="00944609">
        <w:t>Extra-pulmonary TB</w:t>
      </w:r>
      <w:bookmarkEnd w:id="60"/>
      <w:bookmarkEnd w:id="61"/>
    </w:p>
    <w:p w14:paraId="57399331" w14:textId="7C6F0350" w:rsidR="002E1CF0" w:rsidRPr="004D44EC" w:rsidRDefault="002E1CF0" w:rsidP="00294A5B">
      <w:r w:rsidRPr="004D44EC">
        <w:t>The investigation of extra-pulmonary TB requires the collection of samples from normally</w:t>
      </w:r>
      <w:r w:rsidR="005D76E8">
        <w:t xml:space="preserve"> </w:t>
      </w:r>
      <w:r w:rsidRPr="004D44EC">
        <w:t>sterile sites (</w:t>
      </w:r>
      <w:proofErr w:type="gramStart"/>
      <w:r w:rsidRPr="004D44EC">
        <w:t>e.g.</w:t>
      </w:r>
      <w:proofErr w:type="gramEnd"/>
      <w:r w:rsidRPr="004D44EC">
        <w:t xml:space="preserve"> </w:t>
      </w:r>
      <w:r w:rsidR="00261C28">
        <w:t>cerebral spinal fluid (</w:t>
      </w:r>
      <w:r w:rsidRPr="004D44EC">
        <w:t>CSF</w:t>
      </w:r>
      <w:r w:rsidR="00261C28">
        <w:t>)</w:t>
      </w:r>
      <w:r w:rsidRPr="004D44EC">
        <w:t>, bone, lymph node,</w:t>
      </w:r>
      <w:r w:rsidR="00091C9A">
        <w:t xml:space="preserve"> </w:t>
      </w:r>
      <w:r w:rsidRPr="004D44EC">
        <w:t>peritoneum</w:t>
      </w:r>
      <w:r w:rsidR="007771A3" w:rsidRPr="004D44EC">
        <w:t xml:space="preserve"> etc</w:t>
      </w:r>
      <w:r w:rsidRPr="004D44EC">
        <w:t xml:space="preserve">) </w:t>
      </w:r>
      <w:r w:rsidR="00017866" w:rsidRPr="004D44EC">
        <w:t xml:space="preserve">using invasive </w:t>
      </w:r>
      <w:r w:rsidR="00461365" w:rsidRPr="004D44EC">
        <w:t>procedures</w:t>
      </w:r>
      <w:r w:rsidR="00017866" w:rsidRPr="004D44EC">
        <w:t xml:space="preserve"> often facilitated by</w:t>
      </w:r>
      <w:r w:rsidR="00461365" w:rsidRPr="004D44EC">
        <w:t xml:space="preserve"> </w:t>
      </w:r>
      <w:r w:rsidRPr="004D44EC">
        <w:t>radiological guidance</w:t>
      </w:r>
      <w:r w:rsidR="00017866" w:rsidRPr="004D44EC">
        <w:t>,</w:t>
      </w:r>
      <w:r w:rsidRPr="004D44EC">
        <w:t xml:space="preserve"> or </w:t>
      </w:r>
      <w:r w:rsidR="00261C28">
        <w:t>during an</w:t>
      </w:r>
      <w:r w:rsidR="00261C28" w:rsidRPr="004D44EC">
        <w:t xml:space="preserve"> </w:t>
      </w:r>
      <w:r w:rsidRPr="004D44EC">
        <w:t>operation</w:t>
      </w:r>
      <w:r w:rsidR="00E85B8C" w:rsidRPr="004D44EC">
        <w:t>.</w:t>
      </w:r>
      <w:r w:rsidRPr="004D44EC">
        <w:t xml:space="preserve"> </w:t>
      </w:r>
      <w:r w:rsidR="004F4263" w:rsidRPr="004D44EC">
        <w:t xml:space="preserve">Mycobacterial culture of </w:t>
      </w:r>
      <w:r w:rsidR="0087703E" w:rsidRPr="004D44EC">
        <w:t xml:space="preserve">early morning urine </w:t>
      </w:r>
      <w:r w:rsidR="005058FF" w:rsidRPr="004D44EC">
        <w:t xml:space="preserve">on 3 consecutive mornings </w:t>
      </w:r>
      <w:r w:rsidR="004F4263" w:rsidRPr="004D44EC">
        <w:t>can be used in the investigation of renal tract TB.</w:t>
      </w:r>
    </w:p>
    <w:p w14:paraId="56D0A8D3" w14:textId="77777777" w:rsidR="00274307" w:rsidRPr="001C34D7" w:rsidRDefault="002E1CF0" w:rsidP="00236C0F">
      <w:pPr>
        <w:rPr>
          <w:rStyle w:val="Strong"/>
        </w:rPr>
      </w:pPr>
      <w:r w:rsidRPr="004D44EC">
        <w:t>Surgeons and operating room staff must be specifically directed to place specimens in saline and NOT formalin so that culture and drug susceptibility testing are possible.</w:t>
      </w:r>
    </w:p>
    <w:p w14:paraId="1DE98151" w14:textId="3D41832E" w:rsidR="002E1CF0" w:rsidRPr="007A4336" w:rsidRDefault="002E1CF0" w:rsidP="00CA7F5E">
      <w:pPr>
        <w:pStyle w:val="Heading2"/>
      </w:pPr>
      <w:bookmarkStart w:id="62" w:name="_Toc97195060"/>
      <w:r w:rsidRPr="00944609">
        <w:t>Microscopy</w:t>
      </w:r>
      <w:r w:rsidR="00D23B32" w:rsidRPr="00944609">
        <w:t xml:space="preserve"> </w:t>
      </w:r>
      <w:r w:rsidRPr="00944609">
        <w:t>and culture</w:t>
      </w:r>
      <w:bookmarkEnd w:id="62"/>
    </w:p>
    <w:p w14:paraId="2212D206" w14:textId="72EE1EAB" w:rsidR="002E1CF0" w:rsidRPr="004D44EC" w:rsidRDefault="002E1CF0" w:rsidP="00294A5B">
      <w:r w:rsidRPr="004D44EC">
        <w:t>Only about 60% of culture-positive respiratory specimens will be smear-positive</w:t>
      </w:r>
      <w:r w:rsidR="00A1226B" w:rsidRPr="004D44EC">
        <w:t xml:space="preserve"> for acid-fast bacilli (AFB)</w:t>
      </w:r>
      <w:r w:rsidRPr="004D44EC">
        <w:t xml:space="preserve">. </w:t>
      </w:r>
      <w:r w:rsidR="00F705D8" w:rsidRPr="004D44EC">
        <w:t>Additionally,</w:t>
      </w:r>
      <w:r w:rsidRPr="004D44EC">
        <w:t xml:space="preserve"> smear microscopy cannot reliably differentiate </w:t>
      </w:r>
      <w:r w:rsidRPr="003031A7">
        <w:rPr>
          <w:rStyle w:val="Emphasis"/>
        </w:rPr>
        <w:t>M. tuberculosis</w:t>
      </w:r>
      <w:r w:rsidRPr="004D44EC">
        <w:t xml:space="preserve"> bacilli from non-tuberculous mycobacteria (NTM). Microscopy therefore lacks sensitivity (so a negative result does not exclude </w:t>
      </w:r>
      <w:r w:rsidR="00E95AA3" w:rsidRPr="004D44EC">
        <w:t>TB</w:t>
      </w:r>
      <w:r w:rsidRPr="004D44EC">
        <w:t>) and specificity (“false-positive” results may occur due to the presence of NTMs). Smear positive cases should be treated as TB until proven otherwise.</w:t>
      </w:r>
    </w:p>
    <w:p w14:paraId="4710029A" w14:textId="1AF4FE41" w:rsidR="002E1CF0" w:rsidRPr="004D44EC" w:rsidRDefault="002E1CF0" w:rsidP="00294A5B">
      <w:r w:rsidRPr="004D44EC">
        <w:t>Smear results should be available within 24</w:t>
      </w:r>
      <w:r w:rsidR="00A1226B" w:rsidRPr="004D44EC">
        <w:t>-48</w:t>
      </w:r>
      <w:r w:rsidRPr="004D44EC">
        <w:t xml:space="preserve"> hours of specimen receipt</w:t>
      </w:r>
      <w:r w:rsidR="009073AF" w:rsidRPr="004D44EC">
        <w:t xml:space="preserve"> even on weekends if the specimen is deemed urgent after consultation between the treating clinician and the laboratory. Microscopy</w:t>
      </w:r>
      <w:r w:rsidRPr="004D44EC">
        <w:t xml:space="preserve"> provide</w:t>
      </w:r>
      <w:r w:rsidR="009073AF" w:rsidRPr="004D44EC">
        <w:t>s</w:t>
      </w:r>
      <w:r w:rsidRPr="004D44EC">
        <w:t xml:space="preserve"> a measure of the infectivity of the patient (</w:t>
      </w:r>
      <w:proofErr w:type="gramStart"/>
      <w:r w:rsidRPr="004D44EC">
        <w:t>i.e.</w:t>
      </w:r>
      <w:proofErr w:type="gramEnd"/>
      <w:r w:rsidRPr="004D44EC">
        <w:t xml:space="preserve"> smear-positive cases have a heavy burden of acid-fast bacilli (AFB) in their sputa that can be transmitted by coughing, singing, etc</w:t>
      </w:r>
      <w:r w:rsidR="00C467DE" w:rsidRPr="004D44EC">
        <w:t>.</w:t>
      </w:r>
      <w:r w:rsidRPr="004D44EC">
        <w:t xml:space="preserve">). </w:t>
      </w:r>
    </w:p>
    <w:p w14:paraId="4C40A04B" w14:textId="341B6B6D" w:rsidR="002E1CF0" w:rsidRPr="004D44EC" w:rsidRDefault="002E1CF0" w:rsidP="00294A5B">
      <w:r w:rsidRPr="004D44EC">
        <w:t>Culture remains the definitive “gold standard” investigation for TB and in contrast to microscopy, culture is highly sensitive</w:t>
      </w:r>
      <w:r w:rsidR="00A1226B" w:rsidRPr="004D44EC">
        <w:t xml:space="preserve"> and specific</w:t>
      </w:r>
      <w:r w:rsidRPr="004D44EC">
        <w:t>.</w:t>
      </w:r>
    </w:p>
    <w:p w14:paraId="6652289F" w14:textId="78702506" w:rsidR="002E1CF0" w:rsidRPr="004D44EC" w:rsidRDefault="002E1CF0" w:rsidP="00294A5B">
      <w:r w:rsidRPr="004D44EC">
        <w:lastRenderedPageBreak/>
        <w:t xml:space="preserve">The initial culture and identification of </w:t>
      </w:r>
      <w:r w:rsidRPr="003031A7">
        <w:rPr>
          <w:rStyle w:val="Emphasis"/>
        </w:rPr>
        <w:t>M. tuberculosis</w:t>
      </w:r>
      <w:r w:rsidRPr="004D44EC">
        <w:t xml:space="preserve"> </w:t>
      </w:r>
      <w:r w:rsidR="00252A9D" w:rsidRPr="004D44EC">
        <w:t xml:space="preserve">complex </w:t>
      </w:r>
      <w:r w:rsidRPr="004D44EC">
        <w:t>takes an average of 10</w:t>
      </w:r>
      <w:r w:rsidR="00C467DE" w:rsidRPr="004D44EC">
        <w:t>–</w:t>
      </w:r>
      <w:r w:rsidR="009073AF" w:rsidRPr="004D44EC">
        <w:t>21</w:t>
      </w:r>
      <w:r w:rsidRPr="004D44EC">
        <w:t xml:space="preserve"> days with the subsequent susceptibi</w:t>
      </w:r>
      <w:r w:rsidR="00C467DE" w:rsidRPr="004D44EC">
        <w:t>lity results expected within 15–</w:t>
      </w:r>
      <w:r w:rsidRPr="004D44EC">
        <w:t>30 days of specimen receipt.</w:t>
      </w:r>
      <w:r w:rsidR="007B13FA" w:rsidRPr="004D44EC">
        <w:t xml:space="preserve"> Within 24 hours of culture positivity, all</w:t>
      </w:r>
      <w:r w:rsidR="00430FA5" w:rsidRPr="004D44EC">
        <w:t xml:space="preserve"> TB culture laboratories should be able to perform </w:t>
      </w:r>
      <w:r w:rsidR="00E50FD4" w:rsidRPr="004D44EC">
        <w:t>a</w:t>
      </w:r>
      <w:r w:rsidR="007B13FA" w:rsidRPr="004D44EC">
        <w:t xml:space="preserve">n </w:t>
      </w:r>
      <w:proofErr w:type="spellStart"/>
      <w:r w:rsidR="007B13FA" w:rsidRPr="004D44EC">
        <w:t>immunochromatogenic</w:t>
      </w:r>
      <w:proofErr w:type="spellEnd"/>
      <w:r w:rsidR="007B13FA" w:rsidRPr="004D44EC">
        <w:t xml:space="preserve"> test (detection of </w:t>
      </w:r>
      <w:r w:rsidR="00E50FD4" w:rsidRPr="004D44EC">
        <w:rPr>
          <w:rFonts w:cs="Arial"/>
        </w:rPr>
        <w:t>MPT64</w:t>
      </w:r>
      <w:r w:rsidR="007B13FA" w:rsidRPr="004D44EC">
        <w:rPr>
          <w:rFonts w:cs="Arial"/>
        </w:rPr>
        <w:t xml:space="preserve"> antigen) or a molecular assay for </w:t>
      </w:r>
      <w:r w:rsidR="00E50FD4" w:rsidRPr="004D44EC">
        <w:rPr>
          <w:rFonts w:cs="Arial"/>
        </w:rPr>
        <w:t xml:space="preserve">rapid identification of </w:t>
      </w:r>
      <w:r w:rsidR="00F705D8" w:rsidRPr="003031A7">
        <w:rPr>
          <w:rStyle w:val="Emphasis"/>
        </w:rPr>
        <w:t>M. tuberculosis</w:t>
      </w:r>
      <w:r w:rsidR="00F705D8" w:rsidRPr="004D44EC">
        <w:rPr>
          <w:rFonts w:cs="Arial"/>
        </w:rPr>
        <w:t xml:space="preserve"> complex.</w:t>
      </w:r>
      <w:r w:rsidR="009857DC" w:rsidRPr="004D44EC">
        <w:rPr>
          <w:rFonts w:cs="Arial"/>
        </w:rPr>
        <w:t xml:space="preserve"> Rarely,</w:t>
      </w:r>
      <w:r w:rsidR="006F0593" w:rsidRPr="004D44EC">
        <w:rPr>
          <w:rFonts w:cs="Arial"/>
        </w:rPr>
        <w:t xml:space="preserve"> strains of </w:t>
      </w:r>
      <w:r w:rsidR="006F0593" w:rsidRPr="003031A7">
        <w:rPr>
          <w:rStyle w:val="Emphasis"/>
        </w:rPr>
        <w:t>M. tuberculosis</w:t>
      </w:r>
      <w:r w:rsidR="006F0593" w:rsidRPr="004D44EC">
        <w:rPr>
          <w:rFonts w:cs="Arial"/>
        </w:rPr>
        <w:t xml:space="preserve"> </w:t>
      </w:r>
      <w:r w:rsidR="00A0025B" w:rsidRPr="004D44EC">
        <w:rPr>
          <w:rFonts w:cs="Arial"/>
        </w:rPr>
        <w:t xml:space="preserve">complex </w:t>
      </w:r>
      <w:r w:rsidR="006F0593" w:rsidRPr="004D44EC">
        <w:rPr>
          <w:rFonts w:cs="Arial"/>
        </w:rPr>
        <w:t>may be MPT64 negative.</w:t>
      </w:r>
    </w:p>
    <w:p w14:paraId="78ED519F" w14:textId="0FB02DCF" w:rsidR="00B7223C" w:rsidRPr="004D44EC" w:rsidRDefault="007B13FA" w:rsidP="00294A5B">
      <w:r w:rsidRPr="004D44EC">
        <w:t xml:space="preserve">Some cases of TB </w:t>
      </w:r>
      <w:r w:rsidR="00F705D8" w:rsidRPr="004D44EC">
        <w:t>(</w:t>
      </w:r>
      <w:r w:rsidRPr="004D44EC">
        <w:t>which respond appropriately to therapy</w:t>
      </w:r>
      <w:r w:rsidR="00F705D8" w:rsidRPr="004D44EC">
        <w:t>)</w:t>
      </w:r>
      <w:r w:rsidRPr="004D44EC">
        <w:t xml:space="preserve"> </w:t>
      </w:r>
      <w:r w:rsidR="00A1226B" w:rsidRPr="004D44EC">
        <w:t xml:space="preserve">might </w:t>
      </w:r>
      <w:r w:rsidRPr="004D44EC">
        <w:t>be found to be</w:t>
      </w:r>
      <w:r w:rsidR="00F705D8" w:rsidRPr="004D44EC">
        <w:t xml:space="preserve"> negative by microscopy, NAAT</w:t>
      </w:r>
      <w:r w:rsidRPr="004D44EC">
        <w:t xml:space="preserve"> and culture. A</w:t>
      </w:r>
      <w:r w:rsidR="002E1CF0" w:rsidRPr="004D44EC">
        <w:t xml:space="preserve">bout </w:t>
      </w:r>
      <w:r w:rsidR="00D23B32" w:rsidRPr="004D44EC">
        <w:t>15%</w:t>
      </w:r>
      <w:r w:rsidR="002E1CF0" w:rsidRPr="004D44EC">
        <w:t xml:space="preserve"> of TB cases each year in Australia </w:t>
      </w:r>
      <w:r w:rsidR="00553CEF">
        <w:t xml:space="preserve">are </w:t>
      </w:r>
      <w:r w:rsidR="002E1CF0" w:rsidRPr="004D44EC">
        <w:t>not laboratory-confirmed</w:t>
      </w:r>
      <w:r w:rsidR="007B7702" w:rsidRPr="004D44EC">
        <w:t xml:space="preserve"> </w:t>
      </w:r>
      <w:r w:rsidR="002427CF">
        <w:rPr>
          <w:rFonts w:cs="Arial"/>
        </w:rPr>
        <w:fldChar w:fldCharType="begin"/>
      </w:r>
      <w:r w:rsidR="00342D3C">
        <w:rPr>
          <w:rFonts w:cs="Arial"/>
        </w:rPr>
        <w:instrText xml:space="preserve"> ADDIN EN.CITE &lt;EndNote&gt;&lt;Cite&gt;&lt;Author&gt;Bright&lt;/Author&gt;&lt;Year&gt;2018&lt;/Year&gt;&lt;RecNum&gt;6&lt;/RecNum&gt;&lt;DisplayText&gt;(6)&lt;/DisplayText&gt;&lt;record&gt;&lt;rec-number&gt;6&lt;/rec-number&gt;&lt;foreign-keys&gt;&lt;key app="EN" db-id="sr9paxs2qve9wpext2i5swxe50w0rs9dzze2" timestamp="1628681197"&gt;6&lt;/key&gt;&lt;/foreign-keys&gt;&lt;ref-type name="Journal Article"&gt;17&lt;/ref-type&gt;&lt;contributors&gt;&lt;authors&gt;&lt;author&gt;Bright, A.&lt;/author&gt;&lt;author&gt;Denholm, J.&lt;/author&gt;&lt;author&gt;Coulter, C.&lt;/author&gt;&lt;author&gt;Waring, J.&lt;/author&gt;&lt;author&gt;Stapledon, R.&lt;/author&gt;&lt;/authors&gt;&lt;/contributors&gt;&lt;auth-address&gt;Office of Health Protection and Response Division, Department of Health, Canberra, ACT.&amp;#xD;Victorian Tuberculosis Program, Melbourne Health, Melbourne Vic.&amp;#xD;Queensland Mycobacterium Reference Laboratory, Pathology Queensland, Brisbane Qld.&amp;#xD;Western Australia Tuberculosis Program, WA Health, Perth WA.&amp;#xD;South Australian Tuberculosis Services, Royal Adelaide Hospital, Adelaide SA.&lt;/auth-address&gt;&lt;titles&gt;&lt;title&gt;Tuberculosis notifications in Australia, 2015-2018&lt;/title&gt;&lt;secondary-title&gt;Communicable Diseases Intelligence.&lt;/secondary-title&gt;&lt;/titles&gt;&lt;periodical&gt;&lt;full-title&gt;Communicable Diseases Intelligence.&lt;/full-title&gt;&lt;/periodical&gt;&lt;pages&gt;1-39&lt;/pages&gt;&lt;volume&gt;44&lt;/volume&gt;&lt;edition&gt;2020/12/07&lt;/edition&gt;&lt;keywords&gt;&lt;keyword&gt;Australia&lt;/keyword&gt;&lt;keyword&gt;Mycobacterium tuberculosis&lt;/keyword&gt;&lt;keyword&gt;annual report&lt;/keyword&gt;&lt;keyword&gt;communicable disease surveillance&lt;/keyword&gt;&lt;keyword&gt;epidemiology&lt;/keyword&gt;&lt;keyword&gt;tuberculosis&lt;/keyword&gt;&lt;/keywords&gt;&lt;dates&gt;&lt;year&gt;2018&lt;/year&gt;&lt;pub-dates&gt;&lt;date&gt;Oct 25&lt;/date&gt;&lt;/pub-dates&gt;&lt;/dates&gt;&lt;isbn&gt;2209-6051 (Electronic)&amp;#xD;2209-6051 (Linking)&lt;/isbn&gt;&lt;accession-num&gt;33278873&lt;/accession-num&gt;&lt;urls&gt;&lt;related-urls&gt;&lt;url&gt;https://www.ncbi.nlm.nih.gov/pubmed/33278873&lt;/url&gt;&lt;/related-urls&gt;&lt;/urls&gt;&lt;electronic-resource-num&gt;10.33321/cdi.2020.44.88&lt;/electronic-resource-num&gt;&lt;/record&gt;&lt;/Cite&gt;&lt;/EndNote&gt;</w:instrText>
      </w:r>
      <w:r w:rsidR="002427CF">
        <w:rPr>
          <w:rFonts w:cs="Arial"/>
        </w:rPr>
        <w:fldChar w:fldCharType="separate"/>
      </w:r>
      <w:r w:rsidR="002427CF">
        <w:rPr>
          <w:rFonts w:cs="Arial"/>
          <w:noProof/>
        </w:rPr>
        <w:t>(6)</w:t>
      </w:r>
      <w:r w:rsidR="002427CF">
        <w:rPr>
          <w:rFonts w:cs="Arial"/>
        </w:rPr>
        <w:fldChar w:fldCharType="end"/>
      </w:r>
      <w:r w:rsidR="002E1CF0" w:rsidRPr="004D44EC">
        <w:t>. Rarely</w:t>
      </w:r>
      <w:r w:rsidR="00F705D8" w:rsidRPr="004D44EC">
        <w:t>,</w:t>
      </w:r>
      <w:r w:rsidR="002E1CF0" w:rsidRPr="004D44EC">
        <w:t xml:space="preserve"> culture is open to laboratory cross-contamination of AFBs from a “strong-positive” sample to a “true-negative” sample.</w:t>
      </w:r>
      <w:r w:rsidRPr="004D44EC">
        <w:t xml:space="preserve"> Clinicians should discuss with the laboratory any cases of TB which lack clinical plausibility in order tha</w:t>
      </w:r>
      <w:r w:rsidR="00F705D8" w:rsidRPr="004D44EC">
        <w:t>t</w:t>
      </w:r>
      <w:r w:rsidRPr="004D44EC">
        <w:t xml:space="preserve"> the laboratory can investigate the possibility of cross</w:t>
      </w:r>
      <w:r w:rsidR="00A1226B" w:rsidRPr="004D44EC">
        <w:t>-</w:t>
      </w:r>
      <w:r w:rsidRPr="004D44EC">
        <w:t>contamination.</w:t>
      </w:r>
    </w:p>
    <w:p w14:paraId="43613640" w14:textId="5A7AA0A1" w:rsidR="002E1CF0" w:rsidRPr="007A4336" w:rsidRDefault="002E1CF0" w:rsidP="00CA7F5E">
      <w:pPr>
        <w:pStyle w:val="Heading2"/>
      </w:pPr>
      <w:bookmarkStart w:id="63" w:name="_Toc29979765"/>
      <w:bookmarkStart w:id="64" w:name="_Toc97195061"/>
      <w:r w:rsidRPr="00944609">
        <w:t>Drug susceptibility testing</w:t>
      </w:r>
      <w:r w:rsidR="00307BE7" w:rsidRPr="00944609">
        <w:t xml:space="preserve"> (DST)</w:t>
      </w:r>
      <w:bookmarkEnd w:id="63"/>
      <w:bookmarkEnd w:id="64"/>
    </w:p>
    <w:p w14:paraId="036B07E6" w14:textId="7E7A35D7" w:rsidR="002E1CF0" w:rsidRPr="004D44EC" w:rsidRDefault="002E1CF0" w:rsidP="00993C7C">
      <w:pPr>
        <w:rPr>
          <w:rFonts w:cs="Arial"/>
        </w:rPr>
      </w:pPr>
      <w:r w:rsidRPr="004D44EC">
        <w:rPr>
          <w:rFonts w:cs="Arial"/>
        </w:rPr>
        <w:t xml:space="preserve">The NTAC </w:t>
      </w:r>
      <w:r w:rsidR="00F22EF7" w:rsidRPr="004D44EC">
        <w:rPr>
          <w:rFonts w:cs="Arial"/>
        </w:rPr>
        <w:t xml:space="preserve">Revised </w:t>
      </w:r>
      <w:r w:rsidRPr="004D44EC">
        <w:rPr>
          <w:rFonts w:cs="Arial"/>
        </w:rPr>
        <w:t xml:space="preserve">Guidelines for Australian </w:t>
      </w:r>
      <w:r w:rsidR="00F22EF7" w:rsidRPr="004D44EC">
        <w:rPr>
          <w:rFonts w:cs="Arial"/>
        </w:rPr>
        <w:t xml:space="preserve">Laboratories </w:t>
      </w:r>
      <w:r w:rsidR="00BC5E13" w:rsidRPr="004D44EC">
        <w:rPr>
          <w:rFonts w:cs="Arial"/>
        </w:rPr>
        <w:t>P</w:t>
      </w:r>
      <w:r w:rsidR="00F22EF7" w:rsidRPr="004D44EC">
        <w:rPr>
          <w:rFonts w:cs="Arial"/>
        </w:rPr>
        <w:t xml:space="preserve">erforming </w:t>
      </w:r>
      <w:r w:rsidR="00BC5E13" w:rsidRPr="004D44EC">
        <w:rPr>
          <w:rFonts w:cs="Arial"/>
        </w:rPr>
        <w:t>M</w:t>
      </w:r>
      <w:r w:rsidR="00F22EF7" w:rsidRPr="004D44EC">
        <w:rPr>
          <w:rFonts w:cs="Arial"/>
        </w:rPr>
        <w:t xml:space="preserve">ycobacteriology </w:t>
      </w:r>
      <w:r w:rsidR="00BC5E13" w:rsidRPr="004D44EC">
        <w:rPr>
          <w:rFonts w:cs="Arial"/>
        </w:rPr>
        <w:t>T</w:t>
      </w:r>
      <w:r w:rsidR="00F22EF7" w:rsidRPr="004D44EC">
        <w:rPr>
          <w:rFonts w:cs="Arial"/>
        </w:rPr>
        <w:t>esting</w:t>
      </w:r>
      <w:r w:rsidR="00BC5E13" w:rsidRPr="004D44EC">
        <w:rPr>
          <w:rFonts w:cs="Arial"/>
        </w:rPr>
        <w:t xml:space="preserve"> </w:t>
      </w:r>
      <w:r w:rsidRPr="004D44EC">
        <w:rPr>
          <w:rFonts w:cs="Arial"/>
        </w:rPr>
        <w:t>stipulate that drug susceptibility testing (DST) should be performed on:</w:t>
      </w:r>
    </w:p>
    <w:p w14:paraId="3C1AC371" w14:textId="60B890AB" w:rsidR="002E1CF0" w:rsidRPr="004D44EC" w:rsidRDefault="00D5500A" w:rsidP="007821C3">
      <w:pPr>
        <w:pStyle w:val="ListBullet2"/>
      </w:pPr>
      <w:r w:rsidRPr="004D44EC">
        <w:t>A</w:t>
      </w:r>
      <w:r w:rsidR="002E1CF0" w:rsidRPr="004D44EC">
        <w:t xml:space="preserve">ll initial isolates of </w:t>
      </w:r>
      <w:r w:rsidR="002E1CF0" w:rsidRPr="004D44EC">
        <w:rPr>
          <w:i/>
        </w:rPr>
        <w:t>M. tuberculosis</w:t>
      </w:r>
      <w:r w:rsidR="005410B2" w:rsidRPr="004D44EC">
        <w:rPr>
          <w:i/>
        </w:rPr>
        <w:t xml:space="preserve"> </w:t>
      </w:r>
      <w:r w:rsidR="005410B2" w:rsidRPr="004D44EC">
        <w:t xml:space="preserve">(isoniazid, rifampicin, </w:t>
      </w:r>
      <w:proofErr w:type="gramStart"/>
      <w:r w:rsidR="005410B2" w:rsidRPr="004D44EC">
        <w:t>ethambutol</w:t>
      </w:r>
      <w:proofErr w:type="gramEnd"/>
      <w:r w:rsidR="005410B2" w:rsidRPr="004D44EC">
        <w:t xml:space="preserve"> and pyrazinamide)</w:t>
      </w:r>
      <w:r w:rsidR="00A50423" w:rsidRPr="004D44EC">
        <w:t>.</w:t>
      </w:r>
    </w:p>
    <w:p w14:paraId="69C8AB6D" w14:textId="73A4F0F2" w:rsidR="002E1CF0" w:rsidRPr="004D44EC" w:rsidRDefault="00D5500A" w:rsidP="007821C3">
      <w:pPr>
        <w:pStyle w:val="ListBullet2"/>
      </w:pPr>
      <w:r w:rsidRPr="004D44EC">
        <w:t>I</w:t>
      </w:r>
      <w:r w:rsidR="002E1CF0" w:rsidRPr="004D44EC">
        <w:t>solates from patients who remain culture-positive after 3 months of trea</w:t>
      </w:r>
      <w:r w:rsidR="00C467DE" w:rsidRPr="004D44EC">
        <w:t>tment</w:t>
      </w:r>
      <w:r w:rsidR="00A50423" w:rsidRPr="004D44EC">
        <w:t>.</w:t>
      </w:r>
    </w:p>
    <w:p w14:paraId="52656B95" w14:textId="57A482FA" w:rsidR="002E1CF0" w:rsidRPr="004D44EC" w:rsidRDefault="00D5500A" w:rsidP="007821C3">
      <w:pPr>
        <w:pStyle w:val="ListBullet2"/>
      </w:pPr>
      <w:r w:rsidRPr="004D44EC">
        <w:t>I</w:t>
      </w:r>
      <w:r w:rsidR="002E1CF0" w:rsidRPr="004D44EC">
        <w:t xml:space="preserve">solates from patients who are </w:t>
      </w:r>
      <w:r w:rsidR="00C467DE" w:rsidRPr="004D44EC">
        <w:t>clinically failing treatment</w:t>
      </w:r>
      <w:r w:rsidR="00A50423" w:rsidRPr="004D44EC">
        <w:t>.</w:t>
      </w:r>
    </w:p>
    <w:p w14:paraId="17DD1E0E" w14:textId="77777777" w:rsidR="002E1CF0" w:rsidRPr="004D44EC" w:rsidRDefault="00D5500A" w:rsidP="007821C3">
      <w:pPr>
        <w:pStyle w:val="ListBullet2"/>
      </w:pPr>
      <w:r w:rsidRPr="004D44EC">
        <w:t>A</w:t>
      </w:r>
      <w:r w:rsidR="002E1CF0" w:rsidRPr="004D44EC">
        <w:t>n initial isolate from a patient relapsing after previously successful TB treatment.</w:t>
      </w:r>
    </w:p>
    <w:p w14:paraId="18D6BA48" w14:textId="7137129C" w:rsidR="002E1CF0" w:rsidRPr="004D44EC" w:rsidRDefault="00292896" w:rsidP="002E1CF0">
      <w:pPr>
        <w:rPr>
          <w:rFonts w:cs="Arial"/>
        </w:rPr>
      </w:pPr>
      <w:r w:rsidRPr="004D44EC">
        <w:rPr>
          <w:rFonts w:cs="Arial"/>
        </w:rPr>
        <w:t>Where there is resistance to rifampicin, second line agents should also be tested where a WHO endorsed method is available.</w:t>
      </w:r>
      <w:r w:rsidR="005410B2" w:rsidRPr="004D44EC">
        <w:rPr>
          <w:rFonts w:cs="Arial"/>
        </w:rPr>
        <w:t xml:space="preserve"> </w:t>
      </w:r>
      <w:r w:rsidR="00692F57">
        <w:rPr>
          <w:rFonts w:cs="Arial"/>
        </w:rPr>
        <w:t>R</w:t>
      </w:r>
      <w:r w:rsidR="008F33C1" w:rsidRPr="004D44EC">
        <w:rPr>
          <w:rFonts w:cs="Arial"/>
        </w:rPr>
        <w:t xml:space="preserve">ecommendations on grouping of second line antimicrobial agents </w:t>
      </w:r>
      <w:r w:rsidR="008C6D47">
        <w:rPr>
          <w:rFonts w:cs="Arial"/>
        </w:rPr>
        <w:t xml:space="preserve">and </w:t>
      </w:r>
      <w:r w:rsidR="008C6D47" w:rsidRPr="004D44EC">
        <w:rPr>
          <w:rFonts w:cs="Arial"/>
        </w:rPr>
        <w:t xml:space="preserve">critical concentrations for DST </w:t>
      </w:r>
      <w:r w:rsidR="00692F57">
        <w:rPr>
          <w:rFonts w:cs="Arial"/>
        </w:rPr>
        <w:t xml:space="preserve">have been published in </w:t>
      </w:r>
      <w:r w:rsidR="00692F57" w:rsidRPr="004D44EC">
        <w:rPr>
          <w:rFonts w:cs="Arial"/>
        </w:rPr>
        <w:t>WHO</w:t>
      </w:r>
      <w:r w:rsidR="00692F57">
        <w:rPr>
          <w:rFonts w:cs="Arial"/>
        </w:rPr>
        <w:t xml:space="preserve"> </w:t>
      </w:r>
      <w:r w:rsidR="00692F57" w:rsidRPr="005D76E8">
        <w:rPr>
          <w:noProof/>
        </w:rPr>
        <w:t>operational handbook</w:t>
      </w:r>
      <w:r w:rsidR="00692F57">
        <w:rPr>
          <w:noProof/>
        </w:rPr>
        <w:t xml:space="preserve"> for </w:t>
      </w:r>
      <w:r w:rsidR="00692F57" w:rsidRPr="005D76E8">
        <w:rPr>
          <w:noProof/>
        </w:rPr>
        <w:t>drug-resistant tuberculosis treatment</w:t>
      </w:r>
      <w:r w:rsidR="00692F57">
        <w:rPr>
          <w:noProof/>
        </w:rPr>
        <w:t>s</w:t>
      </w:r>
      <w:r w:rsidR="00692F57" w:rsidRPr="004D44EC">
        <w:rPr>
          <w:rFonts w:cs="Arial"/>
        </w:rPr>
        <w:t xml:space="preserve"> </w:t>
      </w:r>
      <w:r w:rsidR="00544F7D">
        <w:rPr>
          <w:rFonts w:cs="Arial"/>
        </w:rPr>
        <w:fldChar w:fldCharType="begin"/>
      </w:r>
      <w:r w:rsidR="004041E8">
        <w:rPr>
          <w:rFonts w:cs="Arial"/>
        </w:rPr>
        <w:instrText xml:space="preserve"> ADDIN EN.CITE &lt;EndNote&gt;&lt;Cite&gt;&lt;Author&gt;World Health Organization&lt;/Author&gt;&lt;Year&gt;2020&lt;/Year&gt;&lt;RecNum&gt;20&lt;/RecNum&gt;&lt;DisplayText&gt;(19)&lt;/DisplayText&gt;&lt;record&gt;&lt;rec-number&gt;20&lt;/rec-number&gt;&lt;foreign-keys&gt;&lt;key app="EN" db-id="sr9paxs2qve9wpext2i5swxe50w0rs9dzze2" timestamp="1628681199"&gt;20&lt;/key&gt;&lt;/foreign-keys&gt;&lt;ref-type name="Web Page"&gt;12&lt;/ref-type&gt;&lt;contributors&gt;&lt;authors&gt;&lt;author&gt;World Health Organization,&lt;/author&gt;&lt;/authors&gt;&lt;/contributors&gt;&lt;titles&gt;&lt;title&gt;WHO operational handbook on tuberculosis. Module 4: treatment - drug-resistant tuberculosis treatment.&lt;/title&gt;&lt;/titles&gt;&lt;volume&gt;2021&lt;/volume&gt;&lt;number&gt;5 August 2021&lt;/number&gt;&lt;dates&gt;&lt;year&gt;2020&lt;/year&gt;&lt;/dates&gt;&lt;pub-location&gt;Geneva&lt;/pub-location&gt;&lt;publisher&gt;World Health Organization&lt;/publisher&gt;&lt;urls&gt;&lt;related-urls&gt;&lt;url&gt;https://apps.who.int/iris/bitstream/handle/10665/332398/9789240006997-eng.pdf?sequence=1&amp;amp;isAllowed=y&lt;/url&gt;&lt;/related-urls&gt;&lt;/urls&gt;&lt;custom2&gt;5 June 2021&lt;/custom2&gt;&lt;/record&gt;&lt;/Cite&gt;&lt;/EndNote&gt;</w:instrText>
      </w:r>
      <w:r w:rsidR="00544F7D">
        <w:rPr>
          <w:rFonts w:cs="Arial"/>
        </w:rPr>
        <w:fldChar w:fldCharType="separate"/>
      </w:r>
      <w:r w:rsidR="004041E8">
        <w:rPr>
          <w:rFonts w:cs="Arial"/>
          <w:noProof/>
        </w:rPr>
        <w:t>(19)</w:t>
      </w:r>
      <w:r w:rsidR="00544F7D">
        <w:rPr>
          <w:rFonts w:cs="Arial"/>
        </w:rPr>
        <w:fldChar w:fldCharType="end"/>
      </w:r>
      <w:r w:rsidR="008C6D47">
        <w:rPr>
          <w:rFonts w:cs="Arial"/>
        </w:rPr>
        <w:t>.</w:t>
      </w:r>
      <w:r w:rsidR="008F33C1" w:rsidRPr="004D44EC">
        <w:rPr>
          <w:rFonts w:cs="Arial"/>
        </w:rPr>
        <w:t xml:space="preserve"> </w:t>
      </w:r>
      <w:r w:rsidR="005410B2" w:rsidRPr="004D44EC">
        <w:rPr>
          <w:rFonts w:cs="Arial"/>
        </w:rPr>
        <w:t>Where resistance to isoniazid</w:t>
      </w:r>
      <w:r w:rsidR="002B2A60" w:rsidRPr="004D44EC">
        <w:rPr>
          <w:rFonts w:cs="Arial"/>
        </w:rPr>
        <w:t xml:space="preserve"> but not rifamp</w:t>
      </w:r>
      <w:r w:rsidR="003F0E36" w:rsidRPr="004D44EC">
        <w:rPr>
          <w:rFonts w:cs="Arial"/>
        </w:rPr>
        <w:t>icin</w:t>
      </w:r>
      <w:r w:rsidR="005410B2" w:rsidRPr="004D44EC">
        <w:rPr>
          <w:rFonts w:cs="Arial"/>
        </w:rPr>
        <w:t xml:space="preserve"> is detected, fluoroquinolone DST should also be performed</w:t>
      </w:r>
      <w:r w:rsidR="002427CF">
        <w:rPr>
          <w:rFonts w:cs="Arial"/>
        </w:rPr>
        <w:t xml:space="preserve"> </w:t>
      </w:r>
      <w:r w:rsidR="002427CF">
        <w:rPr>
          <w:rFonts w:cs="Arial"/>
        </w:rPr>
        <w:fldChar w:fldCharType="begin">
          <w:fldData xml:space="preserve">PEVuZE5vdGU+PENpdGU+PEF1dGhvcj5Xb3JsZCBIZWFsdGggT3JnYW5pemF0aW9uPC9BdXRob3I+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</w:fldData>
        </w:fldChar>
      </w:r>
      <w:r w:rsidR="004041E8">
        <w:rPr>
          <w:rFonts w:cs="Arial"/>
        </w:rPr>
        <w:instrText xml:space="preserve"> ADDIN EN.CITE </w:instrText>
      </w:r>
      <w:r w:rsidR="004041E8">
        <w:rPr>
          <w:rFonts w:cs="Arial"/>
        </w:rPr>
        <w:fldChar w:fldCharType="begin">
          <w:fldData xml:space="preserve">PEVuZE5vdGU+PENpdGU+PEF1dGhvcj5Xb3JsZCBIZWFsdGggT3JnYW5pemF0aW9uPC9BdXRob3I+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</w:fldData>
        </w:fldChar>
      </w:r>
      <w:r w:rsidR="004041E8">
        <w:rPr>
          <w:rFonts w:cs="Arial"/>
        </w:rPr>
        <w:instrText xml:space="preserve"> ADDIN EN.CITE.DATA </w:instrText>
      </w:r>
      <w:r w:rsidR="004041E8">
        <w:rPr>
          <w:rFonts w:cs="Arial"/>
        </w:rPr>
      </w:r>
      <w:r w:rsidR="004041E8">
        <w:rPr>
          <w:rFonts w:cs="Arial"/>
        </w:rPr>
        <w:fldChar w:fldCharType="end"/>
      </w:r>
      <w:r w:rsidR="002427CF">
        <w:rPr>
          <w:rFonts w:cs="Arial"/>
        </w:rPr>
      </w:r>
      <w:r w:rsidR="002427CF">
        <w:rPr>
          <w:rFonts w:cs="Arial"/>
        </w:rPr>
        <w:fldChar w:fldCharType="separate"/>
      </w:r>
      <w:r w:rsidR="004041E8">
        <w:rPr>
          <w:rFonts w:cs="Arial"/>
          <w:noProof/>
        </w:rPr>
        <w:t>(20, 21)</w:t>
      </w:r>
      <w:r w:rsidR="002427CF">
        <w:rPr>
          <w:rFonts w:cs="Arial"/>
        </w:rPr>
        <w:fldChar w:fldCharType="end"/>
      </w:r>
      <w:r w:rsidR="005410B2" w:rsidRPr="004D44EC">
        <w:rPr>
          <w:rFonts w:cs="Arial"/>
        </w:rPr>
        <w:t xml:space="preserve">. </w:t>
      </w:r>
      <w:r w:rsidR="002E1CF0" w:rsidRPr="004D44EC">
        <w:rPr>
          <w:rFonts w:cs="Arial"/>
        </w:rPr>
        <w:t xml:space="preserve">A specialist in the treatment of </w:t>
      </w:r>
      <w:r w:rsidR="00E95AA3" w:rsidRPr="004D44EC">
        <w:rPr>
          <w:rFonts w:cs="Arial"/>
        </w:rPr>
        <w:t>TB</w:t>
      </w:r>
      <w:r w:rsidR="002E1CF0" w:rsidRPr="004D44EC">
        <w:rPr>
          <w:rFonts w:cs="Arial"/>
        </w:rPr>
        <w:t xml:space="preserve"> should be consulted regarding the appropriate therapeutic regimen and dosages for treatment.</w:t>
      </w:r>
      <w:r w:rsidRPr="004D44EC">
        <w:rPr>
          <w:rFonts w:cs="Arial"/>
        </w:rPr>
        <w:t xml:space="preserve"> Recommendation</w:t>
      </w:r>
      <w:r w:rsidR="00692F57">
        <w:rPr>
          <w:rFonts w:cs="Arial"/>
        </w:rPr>
        <w:t>s</w:t>
      </w:r>
      <w:r w:rsidRPr="004D44EC">
        <w:rPr>
          <w:rFonts w:cs="Arial"/>
        </w:rPr>
        <w:t xml:space="preserve"> for treatment of </w:t>
      </w:r>
      <w:r w:rsidR="00D23B32" w:rsidRPr="004D44EC">
        <w:rPr>
          <w:rFonts w:cs="Arial"/>
        </w:rPr>
        <w:t>drug susceptible</w:t>
      </w:r>
      <w:r w:rsidR="00413688" w:rsidRPr="004D44EC">
        <w:rPr>
          <w:rFonts w:cs="Arial"/>
        </w:rPr>
        <w:t xml:space="preserve"> </w:t>
      </w:r>
      <w:r w:rsidRPr="004D44EC">
        <w:rPr>
          <w:rFonts w:cs="Arial"/>
        </w:rPr>
        <w:t>TB in Australia can also be found in the electronic Therapeutic Guidelines (</w:t>
      </w:r>
      <w:hyperlink r:id="rId29" w:anchor="toc_d1e2156" w:history="1">
        <w:r w:rsidR="002366B1">
          <w:rPr>
            <w:rStyle w:val="Hyperlink"/>
          </w:rPr>
          <w:t xml:space="preserve">Therapeutic guidelines &gt; </w:t>
        </w:r>
        <w:proofErr w:type="spellStart"/>
        <w:r w:rsidR="002366B1">
          <w:rPr>
            <w:rStyle w:val="Hyperlink"/>
          </w:rPr>
          <w:t>eTG</w:t>
        </w:r>
        <w:proofErr w:type="spellEnd"/>
        <w:r w:rsidR="002366B1">
          <w:rPr>
            <w:rStyle w:val="Hyperlink"/>
          </w:rPr>
          <w:t xml:space="preserve"> complete | Therapeutic Guidelines</w:t>
        </w:r>
      </w:hyperlink>
      <w:r w:rsidR="00510E29">
        <w:t>).</w:t>
      </w:r>
      <w:r w:rsidR="002366B1">
        <w:t xml:space="preserve"> </w:t>
      </w:r>
    </w:p>
    <w:p w14:paraId="00B522AB" w14:textId="77777777" w:rsidR="002E1CF0" w:rsidRPr="007A4336" w:rsidRDefault="002E1CF0" w:rsidP="00CA7F5E">
      <w:pPr>
        <w:pStyle w:val="Heading2"/>
      </w:pPr>
      <w:bookmarkStart w:id="65" w:name="_Toc97195062"/>
      <w:r w:rsidRPr="00944609">
        <w:t>Nucleic acid amplification tests (NAAT)/PCR</w:t>
      </w:r>
      <w:bookmarkEnd w:id="65"/>
    </w:p>
    <w:p w14:paraId="3FFFAAAD" w14:textId="0238EAF8" w:rsidR="00556318" w:rsidRPr="004D44EC" w:rsidRDefault="002E1CF0" w:rsidP="00294A5B">
      <w:r w:rsidRPr="00E57E89">
        <w:t>NAAT has a sensitivity intermediate between that of microscopy and culture</w:t>
      </w:r>
      <w:r w:rsidR="00CF7113" w:rsidRPr="00E57E89">
        <w:t xml:space="preserve"> for TB detection</w:t>
      </w:r>
      <w:r w:rsidRPr="00E57E89">
        <w:t xml:space="preserve">. Commercial NAAT assays have a high sensitivity (&gt;95%) in smear-positive </w:t>
      </w:r>
      <w:r w:rsidR="009340B5">
        <w:t xml:space="preserve">sputum </w:t>
      </w:r>
      <w:r w:rsidRPr="00E57E89">
        <w:t>specimens, but lower sensitivity in smear-negative specimens and therefore a negative result does not exclude TB.</w:t>
      </w:r>
      <w:r w:rsidR="00556318" w:rsidRPr="00E57E89">
        <w:t xml:space="preserve"> </w:t>
      </w:r>
      <w:r w:rsidR="00F705D8" w:rsidRPr="00E57E89">
        <w:t xml:space="preserve">The NTAC Guidelines for Australian Mycobacteriology Laboratories includes principles for the use of </w:t>
      </w:r>
      <w:r w:rsidR="00F705D8" w:rsidRPr="00C61E42">
        <w:t>NAAT</w:t>
      </w:r>
      <w:r w:rsidR="004328B2">
        <w:t xml:space="preserve"> </w:t>
      </w:r>
      <w:r w:rsidR="004328B2">
        <w:fldChar w:fldCharType="begin"/>
      </w:r>
      <w:r w:rsidR="00C61E42">
        <w:instrText xml:space="preserve"> ADDIN EN.CITE &lt;EndNote&gt;&lt;Cite&gt;&lt;Author&gt;Bastian&lt;/Author&gt;&lt;Year&gt;2020&lt;/Year&gt;&lt;RecNum&gt;17&lt;/RecNum&gt;&lt;DisplayText&gt;(17)&lt;/DisplayText&gt;&lt;record&gt;&lt;rec-number&gt;17&lt;/rec-number&gt;&lt;foreign-keys&gt;&lt;key app="EN" db-id="sr9paxs2qve9wpext2i5swxe50w0rs9dzze2" timestamp="1628681198"&gt;17&lt;/key&gt;&lt;/foreign-keys&gt;&lt;ref-type name="Journal Article"&gt;17&lt;/ref-type&gt;&lt;contributors&gt;&lt;authors&gt;&lt;author&gt;Bastian, I.&lt;/author&gt;&lt;author&gt;Shephard, L.&lt;/author&gt;&lt;author&gt;Lumb, R.&lt;/author&gt;&lt;author&gt;and the National Tuberculosis Advisory Committee,&lt;/author&gt;&lt;/authors&gt;&lt;/contributors&gt;&lt;auth-address&gt;SA Pathology, PO Box 14, Rundle Mall, Adelaide SA 5000.&lt;/auth-address&gt;&lt;titles&gt;&lt;title&gt;Revised guidelines for Australian laboratories performing mycobacteriology testing&lt;/title&gt;&lt;secondary-title&gt;Communicable Diseases Intelligence (2018)&lt;/secondary-title&gt;&lt;/titles&gt;&lt;periodical&gt;&lt;full-title&gt;Communicable Diseases Intelligence (2018)&lt;/full-title&gt;&lt;/periodical&gt;&lt;volume&gt;44&lt;/volume&gt;&lt;edition&gt;2020/01/16&lt;/edition&gt;&lt;keywords&gt;&lt;keyword&gt;Australia&lt;/keyword&gt;&lt;keyword&gt;Humans&lt;/keyword&gt;&lt;keyword&gt;Laboratories/standards&lt;/keyword&gt;&lt;keyword&gt;Mycobacterium tuberculosis&lt;/keyword&gt;&lt;keyword&gt;*Practice Guidelines as Topic&lt;/keyword&gt;&lt;keyword&gt;Tuberculosis/diagnosis/*microbiology&lt;/keyword&gt;&lt;/keywords&gt;&lt;dates&gt;&lt;year&gt;2020&lt;/year&gt;&lt;pub-dates&gt;&lt;date&gt;Jan 15&lt;/date&gt;&lt;/pub-dates&gt;&lt;/dates&gt;&lt;isbn&gt;2209-6051 (Electronic)&amp;#xD;2209-6051 (Linking)&lt;/isbn&gt;&lt;accession-num&gt;31940451&lt;/accession-num&gt;&lt;urls&gt;&lt;related-urls&gt;&lt;url&gt;https://www.ncbi.nlm.nih.gov/pubmed/31940451&lt;/url&gt;&lt;/related-urls&gt;&lt;/urls&gt;&lt;electronic-resource-num&gt;10.33321/cdi.2019.44.2&amp;#xD;10.33321/cdi.2020.44.2&lt;/electronic-resource-num&gt;&lt;/record&gt;&lt;/Cite&gt;&lt;/EndNote&gt;</w:instrText>
      </w:r>
      <w:r w:rsidR="004328B2">
        <w:fldChar w:fldCharType="separate"/>
      </w:r>
      <w:r w:rsidR="00417EC9">
        <w:rPr>
          <w:noProof/>
        </w:rPr>
        <w:t>(17)</w:t>
      </w:r>
      <w:r w:rsidR="004328B2">
        <w:fldChar w:fldCharType="end"/>
      </w:r>
      <w:r w:rsidR="00B71785">
        <w:t>.</w:t>
      </w:r>
    </w:p>
    <w:p w14:paraId="1CFD4EA1" w14:textId="55D1C492" w:rsidR="00227388" w:rsidRPr="004D44EC" w:rsidRDefault="00227388" w:rsidP="00227388">
      <w:r w:rsidRPr="004D44EC">
        <w:t xml:space="preserve">The </w:t>
      </w:r>
      <w:proofErr w:type="spellStart"/>
      <w:r w:rsidRPr="004D44EC">
        <w:t>Xpert</w:t>
      </w:r>
      <w:proofErr w:type="spellEnd"/>
      <w:r w:rsidRPr="004D44EC">
        <w:t xml:space="preserve"> MTB/RIF</w:t>
      </w:r>
      <w:r w:rsidR="00EE1B87">
        <w:t xml:space="preserve"> </w:t>
      </w:r>
      <w:r w:rsidR="00261C28">
        <w:t>and</w:t>
      </w:r>
      <w:r w:rsidR="00261C28" w:rsidRPr="004D44EC">
        <w:t xml:space="preserve"> </w:t>
      </w:r>
      <w:proofErr w:type="spellStart"/>
      <w:r w:rsidR="00261C28">
        <w:t>Xpert</w:t>
      </w:r>
      <w:proofErr w:type="spellEnd"/>
      <w:r w:rsidR="00261C28">
        <w:t xml:space="preserve"> Ultra</w:t>
      </w:r>
      <w:r w:rsidRPr="004D44EC">
        <w:t xml:space="preserve"> assay</w:t>
      </w:r>
      <w:r w:rsidR="00261C28">
        <w:t>s</w:t>
      </w:r>
      <w:r w:rsidRPr="004D44EC">
        <w:t xml:space="preserve"> (Cepheid, Sunnyvale, Calif) detect both </w:t>
      </w:r>
      <w:r w:rsidRPr="003031A7">
        <w:rPr>
          <w:rStyle w:val="Emphasis"/>
        </w:rPr>
        <w:t>M. tuberculosis</w:t>
      </w:r>
      <w:r w:rsidRPr="004D44EC">
        <w:t xml:space="preserve"> </w:t>
      </w:r>
      <w:r w:rsidR="00A0025B" w:rsidRPr="004D44EC">
        <w:t xml:space="preserve">complex </w:t>
      </w:r>
      <w:r w:rsidRPr="004D44EC">
        <w:t>and rifampicin resistance (an indicator for probable MDR-TB)</w:t>
      </w:r>
      <w:r w:rsidR="00BA199C" w:rsidRPr="004D44EC">
        <w:t>.</w:t>
      </w:r>
      <w:r w:rsidRPr="004D44EC">
        <w:t xml:space="preserve"> </w:t>
      </w:r>
      <w:r w:rsidR="009340B5">
        <w:t>The assay</w:t>
      </w:r>
      <w:r w:rsidR="00261C28">
        <w:t>s</w:t>
      </w:r>
      <w:r w:rsidR="009340B5">
        <w:t xml:space="preserve"> </w:t>
      </w:r>
      <w:r w:rsidR="00261C28">
        <w:t xml:space="preserve">are </w:t>
      </w:r>
      <w:r w:rsidR="009340B5">
        <w:t>endorsed by WHO for use on pulmonary and selective extra-pulmonary samples.</w:t>
      </w:r>
      <w:r w:rsidR="009340B5" w:rsidRPr="004D44EC">
        <w:t xml:space="preserve"> </w:t>
      </w:r>
      <w:proofErr w:type="spellStart"/>
      <w:r w:rsidRPr="004D44EC">
        <w:t>Xpert</w:t>
      </w:r>
      <w:proofErr w:type="spellEnd"/>
      <w:r w:rsidRPr="004D44EC">
        <w:t xml:space="preserve"> Ultra has greater sensitivity and is the preferred test for paucibacillary samples, especially CSF. </w:t>
      </w:r>
      <w:proofErr w:type="spellStart"/>
      <w:r w:rsidRPr="004D44EC">
        <w:t>Xpert</w:t>
      </w:r>
      <w:proofErr w:type="spellEnd"/>
      <w:r w:rsidR="00EE1B87">
        <w:t xml:space="preserve"> </w:t>
      </w:r>
      <w:r w:rsidR="00EE1B87" w:rsidRPr="004D44EC">
        <w:t>MTB/RIF</w:t>
      </w:r>
      <w:r w:rsidRPr="004D44EC">
        <w:t xml:space="preserve"> </w:t>
      </w:r>
      <w:r w:rsidR="00261C28">
        <w:t xml:space="preserve">or </w:t>
      </w:r>
      <w:proofErr w:type="spellStart"/>
      <w:r w:rsidR="00261C28">
        <w:t>Xpert</w:t>
      </w:r>
      <w:proofErr w:type="spellEnd"/>
      <w:r w:rsidR="0035725B" w:rsidRPr="004D44EC">
        <w:t xml:space="preserve"> Ultra</w:t>
      </w:r>
      <w:r w:rsidRPr="004D44EC">
        <w:t xml:space="preserve"> should be performed on smear positive </w:t>
      </w:r>
      <w:r w:rsidR="009340B5">
        <w:t xml:space="preserve">sputum </w:t>
      </w:r>
      <w:r w:rsidRPr="004D44EC">
        <w:t xml:space="preserve">respiratory samples to confirm TB and assess rifampicin susceptibility as soon as possible. When </w:t>
      </w:r>
      <w:r w:rsidRPr="003031A7">
        <w:rPr>
          <w:rStyle w:val="Emphasis"/>
        </w:rPr>
        <w:t xml:space="preserve">M. </w:t>
      </w:r>
      <w:r w:rsidR="00BB5C7B" w:rsidRPr="003031A7">
        <w:rPr>
          <w:rStyle w:val="Emphasis"/>
        </w:rPr>
        <w:t>tuberculosis</w:t>
      </w:r>
      <w:r w:rsidRPr="004D44EC">
        <w:t xml:space="preserve"> is detected in very low concentrations with the </w:t>
      </w:r>
      <w:proofErr w:type="spellStart"/>
      <w:r w:rsidR="00261C28">
        <w:t>Xpert</w:t>
      </w:r>
      <w:proofErr w:type="spellEnd"/>
      <w:r w:rsidR="00261C28">
        <w:t xml:space="preserve"> </w:t>
      </w:r>
      <w:r w:rsidRPr="004D44EC">
        <w:t xml:space="preserve">Ultra assay, defined as </w:t>
      </w:r>
      <w:r w:rsidR="00EE2178" w:rsidRPr="004D44EC">
        <w:t>‘</w:t>
      </w:r>
      <w:r w:rsidR="009A6CCE" w:rsidRPr="004D44EC">
        <w:t>TRACE</w:t>
      </w:r>
      <w:r w:rsidR="00EE2178" w:rsidRPr="004D44EC">
        <w:t>’</w:t>
      </w:r>
      <w:r w:rsidRPr="004D44EC">
        <w:t xml:space="preserve">, the possible explanations include true infection, a false positive result or past treated infection. </w:t>
      </w:r>
      <w:r w:rsidR="00BF57B8">
        <w:t xml:space="preserve">It is </w:t>
      </w:r>
      <w:r w:rsidRPr="004D44EC">
        <w:t>recommend</w:t>
      </w:r>
      <w:r w:rsidR="00BF57B8">
        <w:t>ed</w:t>
      </w:r>
      <w:r w:rsidRPr="004D44EC">
        <w:t xml:space="preserve"> a second positive detection with the same assay</w:t>
      </w:r>
      <w:r w:rsidR="00BB5C7B" w:rsidRPr="004D44EC">
        <w:t xml:space="preserve"> (including a repeat </w:t>
      </w:r>
      <w:r w:rsidR="00EE2178" w:rsidRPr="004D44EC">
        <w:t>‘trace’</w:t>
      </w:r>
      <w:r w:rsidR="00BB5C7B" w:rsidRPr="004D44EC">
        <w:t xml:space="preserve"> call) before considering as a true positive result from sputum samples. For extrapulmonary and </w:t>
      </w:r>
      <w:proofErr w:type="spellStart"/>
      <w:r w:rsidR="00BB5C7B" w:rsidRPr="004D44EC">
        <w:t>bronchoscopic</w:t>
      </w:r>
      <w:proofErr w:type="spellEnd"/>
      <w:r w:rsidR="00BB5C7B" w:rsidRPr="004D44EC">
        <w:t xml:space="preserve"> samples</w:t>
      </w:r>
      <w:r w:rsidR="009A6CCE" w:rsidRPr="004D44EC">
        <w:t xml:space="preserve">, or samples collected in children with pauci-bacillary disease, </w:t>
      </w:r>
      <w:r w:rsidR="00BB5C7B" w:rsidRPr="004D44EC">
        <w:t xml:space="preserve">a second sample is not required to further investigate a </w:t>
      </w:r>
      <w:r w:rsidR="00EE2178" w:rsidRPr="004D44EC">
        <w:t>‘</w:t>
      </w:r>
      <w:r w:rsidR="009A6CCE" w:rsidRPr="004D44EC">
        <w:t>TRACE</w:t>
      </w:r>
      <w:r w:rsidR="00EE2178" w:rsidRPr="004D44EC">
        <w:t>’</w:t>
      </w:r>
      <w:r w:rsidR="00BB5C7B" w:rsidRPr="004D44EC">
        <w:t xml:space="preserve"> </w:t>
      </w:r>
      <w:proofErr w:type="gramStart"/>
      <w:r w:rsidR="00BB5C7B" w:rsidRPr="004D44EC">
        <w:t>call</w:t>
      </w:r>
      <w:proofErr w:type="gramEnd"/>
      <w:r w:rsidR="00BB5C7B" w:rsidRPr="004D44EC">
        <w:t xml:space="preserve"> but final diagnosis should consider all information including pre-test probability, TB history and results of TB culture.</w:t>
      </w:r>
    </w:p>
    <w:p w14:paraId="6B4F3EC0" w14:textId="70D42D6B" w:rsidR="00BB5C7B" w:rsidRPr="004D44EC" w:rsidRDefault="00BB5C7B" w:rsidP="00227388">
      <w:r w:rsidRPr="004D44EC">
        <w:lastRenderedPageBreak/>
        <w:t xml:space="preserve">Where TB is detected in TRACE amount, the assay will not report on rifampicin susceptibility and </w:t>
      </w:r>
      <w:r w:rsidR="009A6CCE" w:rsidRPr="004D44EC">
        <w:t xml:space="preserve">this will be reported </w:t>
      </w:r>
      <w:r w:rsidRPr="004D44EC">
        <w:t>as “indeterminant”.</w:t>
      </w:r>
    </w:p>
    <w:p w14:paraId="17FDBBE5" w14:textId="655C8D8F" w:rsidR="002E1CF0" w:rsidRPr="004D44EC" w:rsidRDefault="00227388" w:rsidP="00294A5B">
      <w:proofErr w:type="spellStart"/>
      <w:r w:rsidRPr="004D44EC">
        <w:t>Xpert</w:t>
      </w:r>
      <w:proofErr w:type="spellEnd"/>
      <w:r w:rsidRPr="004D44EC">
        <w:t xml:space="preserve"> Ultra takes a little over an hour to run, while other </w:t>
      </w:r>
      <w:r w:rsidR="002E1CF0" w:rsidRPr="004D44EC">
        <w:t>NAAT</w:t>
      </w:r>
      <w:r w:rsidRPr="004D44EC">
        <w:t xml:space="preserve"> may take a few</w:t>
      </w:r>
      <w:r w:rsidR="00E9611A" w:rsidRPr="004D44EC">
        <w:t xml:space="preserve"> hours</w:t>
      </w:r>
      <w:r w:rsidR="002E1CF0" w:rsidRPr="004D44EC">
        <w:t xml:space="preserve"> and results are usually avail</w:t>
      </w:r>
      <w:r w:rsidR="00556318" w:rsidRPr="004D44EC">
        <w:t>able within a day.</w:t>
      </w:r>
      <w:r w:rsidR="00F705D8" w:rsidRPr="004D44EC">
        <w:t xml:space="preserve"> </w:t>
      </w:r>
      <w:r w:rsidR="00553CEF">
        <w:t xml:space="preserve">Some </w:t>
      </w:r>
      <w:r w:rsidR="00CF7113" w:rsidRPr="004D44EC">
        <w:t>NAAT tests may only be validated and licenced for use on sputum samples. Use on extrapulmonary samples is possible where specified by the manufacturer</w:t>
      </w:r>
      <w:r w:rsidR="00EE2178" w:rsidRPr="004D44EC">
        <w:t xml:space="preserve"> and</w:t>
      </w:r>
      <w:r w:rsidR="00CF7113" w:rsidRPr="004D44EC">
        <w:t xml:space="preserve"> validated by the </w:t>
      </w:r>
      <w:r w:rsidR="00BF57B8">
        <w:t xml:space="preserve">testing </w:t>
      </w:r>
      <w:r w:rsidR="00CF7113" w:rsidRPr="004D44EC">
        <w:t>labora</w:t>
      </w:r>
      <w:r w:rsidR="00E9611A" w:rsidRPr="004D44EC">
        <w:t>tory.</w:t>
      </w:r>
    </w:p>
    <w:p w14:paraId="6FE4EB29" w14:textId="40D5510D" w:rsidR="00A70CC9" w:rsidRPr="004D44EC" w:rsidRDefault="00A70CC9" w:rsidP="00294A5B">
      <w:r w:rsidRPr="004D44EC">
        <w:t xml:space="preserve">Where rifampicin resistance is detected, </w:t>
      </w:r>
      <w:r w:rsidR="001A6703" w:rsidRPr="004D44EC">
        <w:t>rapid detection of second line drug resistance</w:t>
      </w:r>
      <w:r w:rsidR="000D265F" w:rsidRPr="004D44EC">
        <w:t xml:space="preserve">, especially to fluoroquinolones can be important in determining which MDR/RR-TB regimen is </w:t>
      </w:r>
      <w:r w:rsidR="008363F8" w:rsidRPr="004D44EC">
        <w:t xml:space="preserve">appropriate. Line probe assays </w:t>
      </w:r>
      <w:r w:rsidR="0035725B" w:rsidRPr="004D44EC">
        <w:t>(</w:t>
      </w:r>
      <w:proofErr w:type="spellStart"/>
      <w:r w:rsidR="0035725B" w:rsidRPr="004D44EC">
        <w:t>MTBDRsl</w:t>
      </w:r>
      <w:proofErr w:type="spellEnd"/>
      <w:r w:rsidR="0035725B" w:rsidRPr="004D44EC">
        <w:t xml:space="preserve">) </w:t>
      </w:r>
      <w:r w:rsidR="008363F8" w:rsidRPr="004D44EC">
        <w:t xml:space="preserve">and the recently </w:t>
      </w:r>
      <w:r w:rsidR="00740D7F" w:rsidRPr="004D44EC">
        <w:t xml:space="preserve">released </w:t>
      </w:r>
      <w:proofErr w:type="spellStart"/>
      <w:r w:rsidR="00740D7F" w:rsidRPr="004D44EC">
        <w:t>Xpert</w:t>
      </w:r>
      <w:proofErr w:type="spellEnd"/>
      <w:r w:rsidR="00740D7F" w:rsidRPr="004D44EC">
        <w:t xml:space="preserve"> </w:t>
      </w:r>
      <w:r w:rsidR="003A2AED">
        <w:t>MTB/</w:t>
      </w:r>
      <w:r w:rsidR="00740D7F" w:rsidRPr="004D44EC">
        <w:t xml:space="preserve">XDR assay can both provide </w:t>
      </w:r>
      <w:r w:rsidR="007E16F6" w:rsidRPr="004D44EC">
        <w:t>such information.</w:t>
      </w:r>
    </w:p>
    <w:p w14:paraId="2891C553" w14:textId="754026A2" w:rsidR="002E1CF0" w:rsidRDefault="002E1CF0" w:rsidP="00294A5B">
      <w:r w:rsidRPr="004D44EC">
        <w:t>N</w:t>
      </w:r>
      <w:r w:rsidR="00F96BD4" w:rsidRPr="004D44EC">
        <w:t>AAT does not replace culture as</w:t>
      </w:r>
      <w:r w:rsidR="00227388" w:rsidRPr="004D44EC">
        <w:t xml:space="preserve"> in addition to improved sensitivity, </w:t>
      </w:r>
      <w:r w:rsidR="00F96BD4" w:rsidRPr="004D44EC">
        <w:t>the latter remains</w:t>
      </w:r>
      <w:r w:rsidR="00227388" w:rsidRPr="004D44EC">
        <w:t xml:space="preserve"> </w:t>
      </w:r>
      <w:r w:rsidRPr="004D44EC">
        <w:t>essential for</w:t>
      </w:r>
      <w:r w:rsidR="00DF6874" w:rsidRPr="004D44EC">
        <w:t xml:space="preserve"> </w:t>
      </w:r>
      <w:r w:rsidR="007E16F6" w:rsidRPr="004D44EC">
        <w:t xml:space="preserve">comprehensive </w:t>
      </w:r>
      <w:r w:rsidR="007729D2" w:rsidRPr="004D44EC">
        <w:t xml:space="preserve">phenotypic </w:t>
      </w:r>
      <w:r w:rsidRPr="004D44EC">
        <w:t>DST</w:t>
      </w:r>
      <w:r w:rsidR="00CF7113" w:rsidRPr="004D44EC">
        <w:t xml:space="preserve"> and genotyping</w:t>
      </w:r>
      <w:r w:rsidRPr="004D44EC">
        <w:t>.</w:t>
      </w:r>
    </w:p>
    <w:p w14:paraId="5EBB998D" w14:textId="1921CAFA" w:rsidR="00F705D8" w:rsidRPr="007A4336" w:rsidRDefault="00CF7113" w:rsidP="00CA7F5E">
      <w:pPr>
        <w:pStyle w:val="Heading2"/>
      </w:pPr>
      <w:bookmarkStart w:id="66" w:name="_Toc29979767"/>
      <w:bookmarkStart w:id="67" w:name="_Toc97195063"/>
      <w:r w:rsidRPr="00944609">
        <w:t xml:space="preserve">Genotyping </w:t>
      </w:r>
      <w:r w:rsidR="00DF02F8" w:rsidRPr="00944609">
        <w:t>-</w:t>
      </w:r>
      <w:r w:rsidR="00261C28">
        <w:t xml:space="preserve"> </w:t>
      </w:r>
      <w:r w:rsidR="00DF02F8" w:rsidRPr="00944609">
        <w:t>including</w:t>
      </w:r>
      <w:r w:rsidR="00C90DD3" w:rsidRPr="00944609">
        <w:t xml:space="preserve"> whole genome sequencing </w:t>
      </w:r>
      <w:r w:rsidR="002E1CF0" w:rsidRPr="00944609">
        <w:t xml:space="preserve">of </w:t>
      </w:r>
      <w:r w:rsidR="002E1CF0" w:rsidRPr="00322226">
        <w:t>M. tuberculosis</w:t>
      </w:r>
      <w:bookmarkEnd w:id="66"/>
      <w:bookmarkEnd w:id="67"/>
    </w:p>
    <w:p w14:paraId="22C0DF51" w14:textId="5B9428F5" w:rsidR="002E1CF0" w:rsidRPr="007A4336" w:rsidRDefault="00736E54" w:rsidP="007A4336">
      <w:bookmarkStart w:id="68" w:name="_Toc29979768"/>
      <w:r w:rsidRPr="007A4336">
        <w:t xml:space="preserve">The </w:t>
      </w:r>
      <w:r w:rsidR="002E1CF0" w:rsidRPr="007A4336">
        <w:t xml:space="preserve">Australian Mycobacterium Reference Laboratory Network (MRLN) performs molecular epidemiological typing on the initial isolate from every </w:t>
      </w:r>
      <w:r w:rsidR="0025386A" w:rsidRPr="007A4336">
        <w:t>newly diagnosed</w:t>
      </w:r>
      <w:r w:rsidR="002E1CF0" w:rsidRPr="007A4336">
        <w:t xml:space="preserve"> </w:t>
      </w:r>
      <w:r w:rsidR="00095020" w:rsidRPr="007A4336">
        <w:t xml:space="preserve">culture positive TB </w:t>
      </w:r>
      <w:r w:rsidR="002E1CF0" w:rsidRPr="007A4336">
        <w:t xml:space="preserve">patient. </w:t>
      </w:r>
      <w:r w:rsidR="00E50FD4" w:rsidRPr="007A4336">
        <w:t xml:space="preserve">Mycobacterial interspersed repetitive-unit–variable-number tandem repeat (MIRU-VNTR) </w:t>
      </w:r>
      <w:r w:rsidRPr="007A4336">
        <w:t xml:space="preserve">remains in widespread use, but is </w:t>
      </w:r>
      <w:r w:rsidR="00F523F1" w:rsidRPr="007A4336">
        <w:t>c</w:t>
      </w:r>
      <w:bookmarkEnd w:id="68"/>
      <w:r w:rsidR="002E1CF0" w:rsidRPr="007A4336">
        <w:t xml:space="preserve">onfounded by </w:t>
      </w:r>
      <w:r w:rsidRPr="007A4336">
        <w:t>poor differentiation of</w:t>
      </w:r>
      <w:r w:rsidR="00091C9A" w:rsidRPr="007A4336">
        <w:t xml:space="preserve"> </w:t>
      </w:r>
      <w:r w:rsidR="00583FAD" w:rsidRPr="007A4336">
        <w:t xml:space="preserve">selected </w:t>
      </w:r>
      <w:r w:rsidR="002E1CF0" w:rsidRPr="007A4336">
        <w:t>common strains (</w:t>
      </w:r>
      <w:proofErr w:type="gramStart"/>
      <w:r w:rsidR="002E1CF0" w:rsidRPr="007A4336">
        <w:t>e</w:t>
      </w:r>
      <w:r w:rsidR="00307BE7" w:rsidRPr="007A4336">
        <w:t>.</w:t>
      </w:r>
      <w:r w:rsidR="002E1CF0" w:rsidRPr="007A4336">
        <w:t>g.</w:t>
      </w:r>
      <w:proofErr w:type="gramEnd"/>
      <w:r w:rsidR="002E1CF0" w:rsidRPr="007A4336">
        <w:t xml:space="preserve"> the “Beijing” strain)</w:t>
      </w:r>
      <w:r w:rsidR="007A0155" w:rsidRPr="007A4336">
        <w:t>.</w:t>
      </w:r>
    </w:p>
    <w:p w14:paraId="6F7C80A4" w14:textId="53A7759A" w:rsidR="003C7793" w:rsidRPr="004D44EC" w:rsidRDefault="00583FAD" w:rsidP="00D40010">
      <w:r w:rsidRPr="004D44EC">
        <w:t xml:space="preserve">Whole genome sequencing </w:t>
      </w:r>
      <w:r w:rsidR="00D950DE" w:rsidRPr="004D44EC">
        <w:t>provides a high degree of discrimination for genotyping</w:t>
      </w:r>
      <w:r w:rsidR="007D4CB5" w:rsidRPr="004D44EC">
        <w:t xml:space="preserve"> and is a valuable tool in delineating recent transmission events</w:t>
      </w:r>
      <w:r w:rsidR="007413A7" w:rsidRPr="004D44EC">
        <w:t>. Furthermore</w:t>
      </w:r>
      <w:r w:rsidR="00764D7F" w:rsidRPr="004D44EC">
        <w:t>,</w:t>
      </w:r>
      <w:r w:rsidR="007413A7" w:rsidRPr="004D44EC">
        <w:t xml:space="preserve"> resistance conferring mutations </w:t>
      </w:r>
      <w:r w:rsidR="009E1F45" w:rsidRPr="004D44EC">
        <w:t xml:space="preserve">can be </w:t>
      </w:r>
      <w:r w:rsidR="00E273AA" w:rsidRPr="004D44EC">
        <w:t xml:space="preserve">rapidly </w:t>
      </w:r>
      <w:r w:rsidR="009E1F45" w:rsidRPr="004D44EC">
        <w:t>identified</w:t>
      </w:r>
      <w:r w:rsidR="00E273AA" w:rsidRPr="004D44EC">
        <w:t xml:space="preserve">. </w:t>
      </w:r>
      <w:r w:rsidR="00526BE2" w:rsidRPr="004D44EC">
        <w:t>At the time of writing, several Australian jurisdictions are routinely u</w:t>
      </w:r>
      <w:r w:rsidR="002C0EE2" w:rsidRPr="004D44EC">
        <w:t xml:space="preserve">sing </w:t>
      </w:r>
      <w:r w:rsidR="00171508">
        <w:t>whole genome sequencing (</w:t>
      </w:r>
      <w:r w:rsidR="002C0EE2" w:rsidRPr="004D44EC">
        <w:t>WGS</w:t>
      </w:r>
      <w:r w:rsidR="00171508">
        <w:t>)</w:t>
      </w:r>
      <w:r w:rsidR="002C0EE2" w:rsidRPr="004D44EC">
        <w:t xml:space="preserve"> on all new </w:t>
      </w:r>
      <w:r w:rsidR="002C0EE2" w:rsidRPr="003031A7">
        <w:rPr>
          <w:rStyle w:val="Emphasis"/>
        </w:rPr>
        <w:t>M. tuberculosis</w:t>
      </w:r>
      <w:r w:rsidR="00A0025B" w:rsidRPr="004D44EC">
        <w:t xml:space="preserve"> complex</w:t>
      </w:r>
      <w:r w:rsidR="002C0EE2" w:rsidRPr="004D44EC">
        <w:t xml:space="preserve"> strains with other jurisdictions </w:t>
      </w:r>
      <w:r w:rsidR="00606D42" w:rsidRPr="004D44EC">
        <w:t xml:space="preserve">employing (or referring for) WGS on a selective basis. </w:t>
      </w:r>
      <w:r w:rsidR="0046290A" w:rsidRPr="004D44EC">
        <w:t>At the current time, a cultured isolate is still required for reliable WGS</w:t>
      </w:r>
      <w:r w:rsidR="00636865" w:rsidRPr="004D44EC">
        <w:t>.</w:t>
      </w:r>
    </w:p>
    <w:p w14:paraId="5C43E2D1" w14:textId="77777777" w:rsidR="002E1CF0" w:rsidRPr="007A4336" w:rsidRDefault="002E1CF0" w:rsidP="00CA7F5E">
      <w:pPr>
        <w:pStyle w:val="Heading2"/>
      </w:pPr>
      <w:bookmarkStart w:id="69" w:name="_Toc97195064"/>
      <w:r w:rsidRPr="00944609">
        <w:t>List of Reference Laboratories</w:t>
      </w:r>
      <w:bookmarkEnd w:id="69"/>
    </w:p>
    <w:p w14:paraId="33615533" w14:textId="77777777" w:rsidR="002E1CF0" w:rsidRPr="004D44EC" w:rsidRDefault="002E1CF0" w:rsidP="00993C7C">
      <w:r w:rsidRPr="004D44EC">
        <w:t>The Australian MRLN comprises the mycobacteriology laboratories at the following institutions:</w:t>
      </w:r>
    </w:p>
    <w:p w14:paraId="380E673C" w14:textId="02BF3941" w:rsidR="002E1CF0" w:rsidRPr="004D44EC" w:rsidRDefault="002E1CF0" w:rsidP="007821C3">
      <w:pPr>
        <w:pStyle w:val="ListBullet2"/>
      </w:pPr>
      <w:r w:rsidRPr="004D44EC">
        <w:t xml:space="preserve">Institute of Clinical Pathology and Medical Research, </w:t>
      </w:r>
      <w:r w:rsidR="00EE2178" w:rsidRPr="004D44EC">
        <w:t>NSW Health Pathology</w:t>
      </w:r>
      <w:r w:rsidR="00307BE7" w:rsidRPr="004D44EC">
        <w:t>, Westmead, New South Wales</w:t>
      </w:r>
      <w:r w:rsidR="00A50423" w:rsidRPr="004D44EC">
        <w:t>.</w:t>
      </w:r>
    </w:p>
    <w:p w14:paraId="1B9B3D3E" w14:textId="55F6A2B9" w:rsidR="002E1CF0" w:rsidRPr="004D44EC" w:rsidRDefault="002E1CF0" w:rsidP="007821C3">
      <w:pPr>
        <w:pStyle w:val="ListBullet2"/>
      </w:pPr>
      <w:proofErr w:type="spellStart"/>
      <w:r w:rsidRPr="004D44EC">
        <w:t>PathWest</w:t>
      </w:r>
      <w:proofErr w:type="spellEnd"/>
      <w:r w:rsidRPr="004D44EC">
        <w:t xml:space="preserve"> Laboratory Medicine Western Australia – Queen Elizabeth II Medical Centre, Hospital Avenue, Nedlands, Western Australia</w:t>
      </w:r>
      <w:r w:rsidR="00A50423" w:rsidRPr="004D44EC">
        <w:t>.</w:t>
      </w:r>
    </w:p>
    <w:p w14:paraId="2D894233" w14:textId="24096A45" w:rsidR="002E1CF0" w:rsidRPr="004D44EC" w:rsidRDefault="005410B2" w:rsidP="007821C3">
      <w:pPr>
        <w:pStyle w:val="ListBullet2"/>
      </w:pPr>
      <w:r w:rsidRPr="004D44EC">
        <w:t>Pathology Queensland, Royal Brisbane and Women</w:t>
      </w:r>
      <w:r w:rsidR="00AD42D9" w:rsidRPr="004D44EC">
        <w:t>’</w:t>
      </w:r>
      <w:r w:rsidRPr="004D44EC">
        <w:t>s Hospital Campus</w:t>
      </w:r>
      <w:r w:rsidR="00307BE7" w:rsidRPr="004D44EC">
        <w:t>, Herston, Queensland</w:t>
      </w:r>
      <w:r w:rsidR="00A50423" w:rsidRPr="004D44EC">
        <w:t>.</w:t>
      </w:r>
    </w:p>
    <w:p w14:paraId="05BD6DBB" w14:textId="089F499C" w:rsidR="002E1CF0" w:rsidRPr="004D44EC" w:rsidRDefault="002E1CF0" w:rsidP="007821C3">
      <w:pPr>
        <w:pStyle w:val="ListBullet2"/>
      </w:pPr>
      <w:r w:rsidRPr="004D44EC">
        <w:t>SA Patho</w:t>
      </w:r>
      <w:r w:rsidR="00307BE7" w:rsidRPr="004D44EC">
        <w:t>logy, Adelaide, South Australia</w:t>
      </w:r>
      <w:r w:rsidR="00A50423" w:rsidRPr="004D44EC">
        <w:t>.</w:t>
      </w:r>
    </w:p>
    <w:p w14:paraId="4F27522F" w14:textId="77777777" w:rsidR="002E1CF0" w:rsidRPr="004D44EC" w:rsidRDefault="002E1CF0" w:rsidP="007821C3">
      <w:pPr>
        <w:pStyle w:val="ListBullet2"/>
      </w:pPr>
      <w:r w:rsidRPr="004D44EC">
        <w:t>Victorian Infectious Diseases Reference Laboratory, North Melbourne, Victoria.</w:t>
      </w:r>
    </w:p>
    <w:p w14:paraId="3288B835" w14:textId="77777777" w:rsidR="002E1CF0" w:rsidRPr="004D44EC" w:rsidRDefault="002E1CF0" w:rsidP="002E1CF0">
      <w:pPr>
        <w:rPr>
          <w:rFonts w:cs="Arial"/>
        </w:rPr>
      </w:pPr>
      <w:r w:rsidRPr="004D44EC">
        <w:rPr>
          <w:rFonts w:cs="Arial"/>
        </w:rPr>
        <w:t>For further information on laboratory testing, refer to:</w:t>
      </w:r>
    </w:p>
    <w:p w14:paraId="420F88A5" w14:textId="67321912" w:rsidR="002E1CF0" w:rsidRPr="00B91C88" w:rsidRDefault="002E1CF0" w:rsidP="007821C3">
      <w:pPr>
        <w:pStyle w:val="ListBullet2"/>
      </w:pPr>
      <w:r w:rsidRPr="00B91C88">
        <w:t xml:space="preserve">The Public Health Laboratory Network (PHLN) laboratory case definitions website: </w:t>
      </w:r>
      <w:hyperlink r:id="rId30" w:history="1">
        <w:r w:rsidR="002366B1">
          <w:rPr>
            <w:rStyle w:val="Hyperlink"/>
          </w:rPr>
          <w:t>Department of Health | Tuberculosis Laboratory Case Definition (LCD)</w:t>
        </w:r>
      </w:hyperlink>
      <w:r w:rsidR="000D0210" w:rsidRPr="00B91C88">
        <w:t xml:space="preserve"> </w:t>
      </w:r>
    </w:p>
    <w:p w14:paraId="68F9EF0A" w14:textId="7A9D1393" w:rsidR="00F70A71" w:rsidRPr="00B91C88" w:rsidRDefault="00F70A71" w:rsidP="007821C3">
      <w:pPr>
        <w:pStyle w:val="ListBullet2"/>
      </w:pPr>
      <w:r w:rsidRPr="00B91C88">
        <w:t xml:space="preserve">National Tuberculosis Advisory Committee, </w:t>
      </w:r>
      <w:r w:rsidR="00F22EF7" w:rsidRPr="00B91C88">
        <w:t xml:space="preserve">Revised guidelines for Australian laboratories performing </w:t>
      </w:r>
      <w:r w:rsidR="00F22EF7" w:rsidRPr="004041E8">
        <w:t>mycobacteriology</w:t>
      </w:r>
      <w:r w:rsidR="00D62136">
        <w:t xml:space="preserve"> </w:t>
      </w:r>
      <w:r w:rsidR="004328B2">
        <w:fldChar w:fldCharType="begin"/>
      </w:r>
      <w:r w:rsidR="00C61E42">
        <w:instrText xml:space="preserve"> ADDIN EN.CITE &lt;EndNote&gt;&lt;Cite&gt;&lt;Author&gt;Bastian&lt;/Author&gt;&lt;Year&gt;2020&lt;/Year&gt;&lt;RecNum&gt;17&lt;/RecNum&gt;&lt;DisplayText&gt;(17)&lt;/DisplayText&gt;&lt;record&gt;&lt;rec-number&gt;17&lt;/rec-number&gt;&lt;foreign-keys&gt;&lt;key app="EN" db-id="sr9paxs2qve9wpext2i5swxe50w0rs9dzze2" timestamp="1628681198"&gt;17&lt;/key&gt;&lt;/foreign-keys&gt;&lt;ref-type name="Journal Article"&gt;17&lt;/ref-type&gt;&lt;contributors&gt;&lt;authors&gt;&lt;author&gt;Bastian, I.&lt;/author&gt;&lt;author&gt;Shephard, L.&lt;/author&gt;&lt;author&gt;Lumb, R.&lt;/author&gt;&lt;author&gt;and the National Tuberculosis Advisory Committee,&lt;/author&gt;&lt;/authors&gt;&lt;/contributors&gt;&lt;auth-address&gt;SA Pathology, PO Box 14, Rundle Mall, Adelaide SA 5000.&lt;/auth-address&gt;&lt;titles&gt;&lt;title&gt;Revised guidelines for Australian laboratories performing mycobacteriology testing&lt;/title&gt;&lt;secondary-title&gt;Communicable Diseases Intelligence (2018)&lt;/secondary-title&gt;&lt;/titles&gt;&lt;periodical&gt;&lt;full-title&gt;Communicable Diseases Intelligence (2018)&lt;/full-title&gt;&lt;/periodical&gt;&lt;volume&gt;44&lt;/volume&gt;&lt;edition&gt;2020/01/16&lt;/edition&gt;&lt;keywords&gt;&lt;keyword&gt;Australia&lt;/keyword&gt;&lt;keyword&gt;Humans&lt;/keyword&gt;&lt;keyword&gt;Laboratories/standards&lt;/keyword&gt;&lt;keyword&gt;Mycobacterium tuberculosis&lt;/keyword&gt;&lt;keyword&gt;*Practice Guidelines as Topic&lt;/keyword&gt;&lt;keyword&gt;Tuberculosis/diagnosis/*microbiology&lt;/keyword&gt;&lt;/keywords&gt;&lt;dates&gt;&lt;year&gt;2020&lt;/year&gt;&lt;pub-dates&gt;&lt;date&gt;Jan 15&lt;/date&gt;&lt;/pub-dates&gt;&lt;/dates&gt;&lt;isbn&gt;2209-6051 (Electronic)&amp;#xD;2209-6051 (Linking)&lt;/isbn&gt;&lt;accession-num&gt;31940451&lt;/accession-num&gt;&lt;urls&gt;&lt;related-urls&gt;&lt;url&gt;https://www.ncbi.nlm.nih.gov/pubmed/31940451&lt;/url&gt;&lt;/related-urls&gt;&lt;/urls&gt;&lt;electronic-resource-num&gt;10.33321/cdi.2019.44.2&amp;#xD;10.33321/cdi.2020.44.2&lt;/electronic-resource-num&gt;&lt;/record&gt;&lt;/Cite&gt;&lt;/EndNote&gt;</w:instrText>
      </w:r>
      <w:r w:rsidR="004328B2">
        <w:fldChar w:fldCharType="separate"/>
      </w:r>
      <w:r w:rsidR="00417EC9">
        <w:rPr>
          <w:noProof/>
        </w:rPr>
        <w:t>(17)</w:t>
      </w:r>
      <w:r w:rsidR="004328B2">
        <w:fldChar w:fldCharType="end"/>
      </w:r>
      <w:r w:rsidR="00B91C88" w:rsidRPr="00B91C88">
        <w:t>.</w:t>
      </w:r>
      <w:r w:rsidRPr="00B91C88">
        <w:t xml:space="preserve"> </w:t>
      </w:r>
    </w:p>
    <w:p w14:paraId="64EE2409" w14:textId="4FC84EA7" w:rsidR="002E1CF0" w:rsidRPr="007A4336" w:rsidRDefault="002E1CF0" w:rsidP="00AA59D5">
      <w:pPr>
        <w:pStyle w:val="Heading1"/>
        <w:pageBreakBefore/>
      </w:pPr>
      <w:bookmarkStart w:id="70" w:name="_Case_management_4"/>
      <w:bookmarkStart w:id="71" w:name="_Toc97195065"/>
      <w:bookmarkEnd w:id="70"/>
      <w:r w:rsidRPr="007A4336">
        <w:lastRenderedPageBreak/>
        <w:t>Case management</w:t>
      </w:r>
      <w:bookmarkEnd w:id="71"/>
    </w:p>
    <w:p w14:paraId="1EE95041" w14:textId="77777777" w:rsidR="002E1CF0" w:rsidRPr="007A4336" w:rsidRDefault="002E1CF0" w:rsidP="00CA7F5E">
      <w:pPr>
        <w:pStyle w:val="Heading2"/>
      </w:pPr>
      <w:bookmarkStart w:id="72" w:name="_Toc97195066"/>
      <w:r w:rsidRPr="00944609">
        <w:t>Response times</w:t>
      </w:r>
      <w:bookmarkEnd w:id="72"/>
    </w:p>
    <w:p w14:paraId="77B87F10" w14:textId="592D335D" w:rsidR="002E1CF0" w:rsidRPr="004D44EC" w:rsidRDefault="002E1CF0" w:rsidP="002E1CF0">
      <w:pPr>
        <w:rPr>
          <w:rFonts w:cs="Arial"/>
        </w:rPr>
      </w:pPr>
      <w:r w:rsidRPr="004D44EC">
        <w:rPr>
          <w:rFonts w:cs="Arial"/>
        </w:rPr>
        <w:t xml:space="preserve">Follow up of sputum smear positive pulmonary TB notifications for </w:t>
      </w:r>
      <w:r w:rsidR="003B0FCA" w:rsidRPr="004D44EC">
        <w:rPr>
          <w:rFonts w:cs="Arial"/>
        </w:rPr>
        <w:t xml:space="preserve">appropriate infection control </w:t>
      </w:r>
      <w:r w:rsidRPr="004D44EC">
        <w:rPr>
          <w:rFonts w:cs="Arial"/>
        </w:rPr>
        <w:t>(if not already in place)</w:t>
      </w:r>
      <w:r w:rsidR="003B0FCA" w:rsidRPr="004D44EC">
        <w:rPr>
          <w:rFonts w:cs="Arial"/>
        </w:rPr>
        <w:t xml:space="preserve">, </w:t>
      </w:r>
      <w:r w:rsidR="00F04918" w:rsidRPr="004D44EC">
        <w:rPr>
          <w:rFonts w:cs="Arial"/>
        </w:rPr>
        <w:t xml:space="preserve">and </w:t>
      </w:r>
      <w:r w:rsidR="003B0FCA" w:rsidRPr="004D44EC">
        <w:rPr>
          <w:rFonts w:cs="Arial"/>
        </w:rPr>
        <w:t>treatment</w:t>
      </w:r>
      <w:r w:rsidRPr="004D44EC">
        <w:rPr>
          <w:rFonts w:cs="Arial"/>
        </w:rPr>
        <w:t xml:space="preserve"> should begin within 1 working day of receipt of notification. All other cases should </w:t>
      </w:r>
      <w:r w:rsidR="003B0FCA" w:rsidRPr="004D44EC">
        <w:rPr>
          <w:rFonts w:cs="Arial"/>
        </w:rPr>
        <w:t xml:space="preserve">begin follow </w:t>
      </w:r>
      <w:r w:rsidRPr="004D44EC">
        <w:rPr>
          <w:rFonts w:cs="Arial"/>
        </w:rPr>
        <w:t xml:space="preserve">up within 3 working days. </w:t>
      </w:r>
      <w:r w:rsidR="003B0FCA" w:rsidRPr="004D44EC">
        <w:rPr>
          <w:rFonts w:cs="Arial"/>
        </w:rPr>
        <w:t xml:space="preserve">Where drug resistance is suspected or proven, initiation of antimicrobial therapy may be delayed pending further DST results if clinically safe to do </w:t>
      </w:r>
      <w:r w:rsidR="006830D0" w:rsidRPr="004D44EC">
        <w:rPr>
          <w:rFonts w:cs="Arial"/>
        </w:rPr>
        <w:t>so.</w:t>
      </w:r>
    </w:p>
    <w:p w14:paraId="7BEF8484" w14:textId="56E63933" w:rsidR="002E1CF0" w:rsidRPr="007A4336" w:rsidRDefault="002E1CF0" w:rsidP="00CA7F5E">
      <w:pPr>
        <w:pStyle w:val="Heading2"/>
      </w:pPr>
      <w:bookmarkStart w:id="73" w:name="_Toc97195067"/>
      <w:r w:rsidRPr="00944609">
        <w:t>Response procedure</w:t>
      </w:r>
      <w:bookmarkEnd w:id="73"/>
    </w:p>
    <w:p w14:paraId="2EBBB7F6" w14:textId="77777777" w:rsidR="002E1CF0" w:rsidRPr="006A5E02" w:rsidRDefault="002E1CF0" w:rsidP="00CA7F5E">
      <w:pPr>
        <w:pStyle w:val="Heading3"/>
      </w:pPr>
      <w:bookmarkStart w:id="74" w:name="_Toc29979774"/>
      <w:r w:rsidRPr="00944609">
        <w:t>Case investigation</w:t>
      </w:r>
      <w:bookmarkEnd w:id="74"/>
    </w:p>
    <w:p w14:paraId="728D2384" w14:textId="735434AD" w:rsidR="002E1CF0" w:rsidRPr="004D44EC" w:rsidRDefault="002E1CF0" w:rsidP="00993C7C">
      <w:pPr>
        <w:rPr>
          <w:rFonts w:cs="Arial"/>
        </w:rPr>
      </w:pPr>
      <w:r w:rsidRPr="004D44EC">
        <w:rPr>
          <w:rFonts w:cs="Arial"/>
        </w:rPr>
        <w:t>Generally, investigation of TB cases is undertaken by TB services staff</w:t>
      </w:r>
      <w:r w:rsidR="00F83403" w:rsidRPr="004D44EC">
        <w:rPr>
          <w:rFonts w:cs="Arial"/>
        </w:rPr>
        <w:t xml:space="preserve">, </w:t>
      </w:r>
      <w:r w:rsidR="00F70A71" w:rsidRPr="004D44EC">
        <w:rPr>
          <w:rFonts w:cs="Arial"/>
        </w:rPr>
        <w:t>in collaboration with the case’s healthcare providers</w:t>
      </w:r>
      <w:r w:rsidR="00294A5B" w:rsidRPr="004D44EC">
        <w:rPr>
          <w:rFonts w:cs="Arial"/>
        </w:rPr>
        <w:t>,</w:t>
      </w:r>
      <w:r w:rsidR="00F70A71" w:rsidRPr="004D44EC">
        <w:rPr>
          <w:rFonts w:cs="Arial"/>
        </w:rPr>
        <w:t xml:space="preserve"> </w:t>
      </w:r>
      <w:r w:rsidRPr="004D44EC">
        <w:rPr>
          <w:rFonts w:cs="Arial"/>
        </w:rPr>
        <w:t xml:space="preserve">using a disease investigation form (see example in </w:t>
      </w:r>
      <w:hyperlink w:anchor="_Appendices" w:history="1">
        <w:r w:rsidRPr="004D44EC">
          <w:rPr>
            <w:rStyle w:val="Hyperlink"/>
            <w:rFonts w:cs="Arial"/>
          </w:rPr>
          <w:t>Appendix 1</w:t>
        </w:r>
      </w:hyperlink>
      <w:r w:rsidRPr="004D44EC">
        <w:rPr>
          <w:rFonts w:cs="Arial"/>
        </w:rPr>
        <w:t>). Wherever possible, seek the treating doctor’s consent</w:t>
      </w:r>
      <w:r w:rsidR="00F70A71" w:rsidRPr="004D44EC">
        <w:rPr>
          <w:rFonts w:cs="Arial"/>
        </w:rPr>
        <w:t>;</w:t>
      </w:r>
      <w:r w:rsidRPr="004D44EC">
        <w:rPr>
          <w:rFonts w:cs="Arial"/>
        </w:rPr>
        <w:t xml:space="preserve"> however</w:t>
      </w:r>
      <w:r w:rsidR="00F70A71" w:rsidRPr="004D44EC">
        <w:rPr>
          <w:rFonts w:cs="Arial"/>
        </w:rPr>
        <w:t>,</w:t>
      </w:r>
      <w:r w:rsidRPr="004D44EC">
        <w:rPr>
          <w:rFonts w:cs="Arial"/>
        </w:rPr>
        <w:t xml:space="preserve"> where this cannot happen in a timely fashion, follow</w:t>
      </w:r>
      <w:r w:rsidR="003728BC" w:rsidRPr="004D44EC">
        <w:rPr>
          <w:rFonts w:cs="Arial"/>
        </w:rPr>
        <w:t>-</w:t>
      </w:r>
      <w:r w:rsidRPr="004D44EC">
        <w:rPr>
          <w:rFonts w:cs="Arial"/>
        </w:rPr>
        <w:t>up should proceed.</w:t>
      </w:r>
      <w:r w:rsidR="00D75826" w:rsidRPr="004D44EC">
        <w:t xml:space="preserve"> Essential actions are:</w:t>
      </w:r>
    </w:p>
    <w:p w14:paraId="15640712" w14:textId="70693301" w:rsidR="002E1CF0" w:rsidRPr="004D44EC" w:rsidRDefault="00D5500A" w:rsidP="003031A7">
      <w:pPr>
        <w:pStyle w:val="ListBullet2"/>
      </w:pPr>
      <w:r w:rsidRPr="004D44EC">
        <w:t>C</w:t>
      </w:r>
      <w:r w:rsidR="002E1CF0" w:rsidRPr="004D44EC">
        <w:t>onfirm the onset d</w:t>
      </w:r>
      <w:r w:rsidR="0031322C" w:rsidRPr="004D44EC">
        <w:t>ate and symptoms of the illness</w:t>
      </w:r>
      <w:r w:rsidR="003728BC" w:rsidRPr="004D44EC">
        <w:t>.</w:t>
      </w:r>
    </w:p>
    <w:p w14:paraId="396FF6A3" w14:textId="081710C8" w:rsidR="002E1CF0" w:rsidRPr="004D44EC" w:rsidRDefault="00D5500A" w:rsidP="003031A7">
      <w:pPr>
        <w:pStyle w:val="ListBullet2"/>
      </w:pPr>
      <w:r w:rsidRPr="004D44EC">
        <w:t>D</w:t>
      </w:r>
      <w:r w:rsidR="002E1CF0" w:rsidRPr="004D44EC">
        <w:t xml:space="preserve">ocument the time of </w:t>
      </w:r>
      <w:r w:rsidR="00F70A71" w:rsidRPr="004D44EC">
        <w:t>first</w:t>
      </w:r>
      <w:r w:rsidR="002E1CF0" w:rsidRPr="004D44EC">
        <w:t xml:space="preserve"> conta</w:t>
      </w:r>
      <w:r w:rsidR="0031322C" w:rsidRPr="004D44EC">
        <w:t>ct with healthcare for symptoms</w:t>
      </w:r>
      <w:r w:rsidR="003728BC" w:rsidRPr="004D44EC">
        <w:t>.</w:t>
      </w:r>
    </w:p>
    <w:p w14:paraId="17558E6E" w14:textId="55CC3735" w:rsidR="002E1CF0" w:rsidRPr="004D44EC" w:rsidRDefault="00D5500A" w:rsidP="003031A7">
      <w:pPr>
        <w:pStyle w:val="ListBullet2"/>
      </w:pPr>
      <w:r w:rsidRPr="004D44EC">
        <w:t>R</w:t>
      </w:r>
      <w:r w:rsidR="002E1CF0" w:rsidRPr="004D44EC">
        <w:t>eview results of relevant laboratory tests, and/or recommend that tests be done</w:t>
      </w:r>
      <w:r w:rsidR="0031322C" w:rsidRPr="004D44EC">
        <w:t xml:space="preserve"> to confirm the diagnosis of TB</w:t>
      </w:r>
      <w:r w:rsidR="00D75826" w:rsidRPr="004D44EC">
        <w:t xml:space="preserve"> and/or the detection of rifampicin resistance by rapid NAAT</w:t>
      </w:r>
      <w:r w:rsidR="003728BC" w:rsidRPr="004D44EC">
        <w:t>.</w:t>
      </w:r>
    </w:p>
    <w:p w14:paraId="4845C2D0" w14:textId="6DF8A994" w:rsidR="00DA7F8C" w:rsidRPr="004D44EC" w:rsidRDefault="00D5500A" w:rsidP="003031A7">
      <w:pPr>
        <w:pStyle w:val="ListBullet2"/>
      </w:pPr>
      <w:r w:rsidRPr="004D44EC">
        <w:t>I</w:t>
      </w:r>
      <w:r w:rsidR="002E1CF0" w:rsidRPr="004D44EC">
        <w:t xml:space="preserve">nterview the case (or carer) and obtain history to inform the contact management plan (including possible exposures </w:t>
      </w:r>
      <w:proofErr w:type="gramStart"/>
      <w:r w:rsidR="002E1CF0" w:rsidRPr="004D44EC">
        <w:t>e.g.</w:t>
      </w:r>
      <w:proofErr w:type="gramEnd"/>
      <w:r w:rsidR="002E1CF0" w:rsidRPr="004D44EC">
        <w:t xml:space="preserve"> occupational, recreational, recent t</w:t>
      </w:r>
      <w:r w:rsidR="00AD401F" w:rsidRPr="004D44EC">
        <w:t>ravel and identifying contacts)</w:t>
      </w:r>
      <w:r w:rsidR="003728BC" w:rsidRPr="004D44EC">
        <w:t>.</w:t>
      </w:r>
    </w:p>
    <w:p w14:paraId="374F8FE3" w14:textId="0FAD2FBA" w:rsidR="002E1CF0" w:rsidRPr="004D44EC" w:rsidRDefault="00DA7F8C" w:rsidP="003031A7">
      <w:pPr>
        <w:pStyle w:val="ListBullet2"/>
      </w:pPr>
      <w:r w:rsidRPr="004D44EC">
        <w:t>I</w:t>
      </w:r>
      <w:r w:rsidR="002E1CF0" w:rsidRPr="004D44EC">
        <w:t>f the index case is a child, identify the possible source ca</w:t>
      </w:r>
      <w:r w:rsidR="0031322C" w:rsidRPr="004D44EC">
        <w:t>se as a matter of priority</w:t>
      </w:r>
      <w:r w:rsidR="007653A6" w:rsidRPr="004D44EC">
        <w:t xml:space="preserve">, given that </w:t>
      </w:r>
      <w:r w:rsidR="002171AF" w:rsidRPr="004D44EC">
        <w:t>children act as ‘sentinels’ of recent local transmission</w:t>
      </w:r>
      <w:r w:rsidR="003728BC" w:rsidRPr="004D44EC">
        <w:t>.</w:t>
      </w:r>
    </w:p>
    <w:p w14:paraId="024FC7A4" w14:textId="729C7A49" w:rsidR="002E1CF0" w:rsidRPr="004D44EC" w:rsidRDefault="003B0FCA" w:rsidP="003031A7">
      <w:pPr>
        <w:pStyle w:val="ListBullet2"/>
      </w:pPr>
      <w:r w:rsidRPr="004D44EC">
        <w:t>Smear negative/c</w:t>
      </w:r>
      <w:r w:rsidR="002E1CF0" w:rsidRPr="004D44EC">
        <w:t>ulture positive pulmonary TB cases should have sputum collected when culture positivity is reported to see if the case h</w:t>
      </w:r>
      <w:r w:rsidR="0031322C" w:rsidRPr="004D44EC">
        <w:t>as progressed to smear positive</w:t>
      </w:r>
      <w:r w:rsidR="003728BC" w:rsidRPr="004D44EC">
        <w:t>.</w:t>
      </w:r>
    </w:p>
    <w:p w14:paraId="49AA9FB1" w14:textId="747D55C1" w:rsidR="002E1CF0" w:rsidRPr="004D44EC" w:rsidRDefault="00D5500A" w:rsidP="003031A7">
      <w:pPr>
        <w:pStyle w:val="ListBullet2"/>
      </w:pPr>
      <w:r w:rsidRPr="004D44EC">
        <w:t>E</w:t>
      </w:r>
      <w:r w:rsidR="002E1CF0" w:rsidRPr="004D44EC">
        <w:t xml:space="preserve">xtra-pulmonary TB cases have a </w:t>
      </w:r>
      <w:proofErr w:type="gramStart"/>
      <w:r w:rsidR="002E1CF0" w:rsidRPr="004D44EC">
        <w:t>CXR</w:t>
      </w:r>
      <w:proofErr w:type="gramEnd"/>
      <w:r w:rsidR="002E1CF0" w:rsidRPr="004D44EC">
        <w:t xml:space="preserve"> and sputum samples collected to determine co</w:t>
      </w:r>
      <w:r w:rsidR="0031322C" w:rsidRPr="004D44EC">
        <w:t>-existing pulmonary involvement</w:t>
      </w:r>
      <w:r w:rsidR="003728BC" w:rsidRPr="004D44EC">
        <w:t>.</w:t>
      </w:r>
    </w:p>
    <w:p w14:paraId="31BD1D39" w14:textId="0C1C9D44" w:rsidR="002E1CF0" w:rsidRPr="004D44EC" w:rsidRDefault="00D5500A" w:rsidP="003031A7">
      <w:pPr>
        <w:pStyle w:val="ListBullet2"/>
      </w:pPr>
      <w:r w:rsidRPr="004D44EC">
        <w:t>R</w:t>
      </w:r>
      <w:r w:rsidR="002E1CF0" w:rsidRPr="004D44EC">
        <w:t xml:space="preserve">eview case and contact management ensuring relevant respiratory isolation and infection </w:t>
      </w:r>
      <w:r w:rsidR="0031322C" w:rsidRPr="004D44EC">
        <w:t>control strategies are in place</w:t>
      </w:r>
      <w:r w:rsidR="003728BC" w:rsidRPr="004D44EC">
        <w:t>.</w:t>
      </w:r>
    </w:p>
    <w:p w14:paraId="3F16EEF8" w14:textId="77777777" w:rsidR="002E1CF0" w:rsidRPr="004D44EC" w:rsidRDefault="00D5500A" w:rsidP="003031A7">
      <w:pPr>
        <w:pStyle w:val="ListBullet2"/>
      </w:pPr>
      <w:r w:rsidRPr="004D44EC">
        <w:t>E</w:t>
      </w:r>
      <w:r w:rsidR="002E1CF0" w:rsidRPr="004D44EC">
        <w:t>nsure infection control professionals are notified where appropriate (</w:t>
      </w:r>
      <w:proofErr w:type="gramStart"/>
      <w:r w:rsidR="002E1CF0" w:rsidRPr="004D44EC">
        <w:t>e.g.</w:t>
      </w:r>
      <w:proofErr w:type="gramEnd"/>
      <w:r w:rsidR="002E1CF0" w:rsidRPr="004D44EC">
        <w:t xml:space="preserve"> in hospital).</w:t>
      </w:r>
    </w:p>
    <w:p w14:paraId="6DDA8312" w14:textId="77777777" w:rsidR="002E1CF0" w:rsidRPr="004D44EC" w:rsidRDefault="00D5500A" w:rsidP="003031A7">
      <w:pPr>
        <w:pStyle w:val="ListBullet2"/>
      </w:pPr>
      <w:r w:rsidRPr="004D44EC">
        <w:t>E</w:t>
      </w:r>
      <w:r w:rsidR="002E1CF0" w:rsidRPr="004D44EC">
        <w:t>nsure (or confirm) with the TB staff that an appropriate treatment plan is in place.</w:t>
      </w:r>
    </w:p>
    <w:p w14:paraId="2A44F631" w14:textId="32A57916" w:rsidR="00EA3B4F" w:rsidRDefault="002E1CF0" w:rsidP="0031322C">
      <w:pPr>
        <w:keepNext/>
        <w:rPr>
          <w:rFonts w:cs="Arial"/>
        </w:rPr>
      </w:pPr>
      <w:r w:rsidRPr="004D44EC">
        <w:rPr>
          <w:rFonts w:cs="Arial"/>
        </w:rPr>
        <w:t>As part of the case investigation, an assessment is made regarding the infectiousness of the case based on clinical, radiological and laboratory findings. The degree of infectiousness is categorised as follows</w:t>
      </w:r>
      <w:r w:rsidR="00AE6202">
        <w:rPr>
          <w:rFonts w:cs="Arial"/>
        </w:rPr>
        <w:t xml:space="preserve"> (Table 1)</w:t>
      </w:r>
      <w:r w:rsidRPr="004D44EC">
        <w:rPr>
          <w:rFonts w:cs="Arial"/>
        </w:rPr>
        <w:t>:</w:t>
      </w:r>
      <w:r w:rsidR="00616642">
        <w:rPr>
          <w:rFonts w:cs="Arial"/>
        </w:rPr>
        <w:t xml:space="preserve"> </w:t>
      </w:r>
    </w:p>
    <w:p w14:paraId="59BA124D" w14:textId="1A667B5F" w:rsidR="00AE6202" w:rsidRPr="004D44EC" w:rsidRDefault="001C34D7" w:rsidP="00AA59D5">
      <w:pPr>
        <w:pStyle w:val="Caption"/>
        <w:pageBreakBefore/>
        <w:rPr>
          <w:rFonts w:cs="Arial"/>
        </w:rPr>
      </w:pPr>
      <w:r>
        <w:lastRenderedPageBreak/>
        <w:t xml:space="preserve">Table </w:t>
      </w:r>
      <w:r w:rsidR="00AA59D5">
        <w:fldChar w:fldCharType="begin"/>
      </w:r>
      <w:r w:rsidR="00AA59D5">
        <w:instrText xml:space="preserve"> SEQ Table \* ARABIC </w:instrText>
      </w:r>
      <w:r w:rsidR="00AA59D5">
        <w:fldChar w:fldCharType="separate"/>
      </w:r>
      <w:r>
        <w:rPr>
          <w:noProof/>
        </w:rPr>
        <w:t>1</w:t>
      </w:r>
      <w:r w:rsidR="00AA59D5">
        <w:rPr>
          <w:noProof/>
        </w:rPr>
        <w:fldChar w:fldCharType="end"/>
      </w:r>
      <w:r w:rsidR="00AE6202">
        <w:rPr>
          <w:rFonts w:cs="Arial"/>
        </w:rPr>
        <w:t xml:space="preserve">. Infectiousness of TB cases based on </w:t>
      </w:r>
      <w:r w:rsidR="00AE6202" w:rsidRPr="004D44EC">
        <w:rPr>
          <w:rFonts w:cs="Arial"/>
        </w:rPr>
        <w:t>clinical, radiological and laboratory findings</w:t>
      </w:r>
    </w:p>
    <w:tbl>
      <w:tblPr>
        <w:tblStyle w:val="TableGrid1"/>
        <w:tblW w:w="0" w:type="auto"/>
        <w:tblLook w:val="04A0" w:firstRow="1" w:lastRow="0" w:firstColumn="1" w:lastColumn="0" w:noHBand="0" w:noVBand="1"/>
      </w:tblPr>
      <w:tblGrid>
        <w:gridCol w:w="2581"/>
        <w:gridCol w:w="6662"/>
      </w:tblGrid>
      <w:tr w:rsidR="00AE6202" w:rsidRPr="00AE6202" w14:paraId="58755880" w14:textId="77777777" w:rsidTr="001C34D7">
        <w:trPr>
          <w:cnfStyle w:val="100000000000" w:firstRow="1" w:lastRow="0" w:firstColumn="0" w:lastColumn="0" w:oddVBand="0" w:evenVBand="0" w:oddHBand="0" w:evenHBand="0" w:firstRowFirstColumn="0" w:firstRowLastColumn="0" w:lastRowFirstColumn="0" w:lastRowLastColumn="0"/>
        </w:trPr>
        <w:tc>
          <w:tcPr>
            <w:tcW w:w="2581" w:type="dxa"/>
          </w:tcPr>
          <w:p w14:paraId="1ACCDF7F" w14:textId="7DB3283B" w:rsidR="004D0143" w:rsidRPr="006A5E02" w:rsidRDefault="004D0143" w:rsidP="006A5E02">
            <w:r w:rsidRPr="006A5E02">
              <w:t>Degree of infectiousness of case</w:t>
            </w:r>
          </w:p>
        </w:tc>
        <w:tc>
          <w:tcPr>
            <w:tcW w:w="6662" w:type="dxa"/>
          </w:tcPr>
          <w:p w14:paraId="40A6C236" w14:textId="211C91FB" w:rsidR="004D0143" w:rsidRPr="006A5E02" w:rsidRDefault="004D0143" w:rsidP="006A5E02">
            <w:r w:rsidRPr="006A5E02">
              <w:t>Clinical</w:t>
            </w:r>
            <w:r w:rsidR="003B0FCA" w:rsidRPr="006A5E02">
              <w:t>, radiological and laboratory findings</w:t>
            </w:r>
          </w:p>
        </w:tc>
      </w:tr>
      <w:tr w:rsidR="004D0143" w:rsidRPr="004D44EC" w14:paraId="261B5639" w14:textId="77777777" w:rsidTr="001C34D7">
        <w:tc>
          <w:tcPr>
            <w:tcW w:w="2581" w:type="dxa"/>
          </w:tcPr>
          <w:p w14:paraId="1F1CE4F3" w14:textId="2000600D" w:rsidR="004D0143" w:rsidRPr="001C34D7" w:rsidRDefault="004D0143" w:rsidP="00AE6202">
            <w:pPr>
              <w:tabs>
                <w:tab w:val="left" w:pos="1701"/>
              </w:tabs>
              <w:contextualSpacing/>
              <w:rPr>
                <w:b/>
                <w:bCs/>
              </w:rPr>
            </w:pPr>
            <w:r w:rsidRPr="001C34D7">
              <w:rPr>
                <w:rStyle w:val="Strong"/>
              </w:rPr>
              <w:t>Negligible</w:t>
            </w:r>
          </w:p>
        </w:tc>
        <w:tc>
          <w:tcPr>
            <w:tcW w:w="6662" w:type="dxa"/>
          </w:tcPr>
          <w:p w14:paraId="7F30487D" w14:textId="0289BFB7" w:rsidR="004D0143" w:rsidRPr="001C34D7" w:rsidRDefault="004D0143" w:rsidP="001C34D7">
            <w:r w:rsidRPr="001C34D7">
              <w:t>Extrapulmonary TB</w:t>
            </w:r>
          </w:p>
          <w:p w14:paraId="3287FDAB" w14:textId="3B32F9A9" w:rsidR="004D0143" w:rsidRPr="00027817" w:rsidRDefault="004D0143" w:rsidP="001C34D7">
            <w:r w:rsidRPr="001C34D7">
              <w:t>Sputum smear negative &amp; culture negative pulmonary TB</w:t>
            </w:r>
          </w:p>
        </w:tc>
      </w:tr>
      <w:tr w:rsidR="004D0143" w:rsidRPr="004D44EC" w14:paraId="447225CF" w14:textId="77777777" w:rsidTr="001C34D7">
        <w:tc>
          <w:tcPr>
            <w:tcW w:w="2581" w:type="dxa"/>
          </w:tcPr>
          <w:p w14:paraId="622C8C9C" w14:textId="0017A91B" w:rsidR="004D0143" w:rsidRPr="001C34D7" w:rsidRDefault="004D0143" w:rsidP="00AE6202">
            <w:pPr>
              <w:tabs>
                <w:tab w:val="left" w:pos="1701"/>
              </w:tabs>
              <w:contextualSpacing/>
              <w:rPr>
                <w:rStyle w:val="Strong"/>
              </w:rPr>
            </w:pPr>
            <w:r w:rsidRPr="001C34D7">
              <w:rPr>
                <w:rStyle w:val="Strong"/>
              </w:rPr>
              <w:t>Lower</w:t>
            </w:r>
          </w:p>
        </w:tc>
        <w:tc>
          <w:tcPr>
            <w:tcW w:w="6662" w:type="dxa"/>
          </w:tcPr>
          <w:p w14:paraId="621B17EF" w14:textId="07F8ABCC" w:rsidR="004D0143" w:rsidRPr="001C34D7" w:rsidRDefault="004D0143" w:rsidP="001C34D7">
            <w:r w:rsidRPr="001C34D7">
              <w:t>Sputum or bronchial washings smear negative &amp; culture positive (no cavitation on CXR)</w:t>
            </w:r>
          </w:p>
        </w:tc>
      </w:tr>
      <w:tr w:rsidR="004D0143" w:rsidRPr="004D44EC" w14:paraId="777B3DC8" w14:textId="77777777" w:rsidTr="001C34D7">
        <w:tc>
          <w:tcPr>
            <w:tcW w:w="2581" w:type="dxa"/>
          </w:tcPr>
          <w:p w14:paraId="195EF473" w14:textId="5742C108" w:rsidR="004D0143" w:rsidRPr="001C34D7" w:rsidRDefault="004D0143" w:rsidP="00AE6202">
            <w:pPr>
              <w:tabs>
                <w:tab w:val="left" w:pos="1701"/>
              </w:tabs>
              <w:contextualSpacing/>
              <w:rPr>
                <w:rStyle w:val="Strong"/>
              </w:rPr>
            </w:pPr>
            <w:r w:rsidRPr="001C34D7">
              <w:rPr>
                <w:rStyle w:val="Strong"/>
              </w:rPr>
              <w:t>Higher</w:t>
            </w:r>
          </w:p>
        </w:tc>
        <w:tc>
          <w:tcPr>
            <w:tcW w:w="6662" w:type="dxa"/>
          </w:tcPr>
          <w:p w14:paraId="2050A0B5" w14:textId="2F2B5BAE" w:rsidR="004D0143" w:rsidRPr="001C34D7" w:rsidRDefault="004D0143" w:rsidP="001C34D7">
            <w:r w:rsidRPr="001C34D7">
              <w:t>Sputum smear positive</w:t>
            </w:r>
            <w:r w:rsidR="007E53A5" w:rsidRPr="001C34D7">
              <w:t xml:space="preserve"> </w:t>
            </w:r>
            <w:r w:rsidRPr="001C34D7">
              <w:t>&amp; [culture positive or PCR positive]</w:t>
            </w:r>
            <w:r w:rsidR="00091C9A" w:rsidRPr="001C34D7">
              <w:t xml:space="preserve"> </w:t>
            </w:r>
          </w:p>
          <w:p w14:paraId="02C8E76C" w14:textId="0A2A401D" w:rsidR="004D0143" w:rsidRPr="001C34D7" w:rsidRDefault="004D0143" w:rsidP="001C34D7">
            <w:r w:rsidRPr="001C34D7">
              <w:t>Cavitation on CXR regardless of smear status but PCR or culture positive</w:t>
            </w:r>
          </w:p>
          <w:p w14:paraId="1C697074" w14:textId="01D90BD8" w:rsidR="004D0143" w:rsidRPr="001C34D7" w:rsidRDefault="004D0143" w:rsidP="001C34D7">
            <w:r w:rsidRPr="001C34D7">
              <w:t xml:space="preserve">Bronchial washings smear positive &amp; </w:t>
            </w:r>
            <w:r w:rsidR="007E53A5" w:rsidRPr="001C34D7">
              <w:t>[</w:t>
            </w:r>
            <w:r w:rsidRPr="001C34D7">
              <w:t>culture positive</w:t>
            </w:r>
            <w:r w:rsidR="007E53A5" w:rsidRPr="001C34D7">
              <w:t xml:space="preserve"> or PCR positive]</w:t>
            </w:r>
          </w:p>
          <w:p w14:paraId="6AD48EE8" w14:textId="1E3E74D9" w:rsidR="004D0143" w:rsidRPr="00027817" w:rsidRDefault="004D0143" w:rsidP="001C34D7">
            <w:r w:rsidRPr="001C34D7">
              <w:t>Laryngeal TB</w:t>
            </w:r>
          </w:p>
        </w:tc>
      </w:tr>
    </w:tbl>
    <w:p w14:paraId="3CFEFE02" w14:textId="7CBA435A" w:rsidR="00DD546B" w:rsidRPr="004D44EC" w:rsidRDefault="004D0143" w:rsidP="001C34D7">
      <w:pPr>
        <w:pStyle w:val="FootnoteText"/>
        <w:rPr>
          <w:rFonts w:cs="Arial"/>
        </w:rPr>
      </w:pPr>
      <w:r w:rsidRPr="004D44EC">
        <w:rPr>
          <w:rFonts w:cs="Arial"/>
        </w:rPr>
        <w:t xml:space="preserve"># </w:t>
      </w:r>
      <w:r w:rsidRPr="001C34D7">
        <w:t xml:space="preserve">Cavitation evident on CT scanning but NOT on CXR is of uncertain significance regarding infectivity. Decision making should be based on the </w:t>
      </w:r>
      <w:r w:rsidR="003B0FCA" w:rsidRPr="001C34D7">
        <w:t>C</w:t>
      </w:r>
      <w:r w:rsidRPr="001C34D7">
        <w:t>XR appearance in this setting</w:t>
      </w:r>
      <w:r w:rsidRPr="004D44EC">
        <w:rPr>
          <w:rFonts w:cs="Arial"/>
        </w:rPr>
        <w:t>.</w:t>
      </w:r>
    </w:p>
    <w:p w14:paraId="24E9D3AE" w14:textId="77777777" w:rsidR="002E1CF0" w:rsidRPr="007A4336" w:rsidRDefault="002E1CF0" w:rsidP="00CA7F5E">
      <w:pPr>
        <w:pStyle w:val="Heading2"/>
      </w:pPr>
      <w:bookmarkStart w:id="75" w:name="_Toc29979775"/>
      <w:bookmarkStart w:id="76" w:name="_Toc97195068"/>
      <w:r w:rsidRPr="00AE6202">
        <w:t>Case treatment</w:t>
      </w:r>
      <w:bookmarkEnd w:id="75"/>
      <w:bookmarkEnd w:id="76"/>
    </w:p>
    <w:p w14:paraId="3323F106" w14:textId="028C4C5F" w:rsidR="005322E5" w:rsidRPr="004D44EC" w:rsidRDefault="006830D0" w:rsidP="00993C7C">
      <w:pPr>
        <w:rPr>
          <w:rFonts w:cs="Arial"/>
        </w:rPr>
      </w:pPr>
      <w:r w:rsidRPr="004D44EC">
        <w:rPr>
          <w:rFonts w:cs="Arial"/>
        </w:rPr>
        <w:t xml:space="preserve">Unless drug resistance is proven or suspected, new cases of </w:t>
      </w:r>
      <w:r w:rsidR="00C845D3" w:rsidRPr="004D44EC">
        <w:rPr>
          <w:rFonts w:cs="Arial"/>
        </w:rPr>
        <w:t xml:space="preserve">pulmonary </w:t>
      </w:r>
      <w:r w:rsidRPr="004D44EC">
        <w:rPr>
          <w:rFonts w:cs="Arial"/>
        </w:rPr>
        <w:t xml:space="preserve">TB should commence on standard 4 drug therapy (isoniazid, rifampicin, </w:t>
      </w:r>
      <w:proofErr w:type="gramStart"/>
      <w:r w:rsidRPr="004D44EC">
        <w:rPr>
          <w:rFonts w:cs="Arial"/>
        </w:rPr>
        <w:t>ethambutol</w:t>
      </w:r>
      <w:proofErr w:type="gramEnd"/>
      <w:r w:rsidRPr="004D44EC">
        <w:rPr>
          <w:rFonts w:cs="Arial"/>
        </w:rPr>
        <w:t xml:space="preserve"> and pyrazinamide). </w:t>
      </w:r>
      <w:r w:rsidR="00C845D3" w:rsidRPr="004D44EC">
        <w:rPr>
          <w:rFonts w:cs="Arial"/>
        </w:rPr>
        <w:t xml:space="preserve">Dosing should be daily. </w:t>
      </w:r>
      <w:r w:rsidRPr="004D44EC">
        <w:rPr>
          <w:rFonts w:cs="Arial"/>
        </w:rPr>
        <w:t xml:space="preserve">Once the strain is confirmed as fully drug susceptible to these first line agents, ethambutol can usually be omitted from the regimen and pyrazinamide is </w:t>
      </w:r>
      <w:r w:rsidR="00F705D8" w:rsidRPr="004D44EC">
        <w:rPr>
          <w:rFonts w:cs="Arial"/>
        </w:rPr>
        <w:t>routinely</w:t>
      </w:r>
      <w:r w:rsidRPr="004D44EC">
        <w:rPr>
          <w:rFonts w:cs="Arial"/>
        </w:rPr>
        <w:t xml:space="preserve"> ceased after 8 weeks</w:t>
      </w:r>
      <w:r w:rsidR="00C845D3" w:rsidRPr="004D44EC">
        <w:rPr>
          <w:rFonts w:cs="Arial"/>
        </w:rPr>
        <w:t>, representing the standard duration of the intensive phase</w:t>
      </w:r>
      <w:r w:rsidRPr="004D44EC">
        <w:rPr>
          <w:rFonts w:cs="Arial"/>
        </w:rPr>
        <w:t>.</w:t>
      </w:r>
      <w:r w:rsidR="00091C9A">
        <w:rPr>
          <w:rFonts w:cs="Arial"/>
        </w:rPr>
        <w:t xml:space="preserve"> </w:t>
      </w:r>
      <w:bookmarkStart w:id="77" w:name="_Hlk78889867"/>
      <w:r w:rsidR="00C845D3" w:rsidRPr="004D44EC">
        <w:rPr>
          <w:rFonts w:cs="Arial"/>
        </w:rPr>
        <w:t>A continuation phase follows with a minimum total duration of therapy of six months for</w:t>
      </w:r>
      <w:bookmarkEnd w:id="77"/>
      <w:r w:rsidR="00091C9A">
        <w:rPr>
          <w:rFonts w:cs="Arial"/>
        </w:rPr>
        <w:t xml:space="preserve"> </w:t>
      </w:r>
      <w:r w:rsidR="0021136D" w:rsidRPr="004D44EC">
        <w:rPr>
          <w:rFonts w:cs="Arial"/>
        </w:rPr>
        <w:t xml:space="preserve">fully susceptible </w:t>
      </w:r>
      <w:r w:rsidR="0021136D" w:rsidRPr="003031A7">
        <w:rPr>
          <w:rStyle w:val="Emphasis"/>
        </w:rPr>
        <w:t xml:space="preserve">M. tuberculosis </w:t>
      </w:r>
      <w:r w:rsidR="00C845D3" w:rsidRPr="00D40010">
        <w:rPr>
          <w:rFonts w:cs="Arial"/>
        </w:rPr>
        <w:t>disease</w:t>
      </w:r>
      <w:r w:rsidR="00C845D3" w:rsidRPr="003031A7">
        <w:rPr>
          <w:rStyle w:val="Emphasis"/>
        </w:rPr>
        <w:t>.</w:t>
      </w:r>
      <w:r w:rsidR="0021136D" w:rsidRPr="004D44EC">
        <w:rPr>
          <w:rFonts w:cs="Arial"/>
        </w:rPr>
        <w:t xml:space="preserve"> For detailed information on therapeutic agents</w:t>
      </w:r>
      <w:r w:rsidR="00C845D3" w:rsidRPr="004D44EC">
        <w:rPr>
          <w:rFonts w:cs="Arial"/>
        </w:rPr>
        <w:t xml:space="preserve"> including dosing</w:t>
      </w:r>
      <w:r w:rsidR="005322E5" w:rsidRPr="004D44EC">
        <w:rPr>
          <w:rFonts w:cs="Arial"/>
        </w:rPr>
        <w:t xml:space="preserve"> and use in extra</w:t>
      </w:r>
      <w:r w:rsidR="004760AA">
        <w:rPr>
          <w:rFonts w:cs="Arial"/>
        </w:rPr>
        <w:t>p</w:t>
      </w:r>
      <w:r w:rsidR="005322E5" w:rsidRPr="004D44EC">
        <w:rPr>
          <w:rFonts w:cs="Arial"/>
        </w:rPr>
        <w:t>ulmonary TB</w:t>
      </w:r>
      <w:r w:rsidR="0021136D" w:rsidRPr="004D44EC">
        <w:rPr>
          <w:rFonts w:cs="Arial"/>
        </w:rPr>
        <w:t xml:space="preserve"> see the relevant jurisdictional guidance or the current edition of Therapeutic Guidelines: Antibiotic</w:t>
      </w:r>
      <w:r w:rsidR="003E3B56">
        <w:rPr>
          <w:rFonts w:cs="Arial"/>
        </w:rPr>
        <w:t>s</w:t>
      </w:r>
      <w:r w:rsidR="000B5170">
        <w:rPr>
          <w:rFonts w:cs="Arial"/>
        </w:rPr>
        <w:t xml:space="preserve"> </w:t>
      </w:r>
      <w:r w:rsidR="000B5170">
        <w:rPr>
          <w:rFonts w:cs="Arial"/>
        </w:rPr>
        <w:fldChar w:fldCharType="begin"/>
      </w:r>
      <w:r w:rsidR="004041E8">
        <w:rPr>
          <w:rFonts w:cs="Arial"/>
        </w:rPr>
        <w:instrText xml:space="preserve"> ADDIN EN.CITE &lt;EndNote&gt;&lt;Cite&gt;&lt;Author&gt;Therapeutic Guidelines&lt;/Author&gt;&lt;Year&gt;2019&lt;/Year&gt;&lt;RecNum&gt;23&lt;/RecNum&gt;&lt;DisplayText&gt;(22)&lt;/DisplayText&gt;&lt;record&gt;&lt;rec-number&gt;23&lt;/rec-number&gt;&lt;foreign-keys&gt;&lt;key app="EN" db-id="sr9paxs2qve9wpext2i5swxe50w0rs9dzze2" timestamp="1628681200"&gt;23&lt;/key&gt;&lt;/foreign-keys&gt;&lt;ref-type name="Web Page"&gt;12&lt;/ref-type&gt;&lt;contributors&gt;&lt;authors&gt;&lt;author&gt;Therapeutic Guidelines,&lt;/author&gt;&lt;/authors&gt;&lt;/contributors&gt;&lt;titles&gt;&lt;title&gt;Therapeutic Guidelines: Antibiotics version 16&lt;/title&gt;&lt;/titles&gt;&lt;volume&gt;2021&lt;/volume&gt;&lt;number&gt;5 May 2021&lt;/number&gt;&lt;dates&gt;&lt;year&gt;2019&lt;/year&gt;&lt;/dates&gt;&lt;publisher&gt;Therapeutic Guidelines Limited&lt;/publisher&gt;&lt;isbn&gt;ISBN 978-0-9925272-9-7&lt;/isbn&gt;&lt;urls&gt;&lt;related-urls&gt;&lt;url&gt;https://tgldcdp.tg.org.au/guideLine?guidelinePage=Antibiotic&amp;amp;frompage=etgcomplete&lt;/url&gt;&lt;/related-urls&gt;&lt;/urls&gt;&lt;custom2&gt;10 August 2021&lt;/custom2&gt;&lt;/record&gt;&lt;/Cite&gt;&lt;/EndNote&gt;</w:instrText>
      </w:r>
      <w:r w:rsidR="000B5170">
        <w:rPr>
          <w:rFonts w:cs="Arial"/>
        </w:rPr>
        <w:fldChar w:fldCharType="separate"/>
      </w:r>
      <w:r w:rsidR="004041E8">
        <w:rPr>
          <w:rFonts w:cs="Arial"/>
          <w:noProof/>
        </w:rPr>
        <w:t>(22)</w:t>
      </w:r>
      <w:r w:rsidR="000B5170">
        <w:rPr>
          <w:rFonts w:cs="Arial"/>
        </w:rPr>
        <w:fldChar w:fldCharType="end"/>
      </w:r>
      <w:r w:rsidR="009960EC" w:rsidRPr="004D44EC">
        <w:rPr>
          <w:rFonts w:cs="Arial"/>
        </w:rPr>
        <w:t>.</w:t>
      </w:r>
      <w:r w:rsidR="00D46C5D" w:rsidRPr="004D44EC">
        <w:rPr>
          <w:rFonts w:cs="Arial"/>
        </w:rPr>
        <w:t xml:space="preserve"> </w:t>
      </w:r>
      <w:r w:rsidR="00C845D3" w:rsidRPr="004D44EC">
        <w:rPr>
          <w:rFonts w:cs="Arial"/>
        </w:rPr>
        <w:t xml:space="preserve">Outcomes with intermittent dosing are considered inferior although thrice weekly dosing in the continuation phase may be utilised in carefully selected cases </w:t>
      </w:r>
      <w:r w:rsidR="00D60231">
        <w:rPr>
          <w:rFonts w:cs="Arial"/>
        </w:rPr>
        <w:t>(</w:t>
      </w:r>
      <w:proofErr w:type="gramStart"/>
      <w:r w:rsidR="00D60231" w:rsidRPr="004D44EC">
        <w:rPr>
          <w:rFonts w:cs="Arial"/>
        </w:rPr>
        <w:t>e.g.</w:t>
      </w:r>
      <w:proofErr w:type="gramEnd"/>
      <w:r w:rsidR="00D60231" w:rsidRPr="004D44EC">
        <w:rPr>
          <w:rFonts w:cs="Arial"/>
        </w:rPr>
        <w:t xml:space="preserve"> in low burden of disease</w:t>
      </w:r>
      <w:r w:rsidR="00D60231">
        <w:rPr>
          <w:rFonts w:cs="Arial"/>
        </w:rPr>
        <w:t xml:space="preserve">) </w:t>
      </w:r>
      <w:r w:rsidR="00C845D3" w:rsidRPr="004D44EC">
        <w:rPr>
          <w:rFonts w:cs="Arial"/>
        </w:rPr>
        <w:t>where there are barriers to delivery of daily therapy</w:t>
      </w:r>
      <w:r w:rsidR="00D60231">
        <w:rPr>
          <w:rFonts w:cs="Arial"/>
        </w:rPr>
        <w:t xml:space="preserve"> and should</w:t>
      </w:r>
      <w:r w:rsidR="00D60231" w:rsidRPr="004D44EC">
        <w:rPr>
          <w:rFonts w:cs="Arial"/>
        </w:rPr>
        <w:t xml:space="preserve"> always be administered as </w:t>
      </w:r>
      <w:r w:rsidR="00DD4BB7" w:rsidRPr="00DD4BB7">
        <w:rPr>
          <w:rFonts w:cs="Arial"/>
        </w:rPr>
        <w:t>directly observed therapy (DOT)</w:t>
      </w:r>
      <w:r w:rsidR="00C845D3" w:rsidRPr="004D44EC">
        <w:rPr>
          <w:rFonts w:cs="Arial"/>
        </w:rPr>
        <w:t xml:space="preserve">. Twice weekly </w:t>
      </w:r>
      <w:r w:rsidR="000B5170" w:rsidRPr="004D44EC">
        <w:rPr>
          <w:rFonts w:cs="Arial"/>
        </w:rPr>
        <w:t>regimens</w:t>
      </w:r>
      <w:r w:rsidR="00C845D3" w:rsidRPr="004D44EC">
        <w:rPr>
          <w:rFonts w:cs="Arial"/>
        </w:rPr>
        <w:t xml:space="preserve"> should never be used. </w:t>
      </w:r>
      <w:r w:rsidRPr="004D44EC">
        <w:rPr>
          <w:rFonts w:cs="Arial"/>
        </w:rPr>
        <w:t xml:space="preserve">Pyrazinamide, combination tablets and many second line </w:t>
      </w:r>
      <w:r w:rsidR="00F705D8" w:rsidRPr="004D44EC">
        <w:rPr>
          <w:rFonts w:cs="Arial"/>
        </w:rPr>
        <w:t xml:space="preserve">agents are not registered with </w:t>
      </w:r>
      <w:r w:rsidRPr="004D44EC">
        <w:rPr>
          <w:rFonts w:cs="Arial"/>
        </w:rPr>
        <w:t>th</w:t>
      </w:r>
      <w:r w:rsidR="00F705D8" w:rsidRPr="004D44EC">
        <w:rPr>
          <w:rFonts w:cs="Arial"/>
        </w:rPr>
        <w:t>e Therapeutic Goods Administration (</w:t>
      </w:r>
      <w:r w:rsidRPr="004D44EC">
        <w:rPr>
          <w:rFonts w:cs="Arial"/>
        </w:rPr>
        <w:t>TGA</w:t>
      </w:r>
      <w:r w:rsidR="00F705D8" w:rsidRPr="004D44EC">
        <w:rPr>
          <w:rFonts w:cs="Arial"/>
        </w:rPr>
        <w:t>)</w:t>
      </w:r>
      <w:r w:rsidRPr="004D44EC">
        <w:rPr>
          <w:rFonts w:cs="Arial"/>
        </w:rPr>
        <w:t xml:space="preserve"> in Australia and need to be procured using the TGA special access scheme</w:t>
      </w:r>
      <w:r w:rsidR="005322E5" w:rsidRPr="004D44EC">
        <w:rPr>
          <w:rFonts w:cs="Arial"/>
        </w:rPr>
        <w:t>.</w:t>
      </w:r>
    </w:p>
    <w:p w14:paraId="05D8BEA8" w14:textId="57C5FC4F" w:rsidR="005322E5" w:rsidRPr="004D44EC" w:rsidRDefault="005322E5" w:rsidP="00993C7C">
      <w:pPr>
        <w:rPr>
          <w:rFonts w:cs="Arial"/>
        </w:rPr>
      </w:pPr>
      <w:r w:rsidRPr="004D44EC">
        <w:rPr>
          <w:rFonts w:cs="Arial"/>
        </w:rPr>
        <w:t>Jurisdictional TB experts should be consulted regarding the management of drug resistant TB including all forms of multidrug resistant TB.</w:t>
      </w:r>
    </w:p>
    <w:p w14:paraId="435AC679" w14:textId="15555AC6" w:rsidR="003A2C94" w:rsidRPr="004D44EC" w:rsidRDefault="002E1CF0" w:rsidP="00993C7C">
      <w:pPr>
        <w:rPr>
          <w:rFonts w:cs="Arial"/>
        </w:rPr>
      </w:pPr>
      <w:r w:rsidRPr="004D44EC">
        <w:rPr>
          <w:rFonts w:cs="Arial"/>
        </w:rPr>
        <w:t>Treating physicians are responsible for implementing appropriate treatment strategies in individual cases with support provided by public health/TB services</w:t>
      </w:r>
      <w:r w:rsidR="0021136D" w:rsidRPr="004D44EC">
        <w:rPr>
          <w:rFonts w:cs="Arial"/>
        </w:rPr>
        <w:t>.</w:t>
      </w:r>
      <w:r w:rsidR="00AC60EE" w:rsidRPr="004D44EC">
        <w:rPr>
          <w:rFonts w:cs="Arial"/>
        </w:rPr>
        <w:t xml:space="preserve"> Given the complexity and long duration of TB treatment regimes, it is crucial that a patient-centred approach is taken when developing an individualised case management plan</w:t>
      </w:r>
      <w:r w:rsidR="00B354AF" w:rsidRPr="004D44EC">
        <w:rPr>
          <w:rFonts w:cs="Arial"/>
        </w:rPr>
        <w:t xml:space="preserve">. </w:t>
      </w:r>
      <w:r w:rsidR="00A3357C" w:rsidRPr="004D44EC">
        <w:rPr>
          <w:rFonts w:cs="Arial"/>
        </w:rPr>
        <w:t xml:space="preserve">It is important to balance patient rights and public safety by applying </w:t>
      </w:r>
      <w:r w:rsidR="005B471D" w:rsidRPr="004D44EC">
        <w:rPr>
          <w:rFonts w:cs="Arial"/>
        </w:rPr>
        <w:t>least restrictive public health intervention</w:t>
      </w:r>
      <w:r w:rsidR="00A3357C" w:rsidRPr="004D44EC">
        <w:rPr>
          <w:rFonts w:cs="Arial"/>
        </w:rPr>
        <w:t>s</w:t>
      </w:r>
      <w:r w:rsidR="005B471D" w:rsidRPr="004D44EC">
        <w:rPr>
          <w:rFonts w:cs="Arial"/>
        </w:rPr>
        <w:t xml:space="preserve"> that are effective </w:t>
      </w:r>
      <w:r w:rsidR="007528BC" w:rsidRPr="004D44EC">
        <w:rPr>
          <w:rFonts w:cs="Arial"/>
        </w:rPr>
        <w:t>in</w:t>
      </w:r>
      <w:r w:rsidR="005B471D" w:rsidRPr="004D44EC">
        <w:rPr>
          <w:rFonts w:cs="Arial"/>
        </w:rPr>
        <w:t xml:space="preserve"> </w:t>
      </w:r>
      <w:r w:rsidR="007528BC" w:rsidRPr="004D44EC">
        <w:rPr>
          <w:rFonts w:cs="Arial"/>
        </w:rPr>
        <w:t>achieving</w:t>
      </w:r>
      <w:r w:rsidR="005B471D" w:rsidRPr="004D44EC">
        <w:rPr>
          <w:rFonts w:cs="Arial"/>
        </w:rPr>
        <w:t xml:space="preserve"> </w:t>
      </w:r>
      <w:proofErr w:type="gramStart"/>
      <w:r w:rsidR="005B471D" w:rsidRPr="004D44EC">
        <w:rPr>
          <w:rFonts w:cs="Arial"/>
        </w:rPr>
        <w:t>adherence</w:t>
      </w:r>
      <w:r w:rsidR="0024004D" w:rsidRPr="004D44EC">
        <w:rPr>
          <w:rFonts w:cs="Arial"/>
        </w:rPr>
        <w:t>,</w:t>
      </w:r>
      <w:r w:rsidR="00A3357C" w:rsidRPr="004D44EC">
        <w:rPr>
          <w:rFonts w:cs="Arial"/>
        </w:rPr>
        <w:t xml:space="preserve"> and</w:t>
      </w:r>
      <w:proofErr w:type="gramEnd"/>
      <w:r w:rsidR="007528BC" w:rsidRPr="004D44EC">
        <w:rPr>
          <w:rFonts w:cs="Arial"/>
        </w:rPr>
        <w:t xml:space="preserve"> </w:t>
      </w:r>
      <w:r w:rsidR="00A3357C" w:rsidRPr="004D44EC">
        <w:rPr>
          <w:rFonts w:cs="Arial"/>
        </w:rPr>
        <w:t>involving</w:t>
      </w:r>
      <w:r w:rsidR="00B354AF" w:rsidRPr="004D44EC">
        <w:rPr>
          <w:rFonts w:cs="Arial"/>
        </w:rPr>
        <w:t xml:space="preserve"> </w:t>
      </w:r>
      <w:r w:rsidR="0024004D" w:rsidRPr="004D44EC">
        <w:rPr>
          <w:rFonts w:cs="Arial"/>
        </w:rPr>
        <w:t xml:space="preserve">patients </w:t>
      </w:r>
      <w:r w:rsidR="00AC60EE" w:rsidRPr="004D44EC">
        <w:rPr>
          <w:rFonts w:cs="Arial"/>
        </w:rPr>
        <w:t xml:space="preserve">in a meaningful way in making decisions concerning </w:t>
      </w:r>
      <w:r w:rsidR="005B471D" w:rsidRPr="004D44EC">
        <w:rPr>
          <w:rFonts w:cs="Arial"/>
        </w:rPr>
        <w:t xml:space="preserve">their </w:t>
      </w:r>
      <w:r w:rsidR="00AC60EE" w:rsidRPr="004D44EC">
        <w:rPr>
          <w:rFonts w:cs="Arial"/>
        </w:rPr>
        <w:t>treatment supervision and overall care</w:t>
      </w:r>
      <w:r w:rsidR="009960EC" w:rsidRPr="004D44EC">
        <w:rPr>
          <w:rFonts w:cs="Arial"/>
        </w:rPr>
        <w:t xml:space="preserve"> </w:t>
      </w:r>
      <w:r w:rsidR="00616198" w:rsidRPr="004D44EC">
        <w:rPr>
          <w:rFonts w:cs="Arial"/>
        </w:rPr>
        <w:fldChar w:fldCharType="begin">
          <w:fldData xml:space="preserve">PEVuZE5vdGU+PENpdGU+PEF1dGhvcj5Ib3Bld2VsbDwvQXV0aG9yPjxZZWFyPjIwMTQ8L1llYXI+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==
</w:fldData>
        </w:fldChar>
      </w:r>
      <w:r w:rsidR="004041E8">
        <w:rPr>
          <w:rFonts w:cs="Arial"/>
        </w:rPr>
        <w:instrText xml:space="preserve"> ADDIN EN.CITE </w:instrText>
      </w:r>
      <w:r w:rsidR="004041E8">
        <w:rPr>
          <w:rFonts w:cs="Arial"/>
        </w:rPr>
        <w:fldChar w:fldCharType="begin">
          <w:fldData xml:space="preserve">PEVuZE5vdGU+PENpdGU+PEF1dGhvcj5Ib3Bld2VsbDwvQXV0aG9yPjxZZWFyPjIwMTQ8L1llYXI+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==
</w:fldData>
        </w:fldChar>
      </w:r>
      <w:r w:rsidR="004041E8">
        <w:rPr>
          <w:rFonts w:cs="Arial"/>
        </w:rPr>
        <w:instrText xml:space="preserve"> ADDIN EN.CITE.DATA </w:instrText>
      </w:r>
      <w:r w:rsidR="004041E8">
        <w:rPr>
          <w:rFonts w:cs="Arial"/>
        </w:rPr>
      </w:r>
      <w:r w:rsidR="004041E8">
        <w:rPr>
          <w:rFonts w:cs="Arial"/>
        </w:rPr>
        <w:fldChar w:fldCharType="end"/>
      </w:r>
      <w:r w:rsidR="00616198" w:rsidRPr="004D44EC">
        <w:rPr>
          <w:rFonts w:cs="Arial"/>
        </w:rPr>
      </w:r>
      <w:r w:rsidR="00616198" w:rsidRPr="004D44EC">
        <w:rPr>
          <w:rFonts w:cs="Arial"/>
        </w:rPr>
        <w:fldChar w:fldCharType="separate"/>
      </w:r>
      <w:r w:rsidR="004041E8">
        <w:rPr>
          <w:rFonts w:cs="Arial"/>
          <w:noProof/>
        </w:rPr>
        <w:t>(23, 24)</w:t>
      </w:r>
      <w:r w:rsidR="00616198" w:rsidRPr="004D44EC">
        <w:rPr>
          <w:rFonts w:cs="Arial"/>
        </w:rPr>
        <w:fldChar w:fldCharType="end"/>
      </w:r>
      <w:r w:rsidR="009960EC" w:rsidRPr="004D44EC">
        <w:rPr>
          <w:rFonts w:cs="Arial"/>
        </w:rPr>
        <w:t>.</w:t>
      </w:r>
      <w:r w:rsidR="005B471D" w:rsidRPr="004D44EC">
        <w:rPr>
          <w:rFonts w:cs="Arial"/>
        </w:rPr>
        <w:t xml:space="preserve"> Key </w:t>
      </w:r>
      <w:r w:rsidR="00A3357C" w:rsidRPr="004D44EC">
        <w:rPr>
          <w:rFonts w:cs="Arial"/>
        </w:rPr>
        <w:t>aspects</w:t>
      </w:r>
      <w:r w:rsidR="005B471D" w:rsidRPr="004D44EC">
        <w:rPr>
          <w:rFonts w:cs="Arial"/>
        </w:rPr>
        <w:t xml:space="preserve"> when developing a case management plan include:</w:t>
      </w:r>
      <w:r w:rsidR="007528BC" w:rsidRPr="004D44EC">
        <w:rPr>
          <w:rFonts w:cs="Arial"/>
        </w:rPr>
        <w:t xml:space="preserve"> </w:t>
      </w:r>
    </w:p>
    <w:p w14:paraId="00D7221B" w14:textId="77777777" w:rsidR="001C34D7" w:rsidRDefault="00AB41F7" w:rsidP="001C34D7">
      <w:pPr>
        <w:pStyle w:val="ListBullet2"/>
      </w:pPr>
      <w:r w:rsidRPr="004D44EC">
        <w:t>Improving treatment literacy</w:t>
      </w:r>
      <w:r w:rsidR="005B471D" w:rsidRPr="004D44EC">
        <w:t xml:space="preserve"> </w:t>
      </w:r>
      <w:r w:rsidR="007528BC" w:rsidRPr="004D44EC">
        <w:t xml:space="preserve">(see </w:t>
      </w:r>
      <w:hyperlink w:anchor="_Education" w:history="1">
        <w:r w:rsidR="007528BC" w:rsidRPr="004D44EC">
          <w:rPr>
            <w:rStyle w:val="Hyperlink"/>
          </w:rPr>
          <w:t>Education</w:t>
        </w:r>
      </w:hyperlink>
      <w:r w:rsidR="007528BC" w:rsidRPr="004D44EC">
        <w:rPr>
          <w:i/>
        </w:rPr>
        <w:t xml:space="preserve"> </w:t>
      </w:r>
      <w:r w:rsidR="007528BC" w:rsidRPr="004D44EC">
        <w:t>below)</w:t>
      </w:r>
      <w:r w:rsidR="001922A6" w:rsidRPr="004D44EC">
        <w:t>.</w:t>
      </w:r>
    </w:p>
    <w:p w14:paraId="2DBEFC0F" w14:textId="77777777" w:rsidR="001C34D7" w:rsidRDefault="003A2C94" w:rsidP="001C34D7">
      <w:pPr>
        <w:pStyle w:val="ListBullet2"/>
      </w:pPr>
      <w:r w:rsidRPr="001C34D7">
        <w:t>I</w:t>
      </w:r>
      <w:r w:rsidR="007528BC" w:rsidRPr="001C34D7">
        <w:t>dentifying and addressing individual needs and barriers</w:t>
      </w:r>
      <w:r w:rsidR="001922A6" w:rsidRPr="001C34D7">
        <w:t>.</w:t>
      </w:r>
    </w:p>
    <w:p w14:paraId="02FE04B3" w14:textId="77777777" w:rsidR="001C34D7" w:rsidRDefault="003A2C94" w:rsidP="001C34D7">
      <w:pPr>
        <w:pStyle w:val="ListBullet2"/>
      </w:pPr>
      <w:r w:rsidRPr="001C34D7">
        <w:lastRenderedPageBreak/>
        <w:t>A</w:t>
      </w:r>
      <w:r w:rsidR="009C5BF1" w:rsidRPr="001C34D7">
        <w:t>ssessing for likely adherence to t</w:t>
      </w:r>
      <w:r w:rsidRPr="001C34D7">
        <w:t>reatment and</w:t>
      </w:r>
      <w:r w:rsidR="009C5BF1" w:rsidRPr="001C34D7">
        <w:t xml:space="preserve"> r</w:t>
      </w:r>
      <w:r w:rsidR="007528BC" w:rsidRPr="001C34D7">
        <w:t xml:space="preserve">eviewing </w:t>
      </w:r>
      <w:r w:rsidR="009C5BF1" w:rsidRPr="001C34D7">
        <w:t xml:space="preserve">strategies </w:t>
      </w:r>
      <w:r w:rsidR="007528BC" w:rsidRPr="001C34D7">
        <w:t>of adherence support</w:t>
      </w:r>
      <w:r w:rsidR="001922A6" w:rsidRPr="001C34D7">
        <w:t>.</w:t>
      </w:r>
      <w:r w:rsidRPr="001C34D7">
        <w:t xml:space="preserve"> </w:t>
      </w:r>
    </w:p>
    <w:p w14:paraId="77D91DF2" w14:textId="290013A2" w:rsidR="007528BC" w:rsidRPr="001C34D7" w:rsidRDefault="003A2C94" w:rsidP="001C34D7">
      <w:pPr>
        <w:pStyle w:val="ListBullet2"/>
      </w:pPr>
      <w:r w:rsidRPr="001C34D7">
        <w:t>D</w:t>
      </w:r>
      <w:r w:rsidR="009C5BF1" w:rsidRPr="001C34D7">
        <w:t>iscussing</w:t>
      </w:r>
      <w:r w:rsidR="007528BC" w:rsidRPr="001C34D7">
        <w:t xml:space="preserve"> plans for assessing response to therapy.</w:t>
      </w:r>
    </w:p>
    <w:p w14:paraId="5F5EC360" w14:textId="77777777" w:rsidR="00487B71" w:rsidRPr="004D44EC" w:rsidRDefault="009C5BF1" w:rsidP="00993C7C">
      <w:pPr>
        <w:rPr>
          <w:rFonts w:cs="Arial"/>
        </w:rPr>
      </w:pPr>
      <w:r w:rsidRPr="004D44EC">
        <w:rPr>
          <w:rFonts w:cs="Arial"/>
        </w:rPr>
        <w:t>Several strategies are available for improving adherence</w:t>
      </w:r>
      <w:r w:rsidR="006D6E4D" w:rsidRPr="004D44EC">
        <w:rPr>
          <w:rFonts w:cs="Arial"/>
        </w:rPr>
        <w:t xml:space="preserve">. </w:t>
      </w:r>
      <w:r w:rsidR="00A3357C" w:rsidRPr="004D44EC">
        <w:rPr>
          <w:rFonts w:cs="Arial"/>
        </w:rPr>
        <w:t>T</w:t>
      </w:r>
      <w:r w:rsidR="006D6E4D" w:rsidRPr="004D44EC">
        <w:rPr>
          <w:rFonts w:cs="Arial"/>
        </w:rPr>
        <w:t xml:space="preserve">he strategies </w:t>
      </w:r>
      <w:r w:rsidR="00AB41F7" w:rsidRPr="004D44EC">
        <w:rPr>
          <w:rFonts w:cs="Arial"/>
        </w:rPr>
        <w:t>applied for cases</w:t>
      </w:r>
      <w:r w:rsidR="006D6E4D" w:rsidRPr="004D44EC">
        <w:rPr>
          <w:rFonts w:cs="Arial"/>
        </w:rPr>
        <w:t xml:space="preserve"> are decided by </w:t>
      </w:r>
      <w:r w:rsidR="003A2C94" w:rsidRPr="004D44EC">
        <w:rPr>
          <w:rFonts w:cs="Arial"/>
        </w:rPr>
        <w:t xml:space="preserve">local jurisdictional </w:t>
      </w:r>
      <w:r w:rsidR="00FC4004" w:rsidRPr="004D44EC">
        <w:rPr>
          <w:rFonts w:cs="Arial"/>
        </w:rPr>
        <w:t xml:space="preserve">public </w:t>
      </w:r>
      <w:r w:rsidR="003A2C94" w:rsidRPr="004D44EC">
        <w:rPr>
          <w:rFonts w:cs="Arial"/>
        </w:rPr>
        <w:t>health authorities</w:t>
      </w:r>
      <w:r w:rsidR="006D6E4D" w:rsidRPr="004D44EC">
        <w:rPr>
          <w:rFonts w:cs="Arial"/>
        </w:rPr>
        <w:t>/</w:t>
      </w:r>
      <w:r w:rsidR="003A2C94" w:rsidRPr="004D44EC">
        <w:rPr>
          <w:rFonts w:cs="Arial"/>
        </w:rPr>
        <w:t>TB services</w:t>
      </w:r>
      <w:r w:rsidR="006D6E4D" w:rsidRPr="004D44EC">
        <w:rPr>
          <w:rFonts w:cs="Arial"/>
        </w:rPr>
        <w:t xml:space="preserve"> and</w:t>
      </w:r>
      <w:r w:rsidR="003A2C94" w:rsidRPr="004D44EC">
        <w:rPr>
          <w:rFonts w:cs="Arial"/>
        </w:rPr>
        <w:t xml:space="preserve"> </w:t>
      </w:r>
      <w:r w:rsidR="006D6E4D" w:rsidRPr="004D44EC">
        <w:rPr>
          <w:rFonts w:cs="Arial"/>
        </w:rPr>
        <w:t xml:space="preserve">the </w:t>
      </w:r>
      <w:r w:rsidR="003A2C94" w:rsidRPr="004D44EC">
        <w:rPr>
          <w:rFonts w:cs="Arial"/>
        </w:rPr>
        <w:t>treating physician</w:t>
      </w:r>
      <w:r w:rsidR="00487B71" w:rsidRPr="004D44EC">
        <w:rPr>
          <w:rFonts w:cs="Arial"/>
        </w:rPr>
        <w:t>, and</w:t>
      </w:r>
      <w:r w:rsidR="00A3357C" w:rsidRPr="004D44EC">
        <w:rPr>
          <w:rFonts w:cs="Arial"/>
        </w:rPr>
        <w:t xml:space="preserve"> </w:t>
      </w:r>
      <w:r w:rsidR="00BC38B0" w:rsidRPr="004D44EC">
        <w:rPr>
          <w:rFonts w:cs="Arial"/>
        </w:rPr>
        <w:t>may</w:t>
      </w:r>
      <w:r w:rsidR="00487B71" w:rsidRPr="004D44EC">
        <w:rPr>
          <w:rFonts w:cs="Arial"/>
        </w:rPr>
        <w:t xml:space="preserve"> consider use of: </w:t>
      </w:r>
    </w:p>
    <w:p w14:paraId="517A1A75" w14:textId="085700B4" w:rsidR="00E477A1" w:rsidRPr="004D44EC" w:rsidRDefault="00E477A1" w:rsidP="001C34D7">
      <w:pPr>
        <w:pStyle w:val="ListBullet2"/>
      </w:pPr>
      <w:r w:rsidRPr="004D44EC">
        <w:t xml:space="preserve">A comprehensive case management approach – providing a team of personnel responsible for continuity of care, </w:t>
      </w:r>
      <w:proofErr w:type="gramStart"/>
      <w:r w:rsidRPr="004D44EC">
        <w:t>management</w:t>
      </w:r>
      <w:proofErr w:type="gramEnd"/>
      <w:r w:rsidRPr="004D44EC">
        <w:t xml:space="preserve"> and follow-up, </w:t>
      </w:r>
      <w:r w:rsidR="00D86EEF" w:rsidRPr="004D44EC">
        <w:t>which is</w:t>
      </w:r>
      <w:r w:rsidRPr="004D44EC">
        <w:t xml:space="preserve"> coordinated by a</w:t>
      </w:r>
      <w:r w:rsidR="00D86EEF" w:rsidRPr="004D44EC">
        <w:t>n assigned</w:t>
      </w:r>
      <w:r w:rsidRPr="004D44EC">
        <w:t xml:space="preserve"> case manager</w:t>
      </w:r>
      <w:r w:rsidR="001922A6" w:rsidRPr="004D44EC">
        <w:t>.</w:t>
      </w:r>
    </w:p>
    <w:p w14:paraId="5455D983" w14:textId="4080E108" w:rsidR="007528BC" w:rsidRPr="004D44EC" w:rsidRDefault="00626B44" w:rsidP="001C34D7">
      <w:pPr>
        <w:pStyle w:val="ListBullet2"/>
      </w:pPr>
      <w:r w:rsidRPr="004D44EC">
        <w:t xml:space="preserve">Selective </w:t>
      </w:r>
      <w:r w:rsidR="003A2C94" w:rsidRPr="004D44EC">
        <w:t>DOT</w:t>
      </w:r>
      <w:r w:rsidRPr="004D44EC">
        <w:t xml:space="preserve"> for at-risk patients</w:t>
      </w:r>
      <w:r w:rsidR="005932B0" w:rsidRPr="004D44EC">
        <w:t xml:space="preserve"> </w:t>
      </w:r>
      <w:r w:rsidR="003A2C94" w:rsidRPr="004D44EC">
        <w:t>– see below</w:t>
      </w:r>
      <w:r w:rsidR="001922A6" w:rsidRPr="004D44EC">
        <w:t>.</w:t>
      </w:r>
    </w:p>
    <w:p w14:paraId="7C865CB7" w14:textId="5A57851D" w:rsidR="00CA7C0B" w:rsidRPr="004D44EC" w:rsidRDefault="005932B0" w:rsidP="001C34D7">
      <w:pPr>
        <w:pStyle w:val="ListBullet2"/>
      </w:pPr>
      <w:r w:rsidRPr="004D44EC">
        <w:t>E</w:t>
      </w:r>
      <w:r w:rsidR="003A2C94" w:rsidRPr="004D44EC">
        <w:t xml:space="preserve">nablers </w:t>
      </w:r>
      <w:r w:rsidR="00616198" w:rsidRPr="004D44EC">
        <w:t>and/</w:t>
      </w:r>
      <w:r w:rsidR="003A2C94" w:rsidRPr="004D44EC">
        <w:t>or</w:t>
      </w:r>
      <w:r w:rsidR="00616198" w:rsidRPr="004D44EC">
        <w:t xml:space="preserve"> incentives</w:t>
      </w:r>
      <w:r w:rsidRPr="004D44EC">
        <w:t xml:space="preserve"> – </w:t>
      </w:r>
      <w:proofErr w:type="gramStart"/>
      <w:r w:rsidR="003A2C94" w:rsidRPr="004D44EC">
        <w:t>e.g.</w:t>
      </w:r>
      <w:proofErr w:type="gramEnd"/>
      <w:r w:rsidR="003A2C94" w:rsidRPr="004D44EC">
        <w:t xml:space="preserve"> providing assistance with transport</w:t>
      </w:r>
      <w:r w:rsidR="00FC4004" w:rsidRPr="004D44EC">
        <w:t xml:space="preserve"> and other </w:t>
      </w:r>
      <w:r w:rsidR="003A2C94" w:rsidRPr="004D44EC">
        <w:t>co</w:t>
      </w:r>
      <w:r w:rsidR="00616198" w:rsidRPr="004D44EC">
        <w:t>sts, convenient clinic hours and</w:t>
      </w:r>
      <w:r w:rsidR="003A2C94" w:rsidRPr="004D44EC">
        <w:t xml:space="preserve"> </w:t>
      </w:r>
      <w:r w:rsidR="00616198" w:rsidRPr="004D44EC">
        <w:t>(decentralis</w:t>
      </w:r>
      <w:r w:rsidR="00512B9B" w:rsidRPr="004D44EC">
        <w:t xml:space="preserve">ed) </w:t>
      </w:r>
      <w:r w:rsidR="003A2C94" w:rsidRPr="004D44EC">
        <w:t xml:space="preserve">locations, </w:t>
      </w:r>
      <w:r w:rsidR="00E477A1" w:rsidRPr="004D44EC">
        <w:t xml:space="preserve">assistance in accessing social services, </w:t>
      </w:r>
      <w:r w:rsidR="0024004D" w:rsidRPr="004D44EC">
        <w:t>reminder</w:t>
      </w:r>
      <w:r w:rsidR="00E477A1" w:rsidRPr="004D44EC">
        <w:t>s</w:t>
      </w:r>
      <w:r w:rsidR="0024004D" w:rsidRPr="004D44EC">
        <w:t xml:space="preserve"> and f</w:t>
      </w:r>
      <w:r w:rsidR="00CA7C0B" w:rsidRPr="004D44EC">
        <w:t xml:space="preserve">ollow-up of missed appointments, </w:t>
      </w:r>
      <w:r w:rsidR="00A3357C" w:rsidRPr="004D44EC">
        <w:t>staff</w:t>
      </w:r>
      <w:r w:rsidRPr="004D44EC">
        <w:t xml:space="preserve"> who</w:t>
      </w:r>
      <w:r w:rsidR="00CA7C0B" w:rsidRPr="004D44EC">
        <w:t xml:space="preserve"> can overcome language and cultural barriers, integration of care with other conditions, etc.</w:t>
      </w:r>
    </w:p>
    <w:p w14:paraId="499FC86C" w14:textId="0F5C9ED2" w:rsidR="00E2232E" w:rsidRPr="004D44EC" w:rsidRDefault="005932B0" w:rsidP="001C34D7">
      <w:pPr>
        <w:pStyle w:val="ListBullet2"/>
      </w:pPr>
      <w:r w:rsidRPr="004D44EC">
        <w:t>F</w:t>
      </w:r>
      <w:r w:rsidR="00E2232E" w:rsidRPr="004D44EC">
        <w:t xml:space="preserve">ixed-dose combination </w:t>
      </w:r>
      <w:r w:rsidR="00616198" w:rsidRPr="004D44EC">
        <w:t xml:space="preserve">(FDC) </w:t>
      </w:r>
      <w:r w:rsidR="00A94151" w:rsidRPr="004D44EC">
        <w:t>therapy</w:t>
      </w:r>
      <w:r w:rsidR="00E477A1" w:rsidRPr="004D44EC">
        <w:t xml:space="preserve"> to simplify treatment where a</w:t>
      </w:r>
      <w:r w:rsidR="008E6E1E" w:rsidRPr="004D44EC">
        <w:t>ppropriate</w:t>
      </w:r>
      <w:r w:rsidR="001922A6" w:rsidRPr="004D44EC">
        <w:t>.</w:t>
      </w:r>
    </w:p>
    <w:p w14:paraId="11D8BF76" w14:textId="63B57F9B" w:rsidR="003A2C94" w:rsidRPr="004D44EC" w:rsidRDefault="00E2232E" w:rsidP="001C34D7">
      <w:pPr>
        <w:pStyle w:val="ListBullet2"/>
      </w:pPr>
      <w:r w:rsidRPr="004D44EC">
        <w:t>Hospitalisation</w:t>
      </w:r>
      <w:r w:rsidR="006D6E4D" w:rsidRPr="004D44EC">
        <w:t xml:space="preserve"> </w:t>
      </w:r>
      <w:r w:rsidRPr="004D44EC">
        <w:t>– see below</w:t>
      </w:r>
      <w:r w:rsidR="009960EC" w:rsidRPr="004D44EC">
        <w:t xml:space="preserve"> </w:t>
      </w:r>
      <w:r w:rsidR="00465B72" w:rsidRPr="004D44EC">
        <w:fldChar w:fldCharType="begin">
          <w:fldData xml:space="preserve">PEVuZE5vdGU+PENpdGU+PEF1dGhvcj5QaGFub3V2b25nPC9BdXRob3I+PFllYXI+MjAwMjwvWWVh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</w:fldData>
        </w:fldChar>
      </w:r>
      <w:r w:rsidR="004041E8">
        <w:instrText xml:space="preserve"> ADDIN EN.CITE </w:instrText>
      </w:r>
      <w:r w:rsidR="004041E8">
        <w:fldChar w:fldCharType="begin">
          <w:fldData xml:space="preserve">PEVuZE5vdGU+PENpdGU+PEF1dGhvcj5QaGFub3V2b25nPC9BdXRob3I+PFllYXI+MjAwMjwvWWVh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</w:fldData>
        </w:fldChar>
      </w:r>
      <w:r w:rsidR="004041E8">
        <w:instrText xml:space="preserve"> ADDIN EN.CITE.DATA </w:instrText>
      </w:r>
      <w:r w:rsidR="004041E8">
        <w:fldChar w:fldCharType="end"/>
      </w:r>
      <w:r w:rsidR="00465B72" w:rsidRPr="004D44EC">
        <w:fldChar w:fldCharType="separate"/>
      </w:r>
      <w:r w:rsidR="004041E8">
        <w:rPr>
          <w:noProof/>
        </w:rPr>
        <w:t>(24-27)</w:t>
      </w:r>
      <w:r w:rsidR="00465B72" w:rsidRPr="004D44EC">
        <w:fldChar w:fldCharType="end"/>
      </w:r>
      <w:r w:rsidR="009960EC" w:rsidRPr="004D44EC">
        <w:t>.</w:t>
      </w:r>
    </w:p>
    <w:p w14:paraId="4335DEBE" w14:textId="0F34FBB5" w:rsidR="00046E13" w:rsidRPr="004D44EC" w:rsidRDefault="00CA7C0B" w:rsidP="002E1CF0">
      <w:pPr>
        <w:rPr>
          <w:rFonts w:cs="Arial"/>
        </w:rPr>
      </w:pPr>
      <w:r w:rsidRPr="004D44EC">
        <w:rPr>
          <w:rFonts w:cs="Arial"/>
        </w:rPr>
        <w:t xml:space="preserve">DOT has been promoted as the standard of practice </w:t>
      </w:r>
      <w:r w:rsidR="00626B44" w:rsidRPr="004D44EC">
        <w:rPr>
          <w:rFonts w:cs="Arial"/>
        </w:rPr>
        <w:t>to minimise the development of initial or further drug resistance, the recurrence of disease related to non-adherence or inappropriate TB treatment, to assist the patient in achieving cure and to document successful treatment completion</w:t>
      </w:r>
      <w:r w:rsidRPr="004D44EC">
        <w:rPr>
          <w:rFonts w:cs="Arial"/>
        </w:rPr>
        <w:t>.</w:t>
      </w:r>
      <w:r w:rsidR="00046E13" w:rsidRPr="004D44EC">
        <w:rPr>
          <w:rFonts w:cs="Arial"/>
        </w:rPr>
        <w:t xml:space="preserve"> S</w:t>
      </w:r>
      <w:r w:rsidR="006F4FF9" w:rsidRPr="004D44EC">
        <w:rPr>
          <w:rFonts w:cs="Arial"/>
        </w:rPr>
        <w:t xml:space="preserve">ystematic reviews comparing DOT to </w:t>
      </w:r>
      <w:r w:rsidR="005932B0" w:rsidRPr="004D44EC">
        <w:rPr>
          <w:rFonts w:cs="Arial"/>
        </w:rPr>
        <w:t xml:space="preserve">self-administered therapy </w:t>
      </w:r>
      <w:r w:rsidR="00AB41F7" w:rsidRPr="004D44EC">
        <w:rPr>
          <w:rFonts w:cs="Arial"/>
        </w:rPr>
        <w:t>(SAT)</w:t>
      </w:r>
      <w:r w:rsidR="00046E13" w:rsidRPr="004D44EC">
        <w:rPr>
          <w:rFonts w:cs="Arial"/>
        </w:rPr>
        <w:t>, however,</w:t>
      </w:r>
      <w:r w:rsidR="00AB41F7" w:rsidRPr="004D44EC">
        <w:rPr>
          <w:rFonts w:cs="Arial"/>
        </w:rPr>
        <w:t xml:space="preserve"> </w:t>
      </w:r>
      <w:r w:rsidR="006F4FF9" w:rsidRPr="004D44EC">
        <w:rPr>
          <w:rFonts w:cs="Arial"/>
        </w:rPr>
        <w:t>did not find any significant differences on several outcomes of interest (including mortality, treatment completion and relapse</w:t>
      </w:r>
      <w:r w:rsidR="00624520" w:rsidRPr="004D44EC">
        <w:rPr>
          <w:rFonts w:cs="Arial"/>
        </w:rPr>
        <w:t>)</w:t>
      </w:r>
      <w:r w:rsidR="00046E13" w:rsidRPr="004D44EC">
        <w:rPr>
          <w:rFonts w:cs="Arial"/>
        </w:rPr>
        <w:t>; although,</w:t>
      </w:r>
      <w:r w:rsidR="006F4FF9" w:rsidRPr="004D44EC">
        <w:rPr>
          <w:rFonts w:cs="Arial"/>
        </w:rPr>
        <w:t xml:space="preserve"> DOT was significantly associated with improved treatment success and increased sputum smear conversion during treatment</w:t>
      </w:r>
      <w:r w:rsidR="009960EC" w:rsidRPr="004D44EC">
        <w:rPr>
          <w:rFonts w:cs="Arial"/>
        </w:rPr>
        <w:t xml:space="preserve"> </w:t>
      </w:r>
      <w:r w:rsidR="00F91F00" w:rsidRPr="004D44EC">
        <w:rPr>
          <w:rFonts w:cs="Arial"/>
        </w:rPr>
        <w:fldChar w:fldCharType="begin"/>
      </w:r>
      <w:r w:rsidR="004041E8">
        <w:rPr>
          <w:rFonts w:cs="Arial"/>
        </w:rPr>
        <w:instrText xml:space="preserve"> ADDIN EN.CITE &lt;EndNote&gt;&lt;Cite&gt;&lt;Author&gt;Karumbi&lt;/Author&gt;&lt;Year&gt;2015&lt;/Year&gt;&lt;RecNum&gt;29&lt;/RecNum&gt;&lt;DisplayText&gt;(28)&lt;/DisplayText&gt;&lt;record&gt;&lt;rec-number&gt;29&lt;/rec-number&gt;&lt;foreign-keys&gt;&lt;key app="EN" db-id="sr9paxs2qve9wpext2i5swxe50w0rs9dzze2" timestamp="1628681201"&gt;29&lt;/key&gt;&lt;/foreign-keys&gt;&lt;ref-type name="Journal Article"&gt;17&lt;/ref-type&gt;&lt;contributors&gt;&lt;authors&gt;&lt;author&gt;Karumbi, J.&lt;/author&gt;&lt;author&gt;Garner, P. &lt;/author&gt;&lt;/authors&gt;&lt;/contributors&gt;&lt;titles&gt;&lt;title&gt;Directly observed therapy for treating tuberculosis&lt;/title&gt;&lt;secondary-title&gt;Cochrane Databases System Reviews &lt;/secondary-title&gt;&lt;/titles&gt;&lt;pages&gt;1-58&lt;/pages&gt;&lt;volume&gt;29&lt;/volume&gt;&lt;number&gt;5&lt;/number&gt;&lt;dates&gt;&lt;year&gt;2015&lt;/year&gt;&lt;/dates&gt;&lt;urls&gt;&lt;related-urls&gt;&lt;url&gt;&lt;style face="underline" font="default" size="100%"&gt;https://www.ncbi.nlm.nih.gov/pubmed/26022367&lt;/style&gt;&lt;/url&gt;&lt;/related-urls&gt;&lt;/urls&gt;&lt;custom2&gt;PMC4460720&lt;/custom2&gt;&lt;custom7&gt;CD003343. &lt;/custom7&gt;&lt;electronic-resource-num&gt;10.1002/14651858.CD003343.pub4&lt;/electronic-resource-num&gt;&lt;/record&gt;&lt;/Cite&gt;&lt;/EndNote&gt;</w:instrText>
      </w:r>
      <w:r w:rsidR="00F91F00" w:rsidRPr="004D44EC">
        <w:rPr>
          <w:rFonts w:cs="Arial"/>
        </w:rPr>
        <w:fldChar w:fldCharType="separate"/>
      </w:r>
      <w:r w:rsidR="004041E8">
        <w:rPr>
          <w:rFonts w:cs="Arial"/>
          <w:noProof/>
        </w:rPr>
        <w:t>(28)</w:t>
      </w:r>
      <w:r w:rsidR="00F91F00" w:rsidRPr="004D44EC">
        <w:rPr>
          <w:rFonts w:cs="Arial"/>
        </w:rPr>
        <w:fldChar w:fldCharType="end"/>
      </w:r>
      <w:r w:rsidR="009960EC" w:rsidRPr="004D44EC">
        <w:rPr>
          <w:rFonts w:cs="Arial"/>
        </w:rPr>
        <w:t>.</w:t>
      </w:r>
      <w:r w:rsidR="00512B9B" w:rsidRPr="004D44EC">
        <w:rPr>
          <w:rFonts w:cs="Arial"/>
        </w:rPr>
        <w:t xml:space="preserve"> </w:t>
      </w:r>
      <w:r w:rsidR="009269E4" w:rsidRPr="004D44EC">
        <w:rPr>
          <w:rFonts w:cs="Arial"/>
        </w:rPr>
        <w:t>DOT delivered in the community</w:t>
      </w:r>
      <w:r w:rsidR="00A866D3" w:rsidRPr="004D44EC">
        <w:rPr>
          <w:rFonts w:cs="Arial"/>
        </w:rPr>
        <w:t xml:space="preserve"> </w:t>
      </w:r>
      <w:r w:rsidR="00F91F00" w:rsidRPr="004D44EC">
        <w:rPr>
          <w:rFonts w:cs="Arial"/>
        </w:rPr>
        <w:t xml:space="preserve">has shown favourable treatment success rates when compared to </w:t>
      </w:r>
      <w:r w:rsidR="009269E4" w:rsidRPr="004D44EC">
        <w:rPr>
          <w:rFonts w:cs="Arial"/>
        </w:rPr>
        <w:t xml:space="preserve">DOT </w:t>
      </w:r>
      <w:r w:rsidR="00A866D3" w:rsidRPr="004D44EC">
        <w:rPr>
          <w:rFonts w:cs="Arial"/>
        </w:rPr>
        <w:t>del</w:t>
      </w:r>
      <w:r w:rsidR="009269E4" w:rsidRPr="004D44EC">
        <w:rPr>
          <w:rFonts w:cs="Arial"/>
        </w:rPr>
        <w:t>ivered at a fixed health clinic</w:t>
      </w:r>
      <w:r w:rsidR="009960EC" w:rsidRPr="004D44EC">
        <w:rPr>
          <w:rFonts w:cs="Arial"/>
        </w:rPr>
        <w:t xml:space="preserve"> </w:t>
      </w:r>
      <w:r w:rsidR="00F91F00" w:rsidRPr="004D44EC">
        <w:rPr>
          <w:rFonts w:cs="Arial"/>
        </w:rPr>
        <w:fldChar w:fldCharType="begin">
          <w:fldData xml:space="preserve">PEVuZE5vdGU+PENpdGU+PEF1dGhvcj5UaWFuPC9BdXRob3I+PFllYXI+MjAxNDwvWWVhcj48UmVj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==
</w:fldData>
        </w:fldChar>
      </w:r>
      <w:r w:rsidR="004041E8">
        <w:rPr>
          <w:rFonts w:cs="Arial"/>
        </w:rPr>
        <w:instrText xml:space="preserve"> ADDIN EN.CITE </w:instrText>
      </w:r>
      <w:r w:rsidR="004041E8">
        <w:rPr>
          <w:rFonts w:cs="Arial"/>
        </w:rPr>
        <w:fldChar w:fldCharType="begin">
          <w:fldData xml:space="preserve">PEVuZE5vdGU+PENpdGU+PEF1dGhvcj5UaWFuPC9BdXRob3I+PFllYXI+MjAxNDwvWWVhcj48UmVj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==
</w:fldData>
        </w:fldChar>
      </w:r>
      <w:r w:rsidR="004041E8">
        <w:rPr>
          <w:rFonts w:cs="Arial"/>
        </w:rPr>
        <w:instrText xml:space="preserve"> ADDIN EN.CITE.DATA </w:instrText>
      </w:r>
      <w:r w:rsidR="004041E8">
        <w:rPr>
          <w:rFonts w:cs="Arial"/>
        </w:rPr>
      </w:r>
      <w:r w:rsidR="004041E8">
        <w:rPr>
          <w:rFonts w:cs="Arial"/>
        </w:rPr>
        <w:fldChar w:fldCharType="end"/>
      </w:r>
      <w:r w:rsidR="00F91F00" w:rsidRPr="004D44EC">
        <w:rPr>
          <w:rFonts w:cs="Arial"/>
        </w:rPr>
      </w:r>
      <w:r w:rsidR="00F91F00" w:rsidRPr="004D44EC">
        <w:rPr>
          <w:rFonts w:cs="Arial"/>
        </w:rPr>
        <w:fldChar w:fldCharType="separate"/>
      </w:r>
      <w:r w:rsidR="004041E8">
        <w:rPr>
          <w:rFonts w:cs="Arial"/>
          <w:noProof/>
        </w:rPr>
        <w:t>(29, 30)</w:t>
      </w:r>
      <w:r w:rsidR="00F91F00" w:rsidRPr="004D44EC">
        <w:rPr>
          <w:rFonts w:cs="Arial"/>
        </w:rPr>
        <w:fldChar w:fldCharType="end"/>
      </w:r>
      <w:r w:rsidR="009960EC" w:rsidRPr="004D44EC">
        <w:rPr>
          <w:rFonts w:cs="Arial"/>
        </w:rPr>
        <w:t>.</w:t>
      </w:r>
      <w:r w:rsidR="00626B44" w:rsidRPr="004D44EC">
        <w:rPr>
          <w:rFonts w:cs="Arial"/>
        </w:rPr>
        <w:t xml:space="preserve"> </w:t>
      </w:r>
      <w:r w:rsidR="00046E13" w:rsidRPr="004D44EC">
        <w:rPr>
          <w:rFonts w:cs="Arial"/>
        </w:rPr>
        <w:t>A Victorian study comparing family-based DOT with supervised but non-observed therapy found there was no significant difference in relation to treatment completion or non-adherence</w:t>
      </w:r>
      <w:r w:rsidR="009960EC" w:rsidRPr="004D44EC">
        <w:rPr>
          <w:rFonts w:cs="Arial"/>
        </w:rPr>
        <w:t xml:space="preserve"> </w:t>
      </w:r>
      <w:r w:rsidR="007D587D" w:rsidRPr="004D44EC">
        <w:rPr>
          <w:rFonts w:cs="Arial"/>
        </w:rPr>
        <w:fldChar w:fldCharType="begin"/>
      </w:r>
      <w:r w:rsidR="004041E8">
        <w:rPr>
          <w:rFonts w:cs="Arial"/>
        </w:rPr>
        <w:instrText xml:space="preserve"> ADDIN EN.CITE &lt;EndNote&gt;&lt;Cite&gt;&lt;Author&gt;MacIntyre&lt;/Author&gt;&lt;Year&gt;2003&lt;/Year&gt;&lt;RecNum&gt;32&lt;/RecNum&gt;&lt;DisplayText&gt;(31)&lt;/DisplayText&gt;&lt;record&gt;&lt;rec-number&gt;32&lt;/rec-number&gt;&lt;foreign-keys&gt;&lt;key app="EN" db-id="sr9paxs2qve9wpext2i5swxe50w0rs9dzze2" timestamp="1628681201"&gt;32&lt;/key&gt;&lt;/foreign-keys&gt;&lt;ref-type name="Journal Article"&gt;17&lt;/ref-type&gt;&lt;contributors&gt;&lt;authors&gt;&lt;author&gt;MacIntyre, C.&lt;/author&gt;&lt;author&gt;Goebel, K.&lt;/author&gt;&lt;author&gt;Brown, G.&lt;/author&gt;&lt;author&gt;Skull, S.&lt;/author&gt;&lt;author&gt;Starr, M.&lt;/author&gt;&lt;author&gt;Fullinfaw, R.&lt;/author&gt;&lt;/authors&gt;&lt;/contributors&gt;&lt;titles&gt;&lt;title&gt; A randomised controlled clinical trial of the efficacy of family-based direct observation of anti-tuberculosis treatment in an urban, developed-country setting&lt;/title&gt;&lt;secondary-title&gt;International Journal of Tuberculosis and Lung Disease&lt;/secondary-title&gt;&lt;/titles&gt;&lt;periodical&gt;&lt;full-title&gt;International Journal of Tuberculosis and Lung Disease&lt;/full-title&gt;&lt;/periodical&gt;&lt;pages&gt;848-54&lt;/pages&gt;&lt;volume&gt;7&lt;/volume&gt;&lt;number&gt;9&lt;/number&gt;&lt;dates&gt;&lt;year&gt;2003&lt;/year&gt;&lt;/dates&gt;&lt;urls&gt;&lt;related-urls&gt;&lt;url&gt;&lt;style face="normal" font="default" size="100%"&gt; &lt;/style&gt;&lt;style face="underline" font="default" size="100%"&gt;https://www.ncbi.nlm.nih.gov/pubmed/12971668&lt;/style&gt;&lt;/url&gt;&lt;/related-urls&gt;&lt;/urls&gt;&lt;custom2&gt;PMID: 12971668 &lt;/custom2&gt;&lt;/record&gt;&lt;/Cite&gt;&lt;/EndNote&gt;</w:instrText>
      </w:r>
      <w:r w:rsidR="007D587D" w:rsidRPr="004D44EC">
        <w:rPr>
          <w:rFonts w:cs="Arial"/>
        </w:rPr>
        <w:fldChar w:fldCharType="separate"/>
      </w:r>
      <w:r w:rsidR="004041E8">
        <w:rPr>
          <w:rFonts w:cs="Arial"/>
          <w:noProof/>
        </w:rPr>
        <w:t>(31)</w:t>
      </w:r>
      <w:r w:rsidR="007D587D" w:rsidRPr="004D44EC">
        <w:rPr>
          <w:rFonts w:cs="Arial"/>
        </w:rPr>
        <w:fldChar w:fldCharType="end"/>
      </w:r>
      <w:r w:rsidR="009960EC" w:rsidRPr="004D44EC">
        <w:rPr>
          <w:rFonts w:cs="Arial"/>
        </w:rPr>
        <w:t>.</w:t>
      </w:r>
    </w:p>
    <w:p w14:paraId="570AAEF9" w14:textId="0B723B20" w:rsidR="00294A29" w:rsidRPr="004D44EC" w:rsidRDefault="00E477A1" w:rsidP="002E1CF0">
      <w:pPr>
        <w:rPr>
          <w:rFonts w:cs="Arial"/>
        </w:rPr>
      </w:pPr>
      <w:r w:rsidRPr="004D44EC">
        <w:rPr>
          <w:rFonts w:cs="Arial"/>
        </w:rPr>
        <w:t xml:space="preserve">Decisions regarding use </w:t>
      </w:r>
      <w:r w:rsidR="007D587D" w:rsidRPr="004D44EC">
        <w:rPr>
          <w:rFonts w:cs="Arial"/>
        </w:rPr>
        <w:t>and mode of DOT</w:t>
      </w:r>
      <w:r w:rsidRPr="004D44EC">
        <w:rPr>
          <w:rFonts w:cs="Arial"/>
        </w:rPr>
        <w:t xml:space="preserve"> </w:t>
      </w:r>
      <w:r w:rsidR="00046E13" w:rsidRPr="004D44EC">
        <w:rPr>
          <w:rFonts w:cs="Arial"/>
        </w:rPr>
        <w:t>should</w:t>
      </w:r>
      <w:r w:rsidRPr="004D44EC">
        <w:rPr>
          <w:rFonts w:cs="Arial"/>
        </w:rPr>
        <w:t xml:space="preserve"> be based on local and individual patient circumstances. </w:t>
      </w:r>
      <w:r w:rsidR="002E1CF0" w:rsidRPr="004D44EC">
        <w:rPr>
          <w:rFonts w:cs="Arial"/>
        </w:rPr>
        <w:t>In certain s</w:t>
      </w:r>
      <w:r w:rsidR="00EB60B1" w:rsidRPr="004D44EC">
        <w:rPr>
          <w:rFonts w:cs="Arial"/>
        </w:rPr>
        <w:t>ituations</w:t>
      </w:r>
      <w:r w:rsidRPr="004D44EC">
        <w:rPr>
          <w:rFonts w:cs="Arial"/>
        </w:rPr>
        <w:t>,</w:t>
      </w:r>
      <w:r w:rsidR="002E1CF0" w:rsidRPr="004D44EC">
        <w:rPr>
          <w:rFonts w:cs="Arial"/>
        </w:rPr>
        <w:t xml:space="preserve"> DOT </w:t>
      </w:r>
      <w:r w:rsidR="00FD062E" w:rsidRPr="004D44EC">
        <w:rPr>
          <w:rFonts w:cs="Arial"/>
        </w:rPr>
        <w:t>is strongly encouraged</w:t>
      </w:r>
      <w:r w:rsidR="002E1CF0" w:rsidRPr="004D44EC">
        <w:rPr>
          <w:rFonts w:cs="Arial"/>
        </w:rPr>
        <w:t xml:space="preserve">, </w:t>
      </w:r>
      <w:proofErr w:type="gramStart"/>
      <w:r w:rsidR="002E1CF0" w:rsidRPr="004D44EC">
        <w:rPr>
          <w:rFonts w:cs="Arial"/>
        </w:rPr>
        <w:t>e.g.</w:t>
      </w:r>
      <w:proofErr w:type="gramEnd"/>
      <w:r w:rsidR="002E1CF0" w:rsidRPr="004D44EC">
        <w:rPr>
          <w:rFonts w:cs="Arial"/>
        </w:rPr>
        <w:t xml:space="preserve"> smear positive cavitary TB, any retreatment case or a case with any drug resistance</w:t>
      </w:r>
      <w:r w:rsidR="002170BE" w:rsidRPr="004D44EC">
        <w:rPr>
          <w:rFonts w:cs="Arial"/>
        </w:rPr>
        <w:t xml:space="preserve"> </w:t>
      </w:r>
      <w:r w:rsidR="00EB60B1" w:rsidRPr="004D44EC">
        <w:rPr>
          <w:rFonts w:cs="Arial"/>
        </w:rPr>
        <w:t>and where factors are present predicting likely non-adherence.</w:t>
      </w:r>
      <w:r w:rsidR="00561EE0" w:rsidRPr="004D44EC">
        <w:rPr>
          <w:rFonts w:cs="Arial"/>
        </w:rPr>
        <w:t xml:space="preserve"> Thrice weekly therapy is not a preferred method but may be considered very occasionally (</w:t>
      </w:r>
      <w:proofErr w:type="gramStart"/>
      <w:r w:rsidR="00561EE0" w:rsidRPr="004D44EC">
        <w:rPr>
          <w:rFonts w:cs="Arial"/>
        </w:rPr>
        <w:t>e.g.</w:t>
      </w:r>
      <w:proofErr w:type="gramEnd"/>
      <w:r w:rsidR="00561EE0" w:rsidRPr="004D44EC">
        <w:rPr>
          <w:rFonts w:cs="Arial"/>
        </w:rPr>
        <w:t xml:space="preserve"> in low burden of disease) and </w:t>
      </w:r>
      <w:r w:rsidR="00516E08">
        <w:rPr>
          <w:rFonts w:cs="Arial"/>
        </w:rPr>
        <w:t>should</w:t>
      </w:r>
      <w:r w:rsidR="00516E08" w:rsidRPr="004D44EC">
        <w:rPr>
          <w:rFonts w:cs="Arial"/>
        </w:rPr>
        <w:t xml:space="preserve"> </w:t>
      </w:r>
      <w:r w:rsidR="00561EE0" w:rsidRPr="004D44EC">
        <w:rPr>
          <w:rFonts w:cs="Arial"/>
        </w:rPr>
        <w:t>always be administered as DOT.</w:t>
      </w:r>
      <w:r w:rsidR="002E1CF0" w:rsidRPr="004D44EC">
        <w:rPr>
          <w:rFonts w:cs="Arial"/>
        </w:rPr>
        <w:t xml:space="preserve"> </w:t>
      </w:r>
    </w:p>
    <w:p w14:paraId="4DFD0B0E" w14:textId="33918FE2" w:rsidR="002E1CF0" w:rsidRPr="004D44EC" w:rsidRDefault="002E1CF0" w:rsidP="00993C7C">
      <w:pPr>
        <w:rPr>
          <w:rFonts w:cs="Arial"/>
        </w:rPr>
      </w:pPr>
      <w:r w:rsidRPr="004D44EC">
        <w:rPr>
          <w:rFonts w:cs="Arial"/>
        </w:rPr>
        <w:t>Many patients can be treated on an outpatient basis. Hospitalisation may be required if:</w:t>
      </w:r>
    </w:p>
    <w:p w14:paraId="04B78451" w14:textId="77777777" w:rsidR="006830D0" w:rsidRPr="004D44EC" w:rsidRDefault="006830D0" w:rsidP="001C34D7">
      <w:pPr>
        <w:pStyle w:val="ListBullet2"/>
      </w:pPr>
      <w:r w:rsidRPr="004D44EC">
        <w:t>Investigations are required to establish the diagnosis</w:t>
      </w:r>
    </w:p>
    <w:p w14:paraId="7F9E05A1" w14:textId="5620FE26" w:rsidR="002E1CF0" w:rsidRPr="004D44EC" w:rsidRDefault="00D5500A" w:rsidP="001C34D7">
      <w:pPr>
        <w:pStyle w:val="ListBullet2"/>
      </w:pPr>
      <w:r w:rsidRPr="004D44EC">
        <w:t>T</w:t>
      </w:r>
      <w:r w:rsidR="002E1CF0" w:rsidRPr="004D44EC">
        <w:t>here is a need for continuous in-patient care due to complications from T</w:t>
      </w:r>
      <w:r w:rsidR="00AD401F" w:rsidRPr="004D44EC">
        <w:t xml:space="preserve">B or other </w:t>
      </w:r>
      <w:r w:rsidR="006E6D70" w:rsidRPr="004D44EC">
        <w:t>co-morbid conditions</w:t>
      </w:r>
      <w:r w:rsidR="00E14110">
        <w:t xml:space="preserve"> </w:t>
      </w:r>
    </w:p>
    <w:p w14:paraId="0F9D4247" w14:textId="72499103" w:rsidR="002E1CF0" w:rsidRPr="004D44EC" w:rsidRDefault="00D5500A" w:rsidP="001C34D7">
      <w:pPr>
        <w:pStyle w:val="ListBullet2"/>
      </w:pPr>
      <w:r w:rsidRPr="004D44EC">
        <w:t>I</w:t>
      </w:r>
      <w:r w:rsidR="002E1CF0" w:rsidRPr="004D44EC">
        <w:t>t is necessary to monitor adherence a</w:t>
      </w:r>
      <w:r w:rsidR="006E6D70" w:rsidRPr="004D44EC">
        <w:t>nd tolerance of drug therapy</w:t>
      </w:r>
    </w:p>
    <w:p w14:paraId="1F046281" w14:textId="48A501DA" w:rsidR="002E1CF0" w:rsidRPr="004D44EC" w:rsidRDefault="00D5500A" w:rsidP="001C34D7">
      <w:pPr>
        <w:pStyle w:val="ListBullet2"/>
      </w:pPr>
      <w:r w:rsidRPr="004D44EC">
        <w:t>T</w:t>
      </w:r>
      <w:r w:rsidR="002E1CF0" w:rsidRPr="004D44EC">
        <w:t>he patient is likely to be a public health risk or if social circumstances in</w:t>
      </w:r>
      <w:r w:rsidR="00AD401F" w:rsidRPr="004D44EC">
        <w:t xml:space="preserve"> the </w:t>
      </w:r>
      <w:r w:rsidR="00D75826" w:rsidRPr="004D44EC">
        <w:t xml:space="preserve">place of residence </w:t>
      </w:r>
      <w:r w:rsidR="00AD401F" w:rsidRPr="004D44EC">
        <w:t>necessitate admission.</w:t>
      </w:r>
    </w:p>
    <w:p w14:paraId="0643B7FF" w14:textId="77777777" w:rsidR="002E1CF0" w:rsidRPr="007A4336" w:rsidRDefault="002E1CF0" w:rsidP="00CA7F5E">
      <w:pPr>
        <w:pStyle w:val="Heading2"/>
      </w:pPr>
      <w:bookmarkStart w:id="78" w:name="_Education"/>
      <w:bookmarkStart w:id="79" w:name="_Toc29979776"/>
      <w:bookmarkStart w:id="80" w:name="_Toc97195069"/>
      <w:bookmarkEnd w:id="78"/>
      <w:r w:rsidRPr="00AE6202">
        <w:t>Education</w:t>
      </w:r>
      <w:bookmarkEnd w:id="79"/>
      <w:bookmarkEnd w:id="80"/>
    </w:p>
    <w:p w14:paraId="6EF66FE6" w14:textId="588C844B" w:rsidR="00872C35" w:rsidRPr="004D44EC" w:rsidRDefault="002E1CF0" w:rsidP="00872C35">
      <w:pPr>
        <w:rPr>
          <w:rFonts w:cs="Arial"/>
        </w:rPr>
      </w:pPr>
      <w:r w:rsidRPr="004D44EC">
        <w:rPr>
          <w:rFonts w:cs="Arial"/>
        </w:rPr>
        <w:t xml:space="preserve">Education about the disease process and transmission of infection is provided to patients and household contacts using a qualified interpreter as appropriate. The importance of adherence to treatment is reinforced and further information provided about medications and possible side effects of drug therapy. </w:t>
      </w:r>
      <w:r w:rsidR="00EB60B1" w:rsidRPr="004D44EC">
        <w:rPr>
          <w:rFonts w:cs="Arial"/>
        </w:rPr>
        <w:t>E</w:t>
      </w:r>
      <w:r w:rsidRPr="004D44EC">
        <w:rPr>
          <w:rFonts w:cs="Arial"/>
        </w:rPr>
        <w:t>ffective communication and provision of clear information is a high priority for patient management. It is import</w:t>
      </w:r>
      <w:r w:rsidR="006830D0" w:rsidRPr="004D44EC">
        <w:rPr>
          <w:rFonts w:cs="Arial"/>
        </w:rPr>
        <w:t>ant</w:t>
      </w:r>
      <w:r w:rsidRPr="004D44EC">
        <w:rPr>
          <w:rFonts w:cs="Arial"/>
        </w:rPr>
        <w:t xml:space="preserve"> to emphasise that TB is a curable and </w:t>
      </w:r>
      <w:r w:rsidRPr="004D44EC">
        <w:rPr>
          <w:rFonts w:cs="Arial"/>
        </w:rPr>
        <w:lastRenderedPageBreak/>
        <w:t xml:space="preserve">preventable disease. </w:t>
      </w:r>
      <w:r w:rsidR="009A0256" w:rsidRPr="004D44EC">
        <w:rPr>
          <w:rFonts w:cs="Arial"/>
        </w:rPr>
        <w:t>Unfortunately,</w:t>
      </w:r>
      <w:r w:rsidRPr="004D44EC">
        <w:rPr>
          <w:rFonts w:cs="Arial"/>
        </w:rPr>
        <w:t xml:space="preserve"> there is still much stigma associated with the disease. Support and reassurance are required. If </w:t>
      </w:r>
      <w:r w:rsidR="0031322C" w:rsidRPr="004D44EC">
        <w:rPr>
          <w:rFonts w:cs="Arial"/>
        </w:rPr>
        <w:t xml:space="preserve">patients are </w:t>
      </w:r>
      <w:r w:rsidRPr="004D44EC">
        <w:rPr>
          <w:rFonts w:cs="Arial"/>
        </w:rPr>
        <w:t xml:space="preserve">treated at home for smear positive pulmonary TB, they must be instructed to remain there without visitors coming into the house until they are assessed as not being infectious. Language </w:t>
      </w:r>
      <w:proofErr w:type="gramStart"/>
      <w:r w:rsidRPr="004D44EC">
        <w:rPr>
          <w:rFonts w:cs="Arial"/>
        </w:rPr>
        <w:t>specific fact</w:t>
      </w:r>
      <w:proofErr w:type="gramEnd"/>
      <w:r w:rsidRPr="004D44EC">
        <w:rPr>
          <w:rFonts w:cs="Arial"/>
        </w:rPr>
        <w:t xml:space="preserve"> sheets about TB and drug treatment should be provided to all patients and are available from jurisdictional TB units. </w:t>
      </w:r>
    </w:p>
    <w:p w14:paraId="7F2FC895" w14:textId="77777777" w:rsidR="002E1CF0" w:rsidRPr="007A4336" w:rsidRDefault="002E1CF0" w:rsidP="00CA7F5E">
      <w:pPr>
        <w:pStyle w:val="Heading2"/>
      </w:pPr>
      <w:bookmarkStart w:id="81" w:name="_Toc29979777"/>
      <w:bookmarkStart w:id="82" w:name="_Toc97195070"/>
      <w:r w:rsidRPr="00AE6202">
        <w:t>Isolation and restriction</w:t>
      </w:r>
      <w:bookmarkEnd w:id="81"/>
      <w:bookmarkEnd w:id="82"/>
      <w:r w:rsidRPr="00AE6202">
        <w:t xml:space="preserve"> </w:t>
      </w:r>
    </w:p>
    <w:p w14:paraId="672EEA0C" w14:textId="014B2E8D" w:rsidR="00613635" w:rsidRPr="004D44EC" w:rsidRDefault="002E1CF0" w:rsidP="00993C7C">
      <w:pPr>
        <w:rPr>
          <w:rFonts w:cs="Arial"/>
        </w:rPr>
      </w:pPr>
      <w:r w:rsidRPr="004D44EC">
        <w:rPr>
          <w:rFonts w:cs="Arial"/>
        </w:rPr>
        <w:t>It is recommended that patients with suspected or confirmed pulmonary TB who are admitted to hospital should remain isolated in a negative pressure room with airborne precautions applied</w:t>
      </w:r>
      <w:r w:rsidR="00613635" w:rsidRPr="004D44EC">
        <w:rPr>
          <w:rFonts w:cs="Arial"/>
        </w:rPr>
        <w:t>.</w:t>
      </w:r>
      <w:r w:rsidR="006545CC" w:rsidRPr="004D44EC">
        <w:rPr>
          <w:rFonts w:cs="Arial"/>
        </w:rPr>
        <w:t xml:space="preserve"> </w:t>
      </w:r>
      <w:r w:rsidR="00B538E6" w:rsidRPr="00B538E6">
        <w:rPr>
          <w:rFonts w:cs="Arial"/>
        </w:rPr>
        <w:t xml:space="preserve">A smear </w:t>
      </w:r>
      <w:r w:rsidR="005D76E8" w:rsidRPr="00B538E6">
        <w:rPr>
          <w:rFonts w:cs="Arial"/>
        </w:rPr>
        <w:t>positive</w:t>
      </w:r>
      <w:r w:rsidR="00B538E6" w:rsidRPr="00B538E6">
        <w:rPr>
          <w:rFonts w:cs="Arial"/>
        </w:rPr>
        <w:t xml:space="preserve"> patient who tests negative for T</w:t>
      </w:r>
      <w:r w:rsidR="00723C38">
        <w:rPr>
          <w:rFonts w:cs="Arial"/>
        </w:rPr>
        <w:t>B</w:t>
      </w:r>
      <w:r w:rsidR="00B538E6" w:rsidRPr="00B538E6">
        <w:rPr>
          <w:rFonts w:cs="Arial"/>
        </w:rPr>
        <w:t xml:space="preserve"> by </w:t>
      </w:r>
      <w:proofErr w:type="spellStart"/>
      <w:r w:rsidR="00B538E6" w:rsidRPr="00B538E6">
        <w:rPr>
          <w:rFonts w:cs="Arial"/>
        </w:rPr>
        <w:t>Xpert</w:t>
      </w:r>
      <w:proofErr w:type="spellEnd"/>
      <w:r w:rsidR="00B538E6" w:rsidRPr="00B538E6">
        <w:rPr>
          <w:rFonts w:cs="Arial"/>
        </w:rPr>
        <w:t xml:space="preserve"> MTB/RIF Ultra may generally be released from </w:t>
      </w:r>
      <w:r w:rsidR="005D76E8" w:rsidRPr="00B538E6">
        <w:rPr>
          <w:rFonts w:cs="Arial"/>
        </w:rPr>
        <w:t>airborne</w:t>
      </w:r>
      <w:r w:rsidR="00B538E6" w:rsidRPr="00B538E6">
        <w:rPr>
          <w:rFonts w:cs="Arial"/>
        </w:rPr>
        <w:t xml:space="preserve"> precautions unless very strong clinical </w:t>
      </w:r>
      <w:r w:rsidR="005D76E8" w:rsidRPr="00B538E6">
        <w:rPr>
          <w:rFonts w:cs="Arial"/>
        </w:rPr>
        <w:t>suspicion</w:t>
      </w:r>
      <w:r w:rsidR="00B538E6" w:rsidRPr="00B538E6">
        <w:rPr>
          <w:rFonts w:cs="Arial"/>
        </w:rPr>
        <w:t xml:space="preserve"> remains, in which case a second </w:t>
      </w:r>
      <w:proofErr w:type="spellStart"/>
      <w:r w:rsidR="00B538E6" w:rsidRPr="00B538E6">
        <w:rPr>
          <w:rFonts w:cs="Arial"/>
        </w:rPr>
        <w:t>Xpert</w:t>
      </w:r>
      <w:proofErr w:type="spellEnd"/>
      <w:r w:rsidR="00B538E6" w:rsidRPr="00B538E6">
        <w:rPr>
          <w:rFonts w:cs="Arial"/>
        </w:rPr>
        <w:t xml:space="preserve"> test can be performed</w:t>
      </w:r>
      <w:r w:rsidR="00D4194D" w:rsidRPr="004D44EC">
        <w:rPr>
          <w:rFonts w:cs="Arial"/>
        </w:rPr>
        <w:t>.</w:t>
      </w:r>
      <w:r w:rsidR="00613635" w:rsidRPr="004D44EC">
        <w:rPr>
          <w:rFonts w:cs="Arial"/>
        </w:rPr>
        <w:t xml:space="preserve"> For further guidance on infection control measures, see: </w:t>
      </w:r>
    </w:p>
    <w:p w14:paraId="0DD5BA2F" w14:textId="77777777" w:rsidR="00712D1E" w:rsidRPr="004D44EC" w:rsidRDefault="00AA59D5" w:rsidP="001C34D7">
      <w:pPr>
        <w:pStyle w:val="ListBullet2"/>
      </w:pPr>
      <w:hyperlink w:anchor="_TB_in_healthcare_1" w:history="1">
        <w:r w:rsidR="00712D1E" w:rsidRPr="004D44EC">
          <w:rPr>
            <w:rStyle w:val="Hyperlink"/>
          </w:rPr>
          <w:t>Section 12. Special Situations: TB in healthcare settings</w:t>
        </w:r>
      </w:hyperlink>
    </w:p>
    <w:p w14:paraId="5B545F29" w14:textId="1137C73B" w:rsidR="00613635" w:rsidRPr="004D44EC" w:rsidRDefault="00613635" w:rsidP="001C34D7">
      <w:pPr>
        <w:pStyle w:val="ListBullet2"/>
      </w:pPr>
      <w:r w:rsidRPr="004D44EC">
        <w:t>NTAC’s Infection control guideline for the management of patients with suspected or confirmed pulmonary TB in healthcare settings</w:t>
      </w:r>
      <w:r w:rsidR="009A0256" w:rsidRPr="004D44EC">
        <w:t xml:space="preserve"> </w:t>
      </w:r>
      <w:r w:rsidR="00710A27" w:rsidRPr="004D44EC">
        <w:fldChar w:fldCharType="begin"/>
      </w:r>
      <w:r w:rsidR="004041E8">
        <w:instrText xml:space="preserve"> ADDIN EN.CITE &lt;EndNote&gt;&lt;Cite&gt;&lt;Author&gt;Coulter&lt;/Author&gt;&lt;Year&gt;2016&lt;/Year&gt;&lt;RecNum&gt;33&lt;/RecNum&gt;&lt;DisplayText&gt;(32)&lt;/DisplayText&gt;&lt;record&gt;&lt;rec-number&gt;33&lt;/rec-number&gt;&lt;foreign-keys&gt;&lt;key app="EN" db-id="sr9paxs2qve9wpext2i5swxe50w0rs9dzze2" timestamp="1628681201"&gt;33&lt;/key&gt;&lt;/foreign-keys&gt;&lt;ref-type name="Journal Article"&gt;17&lt;/ref-type&gt;&lt;contributors&gt;&lt;authors&gt;&lt;author&gt;Coulter, Chris&lt;/author&gt;&lt;author&gt;and the National Tuberculosis Advisory Committee,&lt;/author&gt;&lt;/authors&gt;&lt;/contributors&gt;&lt;titles&gt;&lt;title&gt;Infection control guidelines for the management of patients with suspected or confirmed pulmonary tuberculosis in healthcare settings&lt;/title&gt;&lt;secondary-title&gt;Communicable Diseases Intelligence&lt;/secondary-title&gt;&lt;/titles&gt;&lt;periodical&gt;&lt;full-title&gt;Communicable Diseases Intelligence&lt;/full-title&gt;&lt;/periodical&gt;&lt;pages&gt;E360-6&lt;/pages&gt;&lt;volume&gt;40&lt;/volume&gt;&lt;number&gt;3&lt;/number&gt;&lt;dates&gt;&lt;year&gt;2016&lt;/year&gt;&lt;/dates&gt;&lt;isbn&gt;1447-4514&lt;/isbn&gt;&lt;urls&gt;&lt;related-urls&gt;&lt;url&gt;http://www.health.gov.au/internet/main/publishing.nsf/Content/cda-cdi4003i.htm&lt;/url&gt;&lt;/related-urls&gt;&lt;/urls&gt;&lt;/record&gt;&lt;/Cite&gt;&lt;/EndNote&gt;</w:instrText>
      </w:r>
      <w:r w:rsidR="00710A27" w:rsidRPr="004D44EC">
        <w:fldChar w:fldCharType="separate"/>
      </w:r>
      <w:r w:rsidR="004041E8">
        <w:rPr>
          <w:noProof/>
        </w:rPr>
        <w:t>(32)</w:t>
      </w:r>
      <w:r w:rsidR="00710A27" w:rsidRPr="004D44EC">
        <w:fldChar w:fldCharType="end"/>
      </w:r>
      <w:r w:rsidR="009A0256" w:rsidRPr="004D44EC">
        <w:t>:</w:t>
      </w:r>
      <w:r w:rsidR="00712D1E" w:rsidRPr="004D44EC">
        <w:t xml:space="preserve"> </w:t>
      </w:r>
      <w:hyperlink r:id="rId31" w:history="1">
        <w:r w:rsidR="009B07E2">
          <w:rPr>
            <w:rStyle w:val="Hyperlink"/>
          </w:rPr>
          <w:t>Department of Health | Infection control guidelines for the management of patients with suspected or confirmed pulmonary tuberculosis in healthcare settings</w:t>
        </w:r>
      </w:hyperlink>
      <w:r w:rsidR="00712D1E" w:rsidRPr="004D44EC">
        <w:t xml:space="preserve"> </w:t>
      </w:r>
    </w:p>
    <w:p w14:paraId="4ED389AD" w14:textId="77777777" w:rsidR="002E1CF0" w:rsidRPr="004D44EC" w:rsidRDefault="00712D1E" w:rsidP="00993C7C">
      <w:r w:rsidRPr="004D44EC">
        <w:t xml:space="preserve">Infection control precautions should be maintained </w:t>
      </w:r>
      <w:r w:rsidR="002E1CF0" w:rsidRPr="004D44EC">
        <w:t xml:space="preserve">until discharge criteria are met. In principle these criteria include: </w:t>
      </w:r>
    </w:p>
    <w:p w14:paraId="24558D43" w14:textId="4433311C" w:rsidR="002E1CF0" w:rsidRPr="004D44EC" w:rsidRDefault="00D5500A" w:rsidP="001C34D7">
      <w:pPr>
        <w:pStyle w:val="ListBullet2"/>
      </w:pPr>
      <w:r w:rsidRPr="004D44EC">
        <w:t>A</w:t>
      </w:r>
      <w:r w:rsidR="002E1CF0" w:rsidRPr="004D44EC">
        <w:t xml:space="preserve"> reduction in or absence of cough</w:t>
      </w:r>
      <w:r w:rsidR="00E46BA0" w:rsidRPr="004D44EC">
        <w:t xml:space="preserve"> </w:t>
      </w:r>
      <w:r w:rsidR="00516E08">
        <w:t>with or without</w:t>
      </w:r>
      <w:r w:rsidR="00E46BA0" w:rsidRPr="004D44EC">
        <w:t xml:space="preserve"> other symptoms</w:t>
      </w:r>
      <w:r w:rsidR="00891AE6" w:rsidRPr="004D44EC">
        <w:t>.</w:t>
      </w:r>
    </w:p>
    <w:p w14:paraId="01190DE6" w14:textId="32234EE3" w:rsidR="002E1CF0" w:rsidRPr="004D44EC" w:rsidRDefault="00D5500A" w:rsidP="001C34D7">
      <w:pPr>
        <w:pStyle w:val="ListBullet2"/>
      </w:pPr>
      <w:r w:rsidRPr="004D44EC">
        <w:t>R</w:t>
      </w:r>
      <w:r w:rsidR="002E1CF0" w:rsidRPr="004D44EC">
        <w:t>educed smear burden or smear negativity</w:t>
      </w:r>
      <w:r w:rsidR="00891AE6" w:rsidRPr="004D44EC">
        <w:t>.</w:t>
      </w:r>
    </w:p>
    <w:p w14:paraId="3936D9C4" w14:textId="2B95344E" w:rsidR="002E1CF0" w:rsidRPr="004D44EC" w:rsidRDefault="00D5500A" w:rsidP="001C34D7">
      <w:pPr>
        <w:pStyle w:val="ListBullet2"/>
      </w:pPr>
      <w:r w:rsidRPr="004D44EC">
        <w:t>A</w:t>
      </w:r>
      <w:r w:rsidR="002E1CF0" w:rsidRPr="004D44EC">
        <w:t>ssured treatment</w:t>
      </w:r>
      <w:r w:rsidR="00613635" w:rsidRPr="004D44EC">
        <w:t xml:space="preserve"> by direct observation</w:t>
      </w:r>
      <w:r w:rsidR="00891AE6" w:rsidRPr="004D44EC">
        <w:t>.</w:t>
      </w:r>
    </w:p>
    <w:p w14:paraId="084D0A4D" w14:textId="1ED3FB83" w:rsidR="002E1CF0" w:rsidRPr="004D44EC" w:rsidRDefault="00D5500A" w:rsidP="001C34D7">
      <w:pPr>
        <w:pStyle w:val="ListBullet2"/>
      </w:pPr>
      <w:r w:rsidRPr="004D44EC">
        <w:t>A</w:t>
      </w:r>
      <w:r w:rsidR="002E1CF0" w:rsidRPr="004D44EC">
        <w:t>n appropriate discharge plan</w:t>
      </w:r>
      <w:r w:rsidR="00264D8B" w:rsidRPr="004D44EC">
        <w:t xml:space="preserve"> and referral to TB services</w:t>
      </w:r>
      <w:r w:rsidR="002E1CF0" w:rsidRPr="004D44EC">
        <w:t xml:space="preserve">. </w:t>
      </w:r>
    </w:p>
    <w:p w14:paraId="0E90DF9A" w14:textId="269F4D1F" w:rsidR="002E1CF0" w:rsidRPr="004D44EC" w:rsidRDefault="002E1CF0" w:rsidP="002E1CF0">
      <w:pPr>
        <w:rPr>
          <w:rFonts w:cs="Arial"/>
        </w:rPr>
      </w:pPr>
      <w:r w:rsidRPr="004D44EC">
        <w:rPr>
          <w:rFonts w:cs="Arial"/>
        </w:rPr>
        <w:t>If drug resistance is suspected</w:t>
      </w:r>
      <w:r w:rsidR="0031322C" w:rsidRPr="004D44EC">
        <w:rPr>
          <w:rFonts w:cs="Arial"/>
        </w:rPr>
        <w:t>,</w:t>
      </w:r>
      <w:r w:rsidRPr="004D44EC">
        <w:rPr>
          <w:rFonts w:cs="Arial"/>
        </w:rPr>
        <w:t xml:space="preserve"> cases should remain in isolation with airborne precautions in place until susceptibility results are confirmed. If sputum remains smear positive, a decision about discharge should be made in consultation with a specialist physician </w:t>
      </w:r>
      <w:r w:rsidR="00F53758" w:rsidRPr="004D44EC">
        <w:rPr>
          <w:rFonts w:cs="Arial"/>
        </w:rPr>
        <w:t xml:space="preserve">who has </w:t>
      </w:r>
      <w:r w:rsidRPr="004D44EC">
        <w:rPr>
          <w:rFonts w:cs="Arial"/>
        </w:rPr>
        <w:t xml:space="preserve">experience in managing TB and </w:t>
      </w:r>
      <w:proofErr w:type="gramStart"/>
      <w:r w:rsidRPr="004D44EC">
        <w:rPr>
          <w:rFonts w:cs="Arial"/>
        </w:rPr>
        <w:t>taking into account</w:t>
      </w:r>
      <w:proofErr w:type="gramEnd"/>
      <w:r w:rsidRPr="004D44EC">
        <w:rPr>
          <w:rFonts w:cs="Arial"/>
        </w:rPr>
        <w:t xml:space="preserve"> the social circumstances at home, such as the potential to expose new contacts and the presence of children &lt;5 years of age.</w:t>
      </w:r>
    </w:p>
    <w:p w14:paraId="66DED030" w14:textId="4F3AE8D1" w:rsidR="002E1CF0" w:rsidRPr="004D44EC" w:rsidRDefault="002E1CF0" w:rsidP="002E1CF0">
      <w:pPr>
        <w:rPr>
          <w:rFonts w:cs="Arial"/>
        </w:rPr>
      </w:pPr>
      <w:r w:rsidRPr="004D44EC">
        <w:rPr>
          <w:rFonts w:cs="Arial"/>
        </w:rPr>
        <w:t>Patients with pulmonary TB who are managed at home should be isolated until assessed as being at minimal risk of transmitting infection</w:t>
      </w:r>
      <w:r w:rsidR="00DA7A42">
        <w:rPr>
          <w:rFonts w:cs="Arial"/>
        </w:rPr>
        <w:t xml:space="preserve"> in consultation with local TB services.</w:t>
      </w:r>
      <w:r w:rsidRPr="004D44EC">
        <w:rPr>
          <w:rFonts w:cs="Arial"/>
        </w:rPr>
        <w:t xml:space="preserve"> Adequate social support and supervised therapy is essential in the home environment to maintain home isolation. Assessment of other family members should be undertaken as a matter of priority to determine their status </w:t>
      </w:r>
      <w:proofErr w:type="gramStart"/>
      <w:r w:rsidRPr="004D44EC">
        <w:rPr>
          <w:rFonts w:cs="Arial"/>
        </w:rPr>
        <w:t>and also</w:t>
      </w:r>
      <w:proofErr w:type="gramEnd"/>
      <w:r w:rsidRPr="004D44EC">
        <w:rPr>
          <w:rFonts w:cs="Arial"/>
        </w:rPr>
        <w:t xml:space="preserve"> the possible need for preventive therapy in any children &lt;5 years of age with no initial evidence of infection. The patient and family must also be provided with appropriate education and counselling about minimi</w:t>
      </w:r>
      <w:r w:rsidR="00613635" w:rsidRPr="004D44EC">
        <w:rPr>
          <w:rFonts w:cs="Arial"/>
        </w:rPr>
        <w:t>s</w:t>
      </w:r>
      <w:r w:rsidRPr="004D44EC">
        <w:rPr>
          <w:rFonts w:cs="Arial"/>
        </w:rPr>
        <w:t xml:space="preserve">ing the risk of transmission of </w:t>
      </w:r>
      <w:proofErr w:type="gramStart"/>
      <w:r w:rsidRPr="004D44EC">
        <w:rPr>
          <w:rFonts w:cs="Arial"/>
        </w:rPr>
        <w:t>infection</w:t>
      </w:r>
      <w:r w:rsidR="00613635" w:rsidRPr="004D44EC">
        <w:rPr>
          <w:rFonts w:cs="Arial"/>
        </w:rPr>
        <w:t>;</w:t>
      </w:r>
      <w:proofErr w:type="gramEnd"/>
      <w:r w:rsidR="00613635" w:rsidRPr="004D44EC">
        <w:rPr>
          <w:rFonts w:cs="Arial"/>
        </w:rPr>
        <w:t xml:space="preserve"> i.e</w:t>
      </w:r>
      <w:r w:rsidR="00F53758" w:rsidRPr="004D44EC">
        <w:rPr>
          <w:rFonts w:cs="Arial"/>
        </w:rPr>
        <w:t>.</w:t>
      </w:r>
      <w:r w:rsidRPr="004D44EC">
        <w:rPr>
          <w:rFonts w:cs="Arial"/>
        </w:rPr>
        <w:t xml:space="preserve"> cough hygiene, avoiding new contacts and restricting movements away from home. </w:t>
      </w:r>
    </w:p>
    <w:p w14:paraId="0CE5B8F4" w14:textId="77777777" w:rsidR="002E1CF0" w:rsidRPr="001C34D7" w:rsidRDefault="002E1CF0" w:rsidP="002E1CF0">
      <w:r w:rsidRPr="004D44EC">
        <w:rPr>
          <w:rFonts w:cs="Arial"/>
        </w:rPr>
        <w:t>There are no restrictions on the movement of patients with extra-pulmonary disease, who have had pulmonary TB excluded or those with negative sputum smears on adequate therapy.</w:t>
      </w:r>
    </w:p>
    <w:p w14:paraId="63F51140" w14:textId="41D13FFB" w:rsidR="002E1CF0" w:rsidRPr="004D44EC" w:rsidRDefault="002E1CF0" w:rsidP="002E1CF0">
      <w:pPr>
        <w:rPr>
          <w:rFonts w:cs="Arial"/>
        </w:rPr>
      </w:pPr>
      <w:r w:rsidRPr="004D44EC">
        <w:rPr>
          <w:rFonts w:cs="Arial"/>
        </w:rPr>
        <w:t xml:space="preserve">Cases must be excluded from educational facilities and children’s services (including </w:t>
      </w:r>
      <w:r w:rsidR="005A27F9" w:rsidRPr="004D44EC">
        <w:rPr>
          <w:rFonts w:cs="Arial"/>
        </w:rPr>
        <w:t>childcare</w:t>
      </w:r>
      <w:r w:rsidRPr="004D44EC">
        <w:rPr>
          <w:rFonts w:cs="Arial"/>
        </w:rPr>
        <w:t xml:space="preserve">, family day care, kindergartens, after school care) as required under jurisdictional regulations. </w:t>
      </w:r>
    </w:p>
    <w:p w14:paraId="4BA3AF52" w14:textId="485DF502" w:rsidR="00872C35" w:rsidRDefault="002E1CF0" w:rsidP="00872C35">
      <w:pPr>
        <w:rPr>
          <w:rFonts w:cs="Arial"/>
        </w:rPr>
      </w:pPr>
      <w:r w:rsidRPr="004D44EC">
        <w:rPr>
          <w:rFonts w:cs="Arial"/>
        </w:rPr>
        <w:t>A restriction order</w:t>
      </w:r>
      <w:r w:rsidR="009141AD" w:rsidRPr="004D44EC">
        <w:rPr>
          <w:rFonts w:cs="Arial"/>
        </w:rPr>
        <w:t xml:space="preserve"> </w:t>
      </w:r>
      <w:r w:rsidRPr="004D44EC">
        <w:rPr>
          <w:rFonts w:cs="Arial"/>
        </w:rPr>
        <w:t>may be issued to a person with pulmonary TB who does not comply with prescribed treatment and is not willing to limit their movement within the community</w:t>
      </w:r>
      <w:r w:rsidR="009141AD" w:rsidRPr="004D44EC">
        <w:rPr>
          <w:rFonts w:cs="Arial"/>
        </w:rPr>
        <w:t xml:space="preserve"> (see </w:t>
      </w:r>
      <w:hyperlink w:anchor="_Jurisdiction_specific_issues" w:history="1">
        <w:r w:rsidR="009141AD" w:rsidRPr="004D44EC">
          <w:rPr>
            <w:rStyle w:val="Hyperlink"/>
            <w:rFonts w:cs="Arial"/>
          </w:rPr>
          <w:t>Section</w:t>
        </w:r>
        <w:r w:rsidR="00424109" w:rsidRPr="004D44EC">
          <w:rPr>
            <w:rStyle w:val="Hyperlink"/>
            <w:rFonts w:cs="Arial"/>
          </w:rPr>
          <w:t> </w:t>
        </w:r>
        <w:r w:rsidR="009141AD" w:rsidRPr="004D44EC">
          <w:rPr>
            <w:rStyle w:val="Hyperlink"/>
            <w:rFonts w:cs="Arial"/>
          </w:rPr>
          <w:t>15: Jurisdiction specific issues</w:t>
        </w:r>
      </w:hyperlink>
      <w:r w:rsidR="00424109" w:rsidRPr="004D44EC">
        <w:rPr>
          <w:rFonts w:cs="Arial"/>
        </w:rPr>
        <w:t xml:space="preserve"> for links to relevant legislation</w:t>
      </w:r>
      <w:r w:rsidR="009141AD" w:rsidRPr="004D44EC">
        <w:rPr>
          <w:rFonts w:cs="Arial"/>
        </w:rPr>
        <w:t>)</w:t>
      </w:r>
      <w:r w:rsidRPr="004D44EC">
        <w:rPr>
          <w:rFonts w:cs="Arial"/>
        </w:rPr>
        <w:t>. Enactment of an isolation order is a last resort that follows extensive consultation between the treating clinicians and TB services, patient counselling, psychological assessment and use of alternative strategies to enhance adherence, including incentives and enablers.</w:t>
      </w:r>
    </w:p>
    <w:p w14:paraId="6189CC48" w14:textId="77777777" w:rsidR="002E1CF0" w:rsidRPr="007A4336" w:rsidRDefault="002E1CF0" w:rsidP="00CA7F5E">
      <w:pPr>
        <w:pStyle w:val="Heading1"/>
      </w:pPr>
      <w:bookmarkStart w:id="83" w:name="_Toc97195071"/>
      <w:r w:rsidRPr="007A4336">
        <w:lastRenderedPageBreak/>
        <w:t>Environmental evaluation</w:t>
      </w:r>
      <w:bookmarkEnd w:id="83"/>
      <w:r w:rsidRPr="007A4336">
        <w:t xml:space="preserve"> </w:t>
      </w:r>
    </w:p>
    <w:p w14:paraId="7E6ECAC8" w14:textId="77777777" w:rsidR="002E1CF0" w:rsidRPr="004D44EC" w:rsidRDefault="002E1CF0" w:rsidP="00993C7C">
      <w:pPr>
        <w:rPr>
          <w:rFonts w:cs="Arial"/>
        </w:rPr>
      </w:pPr>
      <w:r w:rsidRPr="004D44EC">
        <w:rPr>
          <w:rFonts w:cs="Arial"/>
        </w:rPr>
        <w:t xml:space="preserve">To assist in the identification of contacts at risk of infection, an environmental assessment should be undertaken of the settings that the patient has been spending time while infectious. Factors to consider include: </w:t>
      </w:r>
    </w:p>
    <w:p w14:paraId="7B6658AF" w14:textId="578D1A74" w:rsidR="002E1CF0" w:rsidRPr="004D44EC" w:rsidRDefault="002E1CF0" w:rsidP="001C34D7">
      <w:pPr>
        <w:pStyle w:val="ListBullet2"/>
      </w:pPr>
      <w:r w:rsidRPr="004D44EC">
        <w:t>Ventilation</w:t>
      </w:r>
      <w:r w:rsidR="00F624C5" w:rsidRPr="004D44EC">
        <w:t>.</w:t>
      </w:r>
    </w:p>
    <w:p w14:paraId="20651F7F" w14:textId="5B3CADFA" w:rsidR="002E1CF0" w:rsidRPr="004D44EC" w:rsidRDefault="002E1CF0" w:rsidP="001C34D7">
      <w:pPr>
        <w:pStyle w:val="ListBullet2"/>
      </w:pPr>
      <w:r w:rsidRPr="004D44EC">
        <w:t>Room size</w:t>
      </w:r>
      <w:r w:rsidR="00F624C5" w:rsidRPr="004D44EC">
        <w:t>.</w:t>
      </w:r>
    </w:p>
    <w:p w14:paraId="62761098" w14:textId="41EB47DB" w:rsidR="002E1CF0" w:rsidRPr="004D44EC" w:rsidRDefault="002E1CF0" w:rsidP="001C34D7">
      <w:pPr>
        <w:pStyle w:val="ListBullet2"/>
      </w:pPr>
      <w:r w:rsidRPr="004D44EC">
        <w:t>Proximity to the case</w:t>
      </w:r>
      <w:r w:rsidR="00F624C5" w:rsidRPr="004D44EC">
        <w:t>.</w:t>
      </w:r>
    </w:p>
    <w:p w14:paraId="66677FAB" w14:textId="2EDA40EE" w:rsidR="002E1CF0" w:rsidRPr="004D44EC" w:rsidRDefault="002E1CF0" w:rsidP="001C34D7">
      <w:pPr>
        <w:pStyle w:val="ListBullet2"/>
      </w:pPr>
      <w:r w:rsidRPr="004D44EC">
        <w:t>Duration of contact – while 8 hours</w:t>
      </w:r>
      <w:r w:rsidR="00771C69" w:rsidRPr="004D44EC">
        <w:t xml:space="preserve"> cumulative contact</w:t>
      </w:r>
      <w:r w:rsidRPr="004D44EC">
        <w:t xml:space="preserve"> is often used as a minimum time to acquire TB infection, a lower threshold should be considered where more susceptible people are </w:t>
      </w:r>
      <w:proofErr w:type="gramStart"/>
      <w:r w:rsidRPr="004D44EC">
        <w:t>involved</w:t>
      </w:r>
      <w:proofErr w:type="gramEnd"/>
      <w:r w:rsidRPr="004D44EC">
        <w:t xml:space="preserve"> or people participate in a high</w:t>
      </w:r>
      <w:r w:rsidR="00C0435F">
        <w:t>-</w:t>
      </w:r>
      <w:r w:rsidRPr="004D44EC">
        <w:t xml:space="preserve">risk </w:t>
      </w:r>
      <w:r w:rsidR="005A24AC">
        <w:t xml:space="preserve">medical </w:t>
      </w:r>
      <w:r w:rsidRPr="004D44EC">
        <w:t xml:space="preserve">procedure </w:t>
      </w:r>
      <w:r w:rsidR="00771C69" w:rsidRPr="004D44EC">
        <w:t xml:space="preserve">without appropriate personal protective equipment: </w:t>
      </w:r>
      <w:r w:rsidRPr="004D44EC">
        <w:t>(induced coughing/intubation) or are in a high</w:t>
      </w:r>
      <w:r w:rsidR="00C0435F">
        <w:t>-</w:t>
      </w:r>
      <w:r w:rsidRPr="004D44EC">
        <w:t>risk setting (post-mortem of an undiagnosed TB case</w:t>
      </w:r>
      <w:r w:rsidR="005A24AC">
        <w:t xml:space="preserve"> where airborne </w:t>
      </w:r>
      <w:r w:rsidR="005A24AC" w:rsidRPr="005A24AC">
        <w:t>precautions were not implemented</w:t>
      </w:r>
      <w:r w:rsidRPr="004D44EC">
        <w:t>).</w:t>
      </w:r>
    </w:p>
    <w:p w14:paraId="2B99A4E7" w14:textId="77777777" w:rsidR="002E1CF0" w:rsidRPr="007A4336" w:rsidRDefault="002E1CF0" w:rsidP="00CA7F5E">
      <w:pPr>
        <w:pStyle w:val="Heading1"/>
      </w:pPr>
      <w:bookmarkStart w:id="84" w:name="_Contact_management_2"/>
      <w:bookmarkStart w:id="85" w:name="_Toc97195072"/>
      <w:bookmarkEnd w:id="84"/>
      <w:r w:rsidRPr="007A4336">
        <w:t>Contact management</w:t>
      </w:r>
      <w:bookmarkEnd w:id="85"/>
    </w:p>
    <w:p w14:paraId="40580D55" w14:textId="77777777" w:rsidR="002E1CF0" w:rsidRPr="007A4336" w:rsidRDefault="002E1CF0" w:rsidP="00CA7F5E">
      <w:pPr>
        <w:pStyle w:val="Heading2"/>
      </w:pPr>
      <w:bookmarkStart w:id="86" w:name="_Toc97195073"/>
      <w:r w:rsidRPr="00322226">
        <w:t>Identification of contacts</w:t>
      </w:r>
      <w:bookmarkEnd w:id="86"/>
    </w:p>
    <w:p w14:paraId="0D044070" w14:textId="77777777" w:rsidR="002E1CF0" w:rsidRPr="004D44EC" w:rsidRDefault="002E1CF0" w:rsidP="00993C7C">
      <w:pPr>
        <w:rPr>
          <w:rFonts w:cs="Arial"/>
        </w:rPr>
      </w:pPr>
      <w:r w:rsidRPr="004D44EC">
        <w:rPr>
          <w:rFonts w:cs="Arial"/>
        </w:rPr>
        <w:t xml:space="preserve">The aims of contact tracing are to: </w:t>
      </w:r>
    </w:p>
    <w:p w14:paraId="7728B1E5" w14:textId="27F21250" w:rsidR="002E1CF0" w:rsidRPr="004D44EC" w:rsidRDefault="00D5500A" w:rsidP="001C34D7">
      <w:pPr>
        <w:pStyle w:val="ListBullet2"/>
      </w:pPr>
      <w:r w:rsidRPr="004D44EC">
        <w:t>I</w:t>
      </w:r>
      <w:r w:rsidR="00424109" w:rsidRPr="004D44EC">
        <w:t>dentify the source case</w:t>
      </w:r>
      <w:r w:rsidR="002C17C6" w:rsidRPr="004D44EC">
        <w:t>.</w:t>
      </w:r>
    </w:p>
    <w:p w14:paraId="6F3D9AA5" w14:textId="2107641F" w:rsidR="002E1CF0" w:rsidRPr="004D44EC" w:rsidRDefault="00D5500A" w:rsidP="001C34D7">
      <w:pPr>
        <w:pStyle w:val="ListBullet2"/>
      </w:pPr>
      <w:r w:rsidRPr="004D44EC">
        <w:t>I</w:t>
      </w:r>
      <w:r w:rsidR="002E1CF0" w:rsidRPr="004D44EC">
        <w:t>dentify further cases of</w:t>
      </w:r>
      <w:r w:rsidR="00D4194D" w:rsidRPr="004D44EC">
        <w:t xml:space="preserve"> active </w:t>
      </w:r>
      <w:r w:rsidR="002E1CF0" w:rsidRPr="004D44EC">
        <w:t>TB among th</w:t>
      </w:r>
      <w:r w:rsidR="00424109" w:rsidRPr="004D44EC">
        <w:t>ose in contact with the disease</w:t>
      </w:r>
      <w:r w:rsidR="00F505D3" w:rsidRPr="004D44EC">
        <w:t xml:space="preserve"> (co-prevalent cases)</w:t>
      </w:r>
      <w:r w:rsidR="002C17C6" w:rsidRPr="004D44EC">
        <w:t>.</w:t>
      </w:r>
    </w:p>
    <w:p w14:paraId="2962A0E8" w14:textId="0A8FE9DA" w:rsidR="002E1CF0" w:rsidRPr="004D44EC" w:rsidRDefault="00D5500A" w:rsidP="001C34D7">
      <w:pPr>
        <w:pStyle w:val="ListBullet2"/>
      </w:pPr>
      <w:r w:rsidRPr="004D44EC">
        <w:t>I</w:t>
      </w:r>
      <w:r w:rsidR="00D4194D" w:rsidRPr="004D44EC">
        <w:t xml:space="preserve">dentify people who may have become </w:t>
      </w:r>
      <w:r w:rsidR="002E1CF0" w:rsidRPr="004D44EC">
        <w:t>infected following contact with a</w:t>
      </w:r>
      <w:r w:rsidR="00424109" w:rsidRPr="004D44EC">
        <w:t xml:space="preserve"> person found to have active TB</w:t>
      </w:r>
      <w:r w:rsidR="00F505D3" w:rsidRPr="004D44EC">
        <w:t>, especially vulnerable young children (&lt;5 years of age)</w:t>
      </w:r>
      <w:r w:rsidR="002C17C6" w:rsidRPr="004D44EC">
        <w:t>.</w:t>
      </w:r>
    </w:p>
    <w:p w14:paraId="47C3AC96" w14:textId="6FDA25BF" w:rsidR="002E1CF0" w:rsidRPr="004D44EC" w:rsidRDefault="00D5500A" w:rsidP="001C34D7">
      <w:pPr>
        <w:pStyle w:val="ListBullet2"/>
      </w:pPr>
      <w:r w:rsidRPr="004D44EC">
        <w:t>C</w:t>
      </w:r>
      <w:r w:rsidR="002E1CF0" w:rsidRPr="004D44EC">
        <w:t>ounsel people found to have LTBI and refer them for assessment</w:t>
      </w:r>
      <w:r w:rsidR="00D4194D" w:rsidRPr="004D44EC">
        <w:t xml:space="preserve"> and</w:t>
      </w:r>
      <w:r w:rsidR="00AB3D9A">
        <w:t xml:space="preserve"> </w:t>
      </w:r>
      <w:r w:rsidR="00AB3D9A" w:rsidRPr="004D44EC">
        <w:t>prevent</w:t>
      </w:r>
      <w:r w:rsidR="00AB3D9A">
        <w:t>ive</w:t>
      </w:r>
      <w:r w:rsidR="00AB3D9A" w:rsidRPr="004D44EC">
        <w:t xml:space="preserve"> </w:t>
      </w:r>
      <w:r w:rsidR="00D4194D" w:rsidRPr="004D44EC">
        <w:t>therapy</w:t>
      </w:r>
      <w:r w:rsidR="002E1CF0" w:rsidRPr="004D44EC">
        <w:t xml:space="preserve">. </w:t>
      </w:r>
    </w:p>
    <w:p w14:paraId="38C0DB32" w14:textId="19BA07C4" w:rsidR="002E1CF0" w:rsidRPr="004D44EC" w:rsidRDefault="002E1CF0" w:rsidP="002E1CF0">
      <w:pPr>
        <w:rPr>
          <w:rFonts w:cs="Arial"/>
        </w:rPr>
      </w:pPr>
      <w:r w:rsidRPr="004D44EC">
        <w:rPr>
          <w:rFonts w:cs="Arial"/>
        </w:rPr>
        <w:t xml:space="preserve">The estimated risk of transmission should guide the priority, </w:t>
      </w:r>
      <w:proofErr w:type="gramStart"/>
      <w:r w:rsidRPr="004D44EC">
        <w:rPr>
          <w:rFonts w:cs="Arial"/>
        </w:rPr>
        <w:t>rapidity</w:t>
      </w:r>
      <w:proofErr w:type="gramEnd"/>
      <w:r w:rsidRPr="004D44EC">
        <w:rPr>
          <w:rFonts w:cs="Arial"/>
        </w:rPr>
        <w:t xml:space="preserve"> and thoroughness of the contact investigation. </w:t>
      </w:r>
    </w:p>
    <w:p w14:paraId="10C89EA8" w14:textId="05A0C50A" w:rsidR="00F04918" w:rsidRPr="004D44EC" w:rsidRDefault="00F04918" w:rsidP="002E1CF0">
      <w:pPr>
        <w:rPr>
          <w:rFonts w:cs="Arial"/>
        </w:rPr>
      </w:pPr>
      <w:r w:rsidRPr="004D44EC">
        <w:rPr>
          <w:rFonts w:cs="Arial"/>
        </w:rPr>
        <w:t>Jurisdictional public health legislation will determine who has authority to carry out contact tracing.</w:t>
      </w:r>
    </w:p>
    <w:p w14:paraId="59A5EBCC" w14:textId="77777777" w:rsidR="002E1CF0" w:rsidRPr="004D44EC" w:rsidRDefault="002E1CF0" w:rsidP="00993C7C">
      <w:pPr>
        <w:rPr>
          <w:rFonts w:cs="Arial"/>
        </w:rPr>
      </w:pPr>
      <w:r w:rsidRPr="004D44EC">
        <w:rPr>
          <w:rFonts w:cs="Arial"/>
        </w:rPr>
        <w:t xml:space="preserve">The following steps should be undertaken by or in conjunction with the TB services: </w:t>
      </w:r>
    </w:p>
    <w:p w14:paraId="4D53DAC2" w14:textId="5E4ED63D" w:rsidR="002E1CF0" w:rsidRPr="004D44EC" w:rsidRDefault="002E1CF0" w:rsidP="003031A7">
      <w:pPr>
        <w:pStyle w:val="ListNumber2"/>
        <w:numPr>
          <w:ilvl w:val="0"/>
          <w:numId w:val="26"/>
        </w:numPr>
      </w:pPr>
      <w:r w:rsidRPr="004D44EC">
        <w:t>Categorise the case according to the likely</w:t>
      </w:r>
      <w:r w:rsidR="00424109" w:rsidRPr="004D44EC">
        <w:t xml:space="preserve"> degree of infectiousness (see </w:t>
      </w:r>
      <w:hyperlink w:anchor="_Case_management_4" w:history="1">
        <w:r w:rsidR="00424109" w:rsidRPr="004D44EC">
          <w:rPr>
            <w:rStyle w:val="Hyperlink"/>
          </w:rPr>
          <w:t>S</w:t>
        </w:r>
        <w:r w:rsidRPr="004D44EC">
          <w:rPr>
            <w:rStyle w:val="Hyperlink"/>
          </w:rPr>
          <w:t>ection 9</w:t>
        </w:r>
        <w:r w:rsidR="00424109" w:rsidRPr="004D44EC">
          <w:rPr>
            <w:rStyle w:val="Hyperlink"/>
          </w:rPr>
          <w:t>:</w:t>
        </w:r>
        <w:r w:rsidRPr="004D44EC">
          <w:rPr>
            <w:rStyle w:val="Hyperlink"/>
          </w:rPr>
          <w:t xml:space="preserve"> Case management</w:t>
        </w:r>
      </w:hyperlink>
      <w:r w:rsidR="00424109" w:rsidRPr="004D44EC">
        <w:t>)</w:t>
      </w:r>
      <w:r w:rsidR="00891AE6" w:rsidRPr="004D44EC">
        <w:t>.</w:t>
      </w:r>
    </w:p>
    <w:p w14:paraId="24FC22AA" w14:textId="7A9D96D4" w:rsidR="002E1CF0" w:rsidRPr="004D44EC" w:rsidRDefault="002E1CF0" w:rsidP="003031A7">
      <w:pPr>
        <w:pStyle w:val="ListNumber2"/>
      </w:pPr>
      <w:r w:rsidRPr="004D44EC">
        <w:t xml:space="preserve">Obtain a list of contacts and categorise the contacts according to their estimated risk of exposure to TB (see </w:t>
      </w:r>
      <w:hyperlink w:anchor="_Contact_definition" w:history="1">
        <w:r w:rsidRPr="004D44EC">
          <w:rPr>
            <w:rStyle w:val="Hyperlink"/>
          </w:rPr>
          <w:t>Contact definition</w:t>
        </w:r>
      </w:hyperlink>
      <w:r w:rsidR="00424109" w:rsidRPr="004D44EC">
        <w:t xml:space="preserve"> below)</w:t>
      </w:r>
      <w:r w:rsidR="00891AE6" w:rsidRPr="004D44EC">
        <w:t>.</w:t>
      </w:r>
    </w:p>
    <w:p w14:paraId="77CA9398" w14:textId="38F5321E" w:rsidR="002E1CF0" w:rsidRPr="004D44EC" w:rsidRDefault="00424109" w:rsidP="003031A7">
      <w:pPr>
        <w:pStyle w:val="ListNumber2"/>
      </w:pPr>
      <w:r w:rsidRPr="004D44EC">
        <w:t>Assess all high-</w:t>
      </w:r>
      <w:r w:rsidR="002E1CF0" w:rsidRPr="004D44EC">
        <w:t>risk contacts of suspected or confirmed pulmona</w:t>
      </w:r>
      <w:r w:rsidR="00891AE6" w:rsidRPr="004D44EC">
        <w:t>ry and laryngeal TB cases first.</w:t>
      </w:r>
    </w:p>
    <w:p w14:paraId="318D2522" w14:textId="77777777" w:rsidR="002E1CF0" w:rsidRPr="004D44EC" w:rsidRDefault="002E1CF0" w:rsidP="003031A7">
      <w:pPr>
        <w:pStyle w:val="ListNumber2"/>
      </w:pPr>
      <w:r w:rsidRPr="004D44EC">
        <w:t xml:space="preserve">Consider examination of medium risk contacts </w:t>
      </w:r>
      <w:r w:rsidR="00424109" w:rsidRPr="004D44EC">
        <w:t xml:space="preserve">(see </w:t>
      </w:r>
      <w:hyperlink w:anchor="_Contact_definition" w:history="1">
        <w:r w:rsidR="00424109" w:rsidRPr="004D44EC">
          <w:rPr>
            <w:rStyle w:val="Hyperlink"/>
          </w:rPr>
          <w:t>Contact definition</w:t>
        </w:r>
      </w:hyperlink>
      <w:r w:rsidR="00424109" w:rsidRPr="004D44EC">
        <w:t xml:space="preserve"> below) </w:t>
      </w:r>
      <w:r w:rsidRPr="004D44EC">
        <w:t>of pulmonary or laryngeal TB cases if there is e</w:t>
      </w:r>
      <w:r w:rsidR="00424109" w:rsidRPr="004D44EC">
        <w:t>vidence of transmission in high-</w:t>
      </w:r>
      <w:r w:rsidRPr="004D44EC">
        <w:t xml:space="preserve">risk contacts. </w:t>
      </w:r>
    </w:p>
    <w:p w14:paraId="080E2E30" w14:textId="10819EDE" w:rsidR="00BC5DF6" w:rsidRPr="007A4336" w:rsidRDefault="002E1CF0" w:rsidP="00CA7F5E">
      <w:pPr>
        <w:pStyle w:val="Heading2"/>
      </w:pPr>
      <w:bookmarkStart w:id="87" w:name="_Contact_definition"/>
      <w:bookmarkStart w:id="88" w:name="_Toc97195074"/>
      <w:bookmarkEnd w:id="87"/>
      <w:r w:rsidRPr="00AE6202">
        <w:t xml:space="preserve">Contact definition </w:t>
      </w:r>
      <w:r w:rsidR="005159C5" w:rsidRPr="00AE6202">
        <w:t>&amp; e</w:t>
      </w:r>
      <w:r w:rsidR="00BC5DF6" w:rsidRPr="00AE6202">
        <w:t>xposure risk classification of contacts</w:t>
      </w:r>
      <w:bookmarkEnd w:id="88"/>
    </w:p>
    <w:p w14:paraId="00D8A603" w14:textId="7B3E5628" w:rsidR="00BC5DF6" w:rsidRPr="001C34D7" w:rsidRDefault="00BC5DF6" w:rsidP="001C34D7">
      <w:r w:rsidRPr="001C34D7">
        <w:t xml:space="preserve">The exposure risk for individual contacts is determined by the intensity, </w:t>
      </w:r>
      <w:proofErr w:type="gramStart"/>
      <w:r w:rsidRPr="001C34D7">
        <w:t>frequency</w:t>
      </w:r>
      <w:proofErr w:type="gramEnd"/>
      <w:r w:rsidRPr="001C34D7">
        <w:t xml:space="preserve"> and cumulative duration of time they spent with the index case during the infectious period. Contacts should be classified into high, </w:t>
      </w:r>
      <w:proofErr w:type="gramStart"/>
      <w:r w:rsidRPr="001C34D7">
        <w:t>medium</w:t>
      </w:r>
      <w:proofErr w:type="gramEnd"/>
      <w:r w:rsidRPr="001C34D7">
        <w:t xml:space="preserve"> and low exposure risk to assist prioritisation </w:t>
      </w:r>
      <w:r w:rsidR="003904F6" w:rsidRPr="001C34D7">
        <w:t xml:space="preserve">of screening activities (Table </w:t>
      </w:r>
      <w:r w:rsidR="00AE6202" w:rsidRPr="001C34D7">
        <w:t>2</w:t>
      </w:r>
      <w:r w:rsidRPr="001C34D7">
        <w:t xml:space="preserve">). Individual circumstances and risk may vary amongst groups of contacts. </w:t>
      </w:r>
      <w:r w:rsidRPr="001C34D7">
        <w:lastRenderedPageBreak/>
        <w:t>Additional information may become available so these classifications should be reassessed throughout the investigation.</w:t>
      </w:r>
    </w:p>
    <w:p w14:paraId="5B691700" w14:textId="700409A2" w:rsidR="00BC5DF6" w:rsidRPr="001C34D7" w:rsidRDefault="001C34D7" w:rsidP="001C34D7">
      <w:pPr>
        <w:pStyle w:val="Caption"/>
      </w:pPr>
      <w:r>
        <w:t xml:space="preserve">Table </w:t>
      </w:r>
      <w:r w:rsidR="00AA59D5">
        <w:fldChar w:fldCharType="begin"/>
      </w:r>
      <w:r w:rsidR="00AA59D5">
        <w:instrText xml:space="preserve"> SEQ Table \* ARABIC </w:instrText>
      </w:r>
      <w:r w:rsidR="00AA59D5">
        <w:fldChar w:fldCharType="separate"/>
      </w:r>
      <w:r>
        <w:rPr>
          <w:noProof/>
        </w:rPr>
        <w:t>2</w:t>
      </w:r>
      <w:r w:rsidR="00AA59D5">
        <w:rPr>
          <w:noProof/>
        </w:rPr>
        <w:fldChar w:fldCharType="end"/>
      </w:r>
      <w:r w:rsidR="00BC5DF6" w:rsidRPr="001C34D7">
        <w:t>. Contact exposure risk classification</w:t>
      </w:r>
    </w:p>
    <w:tbl>
      <w:tblPr>
        <w:tblStyle w:val="TableGrid1"/>
        <w:tblW w:w="9493" w:type="dxa"/>
        <w:tblLook w:val="04A0" w:firstRow="1" w:lastRow="0" w:firstColumn="1" w:lastColumn="0" w:noHBand="0" w:noVBand="1"/>
      </w:tblPr>
      <w:tblGrid>
        <w:gridCol w:w="3239"/>
        <w:gridCol w:w="6254"/>
      </w:tblGrid>
      <w:tr w:rsidR="00027817" w:rsidRPr="00027817" w14:paraId="1C0DA28E" w14:textId="77777777" w:rsidTr="006A5E02">
        <w:trPr>
          <w:cnfStyle w:val="100000000000" w:firstRow="1" w:lastRow="0" w:firstColumn="0" w:lastColumn="0" w:oddVBand="0" w:evenVBand="0" w:oddHBand="0" w:evenHBand="0" w:firstRowFirstColumn="0" w:firstRowLastColumn="0" w:lastRowFirstColumn="0" w:lastRowLastColumn="0"/>
          <w:trHeight w:val="507"/>
          <w:tblHeader/>
        </w:trPr>
        <w:tc>
          <w:tcPr>
            <w:tcW w:w="3239" w:type="dxa"/>
            <w:hideMark/>
          </w:tcPr>
          <w:p w14:paraId="69A43DCA" w14:textId="77777777" w:rsidR="00BC5DF6" w:rsidRPr="006A5E02" w:rsidRDefault="00BC5DF6" w:rsidP="006A5E02">
            <w:r w:rsidRPr="006A5E02">
              <w:t xml:space="preserve">Exposure risk classification </w:t>
            </w:r>
          </w:p>
        </w:tc>
        <w:tc>
          <w:tcPr>
            <w:tcW w:w="6254" w:type="dxa"/>
            <w:hideMark/>
          </w:tcPr>
          <w:p w14:paraId="5CE36E5C" w14:textId="77777777" w:rsidR="00BC5DF6" w:rsidRPr="006A5E02" w:rsidRDefault="00BC5DF6" w:rsidP="006A5E02">
            <w:r w:rsidRPr="006A5E02">
              <w:t>Example groups</w:t>
            </w:r>
          </w:p>
        </w:tc>
      </w:tr>
      <w:tr w:rsidR="00BC5DF6" w:rsidRPr="004D44EC" w14:paraId="769B101B" w14:textId="77777777" w:rsidTr="006A5E02">
        <w:tc>
          <w:tcPr>
            <w:tcW w:w="3239" w:type="dxa"/>
            <w:hideMark/>
          </w:tcPr>
          <w:p w14:paraId="7400F61C" w14:textId="4440CCC7" w:rsidR="003E633C" w:rsidRPr="001C34D7" w:rsidRDefault="00BC5DF6" w:rsidP="001C34D7">
            <w:pPr>
              <w:rPr>
                <w:rStyle w:val="Strong"/>
              </w:rPr>
            </w:pPr>
            <w:r w:rsidRPr="001C34D7">
              <w:rPr>
                <w:rStyle w:val="Strong"/>
              </w:rPr>
              <w:t>High exposure risk</w:t>
            </w:r>
          </w:p>
          <w:p w14:paraId="47E0B527" w14:textId="03A2E719" w:rsidR="00BC5DF6" w:rsidRPr="001C34D7" w:rsidRDefault="00BC5DF6" w:rsidP="001C34D7">
            <w:r w:rsidRPr="001C34D7">
              <w:t xml:space="preserve">Frequent, </w:t>
            </w:r>
            <w:proofErr w:type="gramStart"/>
            <w:r w:rsidRPr="001C34D7">
              <w:t>prolonged</w:t>
            </w:r>
            <w:proofErr w:type="gramEnd"/>
            <w:r w:rsidRPr="001C34D7">
              <w:t xml:space="preserve"> and close contact with the index case </w:t>
            </w:r>
            <w:r w:rsidRPr="00AA59D5">
              <w:rPr>
                <w:rStyle w:val="Strong"/>
              </w:rPr>
              <w:t>(cumulatively ≥8 hours*)</w:t>
            </w:r>
            <w:r w:rsidRPr="001C34D7">
              <w:t xml:space="preserve"> </w:t>
            </w:r>
          </w:p>
          <w:p w14:paraId="178982F2" w14:textId="2194ECFF" w:rsidR="00BC5DF6" w:rsidRPr="007A4336" w:rsidRDefault="00BC5DF6" w:rsidP="007A4336">
            <w:r w:rsidRPr="007A4336">
              <w:t xml:space="preserve">OR </w:t>
            </w:r>
          </w:p>
          <w:p w14:paraId="11712F5F" w14:textId="5A0D1B49" w:rsidR="00BC5DF6" w:rsidRPr="006A5E02" w:rsidRDefault="00BC5DF6" w:rsidP="006A5E02">
            <w:r w:rsidRPr="006A5E02">
              <w:t xml:space="preserve">Unprotected exposure to </w:t>
            </w:r>
            <w:r w:rsidR="00B8247D" w:rsidRPr="006A5E02">
              <w:t xml:space="preserve">aerosol generating </w:t>
            </w:r>
            <w:r w:rsidRPr="006A5E02">
              <w:t xml:space="preserve">medical procedures^ </w:t>
            </w:r>
          </w:p>
        </w:tc>
        <w:tc>
          <w:tcPr>
            <w:tcW w:w="6254" w:type="dxa"/>
            <w:hideMark/>
          </w:tcPr>
          <w:p w14:paraId="3E32FE7E" w14:textId="23E5E956" w:rsidR="00BC5DF6" w:rsidRPr="007821C3" w:rsidRDefault="00BC5DF6" w:rsidP="007821C3">
            <w:pPr>
              <w:pStyle w:val="Listbullet-table"/>
            </w:pPr>
            <w:r w:rsidRPr="007821C3">
              <w:t>All people living in the sa</w:t>
            </w:r>
            <w:r w:rsidR="003904F6" w:rsidRPr="007821C3">
              <w:t xml:space="preserve">me household or dwelling as the </w:t>
            </w:r>
            <w:r w:rsidRPr="007821C3">
              <w:t>index case (including household-like settings such as patients sharing a hospital room)</w:t>
            </w:r>
            <w:r w:rsidR="005A27F9" w:rsidRPr="007821C3">
              <w:t>,</w:t>
            </w:r>
          </w:p>
          <w:p w14:paraId="4559FD57" w14:textId="0676EE88" w:rsidR="00BC5DF6" w:rsidRPr="007821C3" w:rsidRDefault="00BC5DF6" w:rsidP="007821C3">
            <w:pPr>
              <w:pStyle w:val="Listbullet-table"/>
            </w:pPr>
            <w:r w:rsidRPr="007821C3">
              <w:t xml:space="preserve">Non-household close contacts who shared an enclosed space, such as a social gathering place, </w:t>
            </w:r>
            <w:proofErr w:type="gramStart"/>
            <w:r w:rsidRPr="007821C3">
              <w:t>workplace</w:t>
            </w:r>
            <w:proofErr w:type="gramEnd"/>
            <w:r w:rsidRPr="007821C3">
              <w:t xml:space="preserve"> or educational setting, for extended periods</w:t>
            </w:r>
            <w:r w:rsidR="005A27F9" w:rsidRPr="007821C3">
              <w:t>,</w:t>
            </w:r>
          </w:p>
          <w:p w14:paraId="2858DD15" w14:textId="4A3656D4" w:rsidR="00BC5DF6" w:rsidRPr="007821C3" w:rsidRDefault="00BC5DF6" w:rsidP="007821C3">
            <w:pPr>
              <w:pStyle w:val="Listbullet-table"/>
            </w:pPr>
            <w:r w:rsidRPr="007821C3">
              <w:t>Contact during other high</w:t>
            </w:r>
            <w:r w:rsidR="00C0435F" w:rsidRPr="007821C3">
              <w:t>-</w:t>
            </w:r>
            <w:r w:rsidRPr="007821C3">
              <w:t>risk social activities such as singing in enclosed settings or sharing smoking implements (</w:t>
            </w:r>
            <w:proofErr w:type="gramStart"/>
            <w:r w:rsidRPr="007821C3">
              <w:t>e.g.</w:t>
            </w:r>
            <w:proofErr w:type="gramEnd"/>
            <w:r w:rsidRPr="007821C3">
              <w:t xml:space="preserve"> bongs</w:t>
            </w:r>
            <w:r w:rsidR="00863550" w:rsidRPr="007821C3">
              <w:t>/water pipes</w:t>
            </w:r>
            <w:r w:rsidRPr="007821C3">
              <w:t>)</w:t>
            </w:r>
            <w:r w:rsidR="005A27F9" w:rsidRPr="007821C3">
              <w:t>,</w:t>
            </w:r>
          </w:p>
          <w:p w14:paraId="7426265F" w14:textId="71BF1DA4" w:rsidR="00BC5DF6" w:rsidRPr="007821C3" w:rsidRDefault="00BC5DF6" w:rsidP="007821C3">
            <w:pPr>
              <w:pStyle w:val="Listbullet-table"/>
            </w:pPr>
            <w:r w:rsidRPr="007821C3">
              <w:t>Contacts exposed during high</w:t>
            </w:r>
            <w:r w:rsidR="00C0435F" w:rsidRPr="007821C3">
              <w:t>-</w:t>
            </w:r>
            <w:r w:rsidRPr="007821C3">
              <w:t>risk medical procedures without adequate personal protective equipment.</w:t>
            </w:r>
          </w:p>
        </w:tc>
      </w:tr>
      <w:tr w:rsidR="00BC5DF6" w:rsidRPr="004D44EC" w14:paraId="2CD55441" w14:textId="77777777" w:rsidTr="006A5E02">
        <w:trPr>
          <w:trHeight w:val="661"/>
        </w:trPr>
        <w:tc>
          <w:tcPr>
            <w:tcW w:w="3239" w:type="dxa"/>
            <w:hideMark/>
          </w:tcPr>
          <w:p w14:paraId="01D2B9A3" w14:textId="35B3FEFC" w:rsidR="00BC5DF6" w:rsidRPr="001C34D7" w:rsidRDefault="00BC5DF6" w:rsidP="001C34D7">
            <w:pPr>
              <w:rPr>
                <w:rStyle w:val="Strong"/>
              </w:rPr>
            </w:pPr>
            <w:r w:rsidRPr="001C34D7">
              <w:rPr>
                <w:rStyle w:val="Strong"/>
              </w:rPr>
              <w:t>Medium exposure risk</w:t>
            </w:r>
          </w:p>
          <w:p w14:paraId="0C28418A" w14:textId="77777777" w:rsidR="00BC5DF6" w:rsidRPr="001C34D7" w:rsidRDefault="00BC5DF6" w:rsidP="001C34D7">
            <w:r w:rsidRPr="001C34D7">
              <w:t xml:space="preserve">Frequent but less intense contact with the index case </w:t>
            </w:r>
            <w:r w:rsidRPr="00AA59D5">
              <w:rPr>
                <w:rStyle w:val="Strong"/>
              </w:rPr>
              <w:t>(cumulatively 4-8 hours*)</w:t>
            </w:r>
          </w:p>
        </w:tc>
        <w:tc>
          <w:tcPr>
            <w:tcW w:w="6254" w:type="dxa"/>
            <w:hideMark/>
          </w:tcPr>
          <w:p w14:paraId="7F66FBC3" w14:textId="7301274D" w:rsidR="00BC5DF6" w:rsidRPr="007821C3" w:rsidRDefault="00BC5DF6" w:rsidP="007821C3">
            <w:pPr>
              <w:pStyle w:val="Listbullet-table"/>
            </w:pPr>
            <w:r w:rsidRPr="007821C3">
              <w:t xml:space="preserve">Other close relatives, friends, students in the same classroom, work colleagues, and neighbours who are not included in the </w:t>
            </w:r>
            <w:r w:rsidR="00821B06" w:rsidRPr="007821C3">
              <w:t>high-risk</w:t>
            </w:r>
            <w:r w:rsidRPr="007821C3">
              <w:t xml:space="preserve"> group.</w:t>
            </w:r>
          </w:p>
        </w:tc>
      </w:tr>
      <w:tr w:rsidR="00BC5DF6" w:rsidRPr="004D44EC" w14:paraId="53614A57" w14:textId="77777777" w:rsidTr="006A5E02">
        <w:trPr>
          <w:trHeight w:val="1175"/>
        </w:trPr>
        <w:tc>
          <w:tcPr>
            <w:tcW w:w="3239" w:type="dxa"/>
            <w:hideMark/>
          </w:tcPr>
          <w:p w14:paraId="2804280F" w14:textId="739EBC25" w:rsidR="00BC5DF6" w:rsidRPr="001C34D7" w:rsidRDefault="00BC5DF6" w:rsidP="001C34D7">
            <w:pPr>
              <w:rPr>
                <w:rStyle w:val="Strong"/>
              </w:rPr>
            </w:pPr>
            <w:r w:rsidRPr="001C34D7">
              <w:rPr>
                <w:rStyle w:val="Strong"/>
              </w:rPr>
              <w:t>Low exposure risk</w:t>
            </w:r>
          </w:p>
          <w:p w14:paraId="40FD0485" w14:textId="77777777" w:rsidR="003E633C" w:rsidRPr="007A4336" w:rsidRDefault="00BC5DF6" w:rsidP="007A4336">
            <w:r w:rsidRPr="007A4336">
              <w:t>Casual contact with the index case</w:t>
            </w:r>
            <w:r w:rsidR="003E633C" w:rsidRPr="007A4336">
              <w:t xml:space="preserve"> </w:t>
            </w:r>
          </w:p>
          <w:p w14:paraId="01A82A79" w14:textId="6696C47E" w:rsidR="00BC5DF6" w:rsidRPr="001C34D7" w:rsidRDefault="00BC5DF6" w:rsidP="001C34D7">
            <w:pPr>
              <w:rPr>
                <w:rStyle w:val="Strong"/>
              </w:rPr>
            </w:pPr>
            <w:r w:rsidRPr="001C34D7">
              <w:rPr>
                <w:rStyle w:val="Strong"/>
              </w:rPr>
              <w:t>(cumulatively &lt;4 hours*)</w:t>
            </w:r>
          </w:p>
        </w:tc>
        <w:tc>
          <w:tcPr>
            <w:tcW w:w="6254" w:type="dxa"/>
            <w:hideMark/>
          </w:tcPr>
          <w:p w14:paraId="2B721A22" w14:textId="527F6272" w:rsidR="00BC5DF6" w:rsidRPr="007821C3" w:rsidRDefault="00BC5DF6" w:rsidP="007821C3">
            <w:pPr>
              <w:pStyle w:val="Listbullet-table"/>
            </w:pPr>
            <w:r w:rsidRPr="007821C3">
              <w:t>Other contacts at school, in the workplace, in medical environments, or extended family and friends who were seen occasionally, and others not included in high or medium risk groups.</w:t>
            </w:r>
          </w:p>
        </w:tc>
      </w:tr>
    </w:tbl>
    <w:p w14:paraId="566DD597" w14:textId="2B098C8C" w:rsidR="00BC5DF6" w:rsidRPr="001C34D7" w:rsidRDefault="00BC5DF6" w:rsidP="007821C3">
      <w:pPr>
        <w:pStyle w:val="FootnoteText"/>
      </w:pPr>
      <w:r w:rsidRPr="006A5E02">
        <w:t>*Timeframes provide a rough guide to risk. Theoretically, no amount of exposure</w:t>
      </w:r>
      <w:r w:rsidR="005709EF" w:rsidRPr="006A5E02">
        <w:t xml:space="preserve"> to</w:t>
      </w:r>
      <w:r w:rsidRPr="006A5E02">
        <w:t xml:space="preserve"> TB is absolutely without risk, and the threshold for significant risk has not </w:t>
      </w:r>
      <w:r w:rsidR="00BD2BCB" w:rsidRPr="006A5E02">
        <w:t xml:space="preserve">been adequately quantified </w:t>
      </w:r>
      <w:r w:rsidR="00BD2BCB" w:rsidRPr="004D44EC">
        <w:rPr>
          <w:rFonts w:cs="Arial"/>
          <w:color w:val="000000"/>
          <w:szCs w:val="20"/>
        </w:rPr>
        <w:fldChar w:fldCharType="begin">
          <w:fldData xml:space="preserve">PEVuZE5vdGU+PENpdGU+PEF1dGhvcj5CYWlsZXk8L0F1dGhvcj48WWVhcj4yMDAyPC9ZZWFyPjxS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</w:fldData>
        </w:fldChar>
      </w:r>
      <w:r w:rsidR="004041E8">
        <w:rPr>
          <w:rFonts w:cs="Arial"/>
          <w:color w:val="000000"/>
          <w:szCs w:val="20"/>
        </w:rPr>
        <w:instrText xml:space="preserve"> ADDIN EN.CITE </w:instrText>
      </w:r>
      <w:r w:rsidR="004041E8">
        <w:rPr>
          <w:rFonts w:cs="Arial"/>
          <w:color w:val="000000"/>
          <w:szCs w:val="20"/>
        </w:rPr>
        <w:fldChar w:fldCharType="begin">
          <w:fldData xml:space="preserve">PEVuZE5vdGU+PENpdGU+PEF1dGhvcj5CYWlsZXk8L0F1dGhvcj48WWVhcj4yMDAyPC9ZZWFyPjxS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</w:fldData>
        </w:fldChar>
      </w:r>
      <w:r w:rsidR="004041E8">
        <w:rPr>
          <w:rFonts w:cs="Arial"/>
          <w:color w:val="000000"/>
          <w:szCs w:val="20"/>
        </w:rPr>
        <w:instrText xml:space="preserve"> ADDIN EN.CITE.DATA </w:instrText>
      </w:r>
      <w:r w:rsidR="004041E8">
        <w:rPr>
          <w:rFonts w:cs="Arial"/>
          <w:color w:val="000000"/>
          <w:szCs w:val="20"/>
        </w:rPr>
      </w:r>
      <w:r w:rsidR="004041E8">
        <w:rPr>
          <w:rFonts w:cs="Arial"/>
          <w:color w:val="000000"/>
          <w:szCs w:val="20"/>
        </w:rPr>
        <w:fldChar w:fldCharType="end"/>
      </w:r>
      <w:r w:rsidR="00BD2BCB" w:rsidRPr="004D44EC">
        <w:rPr>
          <w:rFonts w:cs="Arial"/>
          <w:color w:val="000000"/>
          <w:szCs w:val="20"/>
        </w:rPr>
      </w:r>
      <w:r w:rsidR="00BD2BCB" w:rsidRPr="004D44EC">
        <w:rPr>
          <w:rFonts w:cs="Arial"/>
          <w:color w:val="000000"/>
          <w:szCs w:val="20"/>
        </w:rPr>
        <w:fldChar w:fldCharType="separate"/>
      </w:r>
      <w:r w:rsidR="004041E8">
        <w:rPr>
          <w:rFonts w:cs="Arial"/>
          <w:noProof/>
          <w:color w:val="000000"/>
          <w:szCs w:val="20"/>
        </w:rPr>
        <w:t>(33-35)</w:t>
      </w:r>
      <w:r w:rsidR="00BD2BCB" w:rsidRPr="004D44EC">
        <w:rPr>
          <w:rFonts w:cs="Arial"/>
          <w:color w:val="000000"/>
          <w:szCs w:val="20"/>
        </w:rPr>
        <w:fldChar w:fldCharType="end"/>
      </w:r>
      <w:r w:rsidRPr="006A5E02">
        <w:t>.</w:t>
      </w:r>
    </w:p>
    <w:p w14:paraId="1DDFB8E1" w14:textId="45CEA5BB" w:rsidR="00E512C9" w:rsidRPr="001C34D7" w:rsidRDefault="00BC5DF6" w:rsidP="007821C3">
      <w:pPr>
        <w:pStyle w:val="FootnoteText"/>
      </w:pPr>
      <w:r w:rsidRPr="001C34D7">
        <w:t>^Procedures likely to generate aerosolised particles containing M. tuberculosis</w:t>
      </w:r>
      <w:r w:rsidR="00502CCC" w:rsidRPr="001C34D7">
        <w:t xml:space="preserve"> as outlined in </w:t>
      </w:r>
      <w:hyperlink w:anchor="_Mode_of_transmission" w:history="1">
        <w:r w:rsidR="00502CCC" w:rsidRPr="001C34D7">
          <w:rPr>
            <w:rStyle w:val="Hyperlink"/>
          </w:rPr>
          <w:t>mode of transmission</w:t>
        </w:r>
      </w:hyperlink>
      <w:r w:rsidRPr="001C34D7">
        <w:t>.</w:t>
      </w:r>
    </w:p>
    <w:p w14:paraId="0FD2D573" w14:textId="253FEE00" w:rsidR="002E1CF0" w:rsidRPr="004D44EC" w:rsidRDefault="002E1CF0" w:rsidP="002E1CF0">
      <w:pPr>
        <w:rPr>
          <w:rFonts w:cs="Arial"/>
        </w:rPr>
      </w:pPr>
      <w:r w:rsidRPr="004D44EC">
        <w:rPr>
          <w:rFonts w:cs="Arial"/>
        </w:rPr>
        <w:t xml:space="preserve">Each contact tracing activity needs to be developed and evaluated on an individual basis. After contact tracing has been carried out in each risk group, an evaluation of the results should be carried out to determine if transmission has occurred. As a guide, if </w:t>
      </w:r>
      <w:proofErr w:type="gramStart"/>
      <w:r w:rsidRPr="004D44EC">
        <w:rPr>
          <w:rFonts w:cs="Arial"/>
        </w:rPr>
        <w:t>the majority of</w:t>
      </w:r>
      <w:proofErr w:type="gramEnd"/>
      <w:r w:rsidRPr="004D44EC">
        <w:rPr>
          <w:rFonts w:cs="Arial"/>
        </w:rPr>
        <w:t xml:space="preserve"> the closest contacts have been tested and all are TST and/or IGRA negative and </w:t>
      </w:r>
      <w:r w:rsidR="00BB1192">
        <w:rPr>
          <w:rFonts w:cs="Arial"/>
        </w:rPr>
        <w:t xml:space="preserve">remain negative at </w:t>
      </w:r>
      <w:r w:rsidRPr="004D44EC">
        <w:rPr>
          <w:rFonts w:cs="Arial"/>
        </w:rPr>
        <w:t xml:space="preserve">3 months post contact, testing of more remote contacts is usually unnecessary. </w:t>
      </w:r>
    </w:p>
    <w:p w14:paraId="265353A0" w14:textId="56692BC6" w:rsidR="002E1CF0" w:rsidRPr="004D44EC" w:rsidRDefault="00D95967" w:rsidP="00993C7C">
      <w:pPr>
        <w:rPr>
          <w:rFonts w:cs="Arial"/>
        </w:rPr>
      </w:pPr>
      <w:r w:rsidRPr="004D44EC">
        <w:rPr>
          <w:rFonts w:cs="Arial"/>
        </w:rPr>
        <w:t>Initiate screening within</w:t>
      </w:r>
      <w:r w:rsidR="002E1CF0" w:rsidRPr="004D44EC">
        <w:rPr>
          <w:rFonts w:cs="Arial"/>
        </w:rPr>
        <w:t>:</w:t>
      </w:r>
    </w:p>
    <w:p w14:paraId="65BBF977" w14:textId="3369CB98" w:rsidR="002E1CF0" w:rsidRPr="007821C3" w:rsidRDefault="00D95967" w:rsidP="007821C3">
      <w:pPr>
        <w:pStyle w:val="ListBullet2"/>
      </w:pPr>
      <w:r w:rsidRPr="004D44EC">
        <w:t xml:space="preserve">7 days of </w:t>
      </w:r>
      <w:r w:rsidR="00F04918" w:rsidRPr="004D44EC">
        <w:t xml:space="preserve">index </w:t>
      </w:r>
      <w:r w:rsidR="00F04918" w:rsidRPr="007821C3">
        <w:t xml:space="preserve">case </w:t>
      </w:r>
      <w:r w:rsidRPr="007821C3">
        <w:t xml:space="preserve">diagnosis for </w:t>
      </w:r>
      <w:r w:rsidR="00C0435F" w:rsidRPr="007821C3">
        <w:t>high-risk</w:t>
      </w:r>
      <w:r w:rsidR="002E1CF0" w:rsidRPr="007821C3">
        <w:t xml:space="preserve"> contacts of high</w:t>
      </w:r>
      <w:r w:rsidR="00F04918" w:rsidRPr="007821C3">
        <w:t xml:space="preserve">er </w:t>
      </w:r>
      <w:r w:rsidR="002E1CF0" w:rsidRPr="007821C3">
        <w:t>infectious cases</w:t>
      </w:r>
      <w:r w:rsidRPr="007821C3">
        <w:t xml:space="preserve"> and </w:t>
      </w:r>
      <w:r w:rsidR="0090363B" w:rsidRPr="007821C3">
        <w:t>high-risk susceptible contacts</w:t>
      </w:r>
      <w:r w:rsidR="00891AE6" w:rsidRPr="007821C3">
        <w:t>.</w:t>
      </w:r>
    </w:p>
    <w:p w14:paraId="775E29FC" w14:textId="076B5F60" w:rsidR="002E1CF0" w:rsidRPr="004D44EC" w:rsidRDefault="00D95967" w:rsidP="007821C3">
      <w:pPr>
        <w:pStyle w:val="ListBullet2"/>
      </w:pPr>
      <w:r w:rsidRPr="007821C3">
        <w:t xml:space="preserve">14 days of </w:t>
      </w:r>
      <w:r w:rsidR="00A06DAE" w:rsidRPr="007821C3">
        <w:t>index case</w:t>
      </w:r>
      <w:r w:rsidR="00A06DAE" w:rsidRPr="004D44EC">
        <w:t xml:space="preserve"> </w:t>
      </w:r>
      <w:r w:rsidRPr="004D44EC">
        <w:t>diagnosis for h</w:t>
      </w:r>
      <w:r w:rsidR="00D34A05" w:rsidRPr="004D44EC">
        <w:t>igh-</w:t>
      </w:r>
      <w:r w:rsidR="002E1CF0" w:rsidRPr="004D44EC">
        <w:t>risk contacts of cases of low</w:t>
      </w:r>
      <w:r w:rsidR="00F04918" w:rsidRPr="004D44EC">
        <w:t>er</w:t>
      </w:r>
      <w:r w:rsidR="00891AE6" w:rsidRPr="004D44EC">
        <w:t xml:space="preserve"> infectiousness.</w:t>
      </w:r>
    </w:p>
    <w:p w14:paraId="4E979FEA" w14:textId="011A40E4" w:rsidR="002E1CF0" w:rsidRPr="004D44EC" w:rsidRDefault="00D34A05" w:rsidP="00D95967">
      <w:r w:rsidRPr="004D44EC">
        <w:t>S</w:t>
      </w:r>
      <w:r w:rsidR="002E1CF0" w:rsidRPr="004D44EC">
        <w:t xml:space="preserve">creening of contacts of cases with negligible infectiousness </w:t>
      </w:r>
      <w:r w:rsidR="00A06DAE" w:rsidRPr="004D44EC">
        <w:t xml:space="preserve">should </w:t>
      </w:r>
      <w:r w:rsidR="00705818" w:rsidRPr="004D44EC">
        <w:t xml:space="preserve">be considered amongst closest contacts </w:t>
      </w:r>
      <w:proofErr w:type="gramStart"/>
      <w:r w:rsidR="00705818" w:rsidRPr="004D44EC">
        <w:t>in order to</w:t>
      </w:r>
      <w:proofErr w:type="gramEnd"/>
      <w:r w:rsidR="00705818" w:rsidRPr="004D44EC">
        <w:t xml:space="preserve"> identify a source case, especially when the index case is a child.</w:t>
      </w:r>
      <w:r w:rsidR="00F705D8" w:rsidRPr="004D44EC">
        <w:t xml:space="preserve"> </w:t>
      </w:r>
      <w:r w:rsidR="00777892" w:rsidRPr="004D44EC">
        <w:t>Only if there is evidence of transmission in the initially screened contacts group should screening progress to the lower risk groups</w:t>
      </w:r>
      <w:r w:rsidR="00DD22F6">
        <w:t>.</w:t>
      </w:r>
    </w:p>
    <w:p w14:paraId="29DEBF4F" w14:textId="1D1B4932" w:rsidR="002E1CF0" w:rsidRPr="004D44EC" w:rsidRDefault="002E1CF0" w:rsidP="00A52FB3">
      <w:pPr>
        <w:rPr>
          <w:rFonts w:cs="Arial"/>
        </w:rPr>
      </w:pPr>
      <w:r w:rsidRPr="004D44EC">
        <w:rPr>
          <w:rFonts w:cs="Arial"/>
        </w:rPr>
        <w:t xml:space="preserve">All contact tracing </w:t>
      </w:r>
      <w:r w:rsidR="00D4194D" w:rsidRPr="004D44EC">
        <w:rPr>
          <w:rFonts w:cs="Arial"/>
        </w:rPr>
        <w:t xml:space="preserve">services </w:t>
      </w:r>
      <w:r w:rsidRPr="004D44EC">
        <w:rPr>
          <w:rFonts w:cs="Arial"/>
        </w:rPr>
        <w:t>should be provided free of charge.</w:t>
      </w:r>
    </w:p>
    <w:p w14:paraId="615DF15F" w14:textId="77777777" w:rsidR="002E1CF0" w:rsidRPr="007A4336" w:rsidRDefault="002E1CF0" w:rsidP="00AA59D5">
      <w:pPr>
        <w:pStyle w:val="Heading2"/>
        <w:pageBreakBefore/>
      </w:pPr>
      <w:bookmarkStart w:id="89" w:name="_Toc97195075"/>
      <w:r w:rsidRPr="00AE6202">
        <w:lastRenderedPageBreak/>
        <w:t>Management of identified contacts</w:t>
      </w:r>
      <w:bookmarkEnd w:id="89"/>
    </w:p>
    <w:p w14:paraId="02339FBD" w14:textId="28619A26" w:rsidR="00DE1015" w:rsidRPr="004D44EC" w:rsidRDefault="002E1CF0" w:rsidP="00891AE6">
      <w:r w:rsidRPr="004D44EC">
        <w:t xml:space="preserve">Contact investigation </w:t>
      </w:r>
      <w:r w:rsidR="00DE1015" w:rsidRPr="004D44EC">
        <w:t>requires close co-ordinated management between nursing and medical</w:t>
      </w:r>
      <w:r w:rsidR="00584ADA" w:rsidRPr="004D44EC">
        <w:t xml:space="preserve"> </w:t>
      </w:r>
      <w:r w:rsidR="005709EF">
        <w:t>personnel</w:t>
      </w:r>
      <w:r w:rsidR="00DE1015" w:rsidRPr="004D44EC">
        <w:t>. Initial assessment includes a careful history and a test for LTBI (TST or IGRA)</w:t>
      </w:r>
      <w:r w:rsidR="00D22168" w:rsidRPr="004D44EC">
        <w:t xml:space="preserve">. Medical assessment including a CXR is indicated if </w:t>
      </w:r>
      <w:r w:rsidR="00E92320" w:rsidRPr="004D44EC">
        <w:t>the contact is symptomatic of TB, has either a positive TST or IGRA test or is considered particularly vulnerable (</w:t>
      </w:r>
      <w:proofErr w:type="gramStart"/>
      <w:r w:rsidR="00E92320" w:rsidRPr="004D44EC">
        <w:t>e</w:t>
      </w:r>
      <w:r w:rsidR="00584ADA" w:rsidRPr="004D44EC">
        <w:t>.</w:t>
      </w:r>
      <w:r w:rsidR="00E92320" w:rsidRPr="004D44EC">
        <w:t>g</w:t>
      </w:r>
      <w:r w:rsidR="00584ADA" w:rsidRPr="004D44EC">
        <w:t>.</w:t>
      </w:r>
      <w:proofErr w:type="gramEnd"/>
      <w:r w:rsidR="00E92320" w:rsidRPr="004D44EC">
        <w:t xml:space="preserve"> child &lt;5 years, immunosuppressed person).</w:t>
      </w:r>
    </w:p>
    <w:p w14:paraId="61B8A050" w14:textId="1CF95EB4" w:rsidR="0090363B" w:rsidRPr="004D44EC" w:rsidRDefault="008C1F64" w:rsidP="00F14003">
      <w:r w:rsidRPr="004D44EC">
        <w:t>Either TST or IGRA may be used for the investigation of LTBI in most circumstances. Neither test should be used in the investigation of active TB disease (though TST and/or IGRA may be used as supplementary tests in paediatric cases</w:t>
      </w:r>
      <w:r w:rsidR="00352B2E" w:rsidRPr="004D44EC">
        <w:t>, but not as a ‘rule-out’ test</w:t>
      </w:r>
      <w:r w:rsidRPr="004D44EC">
        <w:t xml:space="preserve">). </w:t>
      </w:r>
      <w:r w:rsidR="00705818" w:rsidRPr="004D44EC">
        <w:t xml:space="preserve">Further information on the use of IGRA tests has been published by NTAC </w:t>
      </w:r>
      <w:hyperlink r:id="rId32" w:history="1">
        <w:r w:rsidR="00E12EFA">
          <w:rPr>
            <w:rStyle w:val="Hyperlink"/>
          </w:rPr>
          <w:t>Department of Health | Position statement on interferon-γ release assays for the detection of latent tuberculosis infection</w:t>
        </w:r>
      </w:hyperlink>
      <w:r w:rsidR="0029243B" w:rsidRPr="004D44EC">
        <w:t xml:space="preserve"> </w:t>
      </w:r>
      <w:r w:rsidR="002A54A5" w:rsidRPr="004D44EC">
        <w:fldChar w:fldCharType="begin"/>
      </w:r>
      <w:r w:rsidR="004041E8">
        <w:instrText xml:space="preserve"> ADDIN EN.CITE &lt;EndNote&gt;&lt;Cite&gt;&lt;Author&gt;Stock&lt;/Author&gt;&lt;Year&gt;2017&lt;/Year&gt;&lt;RecNum&gt;37&lt;/RecNum&gt;&lt;DisplayText&gt;(36)&lt;/DisplayText&gt;&lt;record&gt;&lt;rec-number&gt;37&lt;/rec-number&gt;&lt;foreign-keys&gt;&lt;key app="EN" db-id="sr9paxs2qve9wpext2i5swxe50w0rs9dzze2" timestamp="1628681202"&gt;37&lt;/key&gt;&lt;/foreign-keys&gt;&lt;ref-type name="Journal Article"&gt;17&lt;/ref-type&gt;&lt;contributors&gt;&lt;authors&gt;&lt;author&gt;Stock, D. and.&lt;/author&gt;&lt;author&gt;National Tuberculosis Advisory Committee,&lt;/author&gt;&lt;/authors&gt;&lt;/contributors&gt;&lt;titles&gt;&lt;title&gt;National position statement for the management of latent tuberculosis infection.&lt;/title&gt;&lt;secondary-title&gt;Communicable Diseases Intelligence &lt;/secondary-title&gt;&lt;/titles&gt;&lt;volume&gt;41&lt;/volume&gt;&lt;number&gt;3&lt;/number&gt;&lt;section&gt;E204-E208&lt;/section&gt;&lt;dates&gt;&lt;year&gt;2017&lt;/year&gt;&lt;/dates&gt;&lt;urls&gt;&lt;related-urls&gt;&lt;url&gt;https://www1.health.gov.au/internet/main/publishing.nsf/Content/C093439127C9A6CBCA258209000B4ABF/$File/CDI4103-d.pdf&lt;/url&gt;&lt;/related-urls&gt;&lt;/urls&gt;&lt;/record&gt;&lt;/Cite&gt;&lt;/EndNote&gt;</w:instrText>
      </w:r>
      <w:r w:rsidR="002A54A5" w:rsidRPr="004D44EC">
        <w:fldChar w:fldCharType="separate"/>
      </w:r>
      <w:r w:rsidR="004041E8">
        <w:rPr>
          <w:noProof/>
        </w:rPr>
        <w:t>(36)</w:t>
      </w:r>
      <w:r w:rsidR="002A54A5" w:rsidRPr="004D44EC">
        <w:fldChar w:fldCharType="end"/>
      </w:r>
      <w:r w:rsidR="004D399B">
        <w:t>.</w:t>
      </w:r>
    </w:p>
    <w:p w14:paraId="02EB1A7F" w14:textId="43635BA0" w:rsidR="0090363B" w:rsidRPr="004D44EC" w:rsidRDefault="0090363B" w:rsidP="0090363B">
      <w:r w:rsidRPr="004D44EC">
        <w:t>I</w:t>
      </w:r>
      <w:r w:rsidR="002E1CF0" w:rsidRPr="004D44EC">
        <w:t xml:space="preserve">nformation on the drug susceptibility pattern of the isolate from the source case should be </w:t>
      </w:r>
      <w:r w:rsidR="00705818" w:rsidRPr="004D44EC">
        <w:t>pursued as this information will determine which antimicrobial agents are likely to be effective for preventive therapy in contacts.</w:t>
      </w:r>
    </w:p>
    <w:p w14:paraId="1064302A" w14:textId="3A55ECA5" w:rsidR="002E1CF0" w:rsidRPr="004D44EC" w:rsidRDefault="00083C4E" w:rsidP="00993C7C">
      <w:r w:rsidRPr="004D44EC">
        <w:t xml:space="preserve">Management decisions should be made by </w:t>
      </w:r>
      <w:r w:rsidR="00955333" w:rsidRPr="004D44EC">
        <w:t>c</w:t>
      </w:r>
      <w:r w:rsidRPr="004D44EC">
        <w:t xml:space="preserve">linicians experienced in the diagnosis and management of tuberculosis. </w:t>
      </w:r>
      <w:r w:rsidR="002E1CF0" w:rsidRPr="004D44EC">
        <w:t xml:space="preserve">Recommendations to guide the management of identified contacts include: </w:t>
      </w:r>
    </w:p>
    <w:p w14:paraId="10D3796C" w14:textId="3FB3E068" w:rsidR="007F6390" w:rsidRPr="004D44EC" w:rsidRDefault="007F6390" w:rsidP="001C34D7">
      <w:pPr>
        <w:pStyle w:val="ListBullet2"/>
      </w:pPr>
      <w:r w:rsidRPr="004D44EC">
        <w:t>All contacts with a positive TST or IGRA must have active TB excluded, by clinical assessment, CXR, and other investigations including sputum culture as indicated.</w:t>
      </w:r>
    </w:p>
    <w:p w14:paraId="1BE5ECEB" w14:textId="72B4DC95" w:rsidR="007F6390" w:rsidRPr="004D44EC" w:rsidRDefault="007F6390" w:rsidP="001C34D7">
      <w:pPr>
        <w:pStyle w:val="ListBullet2"/>
      </w:pPr>
      <w:r w:rsidRPr="004D44EC">
        <w:t>All contacts with a positive TST or IGRA where active TB has been excluded should be considered for preventive therapy for LTBI.</w:t>
      </w:r>
    </w:p>
    <w:p w14:paraId="5EBEAE30" w14:textId="1F7F2210" w:rsidR="007F6390" w:rsidRPr="001B3851" w:rsidRDefault="007F6390" w:rsidP="001C34D7">
      <w:pPr>
        <w:pStyle w:val="ListBullet2"/>
      </w:pPr>
      <w:r w:rsidRPr="004D44EC">
        <w:t xml:space="preserve">Children &lt;5 years of age should be considered for commencement of preventive therapy (window prophylaxis) regardless of the initial TST or IGRA result (if performed within 8 weeks of last exposure), especially if under 2 years of age. If follow up screening is negative at 8-12 weeks following exposure then in most circumstances window prophylaxis </w:t>
      </w:r>
      <w:r w:rsidR="00EB51EF" w:rsidRPr="004D44EC">
        <w:t>would</w:t>
      </w:r>
      <w:r w:rsidRPr="004D44EC">
        <w:t xml:space="preserve"> be </w:t>
      </w:r>
      <w:proofErr w:type="gramStart"/>
      <w:r w:rsidRPr="001B3851">
        <w:t>ceased</w:t>
      </w:r>
      <w:r w:rsidR="00352B2E" w:rsidRPr="001B3851">
        <w:t>, unless</w:t>
      </w:r>
      <w:proofErr w:type="gramEnd"/>
      <w:r w:rsidR="00352B2E" w:rsidRPr="001B3851">
        <w:t xml:space="preserve"> there is considerable concern about the child’s immune competence and the reliability of the test result</w:t>
      </w:r>
      <w:r w:rsidRPr="001B3851">
        <w:t xml:space="preserve">. </w:t>
      </w:r>
    </w:p>
    <w:p w14:paraId="542D57D4" w14:textId="6B4A82DF" w:rsidR="007F6390" w:rsidRPr="004D44EC" w:rsidRDefault="007F6390" w:rsidP="001C34D7">
      <w:pPr>
        <w:pStyle w:val="ListBullet2"/>
      </w:pPr>
      <w:r w:rsidRPr="004D44EC">
        <w:t>If the TST or IGRA is negative at the initial examination, the test should be repeated 8–12 weeks after the last exposure to the case and/or since treatment was commenced and the case considered no longer infectious.</w:t>
      </w:r>
    </w:p>
    <w:p w14:paraId="6A8F4B89" w14:textId="248B94A8" w:rsidR="007F6390" w:rsidRPr="004D44EC" w:rsidRDefault="007F6390" w:rsidP="001C34D7">
      <w:pPr>
        <w:pStyle w:val="ListBullet2"/>
      </w:pPr>
      <w:r w:rsidRPr="004D44EC">
        <w:t xml:space="preserve">If preventive therapy is not given because of a medical contraindication or the patient declines, the individual should remain under clinical and radiological surveillance for </w:t>
      </w:r>
      <w:r w:rsidR="005A24AC" w:rsidRPr="005A24AC">
        <w:t>at least one year in children under 5 years of age and at least 2 years in older</w:t>
      </w:r>
      <w:r w:rsidR="005A24AC">
        <w:t xml:space="preserve"> </w:t>
      </w:r>
      <w:r w:rsidR="005A24AC" w:rsidRPr="005A24AC">
        <w:t>children and adults</w:t>
      </w:r>
      <w:r w:rsidR="005A24AC">
        <w:t>.</w:t>
      </w:r>
      <w:r w:rsidRPr="004D44EC">
        <w:t xml:space="preserve"> </w:t>
      </w:r>
    </w:p>
    <w:p w14:paraId="09226686" w14:textId="62D60453" w:rsidR="002E1CF0" w:rsidRPr="007A4336" w:rsidRDefault="002E1CF0" w:rsidP="00CA7F5E">
      <w:pPr>
        <w:pStyle w:val="Heading2"/>
      </w:pPr>
      <w:bookmarkStart w:id="90" w:name="_Toc97195076"/>
      <w:r w:rsidRPr="00AE6202">
        <w:t>Education</w:t>
      </w:r>
      <w:bookmarkEnd w:id="90"/>
    </w:p>
    <w:p w14:paraId="07C3DA35" w14:textId="5A7BB7B4" w:rsidR="002E1CF0" w:rsidRPr="004D44EC" w:rsidRDefault="002E1CF0" w:rsidP="002E1CF0">
      <w:pPr>
        <w:rPr>
          <w:rFonts w:cs="Arial"/>
        </w:rPr>
      </w:pPr>
      <w:r w:rsidRPr="004D44EC">
        <w:rPr>
          <w:rFonts w:cs="Arial"/>
        </w:rPr>
        <w:t>Contacts should be advised about the nature of TB infection and disease, its mode of transmission and the importance of adhering to follow up plans and treatment for LTBI (if prescribed) using a qualified interpreter as appropriate. Recognising there are many misconceptions about TB, effective communication and provision of clear information is a high priority. It is import</w:t>
      </w:r>
      <w:r w:rsidR="00955333" w:rsidRPr="004D44EC">
        <w:rPr>
          <w:rFonts w:cs="Arial"/>
        </w:rPr>
        <w:t>ant</w:t>
      </w:r>
      <w:r w:rsidRPr="004D44EC">
        <w:rPr>
          <w:rFonts w:cs="Arial"/>
        </w:rPr>
        <w:t xml:space="preserve"> to emphasise that TB is a curable and preventable disease. Counselling about the risks of reactivation of latent infection and awareness of symptoms must be provided to those with a positive TST</w:t>
      </w:r>
      <w:r w:rsidR="005709EF">
        <w:rPr>
          <w:rFonts w:cs="Arial"/>
        </w:rPr>
        <w:t xml:space="preserve"> or IGRA</w:t>
      </w:r>
      <w:r w:rsidRPr="004D44EC">
        <w:rPr>
          <w:rFonts w:cs="Arial"/>
        </w:rPr>
        <w:t xml:space="preserve"> and not treated. Language </w:t>
      </w:r>
      <w:proofErr w:type="gramStart"/>
      <w:r w:rsidRPr="004D44EC">
        <w:rPr>
          <w:rFonts w:cs="Arial"/>
        </w:rPr>
        <w:t>specific fact</w:t>
      </w:r>
      <w:proofErr w:type="gramEnd"/>
      <w:r w:rsidRPr="004D44EC">
        <w:rPr>
          <w:rFonts w:cs="Arial"/>
        </w:rPr>
        <w:t xml:space="preserve"> sheets about TB and drug treatment</w:t>
      </w:r>
      <w:r w:rsidR="00D43F11" w:rsidRPr="004D44EC">
        <w:rPr>
          <w:rFonts w:cs="Arial"/>
        </w:rPr>
        <w:t>,</w:t>
      </w:r>
      <w:r w:rsidRPr="004D44EC">
        <w:rPr>
          <w:rFonts w:cs="Arial"/>
        </w:rPr>
        <w:t xml:space="preserve"> and about LTBI and treatment or follow up</w:t>
      </w:r>
      <w:r w:rsidR="00D43F11" w:rsidRPr="004D44EC">
        <w:rPr>
          <w:rFonts w:cs="Arial"/>
        </w:rPr>
        <w:t>,</w:t>
      </w:r>
      <w:r w:rsidRPr="004D44EC">
        <w:rPr>
          <w:rFonts w:cs="Arial"/>
        </w:rPr>
        <w:t xml:space="preserve"> should be provided to all patients and are available from jurisdictional TB units.</w:t>
      </w:r>
    </w:p>
    <w:p w14:paraId="7F96C737" w14:textId="77777777" w:rsidR="002E1CF0" w:rsidRPr="007A4336" w:rsidRDefault="002E1CF0" w:rsidP="00CA7F5E">
      <w:pPr>
        <w:pStyle w:val="Heading2"/>
      </w:pPr>
      <w:bookmarkStart w:id="91" w:name="_Toc97195077"/>
      <w:r w:rsidRPr="00AE6202">
        <w:lastRenderedPageBreak/>
        <w:t>Isolation and restriction</w:t>
      </w:r>
      <w:bookmarkEnd w:id="91"/>
    </w:p>
    <w:p w14:paraId="56659060" w14:textId="2E0484E9" w:rsidR="00A52FB3" w:rsidRPr="004D44EC" w:rsidRDefault="002E1CF0" w:rsidP="00A52FB3">
      <w:pPr>
        <w:rPr>
          <w:rFonts w:cs="Arial"/>
        </w:rPr>
      </w:pPr>
      <w:r w:rsidRPr="004D44EC">
        <w:rPr>
          <w:rFonts w:cs="Arial"/>
        </w:rPr>
        <w:t>Contacts should not be isolated or restricted unless they have symptoms consistent with pulmonary TB. Such TB suspects should be isolated un</w:t>
      </w:r>
      <w:r w:rsidR="00D43F11" w:rsidRPr="004D44EC">
        <w:rPr>
          <w:rFonts w:cs="Arial"/>
        </w:rPr>
        <w:t xml:space="preserve">til active TB is excluded (see </w:t>
      </w:r>
      <w:hyperlink w:anchor="_Case_management_4" w:history="1">
        <w:r w:rsidR="00D43F11" w:rsidRPr="004D44EC">
          <w:rPr>
            <w:rStyle w:val="Hyperlink"/>
            <w:rFonts w:cs="Arial"/>
          </w:rPr>
          <w:t>S</w:t>
        </w:r>
        <w:r w:rsidRPr="004D44EC">
          <w:rPr>
            <w:rStyle w:val="Hyperlink"/>
            <w:rFonts w:cs="Arial"/>
          </w:rPr>
          <w:t>ection 9</w:t>
        </w:r>
        <w:r w:rsidR="00D43F11" w:rsidRPr="004D44EC">
          <w:rPr>
            <w:rStyle w:val="Hyperlink"/>
            <w:rFonts w:cs="Arial"/>
          </w:rPr>
          <w:t>:</w:t>
        </w:r>
        <w:r w:rsidRPr="004D44EC">
          <w:rPr>
            <w:rStyle w:val="Hyperlink"/>
            <w:rFonts w:cs="Arial"/>
          </w:rPr>
          <w:t xml:space="preserve"> Case management</w:t>
        </w:r>
      </w:hyperlink>
      <w:r w:rsidRPr="004D44EC">
        <w:rPr>
          <w:rFonts w:cs="Arial"/>
        </w:rPr>
        <w:t xml:space="preserve">). </w:t>
      </w:r>
    </w:p>
    <w:p w14:paraId="11609569" w14:textId="77777777" w:rsidR="002E1CF0" w:rsidRPr="007A4336" w:rsidRDefault="002E1CF0" w:rsidP="00CA7F5E">
      <w:pPr>
        <w:pStyle w:val="Heading1"/>
      </w:pPr>
      <w:bookmarkStart w:id="92" w:name="_Toc97195078"/>
      <w:r w:rsidRPr="007A4336">
        <w:t>Special situations</w:t>
      </w:r>
      <w:bookmarkEnd w:id="92"/>
    </w:p>
    <w:p w14:paraId="49F71EE0" w14:textId="085066FB" w:rsidR="000731DB" w:rsidRPr="007A4336" w:rsidRDefault="00404510" w:rsidP="00CA7F5E">
      <w:pPr>
        <w:pStyle w:val="Heading2"/>
      </w:pPr>
      <w:bookmarkStart w:id="93" w:name="_Toc97195079"/>
      <w:r w:rsidRPr="007A4336">
        <w:t>Drug Resistant TB</w:t>
      </w:r>
      <w:bookmarkEnd w:id="93"/>
    </w:p>
    <w:p w14:paraId="28684AB2" w14:textId="34FB63F5" w:rsidR="000731DB" w:rsidRPr="006A5E02" w:rsidRDefault="000731DB" w:rsidP="00510E29">
      <w:bookmarkStart w:id="94" w:name="_Toc29979787"/>
      <w:bookmarkStart w:id="95" w:name="_Toc29983390"/>
      <w:r w:rsidRPr="004D44EC">
        <w:t>Prevention of drug resistant TB (DR-TB) through good management of both drug susceptible and drug resistant TB and effective implementation of infection control remains paramount.</w:t>
      </w:r>
      <w:bookmarkEnd w:id="94"/>
      <w:bookmarkEnd w:id="95"/>
    </w:p>
    <w:p w14:paraId="2B367DA7" w14:textId="14ADF33C" w:rsidR="00B43C2E" w:rsidRPr="004D44EC" w:rsidRDefault="00B43C2E" w:rsidP="005848B4">
      <w:pPr>
        <w:rPr>
          <w:rFonts w:cs="Arial"/>
        </w:rPr>
      </w:pPr>
      <w:r w:rsidRPr="004D44EC">
        <w:rPr>
          <w:rFonts w:cs="Arial"/>
        </w:rPr>
        <w:t>Early and accurate detection of DR-TB is crucial. This will depend on a high index of clinical suspicion in the first instance and use of molecular diagnostic assays (</w:t>
      </w:r>
      <w:proofErr w:type="gramStart"/>
      <w:r w:rsidRPr="004D44EC">
        <w:rPr>
          <w:rFonts w:cs="Arial"/>
        </w:rPr>
        <w:t>e.g.</w:t>
      </w:r>
      <w:proofErr w:type="gramEnd"/>
      <w:r w:rsidRPr="004D44EC">
        <w:rPr>
          <w:rFonts w:cs="Arial"/>
        </w:rPr>
        <w:t xml:space="preserve"> </w:t>
      </w:r>
      <w:proofErr w:type="spellStart"/>
      <w:r w:rsidRPr="004D44EC">
        <w:rPr>
          <w:rFonts w:cs="Arial"/>
        </w:rPr>
        <w:t>Xpert</w:t>
      </w:r>
      <w:proofErr w:type="spellEnd"/>
      <w:r w:rsidRPr="004D44EC">
        <w:rPr>
          <w:rFonts w:cs="Arial"/>
        </w:rPr>
        <w:t xml:space="preserve"> MTB/RIF) and conventional culture and DST.</w:t>
      </w:r>
    </w:p>
    <w:p w14:paraId="69664CB8" w14:textId="6D9B6D5A" w:rsidR="005E55BC" w:rsidRPr="004D44EC" w:rsidRDefault="005E55BC" w:rsidP="00A52FB3">
      <w:pPr>
        <w:rPr>
          <w:rFonts w:cs="Arial"/>
        </w:rPr>
      </w:pPr>
      <w:r w:rsidRPr="008415EB">
        <w:rPr>
          <w:rFonts w:cs="Arial"/>
        </w:rPr>
        <w:t>Isoniazid resistant</w:t>
      </w:r>
      <w:r w:rsidR="00C475DD" w:rsidRPr="008415EB">
        <w:rPr>
          <w:rFonts w:cs="Arial"/>
        </w:rPr>
        <w:t xml:space="preserve"> (but rifampicin susceptible)</w:t>
      </w:r>
      <w:r w:rsidRPr="008415EB">
        <w:rPr>
          <w:rFonts w:cs="Arial"/>
        </w:rPr>
        <w:t xml:space="preserve"> TB</w:t>
      </w:r>
      <w:r w:rsidR="00670FF7" w:rsidRPr="008415EB">
        <w:rPr>
          <w:rFonts w:cs="Arial"/>
        </w:rPr>
        <w:t xml:space="preserve"> is the </w:t>
      </w:r>
      <w:r w:rsidR="004D399B" w:rsidRPr="008415EB">
        <w:rPr>
          <w:rFonts w:cs="Arial"/>
        </w:rPr>
        <w:t>most</w:t>
      </w:r>
      <w:r w:rsidR="00670FF7" w:rsidRPr="008415EB">
        <w:rPr>
          <w:rFonts w:cs="Arial"/>
        </w:rPr>
        <w:t xml:space="preserve"> </w:t>
      </w:r>
      <w:r w:rsidR="004D399B" w:rsidRPr="008415EB">
        <w:rPr>
          <w:rFonts w:cs="Arial"/>
        </w:rPr>
        <w:t xml:space="preserve">common </w:t>
      </w:r>
      <w:r w:rsidR="00670FF7" w:rsidRPr="008415EB">
        <w:rPr>
          <w:rFonts w:cs="Arial"/>
        </w:rPr>
        <w:t>form of drug resistant TB and estim</w:t>
      </w:r>
      <w:r w:rsidR="00760DCF" w:rsidRPr="008415EB">
        <w:rPr>
          <w:rFonts w:cs="Arial"/>
        </w:rPr>
        <w:t xml:space="preserve">ated globally at about </w:t>
      </w:r>
      <w:r w:rsidR="008415EB" w:rsidRPr="008415EB">
        <w:rPr>
          <w:rFonts w:cs="Arial"/>
        </w:rPr>
        <w:t>11</w:t>
      </w:r>
      <w:r w:rsidR="00760DCF" w:rsidRPr="008415EB">
        <w:rPr>
          <w:rFonts w:cs="Arial"/>
        </w:rPr>
        <w:t>% of</w:t>
      </w:r>
      <w:r w:rsidR="00670FF7" w:rsidRPr="008415EB">
        <w:rPr>
          <w:rFonts w:cs="Arial"/>
        </w:rPr>
        <w:t xml:space="preserve"> cases</w:t>
      </w:r>
      <w:r w:rsidR="00513ED1" w:rsidRPr="008415EB">
        <w:rPr>
          <w:rFonts w:cs="Arial"/>
        </w:rPr>
        <w:t xml:space="preserve"> </w:t>
      </w:r>
      <w:r w:rsidR="00513ED1" w:rsidRPr="008415EB">
        <w:rPr>
          <w:rFonts w:cs="Arial"/>
        </w:rPr>
        <w:fldChar w:fldCharType="begin"/>
      </w:r>
      <w:r w:rsidR="00513ED1" w:rsidRPr="008415EB">
        <w:rPr>
          <w:rFonts w:cs="Arial"/>
        </w:rPr>
        <w:instrText xml:space="preserve"> ADDIN EN.CITE &lt;EndNote&gt;&lt;Cite&gt;&lt;Author&gt;World Health Organization&lt;/Author&gt;&lt;Year&gt;2020&lt;/Year&gt;&lt;RecNum&gt;7&lt;/RecNum&gt;&lt;DisplayText&gt;(7)&lt;/DisplayText&gt;&lt;record&gt;&lt;rec-number&gt;7&lt;/rec-number&gt;&lt;foreign-keys&gt;&lt;key app="EN" db-id="sr9paxs2qve9wpext2i5swxe50w0rs9dzze2" timestamp="1628681197"&gt;7&lt;/key&gt;&lt;/foreign-keys&gt;&lt;ref-type name="Web Page"&gt;12&lt;/ref-type&gt;&lt;contributors&gt;&lt;authors&gt;&lt;author&gt;World Health Organization,&lt;/author&gt;&lt;/authors&gt;&lt;/contributors&gt;&lt;titles&gt;&lt;title&gt;Global Tuberculosis Report 2020.&lt;/title&gt;&lt;/titles&gt;&lt;dates&gt;&lt;year&gt;2020&lt;/year&gt;&lt;/dates&gt;&lt;pub-location&gt;Geneva&lt;/pub-location&gt;&lt;publisher&gt;World Health Organization&lt;/publisher&gt;&lt;isbn&gt;ISBN 978-92-4-001313-1&lt;/isbn&gt;&lt;urls&gt;&lt;related-urls&gt;&lt;url&gt;https://apps.who.int/iris/bitstream/handle/10665/336069/9789240013131-eng.pdf&lt;/url&gt;&lt;/related-urls&gt;&lt;/urls&gt;&lt;custom2&gt;3 May 2021&lt;/custom2&gt;&lt;/record&gt;&lt;/Cite&gt;&lt;/EndNote&gt;</w:instrText>
      </w:r>
      <w:r w:rsidR="00513ED1" w:rsidRPr="008415EB">
        <w:rPr>
          <w:rFonts w:cs="Arial"/>
        </w:rPr>
        <w:fldChar w:fldCharType="separate"/>
      </w:r>
      <w:r w:rsidR="00513ED1" w:rsidRPr="008415EB">
        <w:rPr>
          <w:rFonts w:cs="Arial"/>
          <w:noProof/>
        </w:rPr>
        <w:t>(7)</w:t>
      </w:r>
      <w:r w:rsidR="00513ED1" w:rsidRPr="008415EB">
        <w:rPr>
          <w:rFonts w:cs="Arial"/>
        </w:rPr>
        <w:fldChar w:fldCharType="end"/>
      </w:r>
      <w:r w:rsidR="00DE096A" w:rsidRPr="008415EB">
        <w:rPr>
          <w:rFonts w:cs="Arial"/>
        </w:rPr>
        <w:t>.</w:t>
      </w:r>
      <w:r w:rsidR="00DE096A" w:rsidRPr="004D44EC">
        <w:rPr>
          <w:rFonts w:cs="Arial"/>
        </w:rPr>
        <w:t xml:space="preserve"> </w:t>
      </w:r>
      <w:r w:rsidR="00670FF7" w:rsidRPr="004D44EC">
        <w:rPr>
          <w:rFonts w:cs="Arial"/>
        </w:rPr>
        <w:t xml:space="preserve">New guidance on the treatment of </w:t>
      </w:r>
      <w:r w:rsidR="00760DCF" w:rsidRPr="004D44EC">
        <w:rPr>
          <w:rFonts w:cs="Arial"/>
        </w:rPr>
        <w:t xml:space="preserve">isoniazid resistant TB recommending the addition of the fluoroquinolone, levofloxacin, to first line treatment </w:t>
      </w:r>
      <w:r w:rsidR="00F41565" w:rsidRPr="004D44EC">
        <w:rPr>
          <w:rFonts w:cs="Arial"/>
        </w:rPr>
        <w:t xml:space="preserve">for 6 months </w:t>
      </w:r>
      <w:r w:rsidR="00760DCF" w:rsidRPr="004D44EC">
        <w:rPr>
          <w:rFonts w:cs="Arial"/>
        </w:rPr>
        <w:t>was released by the WHO in 2018</w:t>
      </w:r>
      <w:r w:rsidR="00DE096A" w:rsidRPr="004D44EC">
        <w:rPr>
          <w:rFonts w:cs="Arial"/>
        </w:rPr>
        <w:t xml:space="preserve"> </w:t>
      </w:r>
      <w:r w:rsidR="00DE096A" w:rsidRPr="004D44EC">
        <w:rPr>
          <w:rFonts w:cs="Arial"/>
        </w:rPr>
        <w:fldChar w:fldCharType="begin"/>
      </w:r>
      <w:r w:rsidR="004041E8">
        <w:rPr>
          <w:rFonts w:cs="Arial"/>
        </w:rPr>
        <w:instrText xml:space="preserve"> ADDIN EN.CITE &lt;EndNote&gt;&lt;Cite&gt;&lt;Author&gt;World Health Organization&lt;/Author&gt;&lt;Year&gt;2018&lt;/Year&gt;&lt;RecNum&gt;38&lt;/RecNum&gt;&lt;DisplayText&gt;(37)&lt;/DisplayText&gt;&lt;record&gt;&lt;rec-number&gt;38&lt;/rec-number&gt;&lt;foreign-keys&gt;&lt;key app="EN" db-id="sr9paxs2qve9wpext2i5swxe50w0rs9dzze2" timestamp="1628681202"&gt;38&lt;/key&gt;&lt;/foreign-keys&gt;&lt;ref-type name="Generic"&gt;13&lt;/ref-type&gt;&lt;contributors&gt;&lt;authors&gt;&lt;author&gt;World Health Organization,&lt;/author&gt;&lt;/authors&gt;&lt;/contributors&gt;&lt;titles&gt;&lt;title&gt;WHO treatment guidelines for isoniazid-resistant tuberculosis: Supplement to the WHO treatment guidelines for drug-resistant tuberculosis.&lt;/title&gt;&lt;/titles&gt;&lt;pages&gt;45&lt;/pages&gt;&lt;dates&gt;&lt;year&gt;2018&lt;/year&gt;&lt;/dates&gt;&lt;pub-location&gt;Geneva&lt;/pub-location&gt;&lt;publisher&gt;World Health Organization&lt;/publisher&gt;&lt;urls&gt;&lt;related-urls&gt;&lt;url&gt;https://apps.who.int/iris/bitstream/handle/10665/260494/9789241550079-eng.pdf&lt;/url&gt;&lt;/related-urls&gt;&lt;/urls&gt;&lt;/record&gt;&lt;/Cite&gt;&lt;/EndNote&gt;</w:instrText>
      </w:r>
      <w:r w:rsidR="00DE096A" w:rsidRPr="004D44EC">
        <w:rPr>
          <w:rFonts w:cs="Arial"/>
        </w:rPr>
        <w:fldChar w:fldCharType="separate"/>
      </w:r>
      <w:r w:rsidR="004041E8">
        <w:rPr>
          <w:rFonts w:cs="Arial"/>
          <w:noProof/>
        </w:rPr>
        <w:t>(37)</w:t>
      </w:r>
      <w:r w:rsidR="00DE096A" w:rsidRPr="004D44EC">
        <w:rPr>
          <w:rFonts w:cs="Arial"/>
        </w:rPr>
        <w:fldChar w:fldCharType="end"/>
      </w:r>
      <w:r w:rsidR="00760DCF" w:rsidRPr="004D44EC">
        <w:rPr>
          <w:rFonts w:cs="Arial"/>
        </w:rPr>
        <w:t xml:space="preserve">. Management of these cases should be undertaken in consultation with </w:t>
      </w:r>
      <w:r w:rsidR="00863550">
        <w:rPr>
          <w:rFonts w:cs="Arial"/>
        </w:rPr>
        <w:t>clinicians</w:t>
      </w:r>
      <w:r w:rsidR="00863550" w:rsidRPr="004D44EC">
        <w:rPr>
          <w:rFonts w:cs="Arial"/>
        </w:rPr>
        <w:t xml:space="preserve"> </w:t>
      </w:r>
      <w:r w:rsidR="00760DCF" w:rsidRPr="004D44EC">
        <w:rPr>
          <w:rFonts w:cs="Arial"/>
        </w:rPr>
        <w:t>with TB expertise</w:t>
      </w:r>
      <w:r w:rsidR="00670FF7" w:rsidRPr="004D44EC">
        <w:rPr>
          <w:rFonts w:cs="Arial"/>
        </w:rPr>
        <w:t>.</w:t>
      </w:r>
    </w:p>
    <w:p w14:paraId="440667E7" w14:textId="7EFC54BA" w:rsidR="002E1CF0" w:rsidRPr="004D44EC" w:rsidRDefault="002E1CF0" w:rsidP="00A52FB3">
      <w:pPr>
        <w:rPr>
          <w:rFonts w:cs="Arial"/>
        </w:rPr>
      </w:pPr>
      <w:r w:rsidRPr="004D44EC">
        <w:rPr>
          <w:rFonts w:cs="Arial"/>
        </w:rPr>
        <w:t xml:space="preserve">Management (clinical, laboratory and public health) of </w:t>
      </w:r>
      <w:r w:rsidR="005E55BC" w:rsidRPr="004D44EC">
        <w:rPr>
          <w:rFonts w:cs="Arial"/>
        </w:rPr>
        <w:t>M</w:t>
      </w:r>
      <w:r w:rsidR="00404510" w:rsidRPr="004D44EC">
        <w:rPr>
          <w:rFonts w:cs="Arial"/>
        </w:rPr>
        <w:t>DR-TB</w:t>
      </w:r>
      <w:r w:rsidRPr="004D44EC">
        <w:rPr>
          <w:rFonts w:cs="Arial"/>
        </w:rPr>
        <w:t xml:space="preserve"> cases in Australia should be multidisciplinary and co-ordinated by those with TB expertise. </w:t>
      </w:r>
    </w:p>
    <w:p w14:paraId="0C8528CC" w14:textId="09296F07" w:rsidR="002307CD" w:rsidRPr="004D44EC" w:rsidRDefault="002E1CF0" w:rsidP="00993C7C">
      <w:pPr>
        <w:widowControl w:val="0"/>
        <w:rPr>
          <w:rFonts w:cs="Arial"/>
        </w:rPr>
      </w:pPr>
      <w:r w:rsidRPr="004D44EC">
        <w:rPr>
          <w:rFonts w:cs="Arial"/>
        </w:rPr>
        <w:t xml:space="preserve">The treatment regimen used is based on the results of </w:t>
      </w:r>
      <w:r w:rsidR="00670FF7" w:rsidRPr="004D44EC">
        <w:rPr>
          <w:rFonts w:cs="Arial"/>
        </w:rPr>
        <w:t>molecular</w:t>
      </w:r>
      <w:r w:rsidR="002307CD" w:rsidRPr="004D44EC">
        <w:rPr>
          <w:rFonts w:cs="Arial"/>
        </w:rPr>
        <w:t xml:space="preserve"> and phenotypic </w:t>
      </w:r>
      <w:r w:rsidRPr="004D44EC">
        <w:rPr>
          <w:rFonts w:cs="Arial"/>
        </w:rPr>
        <w:t xml:space="preserve">DST and a detailed history of any previous treatment. </w:t>
      </w:r>
      <w:r w:rsidR="002307CD" w:rsidRPr="004D44EC">
        <w:rPr>
          <w:rFonts w:cs="Arial"/>
        </w:rPr>
        <w:t>The treatment implemented should adhere to the following principles</w:t>
      </w:r>
      <w:r w:rsidR="00496735" w:rsidRPr="004D44EC">
        <w:rPr>
          <w:rFonts w:cs="Arial"/>
        </w:rPr>
        <w:t xml:space="preserve"> </w:t>
      </w:r>
      <w:r w:rsidR="00496735" w:rsidRPr="004D44EC">
        <w:rPr>
          <w:rFonts w:cs="Arial"/>
        </w:rPr>
        <w:fldChar w:fldCharType="begin"/>
      </w:r>
      <w:r w:rsidR="004041E8">
        <w:rPr>
          <w:rFonts w:cs="Arial"/>
        </w:rPr>
        <w:instrText xml:space="preserve"> ADDIN EN.CITE &lt;EndNote&gt;&lt;Cite&gt;&lt;Author&gt;World Health Organization&lt;/Author&gt;&lt;Year&gt;2018&lt;/Year&gt;&lt;RecNum&gt;39&lt;/RecNum&gt;&lt;DisplayText&gt;(38)&lt;/DisplayText&gt;&lt;record&gt;&lt;rec-number&gt;39&lt;/rec-number&gt;&lt;foreign-keys&gt;&lt;key app="EN" db-id="sr9paxs2qve9wpext2i5swxe50w0rs9dzze2" timestamp="1628681202"&gt;39&lt;/key&gt;&lt;/foreign-keys&gt;&lt;ref-type name="Generic"&gt;13&lt;/ref-type&gt;&lt;contributors&gt;&lt;authors&gt;&lt;author&gt;World Health Organization,&lt;/author&gt;&lt;/authors&gt;&lt;/contributors&gt;&lt;titles&gt;&lt;title&gt;Rapid communication: Key changes to treatment of multidrug- and rifampicin-resistant tuberculosis (MDR/RR-TB)&lt;/title&gt;&lt;/titles&gt;&lt;pages&gt;9&lt;/pages&gt;&lt;dates&gt;&lt;year&gt;2018&lt;/year&gt;&lt;pub-dates&gt;&lt;date&gt;August 2018&lt;/date&gt;&lt;/pub-dates&gt;&lt;/dates&gt;&lt;pub-location&gt;Geneva&lt;/pub-location&gt;&lt;publisher&gt;World Health Organization&lt;/publisher&gt;&lt;urls&gt;&lt;related-urls&gt;&lt;url&gt;https://www.who.int/tb/publications/2018/WHO_RapidCommunicationMDRTB.pdf&lt;/url&gt;&lt;/related-urls&gt;&lt;/urls&gt;&lt;/record&gt;&lt;/Cite&gt;&lt;/EndNote&gt;</w:instrText>
      </w:r>
      <w:r w:rsidR="00496735" w:rsidRPr="004D44EC">
        <w:rPr>
          <w:rFonts w:cs="Arial"/>
        </w:rPr>
        <w:fldChar w:fldCharType="separate"/>
      </w:r>
      <w:r w:rsidR="004041E8">
        <w:rPr>
          <w:rFonts w:cs="Arial"/>
          <w:noProof/>
        </w:rPr>
        <w:t>(38)</w:t>
      </w:r>
      <w:r w:rsidR="00496735" w:rsidRPr="004D44EC">
        <w:rPr>
          <w:rFonts w:cs="Arial"/>
        </w:rPr>
        <w:fldChar w:fldCharType="end"/>
      </w:r>
      <w:r w:rsidR="002307CD" w:rsidRPr="004D44EC">
        <w:rPr>
          <w:rFonts w:cs="Arial"/>
        </w:rPr>
        <w:t>:</w:t>
      </w:r>
    </w:p>
    <w:p w14:paraId="418A3FD5" w14:textId="65C47793" w:rsidR="002307CD" w:rsidRPr="004D44EC" w:rsidRDefault="002307CD" w:rsidP="001C34D7">
      <w:pPr>
        <w:pStyle w:val="ListBullet2"/>
      </w:pPr>
      <w:r w:rsidRPr="004D44EC">
        <w:t>All patients should be appropriately counselled about the available treatment options to enable informed and participatory decision making</w:t>
      </w:r>
      <w:r w:rsidR="00DD0965" w:rsidRPr="004D44EC">
        <w:t>.</w:t>
      </w:r>
    </w:p>
    <w:p w14:paraId="77AEBBAE" w14:textId="393F0B82" w:rsidR="005E55BC" w:rsidRPr="004D44EC" w:rsidRDefault="002307CD" w:rsidP="001C34D7">
      <w:pPr>
        <w:pStyle w:val="ListBullet2"/>
      </w:pPr>
      <w:r w:rsidRPr="004D44EC">
        <w:t xml:space="preserve">Social support </w:t>
      </w:r>
      <w:r w:rsidR="005E55BC" w:rsidRPr="004D44EC">
        <w:t>is very important to ensure a patient-</w:t>
      </w:r>
      <w:r w:rsidR="005A27F9" w:rsidRPr="004D44EC">
        <w:t>centred</w:t>
      </w:r>
      <w:r w:rsidR="005E55BC" w:rsidRPr="004D44EC">
        <w:t xml:space="preserve"> approach to the delivery of care and adherence to treatment (directly observed treatment strongly recommended)</w:t>
      </w:r>
      <w:r w:rsidR="00417172" w:rsidRPr="004D44EC">
        <w:t>.</w:t>
      </w:r>
    </w:p>
    <w:p w14:paraId="18210706" w14:textId="7170778C" w:rsidR="005E55BC" w:rsidRPr="004D44EC" w:rsidRDefault="005E55BC" w:rsidP="001C34D7">
      <w:pPr>
        <w:pStyle w:val="ListBullet2"/>
      </w:pPr>
      <w:r w:rsidRPr="004D44EC">
        <w:t>Active TB drug safety monitoring and management is essential</w:t>
      </w:r>
      <w:r w:rsidR="00DD0965" w:rsidRPr="004D44EC">
        <w:t>.</w:t>
      </w:r>
    </w:p>
    <w:p w14:paraId="3FE28C7F" w14:textId="6E1F81AA" w:rsidR="00D20291" w:rsidRPr="004D44EC" w:rsidRDefault="008267AC" w:rsidP="00E32AC0">
      <w:r w:rsidRPr="004D44EC">
        <w:rPr>
          <w:rFonts w:cs="Arial"/>
        </w:rPr>
        <w:t>WHO endorsed treatment regimens for MDR-T</w:t>
      </w:r>
      <w:r w:rsidR="004C3F1B">
        <w:rPr>
          <w:rFonts w:cs="Arial"/>
        </w:rPr>
        <w:t>B</w:t>
      </w:r>
      <w:r w:rsidRPr="004D44EC">
        <w:rPr>
          <w:rFonts w:cs="Arial"/>
        </w:rPr>
        <w:t xml:space="preserve"> have changed substantially in recent years in both composition and </w:t>
      </w:r>
      <w:proofErr w:type="gramStart"/>
      <w:r w:rsidRPr="004D44EC">
        <w:rPr>
          <w:rFonts w:cs="Arial"/>
        </w:rPr>
        <w:t>duration.</w:t>
      </w:r>
      <w:proofErr w:type="gramEnd"/>
      <w:r w:rsidRPr="004D44EC">
        <w:rPr>
          <w:rFonts w:cs="Arial"/>
        </w:rPr>
        <w:t xml:space="preserve"> Considering variables such as confirmation of fluroquinolone susceptibility, site of disease and previous TB drug exposure either a shorter 9 month or a longer </w:t>
      </w:r>
      <w:proofErr w:type="gramStart"/>
      <w:r w:rsidRPr="004D44EC">
        <w:rPr>
          <w:rFonts w:cs="Arial"/>
        </w:rPr>
        <w:t>18-20 month</w:t>
      </w:r>
      <w:proofErr w:type="gramEnd"/>
      <w:r w:rsidRPr="004D44EC">
        <w:rPr>
          <w:rFonts w:cs="Arial"/>
        </w:rPr>
        <w:t xml:space="preserve"> regimen may be appropriate. </w:t>
      </w:r>
      <w:proofErr w:type="spellStart"/>
      <w:r w:rsidRPr="004D44EC">
        <w:rPr>
          <w:rFonts w:cs="Arial"/>
        </w:rPr>
        <w:t>Bedaquiline</w:t>
      </w:r>
      <w:proofErr w:type="spellEnd"/>
      <w:r w:rsidRPr="004D44EC">
        <w:rPr>
          <w:rFonts w:cs="Arial"/>
        </w:rPr>
        <w:t xml:space="preserve"> is a key agent in either regimen and has allowed the omission of aminoglycosides from most MDR-TB regimens</w:t>
      </w:r>
      <w:r w:rsidR="003920B5">
        <w:rPr>
          <w:rFonts w:cs="Arial"/>
        </w:rPr>
        <w:t xml:space="preserve"> </w:t>
      </w:r>
      <w:r w:rsidR="003920B5">
        <w:rPr>
          <w:rFonts w:cs="Arial"/>
        </w:rPr>
        <w:fldChar w:fldCharType="begin"/>
      </w:r>
      <w:r w:rsidR="004041E8">
        <w:rPr>
          <w:rFonts w:cs="Arial"/>
        </w:rPr>
        <w:instrText xml:space="preserve"> ADDIN EN.CITE &lt;EndNote&gt;&lt;Cite&gt;&lt;Author&gt;World Health Organization&lt;/Author&gt;&lt;Year&gt;2020&lt;/Year&gt;&lt;RecNum&gt;20&lt;/RecNum&gt;&lt;DisplayText&gt;(19)&lt;/DisplayText&gt;&lt;record&gt;&lt;rec-number&gt;20&lt;/rec-number&gt;&lt;foreign-keys&gt;&lt;key app="EN" db-id="sr9paxs2qve9wpext2i5swxe50w0rs9dzze2" timestamp="1628681199"&gt;20&lt;/key&gt;&lt;/foreign-keys&gt;&lt;ref-type name="Web Page"&gt;12&lt;/ref-type&gt;&lt;contributors&gt;&lt;authors&gt;&lt;author&gt;World Health Organization,&lt;/author&gt;&lt;/authors&gt;&lt;/contributors&gt;&lt;titles&gt;&lt;title&gt;WHO operational handbook on tuberculosis. Module 4: treatment - drug-resistant tuberculosis treatment.&lt;/title&gt;&lt;/titles&gt;&lt;volume&gt;2021&lt;/volume&gt;&lt;number&gt;5 August 2021&lt;/number&gt;&lt;dates&gt;&lt;year&gt;2020&lt;/year&gt;&lt;/dates&gt;&lt;pub-location&gt;Geneva&lt;/pub-location&gt;&lt;publisher&gt;World Health Organization&lt;/publisher&gt;&lt;urls&gt;&lt;related-urls&gt;&lt;url&gt;https://apps.who.int/iris/bitstream/handle/10665/332398/9789240006997-eng.pdf?sequence=1&amp;amp;isAllowed=y&lt;/url&gt;&lt;/related-urls&gt;&lt;/urls&gt;&lt;custom2&gt;5 June 2021&lt;/custom2&gt;&lt;/record&gt;&lt;/Cite&gt;&lt;/EndNote&gt;</w:instrText>
      </w:r>
      <w:r w:rsidR="003920B5">
        <w:rPr>
          <w:rFonts w:cs="Arial"/>
        </w:rPr>
        <w:fldChar w:fldCharType="separate"/>
      </w:r>
      <w:r w:rsidR="004041E8">
        <w:rPr>
          <w:rFonts w:cs="Arial"/>
          <w:noProof/>
        </w:rPr>
        <w:t>(19)</w:t>
      </w:r>
      <w:r w:rsidR="003920B5">
        <w:rPr>
          <w:rFonts w:cs="Arial"/>
        </w:rPr>
        <w:fldChar w:fldCharType="end"/>
      </w:r>
      <w:r w:rsidR="0021026E" w:rsidRPr="004D44EC">
        <w:t>.</w:t>
      </w:r>
      <w:r w:rsidR="00254A07" w:rsidRPr="004D44EC">
        <w:t xml:space="preserve"> </w:t>
      </w:r>
      <w:r w:rsidR="00F41565" w:rsidRPr="004D44EC">
        <w:t>The final</w:t>
      </w:r>
      <w:r w:rsidR="004E29B5" w:rsidRPr="004D44EC">
        <w:t xml:space="preserve"> regimen </w:t>
      </w:r>
      <w:r w:rsidR="00F41565" w:rsidRPr="004D44EC">
        <w:t>choi</w:t>
      </w:r>
      <w:r w:rsidR="008F6F68" w:rsidRPr="004D44EC">
        <w:t>ce will depend on DST results, and clinical and patient factors</w:t>
      </w:r>
      <w:r w:rsidR="00152B58">
        <w:t>, including drug penetration to site of disease (</w:t>
      </w:r>
      <w:proofErr w:type="gramStart"/>
      <w:r w:rsidR="00152B58">
        <w:t>e.g.</w:t>
      </w:r>
      <w:proofErr w:type="gramEnd"/>
      <w:r w:rsidR="00152B58">
        <w:t xml:space="preserve"> CSF penetration of agents to treat TB meningitis)</w:t>
      </w:r>
      <w:r w:rsidR="008F6F68" w:rsidRPr="004D44EC">
        <w:t>.</w:t>
      </w:r>
    </w:p>
    <w:p w14:paraId="7134CC0F" w14:textId="7435B07B" w:rsidR="002E1CF0" w:rsidRPr="004D44EC" w:rsidRDefault="002E1CF0" w:rsidP="00A52FB3">
      <w:pPr>
        <w:rPr>
          <w:rFonts w:cs="Arial"/>
        </w:rPr>
      </w:pPr>
      <w:r w:rsidRPr="004D44EC">
        <w:rPr>
          <w:rFonts w:cs="Arial"/>
        </w:rPr>
        <w:t>Other key considerations include infection control and regular monitoring to provide</w:t>
      </w:r>
      <w:r w:rsidR="00205B4C" w:rsidRPr="004D44EC">
        <w:rPr>
          <w:rFonts w:cs="Arial"/>
        </w:rPr>
        <w:t xml:space="preserve"> ongoing</w:t>
      </w:r>
      <w:r w:rsidRPr="004D44EC">
        <w:rPr>
          <w:rFonts w:cs="Arial"/>
        </w:rPr>
        <w:t xml:space="preserve"> patient support, assess clinical progress and monitor side effects.</w:t>
      </w:r>
      <w:r w:rsidR="003E6500" w:rsidRPr="004D44EC">
        <w:rPr>
          <w:rFonts w:cs="Arial"/>
        </w:rPr>
        <w:t xml:space="preserve"> Following completion of </w:t>
      </w:r>
      <w:r w:rsidR="00E32AC0" w:rsidRPr="004D44EC">
        <w:rPr>
          <w:rFonts w:cs="Arial"/>
        </w:rPr>
        <w:t>MD</w:t>
      </w:r>
      <w:r w:rsidR="008267AC" w:rsidRPr="004D44EC">
        <w:rPr>
          <w:rFonts w:cs="Arial"/>
        </w:rPr>
        <w:t>R</w:t>
      </w:r>
      <w:r w:rsidR="00E32AC0" w:rsidRPr="004D44EC">
        <w:rPr>
          <w:rFonts w:cs="Arial"/>
        </w:rPr>
        <w:t xml:space="preserve">-TB </w:t>
      </w:r>
      <w:r w:rsidR="003E6500" w:rsidRPr="004D44EC">
        <w:rPr>
          <w:rFonts w:cs="Arial"/>
        </w:rPr>
        <w:t>treatment, patients should be reviewed for at least 2 years</w:t>
      </w:r>
      <w:r w:rsidR="004E29B5" w:rsidRPr="004D44EC">
        <w:rPr>
          <w:rFonts w:cs="Arial"/>
        </w:rPr>
        <w:t xml:space="preserve"> </w:t>
      </w:r>
      <w:r w:rsidR="003E6500" w:rsidRPr="004D44EC">
        <w:rPr>
          <w:rFonts w:cs="Arial"/>
        </w:rPr>
        <w:fldChar w:fldCharType="begin"/>
      </w:r>
      <w:r w:rsidR="004041E8">
        <w:rPr>
          <w:rFonts w:cs="Arial"/>
        </w:rPr>
        <w:instrText xml:space="preserve"> ADDIN EN.CITE &lt;EndNote&gt;&lt;Cite&gt;&lt;Author&gt;National Tuberculosis Advisory Committee&lt;/Author&gt;&lt;Year&gt;2007&lt;/Year&gt;&lt;RecNum&gt;40&lt;/RecNum&gt;&lt;DisplayText&gt;(39)&lt;/DisplayText&gt;&lt;record&gt;&lt;rec-number&gt;40&lt;/rec-number&gt;&lt;foreign-keys&gt;&lt;key app="EN" db-id="sr9paxs2qve9wpext2i5swxe50w0rs9dzze2" timestamp="1628681203"&gt;40&lt;/key&gt;&lt;/foreign-keys&gt;&lt;ref-type name="Journal Article"&gt;17&lt;/ref-type&gt;&lt;contributors&gt;&lt;authors&gt;&lt;author&gt;National Tuberculosis Advisory Committee,&lt;/author&gt;&lt;/authors&gt;&lt;/contributors&gt;&lt;titles&gt;&lt;title&gt;National Tuberculosis Advisory Committee multi-drug resistant tuberculosis information paper (October 2007)&lt;/title&gt;&lt;secondary-title&gt;Communicable Diseases Intelligence&lt;/secondary-title&gt;&lt;/titles&gt;&lt;periodical&gt;&lt;full-title&gt;Communicable Diseases Intelligence&lt;/full-title&gt;&lt;/periodical&gt;&lt;pages&gt;406-9&lt;/pages&gt;&lt;volume&gt;31&lt;/volume&gt;&lt;number&gt;4&lt;/number&gt;&lt;dates&gt;&lt;year&gt;2007&lt;/year&gt;&lt;/dates&gt;&lt;urls&gt;&lt;related-urls&gt;&lt;url&gt;http://www.health.gov.au/internet/main/publishing.nsf/Content/cda-cdi3104i.htm&lt;/url&gt;&lt;/related-urls&gt;&lt;/urls&gt;&lt;/record&gt;&lt;/Cite&gt;&lt;/EndNote&gt;</w:instrText>
      </w:r>
      <w:r w:rsidR="003E6500" w:rsidRPr="004D44EC">
        <w:rPr>
          <w:rFonts w:cs="Arial"/>
        </w:rPr>
        <w:fldChar w:fldCharType="separate"/>
      </w:r>
      <w:r w:rsidR="004041E8">
        <w:rPr>
          <w:rFonts w:cs="Arial"/>
          <w:noProof/>
        </w:rPr>
        <w:t>(39)</w:t>
      </w:r>
      <w:r w:rsidR="003E6500" w:rsidRPr="004D44EC">
        <w:rPr>
          <w:rFonts w:cs="Arial"/>
        </w:rPr>
        <w:fldChar w:fldCharType="end"/>
      </w:r>
      <w:r w:rsidR="0029243B" w:rsidRPr="004D44EC">
        <w:rPr>
          <w:rFonts w:cs="Arial"/>
        </w:rPr>
        <w:t>.</w:t>
      </w:r>
    </w:p>
    <w:p w14:paraId="1185592F" w14:textId="2C5A2E0A" w:rsidR="00A52FB3" w:rsidRPr="001C34D7" w:rsidRDefault="002E1CF0" w:rsidP="00A52FB3">
      <w:r w:rsidRPr="004D44EC">
        <w:rPr>
          <w:rFonts w:cs="Arial"/>
        </w:rPr>
        <w:t xml:space="preserve">The approach to identifying infected contacts of </w:t>
      </w:r>
      <w:r w:rsidR="005E2457" w:rsidRPr="004D44EC">
        <w:rPr>
          <w:rFonts w:cs="Arial"/>
        </w:rPr>
        <w:t xml:space="preserve">a </w:t>
      </w:r>
      <w:r w:rsidRPr="004D44EC">
        <w:rPr>
          <w:rFonts w:cs="Arial"/>
        </w:rPr>
        <w:t xml:space="preserve">drug resistant </w:t>
      </w:r>
      <w:r w:rsidR="00D43F11" w:rsidRPr="004D44EC">
        <w:rPr>
          <w:rFonts w:cs="Arial"/>
        </w:rPr>
        <w:t xml:space="preserve">case is the same as set out in </w:t>
      </w:r>
      <w:hyperlink w:anchor="_Contact_management_2" w:history="1">
        <w:r w:rsidR="00D43F11" w:rsidRPr="004D44EC">
          <w:rPr>
            <w:rStyle w:val="Hyperlink"/>
            <w:rFonts w:cs="Arial"/>
          </w:rPr>
          <w:t>S</w:t>
        </w:r>
        <w:r w:rsidRPr="004D44EC">
          <w:rPr>
            <w:rStyle w:val="Hyperlink"/>
            <w:rFonts w:cs="Arial"/>
          </w:rPr>
          <w:t>ection 11</w:t>
        </w:r>
        <w:r w:rsidR="00D43F11" w:rsidRPr="004D44EC">
          <w:rPr>
            <w:rStyle w:val="Hyperlink"/>
            <w:rFonts w:cs="Arial"/>
          </w:rPr>
          <w:t>:</w:t>
        </w:r>
        <w:r w:rsidRPr="004D44EC">
          <w:rPr>
            <w:rStyle w:val="Hyperlink"/>
            <w:rFonts w:cs="Arial"/>
          </w:rPr>
          <w:t xml:space="preserve"> Contact management</w:t>
        </w:r>
      </w:hyperlink>
      <w:r w:rsidRPr="004D44EC">
        <w:rPr>
          <w:rFonts w:cs="Arial"/>
        </w:rPr>
        <w:t>. The risk of infection in contacts of an infectious MDR-TB case is not different than for contacts of drug susceptible cases</w:t>
      </w:r>
      <w:r w:rsidR="00F7219C" w:rsidRPr="004D44EC">
        <w:rPr>
          <w:rFonts w:cs="Arial"/>
        </w:rPr>
        <w:t>;</w:t>
      </w:r>
      <w:r w:rsidRPr="004D44EC">
        <w:rPr>
          <w:rFonts w:cs="Arial"/>
        </w:rPr>
        <w:t xml:space="preserve"> </w:t>
      </w:r>
      <w:r w:rsidR="00F7219C" w:rsidRPr="004D44EC">
        <w:rPr>
          <w:rFonts w:cs="Arial"/>
        </w:rPr>
        <w:t>h</w:t>
      </w:r>
      <w:r w:rsidRPr="004D44EC">
        <w:rPr>
          <w:rFonts w:cs="Arial"/>
        </w:rPr>
        <w:t>owever</w:t>
      </w:r>
      <w:r w:rsidR="00F7219C" w:rsidRPr="004D44EC">
        <w:rPr>
          <w:rFonts w:cs="Arial"/>
        </w:rPr>
        <w:t>,</w:t>
      </w:r>
      <w:r w:rsidRPr="004D44EC">
        <w:rPr>
          <w:rFonts w:cs="Arial"/>
        </w:rPr>
        <w:t xml:space="preserve"> the management of infected contacts </w:t>
      </w:r>
      <w:r w:rsidR="00D03FFC" w:rsidRPr="004D44EC">
        <w:rPr>
          <w:rFonts w:cs="Arial"/>
        </w:rPr>
        <w:t xml:space="preserve">lacks international consensus </w:t>
      </w:r>
      <w:r w:rsidRPr="004D44EC">
        <w:rPr>
          <w:rFonts w:cs="Arial"/>
        </w:rPr>
        <w:t>as there is no proven preventive treatment.</w:t>
      </w:r>
      <w:r w:rsidRPr="001C34D7">
        <w:t xml:space="preserve"> </w:t>
      </w:r>
      <w:r w:rsidR="005E2457" w:rsidRPr="004D44EC">
        <w:rPr>
          <w:rFonts w:cs="Arial"/>
        </w:rPr>
        <w:t>A number of randomised controlled trials are currently in process</w:t>
      </w:r>
      <w:r w:rsidR="00BA326B" w:rsidRPr="004D44EC">
        <w:rPr>
          <w:rFonts w:cs="Arial"/>
        </w:rPr>
        <w:t>, but p</w:t>
      </w:r>
      <w:r w:rsidR="005E2457" w:rsidRPr="004D44EC">
        <w:rPr>
          <w:rFonts w:cs="Arial"/>
        </w:rPr>
        <w:t xml:space="preserve">ending </w:t>
      </w:r>
      <w:r w:rsidR="00C96B34">
        <w:rPr>
          <w:rFonts w:cs="Arial"/>
        </w:rPr>
        <w:t>their</w:t>
      </w:r>
      <w:r w:rsidR="00C96B34" w:rsidRPr="004D44EC">
        <w:rPr>
          <w:rFonts w:cs="Arial"/>
        </w:rPr>
        <w:t xml:space="preserve"> </w:t>
      </w:r>
      <w:r w:rsidR="00BA326B" w:rsidRPr="004D44EC">
        <w:rPr>
          <w:rFonts w:cs="Arial"/>
        </w:rPr>
        <w:t xml:space="preserve">outcome </w:t>
      </w:r>
      <w:r w:rsidR="005E2457" w:rsidRPr="004D44EC">
        <w:rPr>
          <w:rFonts w:cs="Arial"/>
        </w:rPr>
        <w:t>international consensus favour</w:t>
      </w:r>
      <w:r w:rsidR="00BA326B" w:rsidRPr="004D44EC">
        <w:rPr>
          <w:rFonts w:cs="Arial"/>
        </w:rPr>
        <w:t>s</w:t>
      </w:r>
      <w:r w:rsidR="005E2457" w:rsidRPr="004D44EC">
        <w:rPr>
          <w:rFonts w:cs="Arial"/>
        </w:rPr>
        <w:t xml:space="preserve"> a fl</w:t>
      </w:r>
      <w:r w:rsidR="008F6F68" w:rsidRPr="004D44EC">
        <w:rPr>
          <w:rFonts w:cs="Arial"/>
        </w:rPr>
        <w:t>uo</w:t>
      </w:r>
      <w:r w:rsidR="005E2457" w:rsidRPr="004D44EC">
        <w:rPr>
          <w:rFonts w:cs="Arial"/>
        </w:rPr>
        <w:t>roqui</w:t>
      </w:r>
      <w:r w:rsidR="00417172" w:rsidRPr="004D44EC">
        <w:rPr>
          <w:rFonts w:cs="Arial"/>
        </w:rPr>
        <w:t>n</w:t>
      </w:r>
      <w:r w:rsidR="005E2457" w:rsidRPr="004D44EC">
        <w:rPr>
          <w:rFonts w:cs="Arial"/>
        </w:rPr>
        <w:t>olone with or without a second drug for those most at risk</w:t>
      </w:r>
      <w:r w:rsidR="00103049" w:rsidRPr="001C34D7">
        <w:t xml:space="preserve"> </w:t>
      </w:r>
      <w:r w:rsidR="00103049" w:rsidRPr="004D44EC">
        <w:rPr>
          <w:rFonts w:cs="Arial"/>
          <w:sz w:val="24"/>
          <w:szCs w:val="24"/>
        </w:rPr>
        <w:fldChar w:fldCharType="begin"/>
      </w:r>
      <w:r w:rsidR="004041E8">
        <w:rPr>
          <w:rFonts w:cs="Arial"/>
          <w:sz w:val="24"/>
          <w:szCs w:val="24"/>
        </w:rPr>
        <w:instrText xml:space="preserve"> ADDIN EN.CITE &lt;EndNote&gt;&lt;Cite&gt;&lt;Author&gt;Nicholson&lt;/Author&gt;&lt;Year&gt;2015&lt;/Year&gt;&lt;RecNum&gt;41&lt;/RecNum&gt;&lt;DisplayText&gt;(40)&lt;/DisplayText&gt;&lt;record&gt;&lt;rec-number&gt;41&lt;/rec-number&gt;&lt;foreign-keys&gt;&lt;key app="EN" db-id="sr9paxs2qve9wpext2i5swxe50w0rs9dzze2" timestamp="1628681203"&gt;41&lt;/key&gt;&lt;/foreign-keys&gt;&lt;ref-type name="Conference Proceedings"&gt;10&lt;/ref-type&gt;&lt;contributors&gt;&lt;authors&gt;&lt;author&gt;Anna Nicholson&lt;/author&gt;&lt;/authors&gt;&lt;/contributors&gt;&lt;titles&gt;&lt;title&gt;Global consultation on best practices in the delivery of preventive therapy for household contacts of patients with drug-resistant tuberculosis. Proceedings of the Harvard Medical School Center for Global Health Delivery–Dubai &lt;/title&gt;&lt;/titles&gt;&lt;pages&gt;75&lt;/pages&gt;&lt;volume&gt;1&lt;/volume&gt;&lt;number&gt;1&lt;/number&gt;&lt;dates&gt;&lt;year&gt;2015&lt;/year&gt;&lt;/dates&gt;&lt;pub-location&gt;Dubai&lt;/pub-location&gt;&lt;publisher&gt;Harvard Medical School Center for Global Health Delivery Dubai&lt;/publisher&gt;&lt;urls&gt;&lt;related-urls&gt;&lt;url&gt;http://ghd-dubai.hms.harvard.edu/files/ghd_dubai/files/global_consultation_on_best_practices_v1n2april2015.pdf&lt;/url&gt;&lt;/related-urls&gt;&lt;/urls&gt;&lt;custom1&gt;Dubai&lt;/custom1&gt;&lt;/record&gt;&lt;/Cite&gt;&lt;/EndNote&gt;</w:instrText>
      </w:r>
      <w:r w:rsidR="00103049" w:rsidRPr="004D44EC">
        <w:rPr>
          <w:rFonts w:cs="Arial"/>
          <w:sz w:val="24"/>
          <w:szCs w:val="24"/>
        </w:rPr>
        <w:fldChar w:fldCharType="separate"/>
      </w:r>
      <w:r w:rsidR="004041E8">
        <w:rPr>
          <w:rFonts w:cs="Arial"/>
          <w:noProof/>
          <w:sz w:val="24"/>
          <w:szCs w:val="24"/>
        </w:rPr>
        <w:t>(40)</w:t>
      </w:r>
      <w:r w:rsidR="00103049" w:rsidRPr="004D44EC">
        <w:rPr>
          <w:rFonts w:cs="Arial"/>
          <w:sz w:val="24"/>
          <w:szCs w:val="24"/>
        </w:rPr>
        <w:fldChar w:fldCharType="end"/>
      </w:r>
      <w:r w:rsidR="00103049" w:rsidRPr="001C34D7">
        <w:t>.</w:t>
      </w:r>
      <w:r w:rsidR="005E2457" w:rsidRPr="001C34D7">
        <w:t xml:space="preserve"> </w:t>
      </w:r>
      <w:r w:rsidR="005E2457" w:rsidRPr="004D44EC">
        <w:rPr>
          <w:rFonts w:cs="Arial"/>
        </w:rPr>
        <w:t xml:space="preserve">Consultation with jurisdiction TB programme experts should occur before </w:t>
      </w:r>
      <w:r w:rsidR="00C96B34" w:rsidRPr="004D44EC">
        <w:rPr>
          <w:rFonts w:cs="Arial"/>
        </w:rPr>
        <w:t>prevent</w:t>
      </w:r>
      <w:r w:rsidR="00C96B34">
        <w:rPr>
          <w:rFonts w:cs="Arial"/>
        </w:rPr>
        <w:t>ive</w:t>
      </w:r>
      <w:r w:rsidR="00C96B34" w:rsidRPr="004D44EC">
        <w:rPr>
          <w:rFonts w:cs="Arial"/>
        </w:rPr>
        <w:t xml:space="preserve"> </w:t>
      </w:r>
      <w:r w:rsidR="005E2457" w:rsidRPr="004D44EC">
        <w:rPr>
          <w:rFonts w:cs="Arial"/>
        </w:rPr>
        <w:t>therapy for MDR-TB contacts is initiated.</w:t>
      </w:r>
    </w:p>
    <w:p w14:paraId="43BB0BC2" w14:textId="77777777" w:rsidR="002E1CF0" w:rsidRPr="007A4336" w:rsidRDefault="002E1CF0" w:rsidP="00CA7F5E">
      <w:pPr>
        <w:pStyle w:val="Heading2"/>
      </w:pPr>
      <w:bookmarkStart w:id="96" w:name="_Toc97195080"/>
      <w:r w:rsidRPr="007A4336">
        <w:lastRenderedPageBreak/>
        <w:t>TB-HIV coinfection</w:t>
      </w:r>
      <w:bookmarkEnd w:id="96"/>
    </w:p>
    <w:p w14:paraId="79BEE757" w14:textId="696762CA" w:rsidR="00F7219C" w:rsidRPr="004D44EC" w:rsidRDefault="002E1CF0" w:rsidP="00A52FB3">
      <w:pPr>
        <w:rPr>
          <w:rFonts w:cs="Arial"/>
        </w:rPr>
      </w:pPr>
      <w:bookmarkStart w:id="97" w:name="_Hlk82798210"/>
      <w:r w:rsidRPr="008415EB">
        <w:rPr>
          <w:rFonts w:cs="Arial"/>
        </w:rPr>
        <w:t>Globally, TB is the most important opportunistic infection complicating HIV infection and is the leading cause of AIDS-related deaths</w:t>
      </w:r>
      <w:bookmarkEnd w:id="97"/>
      <w:r w:rsidR="001647EA" w:rsidRPr="008415EB">
        <w:rPr>
          <w:rFonts w:cs="Arial"/>
        </w:rPr>
        <w:t xml:space="preserve"> </w:t>
      </w:r>
      <w:r w:rsidR="001647EA" w:rsidRPr="008415EB">
        <w:rPr>
          <w:rFonts w:cs="Arial"/>
        </w:rPr>
        <w:fldChar w:fldCharType="begin">
          <w:fldData xml:space="preserve">PEVuZE5vdGU+PENpdGU+PEF1dGhvcj5NYXJ0aW5zb248L0F1dGhvcj48WWVhcj4yMDExPC9ZZWFy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==
</w:fldData>
        </w:fldChar>
      </w:r>
      <w:r w:rsidR="001647EA" w:rsidRPr="008415EB">
        <w:rPr>
          <w:rFonts w:cs="Arial"/>
        </w:rPr>
        <w:instrText xml:space="preserve"> ADDIN EN.CITE </w:instrText>
      </w:r>
      <w:r w:rsidR="001647EA" w:rsidRPr="008415EB">
        <w:rPr>
          <w:rFonts w:cs="Arial"/>
        </w:rPr>
        <w:fldChar w:fldCharType="begin">
          <w:fldData xml:space="preserve">PEVuZE5vdGU+PENpdGU+PEF1dGhvcj5NYXJ0aW5zb248L0F1dGhvcj48WWVhcj4yMDExPC9ZZWFy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==
</w:fldData>
        </w:fldChar>
      </w:r>
      <w:r w:rsidR="001647EA" w:rsidRPr="008415EB">
        <w:rPr>
          <w:rFonts w:cs="Arial"/>
        </w:rPr>
        <w:instrText xml:space="preserve"> ADDIN EN.CITE.DATA </w:instrText>
      </w:r>
      <w:r w:rsidR="001647EA" w:rsidRPr="008415EB">
        <w:rPr>
          <w:rFonts w:cs="Arial"/>
        </w:rPr>
      </w:r>
      <w:r w:rsidR="001647EA" w:rsidRPr="008415EB">
        <w:rPr>
          <w:rFonts w:cs="Arial"/>
        </w:rPr>
        <w:fldChar w:fldCharType="end"/>
      </w:r>
      <w:r w:rsidR="001647EA" w:rsidRPr="008415EB">
        <w:rPr>
          <w:rFonts w:cs="Arial"/>
        </w:rPr>
      </w:r>
      <w:r w:rsidR="001647EA" w:rsidRPr="008415EB">
        <w:rPr>
          <w:rFonts w:cs="Arial"/>
        </w:rPr>
        <w:fldChar w:fldCharType="separate"/>
      </w:r>
      <w:r w:rsidR="001647EA" w:rsidRPr="008415EB">
        <w:rPr>
          <w:rFonts w:cs="Arial"/>
          <w:noProof/>
        </w:rPr>
        <w:t>(41)</w:t>
      </w:r>
      <w:r w:rsidR="001647EA" w:rsidRPr="008415EB">
        <w:rPr>
          <w:rFonts w:cs="Arial"/>
        </w:rPr>
        <w:fldChar w:fldCharType="end"/>
      </w:r>
      <w:r w:rsidRPr="008415EB">
        <w:rPr>
          <w:rFonts w:cs="Arial"/>
        </w:rPr>
        <w:t>.</w:t>
      </w:r>
      <w:r w:rsidRPr="004D44EC">
        <w:rPr>
          <w:rFonts w:cs="Arial"/>
        </w:rPr>
        <w:t xml:space="preserve"> In Australia, dual infection with HIV and TB is much less common than in developing countries with approximately </w:t>
      </w:r>
      <w:r w:rsidR="008E3739" w:rsidRPr="004D44EC">
        <w:rPr>
          <w:rFonts w:cs="Arial"/>
        </w:rPr>
        <w:t>2</w:t>
      </w:r>
      <w:r w:rsidRPr="004D44EC">
        <w:rPr>
          <w:rFonts w:cs="Arial"/>
        </w:rPr>
        <w:t>% of TB cases with a known HIV test outcome testing positive for HIV</w:t>
      </w:r>
      <w:r w:rsidR="002427CF">
        <w:rPr>
          <w:rFonts w:cs="Arial"/>
        </w:rPr>
        <w:t xml:space="preserve"> </w:t>
      </w:r>
      <w:r w:rsidR="002427CF">
        <w:rPr>
          <w:rFonts w:cs="Arial"/>
        </w:rPr>
        <w:fldChar w:fldCharType="begin"/>
      </w:r>
      <w:r w:rsidR="00342D3C">
        <w:rPr>
          <w:rFonts w:cs="Arial"/>
        </w:rPr>
        <w:instrText xml:space="preserve"> ADDIN EN.CITE &lt;EndNote&gt;&lt;Cite&gt;&lt;Author&gt;Bright&lt;/Author&gt;&lt;Year&gt;2018&lt;/Year&gt;&lt;RecNum&gt;6&lt;/RecNum&gt;&lt;DisplayText&gt;(6)&lt;/DisplayText&gt;&lt;record&gt;&lt;rec-number&gt;6&lt;/rec-number&gt;&lt;foreign-keys&gt;&lt;key app="EN" db-id="sr9paxs2qve9wpext2i5swxe50w0rs9dzze2" timestamp="1628681197"&gt;6&lt;/key&gt;&lt;/foreign-keys&gt;&lt;ref-type name="Journal Article"&gt;17&lt;/ref-type&gt;&lt;contributors&gt;&lt;authors&gt;&lt;author&gt;Bright, A.&lt;/author&gt;&lt;author&gt;Denholm, J.&lt;/author&gt;&lt;author&gt;Coulter, C.&lt;/author&gt;&lt;author&gt;Waring, J.&lt;/author&gt;&lt;author&gt;Stapledon, R.&lt;/author&gt;&lt;/authors&gt;&lt;/contributors&gt;&lt;auth-address&gt;Office of Health Protection and Response Division, Department of Health, Canberra, ACT.&amp;#xD;Victorian Tuberculosis Program, Melbourne Health, Melbourne Vic.&amp;#xD;Queensland Mycobacterium Reference Laboratory, Pathology Queensland, Brisbane Qld.&amp;#xD;Western Australia Tuberculosis Program, WA Health, Perth WA.&amp;#xD;South Australian Tuberculosis Services, Royal Adelaide Hospital, Adelaide SA.&lt;/auth-address&gt;&lt;titles&gt;&lt;title&gt;Tuberculosis notifications in Australia, 2015-2018&lt;/title&gt;&lt;secondary-title&gt;Communicable Diseases Intelligence.&lt;/secondary-title&gt;&lt;/titles&gt;&lt;periodical&gt;&lt;full-title&gt;Communicable Diseases Intelligence.&lt;/full-title&gt;&lt;/periodical&gt;&lt;pages&gt;1-39&lt;/pages&gt;&lt;volume&gt;44&lt;/volume&gt;&lt;edition&gt;2020/12/07&lt;/edition&gt;&lt;keywords&gt;&lt;keyword&gt;Australia&lt;/keyword&gt;&lt;keyword&gt;Mycobacterium tuberculosis&lt;/keyword&gt;&lt;keyword&gt;annual report&lt;/keyword&gt;&lt;keyword&gt;communicable disease surveillance&lt;/keyword&gt;&lt;keyword&gt;epidemiology&lt;/keyword&gt;&lt;keyword&gt;tuberculosis&lt;/keyword&gt;&lt;/keywords&gt;&lt;dates&gt;&lt;year&gt;2018&lt;/year&gt;&lt;pub-dates&gt;&lt;date&gt;Oct 25&lt;/date&gt;&lt;/pub-dates&gt;&lt;/dates&gt;&lt;isbn&gt;2209-6051 (Electronic)&amp;#xD;2209-6051 (Linking)&lt;/isbn&gt;&lt;accession-num&gt;33278873&lt;/accession-num&gt;&lt;urls&gt;&lt;related-urls&gt;&lt;url&gt;https://www.ncbi.nlm.nih.gov/pubmed/33278873&lt;/url&gt;&lt;/related-urls&gt;&lt;/urls&gt;&lt;electronic-resource-num&gt;10.33321/cdi.2020.44.88&lt;/electronic-resource-num&gt;&lt;/record&gt;&lt;/Cite&gt;&lt;/EndNote&gt;</w:instrText>
      </w:r>
      <w:r w:rsidR="002427CF">
        <w:rPr>
          <w:rFonts w:cs="Arial"/>
        </w:rPr>
        <w:fldChar w:fldCharType="separate"/>
      </w:r>
      <w:r w:rsidR="002427CF">
        <w:rPr>
          <w:rFonts w:cs="Arial"/>
          <w:noProof/>
        </w:rPr>
        <w:t>(6)</w:t>
      </w:r>
      <w:r w:rsidR="002427CF">
        <w:rPr>
          <w:rFonts w:cs="Arial"/>
        </w:rPr>
        <w:fldChar w:fldCharType="end"/>
      </w:r>
      <w:r w:rsidR="002427CF">
        <w:rPr>
          <w:rFonts w:cs="Arial"/>
        </w:rPr>
        <w:t>.</w:t>
      </w:r>
      <w:r w:rsidRPr="004D44EC">
        <w:rPr>
          <w:rFonts w:cs="Arial"/>
        </w:rPr>
        <w:t xml:space="preserve"> The interaction between HIV and TB infection is bidirectional. People with HIV infection are predisposed to reactivation of LTBI as well as rapid progression of recently acquired infection. The rate of progression from LT</w:t>
      </w:r>
      <w:r w:rsidR="00816D7F" w:rsidRPr="004D44EC">
        <w:rPr>
          <w:rFonts w:cs="Arial"/>
        </w:rPr>
        <w:t>BI to active TB is as high as 5–10% per year compared to 5–</w:t>
      </w:r>
      <w:r w:rsidR="00847DC9" w:rsidRPr="004D44EC">
        <w:rPr>
          <w:rFonts w:cs="Arial"/>
        </w:rPr>
        <w:t>15</w:t>
      </w:r>
      <w:r w:rsidRPr="004D44EC">
        <w:rPr>
          <w:rFonts w:cs="Arial"/>
        </w:rPr>
        <w:t>% over a lifetime in those without HIV infection</w:t>
      </w:r>
      <w:r w:rsidR="00A77C5C" w:rsidRPr="004D44EC">
        <w:rPr>
          <w:rFonts w:cs="Arial"/>
        </w:rPr>
        <w:t xml:space="preserve"> </w:t>
      </w:r>
      <w:r w:rsidR="00A77C5C" w:rsidRPr="004D44EC">
        <w:rPr>
          <w:rFonts w:cs="Arial"/>
        </w:rPr>
        <w:fldChar w:fldCharType="begin"/>
      </w:r>
      <w:r w:rsidR="001647EA">
        <w:rPr>
          <w:rFonts w:cs="Arial"/>
        </w:rPr>
        <w:instrText xml:space="preserve"> ADDIN EN.CITE &lt;EndNote&gt;&lt;Cite&gt;&lt;Author&gt;World Health Organization&lt;/Author&gt;&lt;Year&gt;2018&lt;/Year&gt;&lt;RecNum&gt;42&lt;/RecNum&gt;&lt;DisplayText&gt;(42)&lt;/DisplayText&gt;&lt;record&gt;&lt;rec-number&gt;42&lt;/rec-number&gt;&lt;foreign-keys&gt;&lt;key app="EN" db-id="sr9paxs2qve9wpext2i5swxe50w0rs9dzze2" timestamp="1628681203"&gt;42&lt;/key&gt;&lt;/foreign-keys&gt;&lt;ref-type name="Pamphlet"&gt;24&lt;/ref-type&gt;&lt;contributors&gt;&lt;authors&gt;&lt;author&gt;World Health Organization,&lt;/author&gt;&lt;/authors&gt;&lt;secondary-authors&gt;&lt;author&gt;World Health Organization&lt;/author&gt;&lt;/secondary-authors&gt;&lt;/contributors&gt;&lt;titles&gt;&lt;title&gt;Latent TB Infection&lt;/title&gt;&lt;/titles&gt;&lt;section&gt;2&lt;/section&gt;&lt;dates&gt;&lt;year&gt;2018&lt;/year&gt;&lt;pub-dates&gt;&lt;date&gt;September 2018&lt;/date&gt;&lt;/pub-dates&gt;&lt;/dates&gt;&lt;pub-location&gt;Geneva&lt;/pub-location&gt;&lt;publisher&gt;World Health Organization&lt;/publisher&gt;&lt;urls&gt;&lt;related-urls&gt;&lt;url&gt;https://www.who.int/tb/areas-of-work/preventive-care/ltbi/LTBI_Fact-sheet_5Sept18.pdf?ua=1&lt;/url&gt;&lt;/related-urls&gt;&lt;/urls&gt;&lt;access-date&gt;16/01/2020&lt;/access-date&gt;&lt;/record&gt;&lt;/Cite&gt;&lt;/EndNote&gt;</w:instrText>
      </w:r>
      <w:r w:rsidR="00A77C5C" w:rsidRPr="004D44EC">
        <w:rPr>
          <w:rFonts w:cs="Arial"/>
        </w:rPr>
        <w:fldChar w:fldCharType="separate"/>
      </w:r>
      <w:r w:rsidR="001647EA">
        <w:rPr>
          <w:rFonts w:cs="Arial"/>
          <w:noProof/>
        </w:rPr>
        <w:t>(42)</w:t>
      </w:r>
      <w:r w:rsidR="00A77C5C" w:rsidRPr="004D44EC">
        <w:rPr>
          <w:rFonts w:cs="Arial"/>
        </w:rPr>
        <w:fldChar w:fldCharType="end"/>
      </w:r>
      <w:r w:rsidRPr="004D44EC">
        <w:rPr>
          <w:rFonts w:cs="Arial"/>
        </w:rPr>
        <w:t xml:space="preserve">. TB also impacts on the course of HIV infection. </w:t>
      </w:r>
    </w:p>
    <w:p w14:paraId="2BBDFAF4" w14:textId="26AB67AA" w:rsidR="002E1CF0" w:rsidRDefault="002E1CF0" w:rsidP="00A52FB3">
      <w:pPr>
        <w:rPr>
          <w:rFonts w:cs="Arial"/>
        </w:rPr>
      </w:pPr>
      <w:r w:rsidRPr="004D44EC">
        <w:rPr>
          <w:rFonts w:cs="Arial"/>
        </w:rPr>
        <w:t>TB can be the initial manifestation of unrecognised HIV infection</w:t>
      </w:r>
      <w:r w:rsidR="005A4971" w:rsidRPr="004D44EC">
        <w:rPr>
          <w:rFonts w:cs="Arial"/>
        </w:rPr>
        <w:t xml:space="preserve">. </w:t>
      </w:r>
      <w:r w:rsidR="005E2457" w:rsidRPr="004D44EC">
        <w:rPr>
          <w:rFonts w:cs="Arial"/>
        </w:rPr>
        <w:t>All p</w:t>
      </w:r>
      <w:r w:rsidRPr="004D44EC">
        <w:rPr>
          <w:rFonts w:cs="Arial"/>
        </w:rPr>
        <w:t xml:space="preserve">atients with newly diagnosed TB should be </w:t>
      </w:r>
      <w:r w:rsidR="005A4971" w:rsidRPr="004D44EC">
        <w:rPr>
          <w:rFonts w:cs="Arial"/>
        </w:rPr>
        <w:t>tested for HIV</w:t>
      </w:r>
      <w:r w:rsidRPr="004D44EC">
        <w:rPr>
          <w:rFonts w:cs="Arial"/>
        </w:rPr>
        <w:t xml:space="preserve">. The care of TB-HIV coinfected cases should be referred to </w:t>
      </w:r>
      <w:r w:rsidR="00534341">
        <w:rPr>
          <w:rFonts w:cs="Arial"/>
        </w:rPr>
        <w:t>a</w:t>
      </w:r>
      <w:r w:rsidR="00864127">
        <w:rPr>
          <w:rFonts w:cs="Arial"/>
        </w:rPr>
        <w:t>n</w:t>
      </w:r>
      <w:r w:rsidR="00534341">
        <w:rPr>
          <w:rFonts w:cs="Arial"/>
        </w:rPr>
        <w:t xml:space="preserve"> </w:t>
      </w:r>
      <w:r w:rsidRPr="004D44EC">
        <w:rPr>
          <w:rFonts w:cs="Arial"/>
        </w:rPr>
        <w:t xml:space="preserve">HIV specialist with TB experience. </w:t>
      </w:r>
      <w:r w:rsidR="00847DC9" w:rsidRPr="004D44EC">
        <w:rPr>
          <w:rFonts w:cs="Arial"/>
        </w:rPr>
        <w:t>Drug-drug interactions require careful consideration.</w:t>
      </w:r>
      <w:r w:rsidR="00417172" w:rsidRPr="004D44EC">
        <w:rPr>
          <w:rFonts w:cs="Arial"/>
        </w:rPr>
        <w:t xml:space="preserve"> </w:t>
      </w:r>
      <w:r w:rsidRPr="004D44EC">
        <w:rPr>
          <w:rFonts w:cs="Arial"/>
        </w:rPr>
        <w:t xml:space="preserve">The public health management of these cases is essentially the same as outlined in </w:t>
      </w:r>
      <w:hyperlink w:anchor="_Case_management_4" w:history="1">
        <w:r w:rsidR="00F7219C" w:rsidRPr="004D44EC">
          <w:rPr>
            <w:rStyle w:val="Hyperlink"/>
            <w:rFonts w:cs="Arial"/>
          </w:rPr>
          <w:t>S</w:t>
        </w:r>
        <w:r w:rsidRPr="004D44EC">
          <w:rPr>
            <w:rStyle w:val="Hyperlink"/>
            <w:rFonts w:cs="Arial"/>
          </w:rPr>
          <w:t>ection 9</w:t>
        </w:r>
        <w:r w:rsidR="00F7219C" w:rsidRPr="004D44EC">
          <w:rPr>
            <w:rStyle w:val="Hyperlink"/>
            <w:rFonts w:cs="Arial"/>
          </w:rPr>
          <w:t>: Case management</w:t>
        </w:r>
      </w:hyperlink>
      <w:r w:rsidR="00F7219C" w:rsidRPr="004D44EC">
        <w:rPr>
          <w:rFonts w:cs="Arial"/>
        </w:rPr>
        <w:t xml:space="preserve"> and </w:t>
      </w:r>
      <w:hyperlink w:anchor="_Contact_management_1" w:history="1">
        <w:r w:rsidR="00F7219C" w:rsidRPr="004D44EC">
          <w:rPr>
            <w:rStyle w:val="Hyperlink"/>
            <w:rFonts w:cs="Arial"/>
          </w:rPr>
          <w:t>S</w:t>
        </w:r>
        <w:r w:rsidRPr="004D44EC">
          <w:rPr>
            <w:rStyle w:val="Hyperlink"/>
            <w:rFonts w:cs="Arial"/>
          </w:rPr>
          <w:t>ection 11</w:t>
        </w:r>
        <w:r w:rsidR="00F7219C" w:rsidRPr="004D44EC">
          <w:rPr>
            <w:rStyle w:val="Hyperlink"/>
            <w:rFonts w:cs="Arial"/>
          </w:rPr>
          <w:t>:</w:t>
        </w:r>
        <w:r w:rsidRPr="004D44EC">
          <w:rPr>
            <w:rStyle w:val="Hyperlink"/>
            <w:rFonts w:cs="Arial"/>
          </w:rPr>
          <w:t xml:space="preserve"> Contact management</w:t>
        </w:r>
      </w:hyperlink>
      <w:r w:rsidRPr="004D44EC">
        <w:rPr>
          <w:rFonts w:cs="Arial"/>
        </w:rPr>
        <w:t xml:space="preserve">. </w:t>
      </w:r>
    </w:p>
    <w:p w14:paraId="32513058" w14:textId="77777777" w:rsidR="002E1CF0" w:rsidRPr="007A4336" w:rsidRDefault="002E1CF0" w:rsidP="00CA7F5E">
      <w:pPr>
        <w:pStyle w:val="Heading2"/>
      </w:pPr>
      <w:bookmarkStart w:id="98" w:name="_Toc97195081"/>
      <w:r w:rsidRPr="00AE6202">
        <w:t>TB in children</w:t>
      </w:r>
      <w:bookmarkEnd w:id="98"/>
    </w:p>
    <w:p w14:paraId="6FB8614E" w14:textId="77777777" w:rsidR="002E1CF0" w:rsidRPr="004D44EC" w:rsidRDefault="002E1CF0" w:rsidP="00993C7C">
      <w:pPr>
        <w:rPr>
          <w:rFonts w:cs="Arial"/>
        </w:rPr>
      </w:pPr>
      <w:r w:rsidRPr="004D44EC">
        <w:rPr>
          <w:rFonts w:cs="Arial"/>
        </w:rPr>
        <w:t>TB in children is different to adult TB in the following ways:</w:t>
      </w:r>
    </w:p>
    <w:p w14:paraId="0F79D62A" w14:textId="0799AB0F" w:rsidR="002E1CF0" w:rsidRPr="003031A7" w:rsidRDefault="00D34A05" w:rsidP="00AA59D5">
      <w:pPr>
        <w:pStyle w:val="ListNumber2"/>
        <w:numPr>
          <w:ilvl w:val="0"/>
          <w:numId w:val="30"/>
        </w:numPr>
      </w:pPr>
      <w:r w:rsidRPr="004D44EC">
        <w:t>I</w:t>
      </w:r>
      <w:r w:rsidR="002E1CF0" w:rsidRPr="004D44EC">
        <w:t xml:space="preserve">nfection is more </w:t>
      </w:r>
      <w:r w:rsidR="002E1CF0" w:rsidRPr="003031A7">
        <w:t>likely to progress to active TB</w:t>
      </w:r>
      <w:r w:rsidR="00F7219C" w:rsidRPr="003031A7">
        <w:t>,</w:t>
      </w:r>
      <w:r w:rsidR="002E1CF0" w:rsidRPr="003031A7">
        <w:t xml:space="preserve"> especially in infants and young children (&lt;5 years of age). The younger the child when infected, the greater the risk of disease progression. </w:t>
      </w:r>
      <w:proofErr w:type="gramStart"/>
      <w:r w:rsidR="00E90D2D" w:rsidRPr="003031A7">
        <w:t>The vast majority of</w:t>
      </w:r>
      <w:proofErr w:type="gramEnd"/>
      <w:r w:rsidR="00E90D2D" w:rsidRPr="003031A7">
        <w:t xml:space="preserve"> </w:t>
      </w:r>
      <w:r w:rsidR="002E1CF0" w:rsidRPr="003031A7">
        <w:t xml:space="preserve">cases will present within </w:t>
      </w:r>
      <w:r w:rsidR="005E2457" w:rsidRPr="003031A7">
        <w:t>1</w:t>
      </w:r>
      <w:r w:rsidR="00955333" w:rsidRPr="003031A7">
        <w:t xml:space="preserve"> </w:t>
      </w:r>
      <w:r w:rsidR="002E1CF0" w:rsidRPr="003031A7">
        <w:t xml:space="preserve">year after </w:t>
      </w:r>
      <w:r w:rsidR="00E90D2D" w:rsidRPr="003031A7">
        <w:t xml:space="preserve">primary </w:t>
      </w:r>
      <w:r w:rsidR="002E1CF0" w:rsidRPr="003031A7">
        <w:t xml:space="preserve">infection. </w:t>
      </w:r>
    </w:p>
    <w:p w14:paraId="5019C13B" w14:textId="794775B8" w:rsidR="002E1CF0" w:rsidRPr="003031A7" w:rsidRDefault="00D34A05" w:rsidP="003031A7">
      <w:pPr>
        <w:pStyle w:val="ListNumber2"/>
      </w:pPr>
      <w:r w:rsidRPr="003031A7">
        <w:t>I</w:t>
      </w:r>
      <w:r w:rsidR="002E1CF0" w:rsidRPr="003031A7">
        <w:t xml:space="preserve">nfection is more likely to result in disseminated disease and so extra-pulmonary TB is relatively more common in </w:t>
      </w:r>
      <w:r w:rsidR="00E90D2D" w:rsidRPr="003031A7">
        <w:t xml:space="preserve">young </w:t>
      </w:r>
      <w:r w:rsidR="002E1CF0" w:rsidRPr="003031A7">
        <w:t xml:space="preserve">children. BCG reduces the risk of severe forms of disseminated disease such as TB meningitis. </w:t>
      </w:r>
    </w:p>
    <w:p w14:paraId="0716C237" w14:textId="7D1C8714" w:rsidR="002E1CF0" w:rsidRPr="003031A7" w:rsidRDefault="00D34A05" w:rsidP="003031A7">
      <w:pPr>
        <w:pStyle w:val="ListNumber2"/>
      </w:pPr>
      <w:r w:rsidRPr="003031A7">
        <w:t>C</w:t>
      </w:r>
      <w:r w:rsidR="002E1CF0" w:rsidRPr="003031A7">
        <w:t xml:space="preserve">hildhood TB is usually </w:t>
      </w:r>
      <w:r w:rsidR="003C1663" w:rsidRPr="003031A7">
        <w:t xml:space="preserve">paucibacillary </w:t>
      </w:r>
      <w:r w:rsidR="00E90D2D" w:rsidRPr="003031A7">
        <w:t>and rarely contagious, unless lung cavities develop, which is common in adolescents</w:t>
      </w:r>
      <w:r w:rsidR="003C1663" w:rsidRPr="003031A7">
        <w:t>.</w:t>
      </w:r>
      <w:r w:rsidR="00F7219C" w:rsidRPr="003031A7">
        <w:t xml:space="preserve"> </w:t>
      </w:r>
      <w:r w:rsidR="003C1663" w:rsidRPr="003031A7">
        <w:t>A</w:t>
      </w:r>
      <w:r w:rsidR="002E1CF0" w:rsidRPr="003031A7">
        <w:t>dolescents are</w:t>
      </w:r>
      <w:r w:rsidR="003C1663" w:rsidRPr="003031A7">
        <w:t xml:space="preserve"> </w:t>
      </w:r>
      <w:r w:rsidR="002E1CF0" w:rsidRPr="003031A7">
        <w:t>at increased risk of TB compared to other children</w:t>
      </w:r>
      <w:r w:rsidR="003C1663" w:rsidRPr="003031A7">
        <w:t xml:space="preserve"> </w:t>
      </w:r>
      <w:r w:rsidR="00024C6B" w:rsidRPr="003031A7">
        <w:t xml:space="preserve">(except where &lt; 5years of age) </w:t>
      </w:r>
      <w:r w:rsidR="00E90D2D" w:rsidRPr="003031A7">
        <w:t xml:space="preserve">and </w:t>
      </w:r>
      <w:r w:rsidR="002E1CF0" w:rsidRPr="003031A7">
        <w:t xml:space="preserve">usually present with disease </w:t>
      </w:r>
      <w:proofErr w:type="gramStart"/>
      <w:r w:rsidR="002E1CF0" w:rsidRPr="003031A7">
        <w:t>similar to</w:t>
      </w:r>
      <w:proofErr w:type="gramEnd"/>
      <w:r w:rsidR="002E1CF0" w:rsidRPr="003031A7">
        <w:t xml:space="preserve"> adults.</w:t>
      </w:r>
    </w:p>
    <w:p w14:paraId="0F2559ED" w14:textId="269E5C9A" w:rsidR="002E1CF0" w:rsidRPr="003031A7" w:rsidRDefault="00D34A05" w:rsidP="003031A7">
      <w:pPr>
        <w:pStyle w:val="ListNumber2"/>
      </w:pPr>
      <w:r w:rsidRPr="003031A7">
        <w:t>D</w:t>
      </w:r>
      <w:r w:rsidR="002E1CF0" w:rsidRPr="003031A7">
        <w:t xml:space="preserve">iagnosis of TB in children can be more difficult to confirm </w:t>
      </w:r>
      <w:r w:rsidR="00E90D2D" w:rsidRPr="003031A7">
        <w:t xml:space="preserve">bacteriologically, </w:t>
      </w:r>
      <w:r w:rsidR="002E1CF0" w:rsidRPr="003031A7">
        <w:t xml:space="preserve">because it is usually paucibacillary and it can be challenging to obtain </w:t>
      </w:r>
      <w:r w:rsidR="00E90D2D" w:rsidRPr="003031A7">
        <w:t xml:space="preserve">adequate </w:t>
      </w:r>
      <w:r w:rsidR="002E1CF0" w:rsidRPr="003031A7">
        <w:t>respiratory specimens for laboratory examination from young children.</w:t>
      </w:r>
      <w:r w:rsidR="00091C9A" w:rsidRPr="003031A7">
        <w:t xml:space="preserve"> </w:t>
      </w:r>
      <w:r w:rsidR="00E90D2D" w:rsidRPr="003031A7">
        <w:t xml:space="preserve">Bacteriological confirmation should always be pursued by collecting appropriate specimens, especially for evaluation by </w:t>
      </w:r>
      <w:proofErr w:type="spellStart"/>
      <w:r w:rsidR="00E90D2D" w:rsidRPr="003031A7">
        <w:t>Xpert</w:t>
      </w:r>
      <w:proofErr w:type="spellEnd"/>
      <w:r w:rsidR="00E90D2D" w:rsidRPr="003031A7">
        <w:t xml:space="preserve"> Ultra and/or culture, but treatment initiation should not be delayed until </w:t>
      </w:r>
      <w:r w:rsidR="004F39C8" w:rsidRPr="003031A7">
        <w:t>all results are known</w:t>
      </w:r>
      <w:r w:rsidR="00E90D2D" w:rsidRPr="003031A7">
        <w:t>.</w:t>
      </w:r>
    </w:p>
    <w:p w14:paraId="26F79771" w14:textId="483ABCF3" w:rsidR="002E1CF0" w:rsidRPr="004D44EC" w:rsidRDefault="002E1CF0" w:rsidP="002E1CF0">
      <w:pPr>
        <w:rPr>
          <w:rFonts w:cs="Arial"/>
        </w:rPr>
      </w:pPr>
      <w:r w:rsidRPr="004D44EC">
        <w:rPr>
          <w:rFonts w:cs="Arial"/>
        </w:rPr>
        <w:t xml:space="preserve">The care of a child suspected of having TB should involve a clinician experienced in the management of TB in children. The public health management is essentially the same as outlined in </w:t>
      </w:r>
      <w:hyperlink w:anchor="_Case_management_4" w:history="1">
        <w:r w:rsidR="003C1663" w:rsidRPr="004D44EC">
          <w:rPr>
            <w:rStyle w:val="Hyperlink"/>
            <w:rFonts w:cs="Arial"/>
          </w:rPr>
          <w:t>Section 9: Case management</w:t>
        </w:r>
      </w:hyperlink>
      <w:r w:rsidR="003C1663" w:rsidRPr="004D44EC">
        <w:rPr>
          <w:rFonts w:cs="Arial"/>
        </w:rPr>
        <w:t xml:space="preserve"> and </w:t>
      </w:r>
      <w:hyperlink w:anchor="_Contact_management_1" w:history="1">
        <w:r w:rsidR="003C1663" w:rsidRPr="004D44EC">
          <w:rPr>
            <w:rStyle w:val="Hyperlink"/>
            <w:rFonts w:cs="Arial"/>
          </w:rPr>
          <w:t>Section 11: Contact management</w:t>
        </w:r>
      </w:hyperlink>
      <w:r w:rsidR="003C1663" w:rsidRPr="004D44EC">
        <w:rPr>
          <w:rFonts w:cs="Arial"/>
        </w:rPr>
        <w:t xml:space="preserve">, </w:t>
      </w:r>
      <w:r w:rsidRPr="004D44EC">
        <w:rPr>
          <w:rFonts w:cs="Arial"/>
        </w:rPr>
        <w:t xml:space="preserve">with the recognition that contact tracing of children is mainly done to identify </w:t>
      </w:r>
      <w:r w:rsidR="00AE0DF2" w:rsidRPr="004D44EC">
        <w:rPr>
          <w:rFonts w:cs="Arial"/>
        </w:rPr>
        <w:t xml:space="preserve">the </w:t>
      </w:r>
      <w:r w:rsidR="005E2457" w:rsidRPr="004D44EC">
        <w:rPr>
          <w:rFonts w:cs="Arial"/>
        </w:rPr>
        <w:t xml:space="preserve">source case. </w:t>
      </w:r>
      <w:r w:rsidR="0046523A" w:rsidRPr="004D44EC">
        <w:rPr>
          <w:rFonts w:cs="Arial"/>
        </w:rPr>
        <w:t>T</w:t>
      </w:r>
      <w:r w:rsidRPr="004D44EC">
        <w:rPr>
          <w:rFonts w:cs="Arial"/>
        </w:rPr>
        <w:t>reating children with LTBI is indicated to reduce the risk of developing disease</w:t>
      </w:r>
      <w:r w:rsidR="003C1663" w:rsidRPr="004D44EC">
        <w:rPr>
          <w:rFonts w:cs="Arial"/>
        </w:rPr>
        <w:t>,</w:t>
      </w:r>
      <w:r w:rsidRPr="004D44EC">
        <w:rPr>
          <w:rFonts w:cs="Arial"/>
        </w:rPr>
        <w:t xml:space="preserve"> both immediately after acquiring the infection (particularly in children &lt;5 years of age) and to reduce their lifelong risk of developing </w:t>
      </w:r>
      <w:r w:rsidR="004F39C8" w:rsidRPr="004D44EC">
        <w:rPr>
          <w:rFonts w:cs="Arial"/>
        </w:rPr>
        <w:t xml:space="preserve">future </w:t>
      </w:r>
      <w:r w:rsidRPr="004D44EC">
        <w:rPr>
          <w:rFonts w:cs="Arial"/>
        </w:rPr>
        <w:t>disease</w:t>
      </w:r>
      <w:r w:rsidR="004F39C8" w:rsidRPr="004D44EC">
        <w:rPr>
          <w:rFonts w:cs="Arial"/>
        </w:rPr>
        <w:t xml:space="preserve"> reactivation</w:t>
      </w:r>
      <w:r w:rsidRPr="004D44EC">
        <w:rPr>
          <w:rFonts w:cs="Arial"/>
        </w:rPr>
        <w:t xml:space="preserve">. </w:t>
      </w:r>
    </w:p>
    <w:p w14:paraId="03798253" w14:textId="77777777" w:rsidR="002E1CF0" w:rsidRPr="007A4336" w:rsidRDefault="003C1663" w:rsidP="00CA7F5E">
      <w:pPr>
        <w:pStyle w:val="Heading2"/>
      </w:pPr>
      <w:bookmarkStart w:id="99" w:name="_TB_in_healthcare"/>
      <w:bookmarkStart w:id="100" w:name="_TB_in_healthcare_1"/>
      <w:bookmarkStart w:id="101" w:name="_Toc97195082"/>
      <w:bookmarkEnd w:id="99"/>
      <w:bookmarkEnd w:id="100"/>
      <w:r w:rsidRPr="00AE6202">
        <w:t>TB in health</w:t>
      </w:r>
      <w:r w:rsidR="002E1CF0" w:rsidRPr="00AE6202">
        <w:t>care facilities</w:t>
      </w:r>
      <w:bookmarkEnd w:id="101"/>
    </w:p>
    <w:p w14:paraId="67896D70" w14:textId="2776BF08" w:rsidR="00717C43" w:rsidRPr="004D44EC" w:rsidRDefault="002E1CF0" w:rsidP="006246AC">
      <w:pPr>
        <w:rPr>
          <w:rFonts w:cs="Arial"/>
        </w:rPr>
      </w:pPr>
      <w:r w:rsidRPr="004D44EC">
        <w:rPr>
          <w:rFonts w:cs="Arial"/>
        </w:rPr>
        <w:t xml:space="preserve">Nosocomial transmission of TB can occur, particularly </w:t>
      </w:r>
      <w:r w:rsidR="004F39C8" w:rsidRPr="004D44EC">
        <w:rPr>
          <w:rFonts w:cs="Arial"/>
        </w:rPr>
        <w:t>when</w:t>
      </w:r>
      <w:r w:rsidRPr="004D44EC">
        <w:rPr>
          <w:rFonts w:cs="Arial"/>
        </w:rPr>
        <w:t xml:space="preserve"> diagnosis is delayed. </w:t>
      </w:r>
      <w:r w:rsidR="00085201" w:rsidRPr="004D44EC">
        <w:rPr>
          <w:rFonts w:cs="Arial"/>
        </w:rPr>
        <w:t xml:space="preserve">Early detection is the most effective measure to control TB in healthcare settings. </w:t>
      </w:r>
      <w:r w:rsidRPr="004D44EC">
        <w:rPr>
          <w:rFonts w:cs="Arial"/>
        </w:rPr>
        <w:t xml:space="preserve">It is important that a high index of suspicion for TB is maintained, particularly in patients with respiratory symptoms and belonging to a high-risk group for TB, such as </w:t>
      </w:r>
      <w:r w:rsidR="006246AC" w:rsidRPr="004D44EC">
        <w:rPr>
          <w:rFonts w:cs="Arial"/>
        </w:rPr>
        <w:t xml:space="preserve">new arrivals and recently returned travellers from high incidence countries, contacts of an active case within the past 5 years, those with a history of previous TB treatment, </w:t>
      </w:r>
      <w:r w:rsidR="00847DC9" w:rsidRPr="004D44EC">
        <w:rPr>
          <w:rFonts w:cs="Arial"/>
        </w:rPr>
        <w:t xml:space="preserve">Aboriginal and Torres Strait Islander persons </w:t>
      </w:r>
      <w:r w:rsidR="006246AC" w:rsidRPr="004D44EC">
        <w:rPr>
          <w:rFonts w:cs="Arial"/>
        </w:rPr>
        <w:t xml:space="preserve">in localised areas </w:t>
      </w:r>
      <w:r w:rsidR="006246AC" w:rsidRPr="004D44EC">
        <w:rPr>
          <w:rFonts w:cs="Arial"/>
        </w:rPr>
        <w:lastRenderedPageBreak/>
        <w:t>(e.g. in parts of the Northern Territory and Queensland), patients with HIV or other immunocompromised states, and elderly Australians</w:t>
      </w:r>
      <w:r w:rsidR="006E692C" w:rsidRPr="004D44EC">
        <w:rPr>
          <w:rFonts w:cs="Arial"/>
        </w:rPr>
        <w:t xml:space="preserve"> </w:t>
      </w:r>
      <w:r w:rsidR="006246AC" w:rsidRPr="004D44EC">
        <w:rPr>
          <w:rFonts w:cs="Arial"/>
        </w:rPr>
        <w:fldChar w:fldCharType="begin"/>
      </w:r>
      <w:r w:rsidR="004041E8">
        <w:rPr>
          <w:rFonts w:cs="Arial"/>
        </w:rPr>
        <w:instrText xml:space="preserve"> ADDIN EN.CITE &lt;EndNote&gt;&lt;Cite&gt;&lt;Author&gt;Coulter&lt;/Author&gt;&lt;Year&gt;2016&lt;/Year&gt;&lt;RecNum&gt;33&lt;/RecNum&gt;&lt;DisplayText&gt;(32)&lt;/DisplayText&gt;&lt;record&gt;&lt;rec-number&gt;33&lt;/rec-number&gt;&lt;foreign-keys&gt;&lt;key app="EN" db-id="sr9paxs2qve9wpext2i5swxe50w0rs9dzze2" timestamp="1628681201"&gt;33&lt;/key&gt;&lt;/foreign-keys&gt;&lt;ref-type name="Journal Article"&gt;17&lt;/ref-type&gt;&lt;contributors&gt;&lt;authors&gt;&lt;author&gt;Coulter, Chris&lt;/author&gt;&lt;author&gt;and the National Tuberculosis Advisory Committee,&lt;/author&gt;&lt;/authors&gt;&lt;/contributors&gt;&lt;titles&gt;&lt;title&gt;Infection control guidelines for the management of patients with suspected or confirmed pulmonary tuberculosis in healthcare settings&lt;/title&gt;&lt;secondary-title&gt;Communicable Diseases Intelligence&lt;/secondary-title&gt;&lt;/titles&gt;&lt;periodical&gt;&lt;full-title&gt;Communicable Diseases Intelligence&lt;/full-title&gt;&lt;/periodical&gt;&lt;pages&gt;E360-6&lt;/pages&gt;&lt;volume&gt;40&lt;/volume&gt;&lt;number&gt;3&lt;/number&gt;&lt;dates&gt;&lt;year&gt;2016&lt;/year&gt;&lt;/dates&gt;&lt;isbn&gt;1447-4514&lt;/isbn&gt;&lt;urls&gt;&lt;related-urls&gt;&lt;url&gt;http://www.health.gov.au/internet/main/publishing.nsf/Content/cda-cdi4003i.htm&lt;/url&gt;&lt;/related-urls&gt;&lt;/urls&gt;&lt;/record&gt;&lt;/Cite&gt;&lt;/EndNote&gt;</w:instrText>
      </w:r>
      <w:r w:rsidR="006246AC" w:rsidRPr="004D44EC">
        <w:rPr>
          <w:rFonts w:cs="Arial"/>
        </w:rPr>
        <w:fldChar w:fldCharType="separate"/>
      </w:r>
      <w:r w:rsidR="004041E8">
        <w:rPr>
          <w:rFonts w:cs="Arial"/>
          <w:noProof/>
        </w:rPr>
        <w:t>(32)</w:t>
      </w:r>
      <w:r w:rsidR="006246AC" w:rsidRPr="004D44EC">
        <w:rPr>
          <w:rFonts w:cs="Arial"/>
        </w:rPr>
        <w:fldChar w:fldCharType="end"/>
      </w:r>
      <w:r w:rsidR="006E692C" w:rsidRPr="004D44EC">
        <w:rPr>
          <w:rFonts w:cs="Arial"/>
        </w:rPr>
        <w:t>.</w:t>
      </w:r>
    </w:p>
    <w:p w14:paraId="1E383FE0" w14:textId="45BA8B11" w:rsidR="006246AC" w:rsidRPr="004D44EC" w:rsidRDefault="006246AC" w:rsidP="002E1CF0">
      <w:pPr>
        <w:rPr>
          <w:rFonts w:cs="Arial"/>
        </w:rPr>
      </w:pPr>
      <w:r w:rsidRPr="004D44EC">
        <w:rPr>
          <w:rFonts w:cs="Arial"/>
        </w:rPr>
        <w:t xml:space="preserve">Airborne precautions (in conjunction with standard precautions) and other infection control measures should be applied for all suspected or confirmed cases of pulmonary TB. NTAC has issued detailed guidance on this topic: </w:t>
      </w:r>
      <w:hyperlink r:id="rId33" w:history="1">
        <w:r w:rsidR="00E12EFA">
          <w:rPr>
            <w:rStyle w:val="Hyperlink"/>
          </w:rPr>
          <w:t>Department of Health | Infection control guidelines for the management of patients with suspected or confirmed pulmonary tuberculosis in healthcare settings</w:t>
        </w:r>
      </w:hyperlink>
      <w:r w:rsidR="00E12EFA">
        <w:t>.</w:t>
      </w:r>
    </w:p>
    <w:p w14:paraId="6EF73436" w14:textId="7C006714" w:rsidR="00CD6CAD" w:rsidRPr="004D44EC" w:rsidRDefault="002E1CF0" w:rsidP="002E1CF0">
      <w:pPr>
        <w:rPr>
          <w:rFonts w:cs="Arial"/>
        </w:rPr>
      </w:pPr>
      <w:r w:rsidRPr="004D44EC">
        <w:rPr>
          <w:rFonts w:cs="Arial"/>
        </w:rPr>
        <w:t xml:space="preserve">In the event </w:t>
      </w:r>
      <w:r w:rsidR="00C96B34">
        <w:rPr>
          <w:rFonts w:cs="Arial"/>
        </w:rPr>
        <w:t xml:space="preserve">a </w:t>
      </w:r>
      <w:r w:rsidRPr="004D44EC">
        <w:rPr>
          <w:rFonts w:cs="Arial"/>
        </w:rPr>
        <w:t xml:space="preserve">HCW </w:t>
      </w:r>
      <w:r w:rsidR="00C96B34">
        <w:rPr>
          <w:rFonts w:cs="Arial"/>
        </w:rPr>
        <w:t xml:space="preserve">is </w:t>
      </w:r>
      <w:r w:rsidRPr="004D44EC">
        <w:rPr>
          <w:rFonts w:cs="Arial"/>
        </w:rPr>
        <w:t xml:space="preserve">exposed to an undiagnosed case of TB, appropriate contact tracing and screening measures must be implemented. </w:t>
      </w:r>
      <w:r w:rsidR="00390722">
        <w:rPr>
          <w:rFonts w:cs="Arial"/>
        </w:rPr>
        <w:t xml:space="preserve">The index case may </w:t>
      </w:r>
      <w:r w:rsidR="009060A9">
        <w:rPr>
          <w:rFonts w:cs="Arial"/>
        </w:rPr>
        <w:t xml:space="preserve">also be </w:t>
      </w:r>
      <w:proofErr w:type="gramStart"/>
      <w:r w:rsidR="009060A9">
        <w:rPr>
          <w:rFonts w:cs="Arial"/>
        </w:rPr>
        <w:t>a</w:t>
      </w:r>
      <w:proofErr w:type="gramEnd"/>
      <w:r w:rsidR="009060A9">
        <w:rPr>
          <w:rFonts w:cs="Arial"/>
        </w:rPr>
        <w:t xml:space="preserve"> HCW. </w:t>
      </w:r>
      <w:r w:rsidRPr="004D44EC">
        <w:rPr>
          <w:rFonts w:cs="Arial"/>
        </w:rPr>
        <w:t>Investigation and management will be the same as outlined in contact management (</w:t>
      </w:r>
      <w:r w:rsidR="00167250" w:rsidRPr="004D44EC">
        <w:rPr>
          <w:rFonts w:cs="Arial"/>
        </w:rPr>
        <w:t xml:space="preserve">see </w:t>
      </w:r>
      <w:hyperlink w:anchor="_Contact_management_2" w:history="1">
        <w:r w:rsidR="00167250" w:rsidRPr="004D44EC">
          <w:rPr>
            <w:rStyle w:val="Hyperlink"/>
            <w:rFonts w:cs="Arial"/>
          </w:rPr>
          <w:t>Section 11: Contact management</w:t>
        </w:r>
      </w:hyperlink>
      <w:r w:rsidRPr="004D44EC">
        <w:rPr>
          <w:rFonts w:cs="Arial"/>
        </w:rPr>
        <w:t xml:space="preserve">). </w:t>
      </w:r>
    </w:p>
    <w:p w14:paraId="1C9AF288" w14:textId="5DA6092A" w:rsidR="00CD6CAD" w:rsidRPr="004D44EC" w:rsidRDefault="00167250" w:rsidP="002E1CF0">
      <w:pPr>
        <w:rPr>
          <w:rFonts w:cs="Arial"/>
        </w:rPr>
      </w:pPr>
      <w:r w:rsidRPr="004D44EC">
        <w:rPr>
          <w:rFonts w:cs="Arial"/>
        </w:rPr>
        <w:t>Health</w:t>
      </w:r>
      <w:r w:rsidR="00CD6CAD" w:rsidRPr="004D44EC">
        <w:rPr>
          <w:rFonts w:cs="Arial"/>
        </w:rPr>
        <w:t xml:space="preserve">care facilities are required to have protocols and guidelines for routine </w:t>
      </w:r>
      <w:r w:rsidR="00E95AA3" w:rsidRPr="004D44EC">
        <w:rPr>
          <w:rFonts w:cs="Arial"/>
        </w:rPr>
        <w:t>TB</w:t>
      </w:r>
      <w:r w:rsidR="00CD6CAD" w:rsidRPr="004D44EC">
        <w:rPr>
          <w:rFonts w:cs="Arial"/>
        </w:rPr>
        <w:t xml:space="preserve"> prevention and management</w:t>
      </w:r>
      <w:r w:rsidR="0046523A" w:rsidRPr="004D44EC">
        <w:rPr>
          <w:rFonts w:cs="Arial"/>
        </w:rPr>
        <w:t>, including for healthcare workers. For detailed guidance please refer to the NTAC document</w:t>
      </w:r>
      <w:r w:rsidR="00CD6CAD" w:rsidRPr="004D44EC">
        <w:rPr>
          <w:rFonts w:cs="Arial"/>
        </w:rPr>
        <w:t>,</w:t>
      </w:r>
      <w:r w:rsidR="0046523A" w:rsidRPr="004D44EC">
        <w:rPr>
          <w:rFonts w:cs="Arial"/>
        </w:rPr>
        <w:t xml:space="preserve"> “Management of Tuberculosis Risk in Healthcare Workers in Australia”</w:t>
      </w:r>
      <w:r w:rsidR="0046387D" w:rsidRPr="004D44EC">
        <w:rPr>
          <w:rFonts w:cs="Arial"/>
        </w:rPr>
        <w:t>:</w:t>
      </w:r>
      <w:r w:rsidR="00CD6CAD" w:rsidRPr="004D44EC">
        <w:rPr>
          <w:rFonts w:cs="Arial"/>
        </w:rPr>
        <w:t xml:space="preserve"> </w:t>
      </w:r>
      <w:hyperlink r:id="rId34" w:history="1">
        <w:r w:rsidR="00E12EFA">
          <w:rPr>
            <w:rStyle w:val="Hyperlink"/>
          </w:rPr>
          <w:t>Department of Health | National Tuberculosis Advisory Committee Guideline: Management of Tuberculosis Risk in Healthcare Workers in Australia</w:t>
        </w:r>
      </w:hyperlink>
      <w:r w:rsidR="00E12EFA">
        <w:t>.</w:t>
      </w:r>
      <w:r w:rsidR="00A25DF6" w:rsidRPr="004D44EC">
        <w:rPr>
          <w:rFonts w:cs="Arial"/>
        </w:rPr>
        <w:t xml:space="preserve"> </w:t>
      </w:r>
    </w:p>
    <w:p w14:paraId="7F570912" w14:textId="2680129A" w:rsidR="002E1CF0" w:rsidRPr="007A4336" w:rsidRDefault="002E1CF0" w:rsidP="00CA7F5E">
      <w:pPr>
        <w:pStyle w:val="Heading2"/>
      </w:pPr>
      <w:bookmarkStart w:id="102" w:name="_Toc97195083"/>
      <w:r w:rsidRPr="00AE6202">
        <w:t xml:space="preserve">TB in </w:t>
      </w:r>
      <w:r w:rsidR="002217A3" w:rsidRPr="00AE6202">
        <w:t>other institutional settings</w:t>
      </w:r>
      <w:bookmarkEnd w:id="102"/>
    </w:p>
    <w:p w14:paraId="4903E42F" w14:textId="42555EF5" w:rsidR="002E1CF0" w:rsidRPr="004D44EC" w:rsidRDefault="002E1CF0" w:rsidP="002E1CF0">
      <w:pPr>
        <w:rPr>
          <w:rFonts w:cs="Arial"/>
        </w:rPr>
      </w:pPr>
      <w:r w:rsidRPr="004D44EC">
        <w:rPr>
          <w:rFonts w:cs="Arial"/>
        </w:rPr>
        <w:t xml:space="preserve">Although contact identification and investigation follow the same principles as general contact tracing, clients in </w:t>
      </w:r>
      <w:r w:rsidR="002217A3" w:rsidRPr="004D44EC">
        <w:rPr>
          <w:rFonts w:cs="Arial"/>
        </w:rPr>
        <w:t xml:space="preserve">institutional </w:t>
      </w:r>
      <w:r w:rsidRPr="004D44EC">
        <w:rPr>
          <w:rFonts w:cs="Arial"/>
        </w:rPr>
        <w:t>settings</w:t>
      </w:r>
      <w:r w:rsidR="002217A3" w:rsidRPr="004D44EC">
        <w:rPr>
          <w:rFonts w:cs="Arial"/>
        </w:rPr>
        <w:t xml:space="preserve"> (including</w:t>
      </w:r>
      <w:r w:rsidRPr="004D44EC">
        <w:rPr>
          <w:rFonts w:cs="Arial"/>
        </w:rPr>
        <w:t xml:space="preserve"> </w:t>
      </w:r>
      <w:r w:rsidR="002217A3" w:rsidRPr="004D44EC">
        <w:t xml:space="preserve">educational facilities, childcare settings, special schools, community residential facilities and prisons), </w:t>
      </w:r>
      <w:r w:rsidRPr="004D44EC">
        <w:rPr>
          <w:rFonts w:cs="Arial"/>
        </w:rPr>
        <w:t>may be more vulnerable to infection, at increased risk for progression to disease or give rise to needless anxiety in settings with limited understanding or stigma surrounding the disease. In addition, an index case in these settings will lead to increased family, staff and community anxiety and stress. Key messages to be communicated include the relative</w:t>
      </w:r>
      <w:r w:rsidR="00EA3789">
        <w:rPr>
          <w:rFonts w:cs="Arial"/>
        </w:rPr>
        <w:t>ly</w:t>
      </w:r>
      <w:r w:rsidRPr="004D44EC">
        <w:rPr>
          <w:rFonts w:cs="Arial"/>
        </w:rPr>
        <w:t xml:space="preserve"> low communicability of TB, the lack of risk for contacts to transmit infection and reassurance about standard public health policy to identify and investigate contacts for evidence of infection. </w:t>
      </w:r>
    </w:p>
    <w:p w14:paraId="36D72155" w14:textId="77777777" w:rsidR="002E1CF0" w:rsidRPr="007A4336" w:rsidRDefault="002E1CF0" w:rsidP="00CA7F5E">
      <w:pPr>
        <w:pStyle w:val="Heading2"/>
      </w:pPr>
      <w:bookmarkStart w:id="103" w:name="_Toc97195084"/>
      <w:r w:rsidRPr="00AE6202">
        <w:t>Airline contact tracing of TB cases</w:t>
      </w:r>
      <w:bookmarkEnd w:id="103"/>
    </w:p>
    <w:p w14:paraId="7626912B" w14:textId="40223D17" w:rsidR="009F10B5" w:rsidRPr="004D44EC" w:rsidRDefault="008C19D6" w:rsidP="002E1CF0">
      <w:pPr>
        <w:rPr>
          <w:rFonts w:cs="Arial"/>
        </w:rPr>
      </w:pPr>
      <w:r w:rsidRPr="004D44EC">
        <w:rPr>
          <w:rFonts w:cs="Arial"/>
        </w:rPr>
        <w:t>T</w:t>
      </w:r>
      <w:r w:rsidR="009F10B5" w:rsidRPr="004D44EC">
        <w:rPr>
          <w:rFonts w:cs="Arial"/>
        </w:rPr>
        <w:t>he risk of acquiring TB during airline travel is considered to be very low</w:t>
      </w:r>
      <w:r w:rsidR="006E692C" w:rsidRPr="004D44EC">
        <w:rPr>
          <w:rFonts w:cs="Arial"/>
        </w:rPr>
        <w:t xml:space="preserve"> </w:t>
      </w:r>
      <w:r w:rsidR="00F6578B" w:rsidRPr="004D44EC">
        <w:rPr>
          <w:rFonts w:cs="Arial"/>
        </w:rPr>
        <w:fldChar w:fldCharType="begin"/>
      </w:r>
      <w:r w:rsidR="001647EA">
        <w:rPr>
          <w:rFonts w:cs="Arial"/>
        </w:rPr>
        <w:instrText xml:space="preserve"> ADDIN EN.CITE &lt;EndNote&gt;&lt;Cite&gt;&lt;Author&gt;Coulter&lt;/Author&gt;&lt;Year&gt;2016&lt;/Year&gt;&lt;RecNum&gt;43&lt;/RecNum&gt;&lt;DisplayText&gt;(43)&lt;/DisplayText&gt;&lt;record&gt;&lt;rec-number&gt;43&lt;/rec-number&gt;&lt;foreign-keys&gt;&lt;key app="EN" db-id="sr9paxs2qve9wpext2i5swxe50w0rs9dzze2" timestamp="1628681203"&gt;43&lt;/key&gt;&lt;/foreign-keys&gt;&lt;ref-type name="Journal Article"&gt;17&lt;/ref-type&gt;&lt;contributors&gt;&lt;authors&gt;&lt;author&gt;Coulter, Christopher&lt;/author&gt;&lt;/authors&gt;&lt;/contributors&gt;&lt;titles&gt;&lt;title&gt;Travel and tuberculosis&lt;/title&gt;&lt;secondary-title&gt;Microbiology Australia&lt;/secondary-title&gt;&lt;/titles&gt;&lt;periodical&gt;&lt;full-title&gt;Microbiology Australia&lt;/full-title&gt;&lt;/periodical&gt;&lt;pages&gt;159-162&lt;/pages&gt;&lt;volume&gt;37&lt;/volume&gt;&lt;number&gt;4&lt;/number&gt;&lt;dates&gt;&lt;year&gt;2016&lt;/year&gt;&lt;/dates&gt;&lt;isbn&gt;2201-9189&lt;/isbn&gt;&lt;urls&gt;&lt;related-urls&gt;&lt;url&gt;http://microbiology.publish.csiro.au/paper/MA16054.htm&lt;/url&gt;&lt;/related-urls&gt;&lt;/urls&gt;&lt;/record&gt;&lt;/Cite&gt;&lt;/EndNote&gt;</w:instrText>
      </w:r>
      <w:r w:rsidR="00F6578B" w:rsidRPr="004D44EC">
        <w:rPr>
          <w:rFonts w:cs="Arial"/>
        </w:rPr>
        <w:fldChar w:fldCharType="separate"/>
      </w:r>
      <w:r w:rsidR="001647EA">
        <w:rPr>
          <w:rFonts w:cs="Arial"/>
          <w:noProof/>
        </w:rPr>
        <w:t>(43)</w:t>
      </w:r>
      <w:r w:rsidR="00F6578B" w:rsidRPr="004D44EC">
        <w:rPr>
          <w:rFonts w:cs="Arial"/>
        </w:rPr>
        <w:fldChar w:fldCharType="end"/>
      </w:r>
      <w:r w:rsidR="006E692C" w:rsidRPr="004D44EC">
        <w:rPr>
          <w:rFonts w:cs="Arial"/>
        </w:rPr>
        <w:t>.</w:t>
      </w:r>
      <w:r w:rsidR="009F10B5" w:rsidRPr="004D44EC">
        <w:rPr>
          <w:rFonts w:cs="Arial"/>
        </w:rPr>
        <w:t xml:space="preserve"> </w:t>
      </w:r>
      <w:r w:rsidR="00A73AE9" w:rsidRPr="004D44EC">
        <w:rPr>
          <w:rFonts w:cs="Arial"/>
        </w:rPr>
        <w:t xml:space="preserve">To date, there are no published cases of active TB demonstrated to have been acquired during plane travel. </w:t>
      </w:r>
      <w:r w:rsidR="009F10B5" w:rsidRPr="004D44EC">
        <w:rPr>
          <w:rFonts w:cs="Arial"/>
        </w:rPr>
        <w:t>A recent systematic review</w:t>
      </w:r>
      <w:r w:rsidR="006E692C" w:rsidRPr="004D44EC">
        <w:rPr>
          <w:rFonts w:cs="Arial"/>
        </w:rPr>
        <w:t xml:space="preserve"> </w:t>
      </w:r>
      <w:r w:rsidR="00C00C22" w:rsidRPr="004D44EC">
        <w:rPr>
          <w:rFonts w:cs="Arial"/>
        </w:rPr>
        <w:fldChar w:fldCharType="begin"/>
      </w:r>
      <w:r w:rsidR="001647EA">
        <w:rPr>
          <w:rFonts w:cs="Arial"/>
        </w:rPr>
        <w:instrText xml:space="preserve"> ADDIN EN.CITE &lt;EndNote&gt;&lt;Cite&gt;&lt;Author&gt;Kotila&lt;/Author&gt;&lt;Year&gt;2015&lt;/Year&gt;&lt;RecNum&gt;44&lt;/RecNum&gt;&lt;DisplayText&gt;(44)&lt;/DisplayText&gt;&lt;record&gt;&lt;rec-number&gt;44&lt;/rec-number&gt;&lt;foreign-keys&gt;&lt;key app="EN" db-id="sr9paxs2qve9wpext2i5swxe50w0rs9dzze2" timestamp="1628681203"&gt;44&lt;/key&gt;&lt;/foreign-keys&gt;&lt;ref-type name="Journal Article"&gt;17&lt;/ref-type&gt;&lt;contributors&gt;&lt;authors&gt;&lt;author&gt;Kotila, Saara M&lt;/author&gt;&lt;author&gt;Hallström, Lara Payne&lt;/author&gt;&lt;author&gt;Jansen, Niesje&lt;/author&gt;&lt;author&gt;Helbling, Peter&lt;/author&gt;&lt;author&gt;Abubakar, Ibrahim&lt;/author&gt;&lt;/authors&gt;&lt;/contributors&gt;&lt;titles&gt;&lt;title&gt;Systematic review on tuberculosis transmission on aircraft and update of the European Centre for Disease Prevention and Control risk assessment guidelines for tuberculosis transmitted on aircraft (RAGIDA-TB)&lt;/title&gt;&lt;secondary-title&gt;Eurosurveillance&lt;/secondary-title&gt;&lt;/titles&gt;&lt;periodical&gt;&lt;full-title&gt;Eurosurveillance&lt;/full-title&gt;&lt;/periodical&gt;&lt;pages&gt;1-12&lt;/pages&gt;&lt;volume&gt;21&lt;/volume&gt;&lt;number&gt;4&lt;/number&gt;&lt;dates&gt;&lt;year&gt;2015&lt;/year&gt;&lt;/dates&gt;&lt;isbn&gt;1025-496X&lt;/isbn&gt;&lt;urls&gt;&lt;related-urls&gt;&lt;url&gt;https://www.ncbi.nlm.nih.gov/pubmed/26848520&lt;/url&gt;&lt;/related-urls&gt;&lt;/urls&gt;&lt;/record&gt;&lt;/Cite&gt;&lt;/EndNote&gt;</w:instrText>
      </w:r>
      <w:r w:rsidR="00C00C22" w:rsidRPr="004D44EC">
        <w:rPr>
          <w:rFonts w:cs="Arial"/>
        </w:rPr>
        <w:fldChar w:fldCharType="separate"/>
      </w:r>
      <w:r w:rsidR="001647EA">
        <w:rPr>
          <w:rFonts w:cs="Arial"/>
          <w:noProof/>
        </w:rPr>
        <w:t>(44)</w:t>
      </w:r>
      <w:r w:rsidR="00C00C22" w:rsidRPr="004D44EC">
        <w:rPr>
          <w:rFonts w:cs="Arial"/>
        </w:rPr>
        <w:fldChar w:fldCharType="end"/>
      </w:r>
      <w:r w:rsidR="009F10B5" w:rsidRPr="004D44EC">
        <w:rPr>
          <w:rFonts w:cs="Arial"/>
        </w:rPr>
        <w:t xml:space="preserve"> </w:t>
      </w:r>
      <w:r w:rsidR="00C00C22" w:rsidRPr="004D44EC">
        <w:rPr>
          <w:rFonts w:cs="Arial"/>
        </w:rPr>
        <w:t xml:space="preserve">highlighted that in the majority of </w:t>
      </w:r>
      <w:r w:rsidR="00F6578B" w:rsidRPr="004D44EC">
        <w:rPr>
          <w:rFonts w:cs="Arial"/>
        </w:rPr>
        <w:t xml:space="preserve">publications </w:t>
      </w:r>
      <w:r w:rsidR="009F10B5" w:rsidRPr="004D44EC">
        <w:rPr>
          <w:rFonts w:cs="Arial"/>
        </w:rPr>
        <w:t>assessed</w:t>
      </w:r>
      <w:r w:rsidR="00C00C22" w:rsidRPr="004D44EC">
        <w:rPr>
          <w:rFonts w:cs="Arial"/>
        </w:rPr>
        <w:t>, there was no</w:t>
      </w:r>
      <w:r w:rsidR="009F10B5" w:rsidRPr="004D44EC">
        <w:rPr>
          <w:rFonts w:cs="Arial"/>
        </w:rPr>
        <w:t xml:space="preserve"> evidence of transmission</w:t>
      </w:r>
      <w:r w:rsidR="00C00C22" w:rsidRPr="004D44EC">
        <w:rPr>
          <w:rFonts w:cs="Arial"/>
        </w:rPr>
        <w:t>,</w:t>
      </w:r>
      <w:r w:rsidR="009F10B5" w:rsidRPr="004D44EC">
        <w:rPr>
          <w:rFonts w:cs="Arial"/>
        </w:rPr>
        <w:t xml:space="preserve"> even when the index case was AFB smear positive.</w:t>
      </w:r>
      <w:r w:rsidR="009F10B5" w:rsidRPr="004D44EC">
        <w:t xml:space="preserve"> </w:t>
      </w:r>
      <w:r w:rsidR="0046523A" w:rsidRPr="004D44EC">
        <w:t>O</w:t>
      </w:r>
      <w:r w:rsidR="00C00C22" w:rsidRPr="004D44EC">
        <w:t>nly a single</w:t>
      </w:r>
      <w:r w:rsidR="00F6578B" w:rsidRPr="004D44EC">
        <w:t xml:space="preserve"> study</w:t>
      </w:r>
      <w:r w:rsidR="00C00C22" w:rsidRPr="004D44EC">
        <w:t xml:space="preserve"> </w:t>
      </w:r>
      <w:r w:rsidR="00F6578B" w:rsidRPr="004D44EC">
        <w:rPr>
          <w:rFonts w:cs="Arial"/>
        </w:rPr>
        <w:t>provided substantial evidence that TB infection (without disease) had been transmitted during air travel</w:t>
      </w:r>
      <w:r w:rsidR="006E692C" w:rsidRPr="004D44EC">
        <w:rPr>
          <w:rFonts w:cs="Arial"/>
        </w:rPr>
        <w:t xml:space="preserve"> </w:t>
      </w:r>
      <w:r w:rsidR="00A73AE9" w:rsidRPr="004D44EC">
        <w:rPr>
          <w:rFonts w:cs="Arial"/>
        </w:rPr>
        <w:fldChar w:fldCharType="begin"/>
      </w:r>
      <w:r w:rsidR="001647EA">
        <w:rPr>
          <w:rFonts w:cs="Arial"/>
        </w:rPr>
        <w:instrText xml:space="preserve"> ADDIN EN.CITE &lt;EndNote&gt;&lt;Cite&gt;&lt;Author&gt;Kenyon&lt;/Author&gt;&lt;Year&gt;1996&lt;/Year&gt;&lt;RecNum&gt;45&lt;/RecNum&gt;&lt;DisplayText&gt;(45)&lt;/DisplayText&gt;&lt;record&gt;&lt;rec-number&gt;45&lt;/rec-number&gt;&lt;foreign-keys&gt;&lt;key app="EN" db-id="sr9paxs2qve9wpext2i5swxe50w0rs9dzze2" timestamp="1628681204"&gt;45&lt;/key&gt;&lt;/foreign-keys&gt;&lt;ref-type name="Journal Article"&gt;17&lt;/ref-type&gt;&lt;contributors&gt;&lt;authors&gt;&lt;author&gt;Kenyon, Thomas A&lt;/author&gt;&lt;author&gt;Valway, Sarah E&lt;/author&gt;&lt;author&gt;Ihle, Walter W&lt;/author&gt;&lt;author&gt;Onorato, Ida M&lt;/author&gt;&lt;author&gt;Castro, Kenneth G&lt;/author&gt;&lt;/authors&gt;&lt;/contributors&gt;&lt;titles&gt;&lt;title&gt;Transmission of multidrug-resistant Mycobacterium tuberculosis during a long airplane flight&lt;/title&gt;&lt;secondary-title&gt;New England Journal of Medicine&lt;/secondary-title&gt;&lt;/titles&gt;&lt;periodical&gt;&lt;full-title&gt;New England Journal of Medicine&lt;/full-title&gt;&lt;/periodical&gt;&lt;pages&gt;933-938&lt;/pages&gt;&lt;volume&gt;334&lt;/volume&gt;&lt;number&gt;15&lt;/number&gt;&lt;dates&gt;&lt;year&gt;1996&lt;/year&gt;&lt;/dates&gt;&lt;isbn&gt;0028-4793&lt;/isbn&gt;&lt;urls&gt;&lt;related-urls&gt;&lt;url&gt;https://www.ncbi.nlm.nih.gov/pubmed/8596593&lt;/url&gt;&lt;/related-urls&gt;&lt;/urls&gt;&lt;/record&gt;&lt;/Cite&gt;&lt;/EndNote&gt;</w:instrText>
      </w:r>
      <w:r w:rsidR="00A73AE9" w:rsidRPr="004D44EC">
        <w:rPr>
          <w:rFonts w:cs="Arial"/>
        </w:rPr>
        <w:fldChar w:fldCharType="separate"/>
      </w:r>
      <w:r w:rsidR="001647EA">
        <w:rPr>
          <w:rFonts w:cs="Arial"/>
          <w:noProof/>
        </w:rPr>
        <w:t>(45)</w:t>
      </w:r>
      <w:r w:rsidR="00A73AE9" w:rsidRPr="004D44EC">
        <w:rPr>
          <w:rFonts w:cs="Arial"/>
        </w:rPr>
        <w:fldChar w:fldCharType="end"/>
      </w:r>
      <w:r w:rsidR="006E692C" w:rsidRPr="004D44EC">
        <w:rPr>
          <w:rFonts w:cs="Arial"/>
        </w:rPr>
        <w:t>.</w:t>
      </w:r>
      <w:r w:rsidR="009F10B5" w:rsidRPr="004D44EC">
        <w:rPr>
          <w:rFonts w:cs="Arial"/>
        </w:rPr>
        <w:t xml:space="preserve"> </w:t>
      </w:r>
    </w:p>
    <w:p w14:paraId="409C0FEA" w14:textId="7123AECE" w:rsidR="002E1CF0" w:rsidRPr="004D44EC" w:rsidRDefault="00326D82" w:rsidP="00993C7C">
      <w:pPr>
        <w:rPr>
          <w:rFonts w:cs="Arial"/>
        </w:rPr>
      </w:pPr>
      <w:r w:rsidRPr="004D44EC">
        <w:t>Despite the low risk, where a patient who is infectious has undertaken air travel, tracing of airline passengers may be required</w:t>
      </w:r>
      <w:r w:rsidR="002E1CF0" w:rsidRPr="004D44EC">
        <w:rPr>
          <w:rFonts w:cs="Arial"/>
        </w:rPr>
        <w:t>. This is more likely if</w:t>
      </w:r>
      <w:r w:rsidR="00D34A05" w:rsidRPr="004D44EC">
        <w:rPr>
          <w:rFonts w:cs="Arial"/>
        </w:rPr>
        <w:t xml:space="preserve"> the</w:t>
      </w:r>
      <w:r w:rsidR="002E1CF0" w:rsidRPr="004D44EC">
        <w:rPr>
          <w:rFonts w:cs="Arial"/>
        </w:rPr>
        <w:t>:</w:t>
      </w:r>
    </w:p>
    <w:p w14:paraId="3E1B500F" w14:textId="5F7B4C66" w:rsidR="002E1CF0" w:rsidRPr="004D44EC" w:rsidRDefault="00D34A05" w:rsidP="001C34D7">
      <w:pPr>
        <w:pStyle w:val="ListBullet2"/>
      </w:pPr>
      <w:r w:rsidRPr="004D44EC">
        <w:t>P</w:t>
      </w:r>
      <w:r w:rsidR="002E1CF0" w:rsidRPr="004D44EC">
        <w:t>atient was symptomatic at the time of travel</w:t>
      </w:r>
      <w:r w:rsidR="003E7208" w:rsidRPr="004D44EC">
        <w:t>.</w:t>
      </w:r>
    </w:p>
    <w:p w14:paraId="38DB374D" w14:textId="01F46433" w:rsidR="002E1CF0" w:rsidRPr="004D44EC" w:rsidRDefault="00D34A05" w:rsidP="001C34D7">
      <w:pPr>
        <w:pStyle w:val="ListBullet2"/>
      </w:pPr>
      <w:r w:rsidRPr="004D44EC">
        <w:t>S</w:t>
      </w:r>
      <w:r w:rsidR="002E1CF0" w:rsidRPr="004D44EC">
        <w:t>putum specimens are found to be direct smear positive for AFB</w:t>
      </w:r>
      <w:r w:rsidR="003E7208" w:rsidRPr="004D44EC">
        <w:t>.</w:t>
      </w:r>
    </w:p>
    <w:p w14:paraId="4CE5555F" w14:textId="6455A73A" w:rsidR="002E1CF0" w:rsidRPr="004D44EC" w:rsidRDefault="0046523A" w:rsidP="001C34D7">
      <w:pPr>
        <w:pStyle w:val="ListBullet2"/>
      </w:pPr>
      <w:r w:rsidRPr="004D44EC">
        <w:t>Time on the aircraft was</w:t>
      </w:r>
      <w:r w:rsidR="002E1CF0" w:rsidRPr="004D44EC">
        <w:t xml:space="preserve"> 8 hours or more</w:t>
      </w:r>
      <w:r w:rsidR="003E7208" w:rsidRPr="004D44EC">
        <w:t>.</w:t>
      </w:r>
    </w:p>
    <w:p w14:paraId="1508F388" w14:textId="77777777" w:rsidR="002E1CF0" w:rsidRPr="004D44EC" w:rsidRDefault="00D34A05" w:rsidP="001C34D7">
      <w:pPr>
        <w:pStyle w:val="ListBullet2"/>
      </w:pPr>
      <w:r w:rsidRPr="004D44EC">
        <w:t>T</w:t>
      </w:r>
      <w:r w:rsidR="002E1CF0" w:rsidRPr="004D44EC">
        <w:t>ime elapsed between flight and notification of case is within 3 months.</w:t>
      </w:r>
    </w:p>
    <w:p w14:paraId="71B43344" w14:textId="77777777" w:rsidR="00A87147" w:rsidRPr="004D44EC" w:rsidRDefault="00A87147" w:rsidP="00A64385">
      <w:pPr>
        <w:rPr>
          <w:rFonts w:cs="Arial"/>
        </w:rPr>
      </w:pPr>
      <w:r w:rsidRPr="004D44EC">
        <w:rPr>
          <w:rFonts w:cs="Arial"/>
        </w:rPr>
        <w:t>The National Incident Room should be advised if airline contact tracing is considered indicated to alert international health authorities if the flight was outbound or to co-ordinate jurisdictional notification if the flight was inbound.</w:t>
      </w:r>
    </w:p>
    <w:p w14:paraId="13736FF7" w14:textId="5CAA0078" w:rsidR="00150845" w:rsidRDefault="002E1CF0" w:rsidP="00A64385">
      <w:pPr>
        <w:rPr>
          <w:rFonts w:cs="Arial"/>
        </w:rPr>
      </w:pPr>
      <w:r w:rsidRPr="004D44EC">
        <w:rPr>
          <w:rFonts w:cs="Arial"/>
        </w:rPr>
        <w:t>Passengers who travelled in the same row</w:t>
      </w:r>
      <w:r w:rsidR="00816D7F" w:rsidRPr="004D44EC">
        <w:rPr>
          <w:rFonts w:cs="Arial"/>
        </w:rPr>
        <w:t>,</w:t>
      </w:r>
      <w:r w:rsidRPr="004D44EC">
        <w:rPr>
          <w:rFonts w:cs="Arial"/>
        </w:rPr>
        <w:t xml:space="preserve"> 2 rows </w:t>
      </w:r>
      <w:r w:rsidR="008A3FFF" w:rsidRPr="004D44EC">
        <w:rPr>
          <w:rFonts w:cs="Arial"/>
        </w:rPr>
        <w:t>in front and</w:t>
      </w:r>
      <w:r w:rsidR="00816D7F" w:rsidRPr="004D44EC">
        <w:rPr>
          <w:rFonts w:cs="Arial"/>
        </w:rPr>
        <w:t xml:space="preserve"> 2 rows</w:t>
      </w:r>
      <w:r w:rsidR="008A3FFF" w:rsidRPr="004D44EC">
        <w:rPr>
          <w:rFonts w:cs="Arial"/>
        </w:rPr>
        <w:t xml:space="preserve"> behind</w:t>
      </w:r>
      <w:r w:rsidRPr="004D44EC">
        <w:rPr>
          <w:rFonts w:cs="Arial"/>
        </w:rPr>
        <w:t xml:space="preserve"> the index case should be advised</w:t>
      </w:r>
      <w:r w:rsidR="00723B1D">
        <w:rPr>
          <w:rFonts w:cs="Arial"/>
        </w:rPr>
        <w:t>,</w:t>
      </w:r>
      <w:r w:rsidRPr="004D44EC">
        <w:rPr>
          <w:rFonts w:cs="Arial"/>
        </w:rPr>
        <w:t xml:space="preserve"> </w:t>
      </w:r>
      <w:r w:rsidR="00723B1D">
        <w:rPr>
          <w:rFonts w:cs="Arial"/>
        </w:rPr>
        <w:t xml:space="preserve">in writing, </w:t>
      </w:r>
      <w:r w:rsidRPr="004D44EC">
        <w:rPr>
          <w:rFonts w:cs="Arial"/>
        </w:rPr>
        <w:t xml:space="preserve">of their possible exposure to TB and offered appropriate assessment and screening. </w:t>
      </w:r>
      <w:r w:rsidR="00AE0DF2" w:rsidRPr="004D44EC">
        <w:rPr>
          <w:rFonts w:cs="Arial"/>
        </w:rPr>
        <w:t>Screening should be arranged</w:t>
      </w:r>
      <w:r w:rsidRPr="004D44EC">
        <w:rPr>
          <w:rFonts w:cs="Arial"/>
        </w:rPr>
        <w:t xml:space="preserve"> at 8–</w:t>
      </w:r>
      <w:r w:rsidR="0023410D" w:rsidRPr="004D44EC">
        <w:rPr>
          <w:rFonts w:cs="Arial"/>
        </w:rPr>
        <w:t xml:space="preserve">12 </w:t>
      </w:r>
      <w:r w:rsidRPr="004D44EC">
        <w:rPr>
          <w:rFonts w:cs="Arial"/>
        </w:rPr>
        <w:t xml:space="preserve">weeks after the flight to </w:t>
      </w:r>
      <w:r w:rsidRPr="004D44EC">
        <w:rPr>
          <w:rFonts w:cs="Arial"/>
        </w:rPr>
        <w:lastRenderedPageBreak/>
        <w:t xml:space="preserve">coincide with the optimum time for </w:t>
      </w:r>
      <w:r w:rsidR="00EA3789">
        <w:rPr>
          <w:rFonts w:cs="Arial"/>
        </w:rPr>
        <w:t>TST</w:t>
      </w:r>
      <w:r w:rsidRPr="004D44EC">
        <w:rPr>
          <w:rFonts w:cs="Arial"/>
        </w:rPr>
        <w:t xml:space="preserve"> </w:t>
      </w:r>
      <w:r w:rsidR="00331171" w:rsidRPr="004D44EC">
        <w:rPr>
          <w:rFonts w:cs="Arial"/>
        </w:rPr>
        <w:t xml:space="preserve">(or IGRA) </w:t>
      </w:r>
      <w:r w:rsidRPr="004D44EC">
        <w:rPr>
          <w:rFonts w:cs="Arial"/>
        </w:rPr>
        <w:t>conversion</w:t>
      </w:r>
      <w:r w:rsidR="00331171" w:rsidRPr="004D44EC">
        <w:rPr>
          <w:rFonts w:cs="Arial"/>
        </w:rPr>
        <w:t xml:space="preserve"> </w:t>
      </w:r>
      <w:r w:rsidRPr="004D44EC">
        <w:rPr>
          <w:rFonts w:cs="Arial"/>
        </w:rPr>
        <w:t xml:space="preserve">if infection has occurred. </w:t>
      </w:r>
      <w:r w:rsidR="00331171" w:rsidRPr="004D44EC">
        <w:rPr>
          <w:rFonts w:cs="Arial"/>
        </w:rPr>
        <w:t xml:space="preserve">If the index case is a member of the aeroplane crew, </w:t>
      </w:r>
      <w:r w:rsidR="000F261E" w:rsidRPr="004D44EC">
        <w:rPr>
          <w:rFonts w:cs="Arial"/>
        </w:rPr>
        <w:t xml:space="preserve">passengers are unlikely to be at increased risk of </w:t>
      </w:r>
      <w:proofErr w:type="gramStart"/>
      <w:r w:rsidR="000F261E" w:rsidRPr="004D44EC">
        <w:rPr>
          <w:rFonts w:cs="Arial"/>
        </w:rPr>
        <w:t>infection</w:t>
      </w:r>
      <w:proofErr w:type="gramEnd"/>
      <w:r w:rsidR="000F261E" w:rsidRPr="004D44EC">
        <w:rPr>
          <w:rFonts w:cs="Arial"/>
        </w:rPr>
        <w:t xml:space="preserve"> but crew members should be assessed using the same principles of contact management as outlined above.</w:t>
      </w:r>
      <w:r w:rsidRPr="004D44EC">
        <w:rPr>
          <w:rFonts w:cs="Arial"/>
        </w:rPr>
        <w:t xml:space="preserve"> </w:t>
      </w:r>
      <w:r w:rsidR="008A3FFF" w:rsidRPr="004D44EC">
        <w:rPr>
          <w:rFonts w:cs="Arial"/>
        </w:rPr>
        <w:t xml:space="preserve">(see </w:t>
      </w:r>
      <w:hyperlink w:anchor="_Contact_management_2" w:history="1">
        <w:r w:rsidR="008A3FFF" w:rsidRPr="004D44EC">
          <w:rPr>
            <w:rStyle w:val="Hyperlink"/>
            <w:rFonts w:cs="Arial"/>
          </w:rPr>
          <w:t>Section 11: Contact management</w:t>
        </w:r>
      </w:hyperlink>
      <w:r w:rsidR="008A3FFF" w:rsidRPr="004D44EC">
        <w:rPr>
          <w:rFonts w:cs="Arial"/>
        </w:rPr>
        <w:t xml:space="preserve">). </w:t>
      </w:r>
      <w:bookmarkStart w:id="104" w:name="_Sourcing_unregistered_products"/>
      <w:bookmarkEnd w:id="104"/>
    </w:p>
    <w:p w14:paraId="4D3DB82E" w14:textId="77777777" w:rsidR="00507191" w:rsidRPr="007A4336" w:rsidRDefault="00507191" w:rsidP="00CA7F5E">
      <w:pPr>
        <w:pStyle w:val="Heading1"/>
        <w:sectPr w:rsidR="00507191" w:rsidRPr="007A4336" w:rsidSect="00483E01">
          <w:headerReference w:type="even" r:id="rId35"/>
          <w:headerReference w:type="default" r:id="rId36"/>
          <w:footerReference w:type="default" r:id="rId37"/>
          <w:headerReference w:type="first" r:id="rId38"/>
          <w:footnotePr>
            <w:numFmt w:val="chicago"/>
          </w:footnotePr>
          <w:pgSz w:w="12240" w:h="15840"/>
          <w:pgMar w:top="1418" w:right="1418" w:bottom="1418" w:left="1418" w:header="720" w:footer="720" w:gutter="0"/>
          <w:cols w:space="720"/>
        </w:sectPr>
      </w:pPr>
      <w:bookmarkStart w:id="105" w:name="_TST_Screening_when"/>
      <w:bookmarkStart w:id="106" w:name="_When_BCG_vaccine"/>
      <w:bookmarkStart w:id="107" w:name="_Sourcing_unregistered_products_1"/>
      <w:bookmarkEnd w:id="105"/>
      <w:bookmarkEnd w:id="106"/>
      <w:bookmarkEnd w:id="107"/>
    </w:p>
    <w:p w14:paraId="0AF7C724" w14:textId="4B6DC57A" w:rsidR="002E1CF0" w:rsidRPr="007A4336" w:rsidRDefault="002E1CF0" w:rsidP="00CA7F5E">
      <w:pPr>
        <w:pStyle w:val="Heading1"/>
      </w:pPr>
      <w:bookmarkStart w:id="108" w:name="_Toc97195085"/>
      <w:r w:rsidRPr="007A4336">
        <w:lastRenderedPageBreak/>
        <w:t>References and additional sources of information</w:t>
      </w:r>
      <w:bookmarkEnd w:id="108"/>
    </w:p>
    <w:p w14:paraId="01EB493F" w14:textId="2B8203D0" w:rsidR="001647EA" w:rsidRPr="007A4336" w:rsidRDefault="00E25FFB" w:rsidP="00CA7F5E">
      <w:pPr>
        <w:pStyle w:val="ListNumber2"/>
        <w:numPr>
          <w:ilvl w:val="0"/>
          <w:numId w:val="29"/>
        </w:numPr>
      </w:pPr>
      <w:r w:rsidRPr="007A4336">
        <w:fldChar w:fldCharType="begin"/>
      </w:r>
      <w:r w:rsidRPr="007A4336">
        <w:instrText xml:space="preserve"> ADDIN EN.REFLIST </w:instrText>
      </w:r>
      <w:r w:rsidRPr="007A4336">
        <w:fldChar w:fldCharType="separate"/>
      </w:r>
      <w:r w:rsidR="001647EA" w:rsidRPr="007A4336">
        <w:t>Raviglione MC, Getahun H. Tuberculosis and other mycobacterial diseases. In: Heymann DL, editor. Control of communicable diseases manual. 20th ed. Washington: American Public Health Association; 2015. p. 637-50.</w:t>
      </w:r>
    </w:p>
    <w:p w14:paraId="39D369CE" w14:textId="35D915A9" w:rsidR="001647EA" w:rsidRPr="007A4336" w:rsidRDefault="001647EA" w:rsidP="00CA7F5E">
      <w:pPr>
        <w:pStyle w:val="ListNumber2"/>
      </w:pPr>
      <w:r w:rsidRPr="007A4336">
        <w:t>Trauer JM, Moyo N, Tay EL, Dale K, Ragonnet R, McBryde ES, et al. Risk of Active Tuberculosis in the Five Years Following Infection . . . 15%? Chest. 2016;149(2):516-25.</w:t>
      </w:r>
    </w:p>
    <w:p w14:paraId="1892D76B" w14:textId="6420B8BA" w:rsidR="001647EA" w:rsidRPr="007A4336" w:rsidRDefault="001647EA" w:rsidP="00CA7F5E">
      <w:pPr>
        <w:pStyle w:val="ListNumber2"/>
      </w:pPr>
      <w:r w:rsidRPr="007A4336">
        <w:t>Behr M, Edelstein P, Ramakrishnan L. Revisiting the timetable of tuberculosis. British Medical Association. 2018;362(k2738):1-10.</w:t>
      </w:r>
    </w:p>
    <w:p w14:paraId="5849C28B" w14:textId="565BAA96" w:rsidR="001647EA" w:rsidRPr="007A4336" w:rsidRDefault="001647EA" w:rsidP="00CA7F5E">
      <w:pPr>
        <w:pStyle w:val="ListNumber2"/>
      </w:pPr>
      <w:r w:rsidRPr="007A4336">
        <w:t>Hong Kong Chest Service/British Medical Research Council. Five-year follow-up of a controlled trial of five 6-month regimens of chemotherapy for pulmonary tuberculosis. American Review of Respiratory Disease. 1987;136(6):1339-42.</w:t>
      </w:r>
    </w:p>
    <w:p w14:paraId="19BA16FB" w14:textId="15AC0F5E" w:rsidR="001647EA" w:rsidRPr="007A4336" w:rsidRDefault="001647EA" w:rsidP="00CA7F5E">
      <w:pPr>
        <w:pStyle w:val="ListNumber2"/>
      </w:pPr>
      <w:r w:rsidRPr="007A4336">
        <w:t>Fitzgerald DW, Sterling TR, Haas DW. Mycobacterium tuberculosis. In: Bennett JE, Dolin R, Blaser MJ, editors. Mandell, Douglas, and Bennett's principles and practice of infectious diseases. 8th ed. Philadelphia: Elsevier Sanders; 2015. p. 2787-818.</w:t>
      </w:r>
    </w:p>
    <w:p w14:paraId="6C97AE2F" w14:textId="04D63895" w:rsidR="001647EA" w:rsidRPr="007A4336" w:rsidRDefault="001647EA" w:rsidP="00CA7F5E">
      <w:pPr>
        <w:pStyle w:val="ListNumber2"/>
      </w:pPr>
      <w:r w:rsidRPr="007A4336">
        <w:t xml:space="preserve">Bright A, Denholm J, Coulter C, Waring J, Stapledon R. Tuberculosis notifications in Australia, 2015-2018. Communicable Diseases Intelligence. </w:t>
      </w:r>
      <w:proofErr w:type="gramStart"/>
      <w:r w:rsidRPr="007A4336">
        <w:t>2018;44:1</w:t>
      </w:r>
      <w:proofErr w:type="gramEnd"/>
      <w:r w:rsidRPr="007A4336">
        <w:t>-39.</w:t>
      </w:r>
    </w:p>
    <w:p w14:paraId="68392D74" w14:textId="29455EC8" w:rsidR="001647EA" w:rsidRPr="007A4336" w:rsidRDefault="001647EA" w:rsidP="00CA7F5E">
      <w:pPr>
        <w:pStyle w:val="ListNumber2"/>
      </w:pPr>
      <w:r w:rsidRPr="007A4336">
        <w:t xml:space="preserve">World Health Organization. Global Tuberculosis Report 2020. Geneva: World Health Organization; 2020 [3 May 2021]. Available from: </w:t>
      </w:r>
      <w:hyperlink r:id="rId39" w:history="1">
        <w:r w:rsidRPr="007A4336">
          <w:rPr>
            <w:rStyle w:val="Hyperlink"/>
          </w:rPr>
          <w:t>https://apps.who.int/iris/bitstream/handle/10665/336069/9789240013131-eng.pdf</w:t>
        </w:r>
      </w:hyperlink>
      <w:r w:rsidRPr="007A4336">
        <w:t>.</w:t>
      </w:r>
    </w:p>
    <w:p w14:paraId="6C83F0EC" w14:textId="6551F067" w:rsidR="001647EA" w:rsidRPr="007A4336" w:rsidRDefault="001647EA" w:rsidP="00CA7F5E">
      <w:pPr>
        <w:pStyle w:val="ListNumber2"/>
      </w:pPr>
      <w:r w:rsidRPr="007A4336">
        <w:t xml:space="preserve">Department of Health. National Notifiable Diseases Surveillance System. Canberra: Australian Government Department of Health.; 2021 [4 August 2021]. Available from: </w:t>
      </w:r>
      <w:hyperlink r:id="rId40" w:history="1">
        <w:r w:rsidRPr="007A4336">
          <w:rPr>
            <w:rStyle w:val="Hyperlink"/>
          </w:rPr>
          <w:t>http://www9.health.gov.au/cda/source/cda-index.cfm</w:t>
        </w:r>
      </w:hyperlink>
      <w:r w:rsidRPr="007A4336">
        <w:t>.</w:t>
      </w:r>
    </w:p>
    <w:p w14:paraId="77252BB9" w14:textId="13807FC7" w:rsidR="001647EA" w:rsidRPr="007A4336" w:rsidRDefault="001647EA" w:rsidP="00CA7F5E">
      <w:pPr>
        <w:pStyle w:val="ListNumber2"/>
      </w:pPr>
      <w:r w:rsidRPr="007A4336">
        <w:t xml:space="preserve">Lumb R, Bastian I, Jelfs P, Keehner T, Pandey S, Sievers A. Tuberculosis in Australia: </w:t>
      </w:r>
      <w:proofErr w:type="gramStart"/>
      <w:r w:rsidRPr="007A4336">
        <w:t>bacteriologically-confirmed</w:t>
      </w:r>
      <w:proofErr w:type="gramEnd"/>
      <w:r w:rsidRPr="007A4336">
        <w:t xml:space="preserve"> cases and drug resistance, 2011: A report of the Australian Mycobacterium Reference Laboratory Network. Communicable Diseases Intelligence. 2014;38(4</w:t>
      </w:r>
      <w:proofErr w:type="gramStart"/>
      <w:r w:rsidRPr="007A4336">
        <w:t>):E</w:t>
      </w:r>
      <w:proofErr w:type="gramEnd"/>
      <w:r w:rsidRPr="007A4336">
        <w:t>369-75.</w:t>
      </w:r>
    </w:p>
    <w:p w14:paraId="3998F385" w14:textId="43B2BF66" w:rsidR="001647EA" w:rsidRPr="007A4336" w:rsidRDefault="001647EA" w:rsidP="00CA7F5E">
      <w:pPr>
        <w:pStyle w:val="ListNumber2"/>
      </w:pPr>
      <w:r w:rsidRPr="007A4336">
        <w:t xml:space="preserve">Camphor HS, Viney K, Polkinghorne B, Pennington K. Retrospective analysis of multidrug-resistant tuberculosis case notifications in Australia (1999-2018). Communicable Diseases Intelligence. </w:t>
      </w:r>
      <w:proofErr w:type="gramStart"/>
      <w:r w:rsidRPr="007A4336">
        <w:t>2020;44:1</w:t>
      </w:r>
      <w:proofErr w:type="gramEnd"/>
      <w:r w:rsidRPr="007A4336">
        <w:t>-15.</w:t>
      </w:r>
    </w:p>
    <w:p w14:paraId="17EB6AF9" w14:textId="3B65782F" w:rsidR="001647EA" w:rsidRPr="007A4336" w:rsidRDefault="001647EA" w:rsidP="00CA7F5E">
      <w:pPr>
        <w:pStyle w:val="ListNumber2"/>
      </w:pPr>
      <w:r w:rsidRPr="007A4336">
        <w:t>Krause Va, National Tuberculosis Advisory Committee. Policy recommendation: latent tuberculosis infection screening and treatment in children in immigration detention. Communicable Diseases Intelligence. 2015;39(4</w:t>
      </w:r>
      <w:proofErr w:type="gramStart"/>
      <w:r w:rsidRPr="007A4336">
        <w:t>):E</w:t>
      </w:r>
      <w:proofErr w:type="gramEnd"/>
      <w:r w:rsidRPr="007A4336">
        <w:t>597-E8.</w:t>
      </w:r>
    </w:p>
    <w:p w14:paraId="639E39EC" w14:textId="3EC06B88" w:rsidR="001647EA" w:rsidRPr="007A4336" w:rsidRDefault="001647EA" w:rsidP="00CA7F5E">
      <w:pPr>
        <w:pStyle w:val="ListNumber2"/>
      </w:pPr>
      <w:r w:rsidRPr="007A4336">
        <w:t>Denholm J, Bailes M, Francis J. Tuberculosis. In: Chaves NJ, Paxton G, Biggs BA, Thambiran A, Williams J, Gardiner J, et al., editors. Recommendations for comprehensive post-arrival health assessment for people from refugee-like backgrounds. 2nd ed. Surry Hills: Australasian Society for Infectious Diseases; 2016.</w:t>
      </w:r>
    </w:p>
    <w:p w14:paraId="70FD4536" w14:textId="76EA0CAE" w:rsidR="001647EA" w:rsidRPr="007A4336" w:rsidRDefault="001647EA" w:rsidP="00CA7F5E">
      <w:pPr>
        <w:pStyle w:val="ListNumber2"/>
      </w:pPr>
      <w:r w:rsidRPr="007A4336">
        <w:t xml:space="preserve">Australian Technical Advisory Group on Immunisation (ATAGI). Australian Immunisation Handbook Canberra: Australian Government: Department of Health; 2020 [5 August 2021]. Available from: </w:t>
      </w:r>
      <w:hyperlink r:id="rId41" w:history="1">
        <w:r w:rsidRPr="007A4336">
          <w:rPr>
            <w:rStyle w:val="Hyperlink"/>
          </w:rPr>
          <w:t>https://immunisationhandbook.health.gov.au/</w:t>
        </w:r>
      </w:hyperlink>
      <w:r w:rsidRPr="007A4336">
        <w:t>.</w:t>
      </w:r>
    </w:p>
    <w:p w14:paraId="4205E6DC" w14:textId="0BF56BF8" w:rsidR="001647EA" w:rsidRPr="007A4336" w:rsidRDefault="001647EA" w:rsidP="00CA7F5E">
      <w:pPr>
        <w:pStyle w:val="ListNumber2"/>
      </w:pPr>
      <w:r w:rsidRPr="007A4336">
        <w:t>Australian Technical Advisory Group on Immunisation (ATAGI). The Australian Immunisation Handbook (2017 update). 10th ed. Canberra: Australian Government: Department of Health; 2017.</w:t>
      </w:r>
    </w:p>
    <w:p w14:paraId="12C8F1BB" w14:textId="613BCD34" w:rsidR="001647EA" w:rsidRPr="007A4336" w:rsidRDefault="001647EA" w:rsidP="00CA7F5E">
      <w:pPr>
        <w:pStyle w:val="ListNumber2"/>
      </w:pPr>
      <w:r w:rsidRPr="007A4336">
        <w:lastRenderedPageBreak/>
        <w:t>National Tuberculosis Advisory Committee. The BCG vaccine: Information and recommendations for use in Australia. Communicable Diseases Intelligence. 2013;37(1</w:t>
      </w:r>
      <w:proofErr w:type="gramStart"/>
      <w:r w:rsidRPr="007A4336">
        <w:t>):E</w:t>
      </w:r>
      <w:proofErr w:type="gramEnd"/>
      <w:r w:rsidRPr="007A4336">
        <w:t>65-37.</w:t>
      </w:r>
    </w:p>
    <w:p w14:paraId="5A4EE974" w14:textId="73F1393B" w:rsidR="001647EA" w:rsidRPr="007A4336" w:rsidRDefault="001647EA" w:rsidP="00CA7F5E">
      <w:pPr>
        <w:pStyle w:val="ListNumber2"/>
      </w:pPr>
      <w:r w:rsidRPr="007A4336">
        <w:t xml:space="preserve">Denholm JT, Thevarajan I. </w:t>
      </w:r>
      <w:proofErr w:type="gramStart"/>
      <w:r w:rsidRPr="007A4336">
        <w:t>Tuberculosis</w:t>
      </w:r>
      <w:proofErr w:type="gramEnd"/>
      <w:r w:rsidRPr="007A4336">
        <w:t xml:space="preserve"> and the traveller: evaluating and reducing risk through travel consultation. Journal of Travel Medicine. 2016;23(3):1-6.</w:t>
      </w:r>
    </w:p>
    <w:p w14:paraId="78CCCB63" w14:textId="4E3C2200" w:rsidR="001647EA" w:rsidRPr="007A4336" w:rsidRDefault="001647EA" w:rsidP="00CA7F5E">
      <w:pPr>
        <w:pStyle w:val="ListNumber2"/>
      </w:pPr>
      <w:r w:rsidRPr="007A4336">
        <w:t>Bastian I, Shephard L, Lumb R, and the National Tuberculosis Advisory Committee. Revised guidelines for Australian laboratories performing mycobacteriology testing. Communicable Diseases Intelligence (2018). 2020;44.</w:t>
      </w:r>
    </w:p>
    <w:p w14:paraId="151A2A52" w14:textId="082D8778" w:rsidR="001647EA" w:rsidRPr="007A4336" w:rsidRDefault="001647EA" w:rsidP="00CA7F5E">
      <w:pPr>
        <w:pStyle w:val="ListNumber2"/>
      </w:pPr>
      <w:r w:rsidRPr="007A4336">
        <w:t>Denholm J, Coulter C, Bastian I, and the National Tuberculosis Advisory Committee. Defining a tuberculosis cluster or outbreak. Communicable Diseases Intelligence (CDI). 2016;40(3</w:t>
      </w:r>
      <w:proofErr w:type="gramStart"/>
      <w:r w:rsidRPr="007A4336">
        <w:t>):E</w:t>
      </w:r>
      <w:proofErr w:type="gramEnd"/>
      <w:r w:rsidRPr="007A4336">
        <w:t>356-E9.</w:t>
      </w:r>
    </w:p>
    <w:p w14:paraId="0FD3737D" w14:textId="55B2C3F6" w:rsidR="001647EA" w:rsidRPr="007A4336" w:rsidRDefault="001647EA" w:rsidP="00CA7F5E">
      <w:pPr>
        <w:pStyle w:val="ListNumber2"/>
      </w:pPr>
      <w:r w:rsidRPr="007A4336">
        <w:t xml:space="preserve">World Health Organization. WHO operational handbook on tuberculosis. Module 4: treatment - drug-resistant tuberculosis treatment. Geneva: World Health Organization; 2020 [5 June 2021]. Available from: </w:t>
      </w:r>
      <w:hyperlink r:id="rId42" w:history="1">
        <w:r w:rsidRPr="007A4336">
          <w:rPr>
            <w:rStyle w:val="Hyperlink"/>
          </w:rPr>
          <w:t>https://apps.who.int/iris/bitstream/handle/10665/332398/9789240006997-eng.pdf?sequence=1&amp;isAllowed=y</w:t>
        </w:r>
      </w:hyperlink>
      <w:r w:rsidRPr="007A4336">
        <w:t>.</w:t>
      </w:r>
    </w:p>
    <w:p w14:paraId="19193EB1" w14:textId="46148524" w:rsidR="001647EA" w:rsidRPr="007A4336" w:rsidRDefault="001647EA" w:rsidP="00CA7F5E">
      <w:pPr>
        <w:pStyle w:val="ListNumber2"/>
      </w:pPr>
      <w:r w:rsidRPr="007A4336">
        <w:t>World Health Organization. Technical report on critical concentrations for TB drug susceptibility testing of medicines used in the treatment of drug-resistant tuberculosis. Geneva: World Health Organization; 2018 [5 June 2021]. (WHO/CDS/TB/2018.5</w:t>
      </w:r>
      <w:proofErr w:type="gramStart"/>
      <w:r w:rsidRPr="007A4336">
        <w:t>):[</w:t>
      </w:r>
      <w:proofErr w:type="gramEnd"/>
      <w:r w:rsidRPr="007A4336">
        <w:t xml:space="preserve">Available from: </w:t>
      </w:r>
      <w:hyperlink r:id="rId43" w:history="1">
        <w:r w:rsidRPr="007A4336">
          <w:rPr>
            <w:rStyle w:val="Hyperlink"/>
          </w:rPr>
          <w:t>https://www.who.int/publications/i/item/WHO-CDS-TB-2018.5</w:t>
        </w:r>
      </w:hyperlink>
      <w:r w:rsidRPr="007A4336">
        <w:t>.</w:t>
      </w:r>
    </w:p>
    <w:p w14:paraId="7EFDFB38" w14:textId="1C448894" w:rsidR="001647EA" w:rsidRPr="007A4336" w:rsidRDefault="001647EA" w:rsidP="00CA7F5E">
      <w:pPr>
        <w:pStyle w:val="ListNumber2"/>
      </w:pPr>
      <w:r w:rsidRPr="007A4336">
        <w:t xml:space="preserve">World Health Organization. Technical Report on critical concentrations for drug susceptibility testing of isoniazid and the rifamycins (rifampicin, rifabutin and rifapentine). Geneva: World Health Organization; 2021 [5 June 2021]. Available from: </w:t>
      </w:r>
      <w:hyperlink r:id="rId44" w:history="1">
        <w:r w:rsidRPr="007A4336">
          <w:rPr>
            <w:rStyle w:val="Hyperlink"/>
          </w:rPr>
          <w:t>https://www.who.int/publications/i/item/technical-report-on-critical-concentrations-for-drugsusceptibility-testing-of-isoniazid-and-therifamycins-(rifampicin-rifabutin-and-rifapentine</w:t>
        </w:r>
      </w:hyperlink>
      <w:r w:rsidRPr="007A4336">
        <w:t>).</w:t>
      </w:r>
    </w:p>
    <w:p w14:paraId="22300CC0" w14:textId="0C3848B8" w:rsidR="001647EA" w:rsidRPr="007A4336" w:rsidRDefault="001647EA" w:rsidP="00CA7F5E">
      <w:pPr>
        <w:pStyle w:val="ListNumber2"/>
      </w:pPr>
      <w:r w:rsidRPr="007A4336">
        <w:t xml:space="preserve">Therapeutic Guidelines. Therapeutic Guidelines: Antibiotics version 16: Therapeutic Guidelines Limited; 2019 [10 August 2021]. Available from: </w:t>
      </w:r>
      <w:hyperlink r:id="rId45" w:history="1">
        <w:r w:rsidRPr="007A4336">
          <w:rPr>
            <w:rStyle w:val="Hyperlink"/>
          </w:rPr>
          <w:t>https://tgldcdp.tg.org.au/guideLine?guidelinePage=Antibiotic&amp;frompage=etgcomplete</w:t>
        </w:r>
      </w:hyperlink>
      <w:r w:rsidRPr="007A4336">
        <w:t>.</w:t>
      </w:r>
    </w:p>
    <w:p w14:paraId="696958EF" w14:textId="664A8219" w:rsidR="001647EA" w:rsidRPr="007A4336" w:rsidRDefault="001647EA" w:rsidP="00CA7F5E">
      <w:pPr>
        <w:pStyle w:val="ListNumber2"/>
      </w:pPr>
      <w:r w:rsidRPr="007A4336">
        <w:t>Hopewell PC, Fair EL, Uplekar M. Updating the International Standards for Tuberculosis Care. Entering the era of molecular diagnostics. Annals of the American Thoracic Society. 2014;11(3):277-85.</w:t>
      </w:r>
    </w:p>
    <w:p w14:paraId="4FDD75BB" w14:textId="536DEF51" w:rsidR="001647EA" w:rsidRPr="007A4336" w:rsidRDefault="001647EA" w:rsidP="00CA7F5E">
      <w:pPr>
        <w:pStyle w:val="ListNumber2"/>
      </w:pPr>
      <w:r w:rsidRPr="007A4336">
        <w:t>Nahid P, Dorman S, Alipanah N, Barry P, Brozek J, Cattamanchi A, et al. Official American Thoracic Society/centers for disease control and prevention/infectious diseases society of America clinical practice guidelines: treatment of drug-susceptible tuberculosis</w:t>
      </w:r>
      <w:proofErr w:type="gramStart"/>
      <w:r w:rsidRPr="007A4336">
        <w:t>. .</w:t>
      </w:r>
      <w:proofErr w:type="gramEnd"/>
      <w:r w:rsidRPr="007A4336">
        <w:t xml:space="preserve"> Clinical Infectious Diseases. 2016;63(7</w:t>
      </w:r>
      <w:proofErr w:type="gramStart"/>
      <w:r w:rsidRPr="007A4336">
        <w:t>):e</w:t>
      </w:r>
      <w:proofErr w:type="gramEnd"/>
      <w:r w:rsidRPr="007A4336">
        <w:t>147-e95.</w:t>
      </w:r>
    </w:p>
    <w:p w14:paraId="6945ED0E" w14:textId="3B82E864" w:rsidR="001647EA" w:rsidRPr="007A4336" w:rsidRDefault="001647EA" w:rsidP="00CA7F5E">
      <w:pPr>
        <w:pStyle w:val="ListNumber2"/>
      </w:pPr>
      <w:r w:rsidRPr="007A4336">
        <w:t>Phanouvong S, Vrakking H, Blanc L, Wondemagegnehu E, Moore T, Rago L, et al. Operational guide for national tuberculosis control programmes on the introduction and use of fixed-dose combination drugs. Geneva: World Health Organization; 2002.</w:t>
      </w:r>
    </w:p>
    <w:p w14:paraId="45E84C8D" w14:textId="281A28BC" w:rsidR="001647EA" w:rsidRPr="007A4336" w:rsidRDefault="001647EA" w:rsidP="00CA7F5E">
      <w:pPr>
        <w:pStyle w:val="ListNumber2"/>
      </w:pPr>
      <w:r w:rsidRPr="007A4336">
        <w:t xml:space="preserve">Reichman LB, Lardizabel AA. Adherence to tuberculosis treatment: UpToDate; 2016 [updated 12 Sep 2016. Available from: </w:t>
      </w:r>
      <w:hyperlink r:id="rId46" w:history="1">
        <w:r w:rsidRPr="007A4336">
          <w:rPr>
            <w:rStyle w:val="Hyperlink"/>
          </w:rPr>
          <w:t>https://www.uptodate.com/contents/adherence-to-tuberculosis-treatment</w:t>
        </w:r>
      </w:hyperlink>
      <w:r w:rsidRPr="007A4336">
        <w:t>.</w:t>
      </w:r>
    </w:p>
    <w:p w14:paraId="3A940A05" w14:textId="0E997710" w:rsidR="001647EA" w:rsidRPr="007A4336" w:rsidRDefault="001647EA" w:rsidP="00CA7F5E">
      <w:pPr>
        <w:pStyle w:val="ListNumber2"/>
      </w:pPr>
      <w:r w:rsidRPr="007A4336">
        <w:t>Garner P, Smith H, Munro S, Volmink J. Promoting adherence to tuberculosis treatment. Bulletin of the World Health Organization. 2007;85(5):404-6.</w:t>
      </w:r>
    </w:p>
    <w:p w14:paraId="32259C51" w14:textId="783E509E" w:rsidR="001647EA" w:rsidRPr="007A4336" w:rsidRDefault="001647EA" w:rsidP="00CA7F5E">
      <w:pPr>
        <w:pStyle w:val="ListNumber2"/>
      </w:pPr>
      <w:proofErr w:type="gramStart"/>
      <w:r w:rsidRPr="007A4336">
        <w:t>Karumbi J,</w:t>
      </w:r>
      <w:proofErr w:type="gramEnd"/>
      <w:r w:rsidRPr="007A4336">
        <w:t xml:space="preserve"> Garner P. Directly observed therapy for treating tuberculosis. Cochrane Databases System Reviews 2015;29(5):1-58.</w:t>
      </w:r>
    </w:p>
    <w:p w14:paraId="49A78A28" w14:textId="607E0A7C" w:rsidR="001647EA" w:rsidRPr="007A4336" w:rsidRDefault="001647EA" w:rsidP="00CA7F5E">
      <w:pPr>
        <w:pStyle w:val="ListNumber2"/>
      </w:pPr>
      <w:r w:rsidRPr="007A4336">
        <w:lastRenderedPageBreak/>
        <w:t>Tian J-H, Lu Z, Bachmann M, Song F. Effectiveness of directly observed treatment of tuberculosis: a systematic review of controlled studies. The International Journal of Tuberculosis and Lung Disease. 2014;18(9):1092-8.</w:t>
      </w:r>
    </w:p>
    <w:p w14:paraId="181795E1" w14:textId="03DFB70D" w:rsidR="001647EA" w:rsidRPr="007A4336" w:rsidRDefault="001647EA" w:rsidP="00CA7F5E">
      <w:pPr>
        <w:pStyle w:val="ListNumber2"/>
      </w:pPr>
      <w:r w:rsidRPr="007A4336">
        <w:t>Wright CM, Westerkamp L, Korver S, Dobler C. Community-based directly observed therapy (DOT) versus clinic DOT for tuberculosis: a systematic review and meta-analysis of comparative effectiveness. BMC Infectious Diseases. 2015;15(1):1-11.</w:t>
      </w:r>
    </w:p>
    <w:p w14:paraId="0BAAF10D" w14:textId="387E191B" w:rsidR="001647EA" w:rsidRPr="007A4336" w:rsidRDefault="001647EA" w:rsidP="00CA7F5E">
      <w:pPr>
        <w:pStyle w:val="ListNumber2"/>
      </w:pPr>
      <w:r w:rsidRPr="007A4336">
        <w:t>MacIntyre C, Goebel K, Brown G, Skull S, Starr M, Fullinfaw R. A randomised controlled clinical trial of the efficacy of family-based direct observation of anti-tuberculosis treatment in an urban, developed-country setting. International Journal of Tuberculosis and Lung Disease. 2003;7(9):848-54.</w:t>
      </w:r>
    </w:p>
    <w:p w14:paraId="21EAFBCE" w14:textId="5896012A" w:rsidR="001647EA" w:rsidRPr="007A4336" w:rsidRDefault="001647EA" w:rsidP="00CA7F5E">
      <w:pPr>
        <w:pStyle w:val="ListNumber2"/>
      </w:pPr>
      <w:r w:rsidRPr="007A4336">
        <w:t>Coulter C, and the National Tuberculosis Advisory Committee. Infection control guidelines for the management of patients with suspected or confirmed pulmonary tuberculosis in healthcare settings. Communicable Diseases Intelligence. 2016;40(3</w:t>
      </w:r>
      <w:proofErr w:type="gramStart"/>
      <w:r w:rsidRPr="007A4336">
        <w:t>):E</w:t>
      </w:r>
      <w:proofErr w:type="gramEnd"/>
      <w:r w:rsidRPr="007A4336">
        <w:t>360-6.</w:t>
      </w:r>
    </w:p>
    <w:p w14:paraId="7535A004" w14:textId="0DB798BB" w:rsidR="001647EA" w:rsidRPr="007A4336" w:rsidRDefault="001647EA" w:rsidP="00CA7F5E">
      <w:pPr>
        <w:pStyle w:val="ListNumber2"/>
      </w:pPr>
      <w:r w:rsidRPr="007A4336">
        <w:t>Bailey WC, Gerald LB, Kimerling ME, Redden D, Brook N, Bruce F, et al. Predictive model to identify positive tuberculosis skin test results during contact investigations. JAMA. 2002;287(8):996-1002.</w:t>
      </w:r>
    </w:p>
    <w:p w14:paraId="29C87D3B" w14:textId="576AE3B2" w:rsidR="001647EA" w:rsidRPr="007A4336" w:rsidRDefault="001647EA" w:rsidP="00CA7F5E">
      <w:pPr>
        <w:pStyle w:val="ListNumber2"/>
      </w:pPr>
      <w:r w:rsidRPr="007A4336">
        <w:t>Castilla J, Palmera R, Navascués A, Abeti M, Guillermo A, Irisarri F, et al. Population-based contact investigation of a cluster of tuberculosis cases in a small village. Epidemiology &amp; Infection. 2009;137(10):1426-35.</w:t>
      </w:r>
    </w:p>
    <w:p w14:paraId="483D70C6" w14:textId="3AAE127C" w:rsidR="001647EA" w:rsidRPr="007A4336" w:rsidRDefault="001647EA" w:rsidP="00CA7F5E">
      <w:pPr>
        <w:pStyle w:val="ListNumber2"/>
      </w:pPr>
      <w:r w:rsidRPr="007A4336">
        <w:t>Muecke C, Isler M, Menzies D, Allard R, Tannenbaum TN, Brassard P. The use of environmental factors as adjuncts to traditional tuberculosis contact investigation. The International Journal of Tuberculosis and Lung Disease. 2006;10(5):530-5.</w:t>
      </w:r>
    </w:p>
    <w:p w14:paraId="78880143" w14:textId="4307EB53" w:rsidR="001647EA" w:rsidRPr="007A4336" w:rsidRDefault="001647EA" w:rsidP="00CA7F5E">
      <w:pPr>
        <w:pStyle w:val="ListNumber2"/>
      </w:pPr>
      <w:r w:rsidRPr="007A4336">
        <w:t>Stock Da, National Tuberculosis Advisory Committee. National position statement for the management of latent tuberculosis infection. Communicable Diseases Intelligence 2017;41(3).</w:t>
      </w:r>
    </w:p>
    <w:p w14:paraId="0B7416C1" w14:textId="21DBA58C" w:rsidR="001647EA" w:rsidRPr="007A4336" w:rsidRDefault="001647EA" w:rsidP="00CA7F5E">
      <w:pPr>
        <w:pStyle w:val="ListNumber2"/>
      </w:pPr>
      <w:r w:rsidRPr="007A4336">
        <w:t>World Health Organization. WHO treatment guidelines for isoniazid-resistant tuberculosis: Supplement to the WHO treatment guidelines for drug-resistant tuberculosis. Geneva: World Health Organization; 2018. p. 45.</w:t>
      </w:r>
    </w:p>
    <w:p w14:paraId="44C0AA33" w14:textId="026AAFE6" w:rsidR="001647EA" w:rsidRPr="007A4336" w:rsidRDefault="001647EA" w:rsidP="00CA7F5E">
      <w:pPr>
        <w:pStyle w:val="ListNumber2"/>
      </w:pPr>
      <w:r w:rsidRPr="007A4336">
        <w:t>World Health Organization. Rapid communication: Key changes to treatment of multidrug- and rifampicin-resistant tuberculosis (MDR/RR-TB). Geneva: World Health Organization; 2018. p. 9.</w:t>
      </w:r>
    </w:p>
    <w:p w14:paraId="39B6736C" w14:textId="51EABB55" w:rsidR="001647EA" w:rsidRPr="007A4336" w:rsidRDefault="001647EA" w:rsidP="00CA7F5E">
      <w:pPr>
        <w:pStyle w:val="ListNumber2"/>
      </w:pPr>
      <w:r w:rsidRPr="007A4336">
        <w:t>National Tuberculosis Advisory Committee. National Tuberculosis Advisory Committee multi-drug resistant tuberculosis information paper (October 2007). Communicable Diseases Intelligence. 2007;31(4):406-9.</w:t>
      </w:r>
    </w:p>
    <w:p w14:paraId="7DE0377C" w14:textId="35218F3D" w:rsidR="001647EA" w:rsidRPr="007A4336" w:rsidRDefault="001647EA" w:rsidP="00CA7F5E">
      <w:pPr>
        <w:pStyle w:val="ListNumber2"/>
      </w:pPr>
      <w:r w:rsidRPr="007A4336">
        <w:t>Nicholson A, editor Global consultation on best practices in the delivery of preventive therapy for household contacts of patients with drug-resistant tuberculosis. Proceedings of the Harvard Medical School Center for Global Health Delivery–Dubai 2015; Dubai. Dubai: Harvard Medical School Center for Global Health Delivery Dubai.</w:t>
      </w:r>
    </w:p>
    <w:p w14:paraId="0AC6B978" w14:textId="6380DC18" w:rsidR="001647EA" w:rsidRPr="007A4336" w:rsidRDefault="001647EA" w:rsidP="00CA7F5E">
      <w:pPr>
        <w:pStyle w:val="ListNumber2"/>
      </w:pPr>
      <w:r w:rsidRPr="007A4336">
        <w:t>Martinson NA, Hoffmann CJ, Chaisson RE. Epidemiology of tuberculosis and HIV: recent advances in understanding and responses. Proc Am Thorac Soc. 2011;8(3):288-93.</w:t>
      </w:r>
    </w:p>
    <w:p w14:paraId="63820050" w14:textId="618862C1" w:rsidR="001647EA" w:rsidRPr="007A4336" w:rsidRDefault="001647EA" w:rsidP="00CA7F5E">
      <w:pPr>
        <w:pStyle w:val="ListNumber2"/>
      </w:pPr>
      <w:r w:rsidRPr="007A4336">
        <w:t>World Health Organization. Latent TB Infection. In: Organization WH, editor. Geneva: World Health Organization; 2018.</w:t>
      </w:r>
    </w:p>
    <w:p w14:paraId="3FF0F7BC" w14:textId="48415E61" w:rsidR="001647EA" w:rsidRPr="007A4336" w:rsidRDefault="001647EA" w:rsidP="00CA7F5E">
      <w:pPr>
        <w:pStyle w:val="ListNumber2"/>
      </w:pPr>
      <w:r w:rsidRPr="007A4336">
        <w:t>Coulter C. Travel and tuberculosis. Microbiology Australia. 2016;37(4):159-62.</w:t>
      </w:r>
    </w:p>
    <w:p w14:paraId="2DFADFA6" w14:textId="0ECE8808" w:rsidR="001647EA" w:rsidRPr="007A4336" w:rsidRDefault="001647EA" w:rsidP="00CA7F5E">
      <w:pPr>
        <w:pStyle w:val="ListNumber2"/>
      </w:pPr>
      <w:r w:rsidRPr="007A4336">
        <w:lastRenderedPageBreak/>
        <w:t>Kotila SM, Hallström LP, Jansen N, Helbling P, Abubakar I. Systematic review on tuberculosis transmission on aircraft and update of the European Centre for Disease Prevention and Control risk assessment guidelines for tuberculosis transmitted on aircraft (RAGIDA-TB). Eurosurveillance. 2015;21(4):1-12.</w:t>
      </w:r>
    </w:p>
    <w:p w14:paraId="1FD49571" w14:textId="244557C0" w:rsidR="00C2130C" w:rsidRPr="007A4336" w:rsidRDefault="001647EA" w:rsidP="00CA7F5E">
      <w:pPr>
        <w:pStyle w:val="ListNumber2"/>
      </w:pPr>
      <w:r w:rsidRPr="007A4336">
        <w:t>Kenyon TA, Valway SE, Ihle WW, Onorato IM, Castro KG. Transmission of multidrug-resistant Mycobacterium tuberculosis during a long airplane flight. New England Journal of Medicine. 1996;334(15):933-8.</w:t>
      </w:r>
    </w:p>
    <w:p w14:paraId="640EAA91" w14:textId="1344271C" w:rsidR="00C2130C" w:rsidRPr="007A4336" w:rsidRDefault="00C2130C" w:rsidP="00CA7F5E">
      <w:pPr>
        <w:pStyle w:val="ListNumber2"/>
      </w:pPr>
      <w:r w:rsidRPr="007A4336">
        <w:t xml:space="preserve">Australian/New Zealand Standard 2243.3: 2010 Safety in laboratories – Microbiological aspects and containment facilities. </w:t>
      </w:r>
    </w:p>
    <w:p w14:paraId="530522EF" w14:textId="46832B73" w:rsidR="00A52FB3" w:rsidRPr="00CA7F5E" w:rsidRDefault="00E25FFB" w:rsidP="007A4336">
      <w:pPr>
        <w:rPr>
          <w:rStyle w:val="Strong"/>
        </w:rPr>
      </w:pPr>
      <w:r w:rsidRPr="007A4336">
        <w:fldChar w:fldCharType="end"/>
      </w:r>
      <w:bookmarkStart w:id="109" w:name="_Toc29979794"/>
      <w:bookmarkStart w:id="110" w:name="_Toc29983397"/>
      <w:r w:rsidR="002E1CF0" w:rsidRPr="00CA7F5E">
        <w:rPr>
          <w:rStyle w:val="Strong"/>
        </w:rPr>
        <w:t xml:space="preserve">TB information and fact sheets are available on </w:t>
      </w:r>
      <w:r w:rsidR="00572634" w:rsidRPr="00CA7F5E">
        <w:rPr>
          <w:rStyle w:val="Strong"/>
        </w:rPr>
        <w:t xml:space="preserve">state and territory </w:t>
      </w:r>
      <w:r w:rsidR="002E1CF0" w:rsidRPr="00CA7F5E">
        <w:rPr>
          <w:rStyle w:val="Strong"/>
        </w:rPr>
        <w:t>websites:</w:t>
      </w:r>
      <w:bookmarkEnd w:id="109"/>
      <w:bookmarkEnd w:id="110"/>
      <w:r w:rsidR="002E1CF0" w:rsidRPr="00CA7F5E">
        <w:rPr>
          <w:rStyle w:val="Strong"/>
        </w:rPr>
        <w:t xml:space="preserve"> </w:t>
      </w:r>
    </w:p>
    <w:p w14:paraId="071A0ABC" w14:textId="29B8CBBF" w:rsidR="00A80C73" w:rsidRPr="004D44EC" w:rsidRDefault="00A80C73" w:rsidP="003031A7">
      <w:pPr>
        <w:pStyle w:val="ListBullet2"/>
      </w:pPr>
      <w:r w:rsidRPr="004D44EC">
        <w:t xml:space="preserve">Australian Capital Territory: </w:t>
      </w:r>
      <w:hyperlink r:id="rId47" w:history="1">
        <w:r w:rsidR="001647EA" w:rsidRPr="001647EA">
          <w:rPr>
            <w:rStyle w:val="Hyperlink"/>
          </w:rPr>
          <w:t>Tuberculosis (health.act.gov.au)</w:t>
        </w:r>
      </w:hyperlink>
      <w:r w:rsidR="001647EA">
        <w:t xml:space="preserve"> </w:t>
      </w:r>
    </w:p>
    <w:p w14:paraId="01461A9F" w14:textId="77777777" w:rsidR="001647EA" w:rsidRDefault="00D65BA9" w:rsidP="003031A7">
      <w:pPr>
        <w:pStyle w:val="ListBullet2"/>
      </w:pPr>
      <w:r w:rsidRPr="001647EA">
        <w:t>Victoria:</w:t>
      </w:r>
      <w:r w:rsidR="001647EA" w:rsidRPr="001647EA">
        <w:t xml:space="preserve"> </w:t>
      </w:r>
      <w:hyperlink r:id="rId48" w:history="1">
        <w:r w:rsidR="001647EA" w:rsidRPr="001647EA">
          <w:rPr>
            <w:rStyle w:val="Hyperlink"/>
          </w:rPr>
          <w:t>Tuberculosis (health.vic.gov.au)</w:t>
        </w:r>
      </w:hyperlink>
      <w:r w:rsidR="001647EA" w:rsidRPr="001647EA">
        <w:t xml:space="preserve"> </w:t>
      </w:r>
    </w:p>
    <w:p w14:paraId="4FD1397E" w14:textId="10D2C7C2" w:rsidR="002E1CF0" w:rsidRPr="001647EA" w:rsidRDefault="0045641E" w:rsidP="003031A7">
      <w:pPr>
        <w:pStyle w:val="ListBullet2"/>
      </w:pPr>
      <w:r w:rsidRPr="001647EA">
        <w:t>New South Wales</w:t>
      </w:r>
      <w:r w:rsidR="00D65BA9" w:rsidRPr="001647EA">
        <w:t>:</w:t>
      </w:r>
      <w:r w:rsidR="009B016C">
        <w:rPr>
          <w:rStyle w:val="Hyperlink"/>
        </w:rPr>
        <w:t xml:space="preserve"> </w:t>
      </w:r>
      <w:hyperlink r:id="rId49" w:history="1">
        <w:r w:rsidR="001647EA" w:rsidRPr="001647EA">
          <w:rPr>
            <w:rStyle w:val="Hyperlink"/>
          </w:rPr>
          <w:t>Tuberculosis (</w:t>
        </w:r>
        <w:r w:rsidR="001647EA">
          <w:rPr>
            <w:rStyle w:val="Hyperlink"/>
          </w:rPr>
          <w:t>heath.nsw.</w:t>
        </w:r>
        <w:r w:rsidR="001647EA" w:rsidRPr="001647EA">
          <w:rPr>
            <w:rStyle w:val="Hyperlink"/>
          </w:rPr>
          <w:t>gov.au)</w:t>
        </w:r>
      </w:hyperlink>
    </w:p>
    <w:p w14:paraId="28978359" w14:textId="0830E967" w:rsidR="002E1CF0" w:rsidRPr="004D44EC" w:rsidRDefault="00D65BA9" w:rsidP="003031A7">
      <w:pPr>
        <w:pStyle w:val="ListBullet2"/>
      </w:pPr>
      <w:r w:rsidRPr="004D44EC">
        <w:t>Queensland</w:t>
      </w:r>
      <w:r w:rsidR="0045641E" w:rsidRPr="004D44EC">
        <w:t>:</w:t>
      </w:r>
      <w:r w:rsidRPr="004D44EC">
        <w:t xml:space="preserve"> </w:t>
      </w:r>
      <w:hyperlink r:id="rId50" w:history="1">
        <w:r w:rsidR="001647EA" w:rsidRPr="001647EA">
          <w:rPr>
            <w:rStyle w:val="Hyperlink"/>
          </w:rPr>
          <w:t>Tuberculosis (health.qld.gov.au)</w:t>
        </w:r>
      </w:hyperlink>
      <w:r w:rsidR="001647EA">
        <w:t xml:space="preserve"> </w:t>
      </w:r>
    </w:p>
    <w:p w14:paraId="5796A860" w14:textId="11B47FF5" w:rsidR="002E1CF0" w:rsidRPr="004D44EC" w:rsidRDefault="00D65BA9" w:rsidP="003031A7">
      <w:pPr>
        <w:pStyle w:val="ListBullet2"/>
      </w:pPr>
      <w:r w:rsidRPr="004D44EC">
        <w:t xml:space="preserve">Northern Territory: </w:t>
      </w:r>
      <w:hyperlink r:id="rId51" w:history="1">
        <w:r w:rsidR="001647EA" w:rsidRPr="00D61190">
          <w:rPr>
            <w:rStyle w:val="Hyperlink"/>
          </w:rPr>
          <w:t>Tuberculosis (health.nt.gov.au)</w:t>
        </w:r>
      </w:hyperlink>
      <w:r w:rsidR="001647EA">
        <w:t xml:space="preserve"> </w:t>
      </w:r>
    </w:p>
    <w:p w14:paraId="49C649CF" w14:textId="2405CF7C" w:rsidR="00A52FB3" w:rsidRDefault="0045641E" w:rsidP="003031A7">
      <w:pPr>
        <w:pStyle w:val="ListBullet2"/>
      </w:pPr>
      <w:r w:rsidRPr="004D44EC">
        <w:t>Western Australia</w:t>
      </w:r>
      <w:r w:rsidR="00D65BA9" w:rsidRPr="004D44EC">
        <w:t xml:space="preserve">: </w:t>
      </w:r>
      <w:hyperlink r:id="rId52" w:history="1">
        <w:r w:rsidR="00F65B10" w:rsidRPr="00F65B10">
          <w:rPr>
            <w:rStyle w:val="Hyperlink"/>
          </w:rPr>
          <w:t>Tuberculosis (health.wa.gov.au)</w:t>
        </w:r>
      </w:hyperlink>
      <w:r w:rsidR="00F65B10">
        <w:t xml:space="preserve"> </w:t>
      </w:r>
    </w:p>
    <w:p w14:paraId="4187B075" w14:textId="4FAFB5B9" w:rsidR="00EA3789" w:rsidRPr="0027373D" w:rsidRDefault="0027373D" w:rsidP="003031A7">
      <w:pPr>
        <w:pStyle w:val="ListBullet2"/>
      </w:pPr>
      <w:r>
        <w:t xml:space="preserve">South Australia: </w:t>
      </w:r>
      <w:hyperlink r:id="rId53" w:history="1">
        <w:r>
          <w:rPr>
            <w:rStyle w:val="Hyperlink"/>
          </w:rPr>
          <w:t>Tuberculosis (www.sahealth.sa.gov.au)</w:t>
        </w:r>
      </w:hyperlink>
    </w:p>
    <w:p w14:paraId="570A695B" w14:textId="77777777" w:rsidR="00572634" w:rsidRPr="00CA7F5E" w:rsidRDefault="002E1CF0" w:rsidP="00CA7F5E">
      <w:pPr>
        <w:rPr>
          <w:rStyle w:val="Strong"/>
        </w:rPr>
      </w:pPr>
      <w:bookmarkStart w:id="111" w:name="_Toc29979795"/>
      <w:bookmarkStart w:id="112" w:name="_Toc29983398"/>
      <w:r w:rsidRPr="00CA7F5E">
        <w:rPr>
          <w:rStyle w:val="Strong"/>
        </w:rPr>
        <w:t>National T</w:t>
      </w:r>
      <w:r w:rsidR="00A80C73" w:rsidRPr="00CA7F5E">
        <w:rPr>
          <w:rStyle w:val="Strong"/>
        </w:rPr>
        <w:t>uberculosis</w:t>
      </w:r>
      <w:r w:rsidRPr="00CA7F5E">
        <w:rPr>
          <w:rStyle w:val="Strong"/>
        </w:rPr>
        <w:t xml:space="preserve"> Advisory Committee website:</w:t>
      </w:r>
      <w:bookmarkEnd w:id="111"/>
      <w:bookmarkEnd w:id="112"/>
    </w:p>
    <w:p w14:paraId="4578BC1F" w14:textId="6B0122D8" w:rsidR="00A52FB3" w:rsidRPr="004D44EC" w:rsidRDefault="00454651" w:rsidP="003031A7">
      <w:pPr>
        <w:pStyle w:val="ListBullet2"/>
      </w:pPr>
      <w:r w:rsidRPr="004D44EC">
        <w:rPr>
          <w:bCs/>
        </w:rPr>
        <w:t>Department of Health</w:t>
      </w:r>
      <w:r w:rsidR="00664949" w:rsidRPr="004D44EC">
        <w:rPr>
          <w:bCs/>
        </w:rPr>
        <w:t xml:space="preserve"> </w:t>
      </w:r>
      <w:r w:rsidR="00572634" w:rsidRPr="004D44EC">
        <w:rPr>
          <w:bCs/>
        </w:rPr>
        <w:t>NTAC:</w:t>
      </w:r>
      <w:r w:rsidR="002E1CF0" w:rsidRPr="004D44EC">
        <w:rPr>
          <w:bCs/>
        </w:rPr>
        <w:t xml:space="preserve"> </w:t>
      </w:r>
      <w:hyperlink r:id="rId54" w:history="1">
        <w:r w:rsidR="006E24EB">
          <w:rPr>
            <w:rStyle w:val="Hyperlink"/>
          </w:rPr>
          <w:t>Department of Health | About the National Tuberculosis Advisory Committee (NTAC)</w:t>
        </w:r>
      </w:hyperlink>
    </w:p>
    <w:p w14:paraId="43D5D8F6" w14:textId="77777777" w:rsidR="002E1CF0" w:rsidRPr="007A4336" w:rsidRDefault="002E1CF0" w:rsidP="00CA7F5E">
      <w:pPr>
        <w:pStyle w:val="Heading1"/>
      </w:pPr>
      <w:bookmarkStart w:id="113" w:name="_Appendices"/>
      <w:bookmarkStart w:id="114" w:name="_Toc97195086"/>
      <w:bookmarkEnd w:id="113"/>
      <w:r w:rsidRPr="007A4336">
        <w:t>Appendices</w:t>
      </w:r>
      <w:bookmarkEnd w:id="114"/>
    </w:p>
    <w:p w14:paraId="7DF13E30" w14:textId="564E2CB8" w:rsidR="00572634" w:rsidRPr="00EA3B4F" w:rsidRDefault="00572634" w:rsidP="00572634">
      <w:pPr>
        <w:tabs>
          <w:tab w:val="num" w:pos="360"/>
        </w:tabs>
        <w:rPr>
          <w:rFonts w:cs="Arial"/>
        </w:rPr>
      </w:pPr>
      <w:r w:rsidRPr="004D44EC">
        <w:rPr>
          <w:rFonts w:cs="Arial"/>
        </w:rPr>
        <w:t xml:space="preserve">Appendix 1: Example of TB Investigation form - </w:t>
      </w:r>
      <w:r w:rsidRPr="003031A7">
        <w:rPr>
          <w:rStyle w:val="Emphasis"/>
        </w:rPr>
        <w:t xml:space="preserve">If you need help accessing this </w:t>
      </w:r>
      <w:r w:rsidR="005D76E8" w:rsidRPr="003031A7">
        <w:rPr>
          <w:rStyle w:val="Emphasis"/>
        </w:rPr>
        <w:t>document,</w:t>
      </w:r>
      <w:r w:rsidRPr="003031A7">
        <w:rPr>
          <w:rStyle w:val="Emphasis"/>
        </w:rPr>
        <w:t xml:space="preserve"> please contact</w:t>
      </w:r>
      <w:r w:rsidR="00EA3B4F" w:rsidRPr="003031A7">
        <w:rPr>
          <w:rStyle w:val="Emphasis"/>
        </w:rPr>
        <w:t xml:space="preserve"> </w:t>
      </w:r>
      <w:hyperlink r:id="rId55" w:history="1">
        <w:r w:rsidR="00EA3B4F" w:rsidRPr="00A23355">
          <w:rPr>
            <w:rStyle w:val="Hyperlink"/>
            <w:rFonts w:cs="Arial"/>
            <w:i/>
            <w:iCs/>
          </w:rPr>
          <w:t>CDNA.SoNG@health.gov.au</w:t>
        </w:r>
      </w:hyperlink>
      <w:r w:rsidR="00EA3B4F" w:rsidRPr="003031A7">
        <w:rPr>
          <w:rStyle w:val="Emphasis"/>
        </w:rPr>
        <w:t>.</w:t>
      </w:r>
    </w:p>
    <w:p w14:paraId="2AEBBC10" w14:textId="733F88DF" w:rsidR="00572634" w:rsidRPr="004D44EC" w:rsidRDefault="00AA59D5" w:rsidP="003031A7">
      <w:pPr>
        <w:pStyle w:val="ListBullet2"/>
      </w:pPr>
      <w:hyperlink r:id="rId56" w:history="1">
        <w:r w:rsidR="00862FF3">
          <w:rPr>
            <w:rStyle w:val="Hyperlink"/>
          </w:rPr>
          <w:t>Tuberculosis-Case-Form-Aug13.pdf (health.gov.au)</w:t>
        </w:r>
      </w:hyperlink>
    </w:p>
    <w:p w14:paraId="309A78C5" w14:textId="77777777" w:rsidR="00572634" w:rsidRPr="004D44EC" w:rsidRDefault="00AA59D5" w:rsidP="003031A7">
      <w:pPr>
        <w:pStyle w:val="ListBullet2"/>
      </w:pPr>
      <w:hyperlink r:id="rId57" w:history="1">
        <w:r w:rsidR="00572634" w:rsidRPr="004D44EC">
          <w:rPr>
            <w:rStyle w:val="Hyperlink"/>
          </w:rPr>
          <w:t>Tuberculosis Case Investigation Form - Word 71 KB</w:t>
        </w:r>
      </w:hyperlink>
    </w:p>
    <w:p w14:paraId="3117F7EE" w14:textId="77777777" w:rsidR="00572634" w:rsidRPr="007A4336" w:rsidRDefault="002E1CF0" w:rsidP="00CA7F5E">
      <w:pPr>
        <w:pStyle w:val="Heading1"/>
      </w:pPr>
      <w:bookmarkStart w:id="115" w:name="_Jurisdiction_specific_issues"/>
      <w:bookmarkStart w:id="116" w:name="_Toc97195087"/>
      <w:bookmarkEnd w:id="115"/>
      <w:r w:rsidRPr="007A4336">
        <w:t>Jurisdiction specific issues</w:t>
      </w:r>
      <w:bookmarkEnd w:id="116"/>
    </w:p>
    <w:p w14:paraId="35D27AC4" w14:textId="29454E09" w:rsidR="002A54A5" w:rsidRPr="004D44EC" w:rsidRDefault="00572634" w:rsidP="00A52FB3">
      <w:pPr>
        <w:rPr>
          <w:rFonts w:cs="Arial"/>
        </w:rPr>
      </w:pPr>
      <w:r w:rsidRPr="004D44EC">
        <w:rPr>
          <w:rFonts w:cs="Arial"/>
        </w:rPr>
        <w:t xml:space="preserve">Links to State and Territory Public Health Legislation, the </w:t>
      </w:r>
      <w:r w:rsidRPr="003031A7">
        <w:rPr>
          <w:rStyle w:val="Emphasis"/>
        </w:rPr>
        <w:t>Biosecurity Act 2015</w:t>
      </w:r>
      <w:r w:rsidRPr="004D44EC">
        <w:rPr>
          <w:rFonts w:cs="Arial"/>
        </w:rPr>
        <w:t xml:space="preserve"> and the </w:t>
      </w:r>
      <w:r w:rsidRPr="003031A7">
        <w:rPr>
          <w:rStyle w:val="Emphasis"/>
        </w:rPr>
        <w:t>National Health Security Act 2007</w:t>
      </w:r>
      <w:r w:rsidRPr="004D44EC">
        <w:rPr>
          <w:rFonts w:cs="Arial"/>
        </w:rPr>
        <w:t xml:space="preserve">: </w:t>
      </w:r>
      <w:hyperlink r:id="rId58" w:history="1">
        <w:r w:rsidR="00862FF3">
          <w:rPr>
            <w:rStyle w:val="Hyperlink"/>
          </w:rPr>
          <w:t>Department of Health | Links to State and Territory Public Health Legislation, the Biosecurity Act, and the National Health Security Act 2007</w:t>
        </w:r>
      </w:hyperlink>
      <w:r w:rsidRPr="004D44EC">
        <w:rPr>
          <w:rFonts w:cs="Arial"/>
        </w:rPr>
        <w:t xml:space="preserve"> </w:t>
      </w:r>
    </w:p>
    <w:p w14:paraId="09E80D07" w14:textId="3D1273D1" w:rsidR="00572634" w:rsidRPr="004D44EC" w:rsidRDefault="0052258D" w:rsidP="00E11EE2">
      <w:pPr>
        <w:tabs>
          <w:tab w:val="left" w:pos="8536"/>
        </w:tabs>
        <w:rPr>
          <w:rFonts w:cs="Arial"/>
        </w:rPr>
      </w:pPr>
      <w:r w:rsidRPr="004D44EC">
        <w:rPr>
          <w:rFonts w:cs="Arial"/>
        </w:rPr>
        <w:tab/>
      </w:r>
    </w:p>
    <w:sectPr w:rsidR="00572634" w:rsidRPr="004D44EC" w:rsidSect="00483E01">
      <w:footnotePr>
        <w:numFmt w:val="chicago"/>
      </w:footnotePr>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0DEB7" w14:textId="77777777" w:rsidR="00AA59D5" w:rsidRDefault="00AA59D5">
      <w:r>
        <w:separator/>
      </w:r>
    </w:p>
  </w:endnote>
  <w:endnote w:type="continuationSeparator" w:id="0">
    <w:p w14:paraId="1EA81693" w14:textId="77777777" w:rsidR="00AA59D5" w:rsidRDefault="00AA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KZZLT+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642848"/>
      <w:docPartObj>
        <w:docPartGallery w:val="Page Numbers (Bottom of Page)"/>
        <w:docPartUnique/>
      </w:docPartObj>
    </w:sdtPr>
    <w:sdtEndPr>
      <w:rPr>
        <w:noProof/>
      </w:rPr>
    </w:sdtEndPr>
    <w:sdtContent>
      <w:p w14:paraId="65A3EDF3" w14:textId="7D1F2224" w:rsidR="00AA59D5" w:rsidRDefault="00AA59D5" w:rsidP="002D3524">
        <w:pPr>
          <w:pStyle w:val="Footer"/>
          <w:tabs>
            <w:tab w:val="clear" w:pos="8306"/>
            <w:tab w:val="right" w:pos="9356"/>
          </w:tabs>
        </w:pPr>
        <w:r>
          <w:rPr>
            <w:sz w:val="20"/>
            <w:szCs w:val="20"/>
          </w:rPr>
          <w:t xml:space="preserve">Tuberculosis </w:t>
        </w:r>
        <w:r w:rsidRPr="00483E01">
          <w:rPr>
            <w:sz w:val="20"/>
            <w:szCs w:val="20"/>
          </w:rPr>
          <w:t>CDNA National Guidelines for Public Health Units</w:t>
        </w:r>
        <w:r w:rsidRPr="00483E01">
          <w:rPr>
            <w:sz w:val="20"/>
            <w:szCs w:val="20"/>
          </w:rPr>
          <w:tab/>
        </w:r>
        <w:r>
          <w:rPr>
            <w:sz w:val="20"/>
            <w:szCs w:val="20"/>
          </w:rPr>
          <w:t xml:space="preserve">Page </w:t>
        </w:r>
        <w:r w:rsidRPr="00483E01">
          <w:rPr>
            <w:sz w:val="20"/>
            <w:szCs w:val="20"/>
          </w:rPr>
          <w:fldChar w:fldCharType="begin"/>
        </w:r>
        <w:r w:rsidRPr="00483E01">
          <w:rPr>
            <w:sz w:val="20"/>
            <w:szCs w:val="20"/>
          </w:rPr>
          <w:instrText xml:space="preserve"> PAGE   \* MERGEFORMAT </w:instrText>
        </w:r>
        <w:r w:rsidRPr="00483E01">
          <w:rPr>
            <w:sz w:val="20"/>
            <w:szCs w:val="20"/>
          </w:rPr>
          <w:fldChar w:fldCharType="separate"/>
        </w:r>
        <w:r>
          <w:rPr>
            <w:noProof/>
            <w:sz w:val="20"/>
            <w:szCs w:val="20"/>
          </w:rPr>
          <w:t>1</w:t>
        </w:r>
        <w:r w:rsidRPr="00483E01">
          <w:rPr>
            <w:noProof/>
            <w:sz w:val="20"/>
            <w:szCs w:val="20"/>
          </w:rPr>
          <w:fldChar w:fldCharType="end"/>
        </w:r>
        <w:r w:rsidRPr="00483E01">
          <w:rPr>
            <w:sz w:val="20"/>
            <w:szCs w:val="20"/>
          </w:rPr>
          <w:t xml:space="preserve"> </w:t>
        </w:r>
        <w:r>
          <w:rPr>
            <w:sz w:val="20"/>
            <w:szCs w:val="20"/>
          </w:rPr>
          <w:t>of 34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60751"/>
      <w:docPartObj>
        <w:docPartGallery w:val="Page Numbers (Bottom of Page)"/>
        <w:docPartUnique/>
      </w:docPartObj>
    </w:sdtPr>
    <w:sdtContent>
      <w:sdt>
        <w:sdtPr>
          <w:id w:val="1390143132"/>
          <w:docPartObj>
            <w:docPartGallery w:val="Page Numbers (Top of Page)"/>
            <w:docPartUnique/>
          </w:docPartObj>
        </w:sdtPr>
        <w:sdtContent>
          <w:p w14:paraId="28E2F81D" w14:textId="76688038" w:rsidR="00AA59D5" w:rsidRDefault="00AA59D5" w:rsidP="00A204D6">
            <w:pPr>
              <w:pStyle w:val="Footer"/>
              <w:tabs>
                <w:tab w:val="clear" w:pos="8306"/>
                <w:tab w:val="right" w:pos="9070"/>
              </w:tabs>
            </w:pPr>
            <w:r w:rsidRPr="00A204D6">
              <w:rPr>
                <w:sz w:val="20"/>
                <w:szCs w:val="20"/>
              </w:rPr>
              <w:t>Tuberculosis C</w:t>
            </w:r>
            <w:r w:rsidRPr="00A204D6">
              <w:rPr>
                <w:rFonts w:cs="Arial"/>
                <w:sz w:val="20"/>
                <w:szCs w:val="20"/>
              </w:rPr>
              <w:t>DNA National Guidelines for Public Health Units</w:t>
            </w:r>
            <w:r>
              <w:rPr>
                <w:sz w:val="20"/>
                <w:szCs w:val="20"/>
              </w:rPr>
              <w:tab/>
            </w:r>
            <w:r w:rsidRPr="00A204D6">
              <w:rPr>
                <w:sz w:val="20"/>
                <w:szCs w:val="20"/>
              </w:rPr>
              <w:t xml:space="preserve">Page </w:t>
            </w:r>
            <w:r w:rsidRPr="00A204D6">
              <w:rPr>
                <w:b/>
                <w:bCs/>
                <w:sz w:val="20"/>
                <w:szCs w:val="20"/>
              </w:rPr>
              <w:fldChar w:fldCharType="begin"/>
            </w:r>
            <w:r w:rsidRPr="00A204D6">
              <w:rPr>
                <w:b/>
                <w:bCs/>
                <w:sz w:val="20"/>
                <w:szCs w:val="20"/>
              </w:rPr>
              <w:instrText xml:space="preserve"> PAGE </w:instrText>
            </w:r>
            <w:r w:rsidRPr="00A204D6">
              <w:rPr>
                <w:b/>
                <w:bCs/>
                <w:sz w:val="20"/>
                <w:szCs w:val="20"/>
              </w:rPr>
              <w:fldChar w:fldCharType="separate"/>
            </w:r>
            <w:r w:rsidRPr="00A204D6">
              <w:rPr>
                <w:b/>
                <w:bCs/>
                <w:noProof/>
                <w:sz w:val="20"/>
                <w:szCs w:val="20"/>
              </w:rPr>
              <w:t>2</w:t>
            </w:r>
            <w:r w:rsidRPr="00A204D6">
              <w:rPr>
                <w:b/>
                <w:bCs/>
                <w:sz w:val="20"/>
                <w:szCs w:val="20"/>
              </w:rPr>
              <w:fldChar w:fldCharType="end"/>
            </w:r>
            <w:r w:rsidRPr="00A204D6">
              <w:rPr>
                <w:sz w:val="20"/>
                <w:szCs w:val="20"/>
              </w:rPr>
              <w:t xml:space="preserve"> of </w:t>
            </w:r>
            <w:r w:rsidRPr="00A204D6">
              <w:rPr>
                <w:b/>
                <w:bCs/>
                <w:sz w:val="20"/>
                <w:szCs w:val="20"/>
              </w:rPr>
              <w:fldChar w:fldCharType="begin"/>
            </w:r>
            <w:r w:rsidRPr="00A204D6">
              <w:rPr>
                <w:b/>
                <w:bCs/>
                <w:sz w:val="20"/>
                <w:szCs w:val="20"/>
              </w:rPr>
              <w:instrText xml:space="preserve"> NUMPAGES  </w:instrText>
            </w:r>
            <w:r w:rsidRPr="00A204D6">
              <w:rPr>
                <w:b/>
                <w:bCs/>
                <w:sz w:val="20"/>
                <w:szCs w:val="20"/>
              </w:rPr>
              <w:fldChar w:fldCharType="separate"/>
            </w:r>
            <w:r w:rsidRPr="00A204D6">
              <w:rPr>
                <w:b/>
                <w:bCs/>
                <w:noProof/>
                <w:sz w:val="20"/>
                <w:szCs w:val="20"/>
              </w:rPr>
              <w:t>2</w:t>
            </w:r>
            <w:r w:rsidRPr="00A204D6">
              <w:rPr>
                <w:b/>
                <w:bCs/>
                <w:sz w:val="20"/>
                <w:szCs w:val="20"/>
              </w:rPr>
              <w:fldChar w:fldCharType="end"/>
            </w:r>
          </w:p>
        </w:sdtContent>
      </w:sdt>
    </w:sdtContent>
  </w:sdt>
  <w:p w14:paraId="12EE11E2" w14:textId="77777777" w:rsidR="00AA59D5" w:rsidRDefault="00AA5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533972"/>
      <w:docPartObj>
        <w:docPartGallery w:val="Page Numbers (Bottom of Page)"/>
        <w:docPartUnique/>
      </w:docPartObj>
    </w:sdtPr>
    <w:sdtEndPr>
      <w:rPr>
        <w:noProof/>
        <w:sz w:val="20"/>
        <w:szCs w:val="20"/>
      </w:rPr>
    </w:sdtEndPr>
    <w:sdtContent>
      <w:sdt>
        <w:sdtPr>
          <w:id w:val="-467507445"/>
          <w:docPartObj>
            <w:docPartGallery w:val="Page Numbers (Bottom of Page)"/>
            <w:docPartUnique/>
          </w:docPartObj>
        </w:sdtPr>
        <w:sdtEndPr>
          <w:rPr>
            <w:noProof/>
          </w:rPr>
        </w:sdtEndPr>
        <w:sdtContent>
          <w:p w14:paraId="52E3EC65" w14:textId="6DC55464" w:rsidR="00AA59D5" w:rsidRPr="001C34D7" w:rsidRDefault="00AA59D5" w:rsidP="001C34D7">
            <w:pPr>
              <w:pStyle w:val="Footer"/>
              <w:tabs>
                <w:tab w:val="clear" w:pos="8306"/>
                <w:tab w:val="right" w:pos="9923"/>
              </w:tabs>
            </w:pPr>
            <w:r>
              <w:rPr>
                <w:sz w:val="20"/>
                <w:szCs w:val="20"/>
              </w:rPr>
              <w:t xml:space="preserve">Tuberculosis </w:t>
            </w:r>
            <w:r w:rsidRPr="00483E01">
              <w:rPr>
                <w:sz w:val="20"/>
                <w:szCs w:val="20"/>
              </w:rPr>
              <w:t>CDNA National Guidelines for Public Health Units</w:t>
            </w:r>
            <w:r w:rsidRPr="00483E01">
              <w:rPr>
                <w:sz w:val="20"/>
                <w:szCs w:val="20"/>
              </w:rPr>
              <w:tab/>
            </w:r>
            <w:r>
              <w:rPr>
                <w:sz w:val="20"/>
                <w:szCs w:val="20"/>
              </w:rPr>
              <w:t xml:space="preserve">Page </w:t>
            </w:r>
            <w:r w:rsidRPr="00483E01">
              <w:rPr>
                <w:sz w:val="20"/>
                <w:szCs w:val="20"/>
              </w:rPr>
              <w:fldChar w:fldCharType="begin"/>
            </w:r>
            <w:r w:rsidRPr="00483E01">
              <w:rPr>
                <w:sz w:val="20"/>
                <w:szCs w:val="20"/>
              </w:rPr>
              <w:instrText xml:space="preserve"> PAGE   \* MERGEFORMAT </w:instrText>
            </w:r>
            <w:r w:rsidRPr="00483E01">
              <w:rPr>
                <w:sz w:val="20"/>
                <w:szCs w:val="20"/>
              </w:rPr>
              <w:fldChar w:fldCharType="separate"/>
            </w:r>
            <w:r>
              <w:rPr>
                <w:noProof/>
                <w:sz w:val="20"/>
                <w:szCs w:val="20"/>
              </w:rPr>
              <w:t>2</w:t>
            </w:r>
            <w:r w:rsidRPr="00483E01">
              <w:rPr>
                <w:noProof/>
                <w:sz w:val="20"/>
                <w:szCs w:val="20"/>
              </w:rPr>
              <w:fldChar w:fldCharType="end"/>
            </w:r>
            <w:r w:rsidRPr="00483E01">
              <w:rPr>
                <w:sz w:val="20"/>
                <w:szCs w:val="20"/>
              </w:rPr>
              <w:t xml:space="preserve"> </w:t>
            </w:r>
            <w:r>
              <w:rPr>
                <w:sz w:val="20"/>
                <w:szCs w:val="20"/>
              </w:rPr>
              <w:t>of 34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69A" w14:textId="77777777" w:rsidR="00AA59D5" w:rsidRPr="00B15089" w:rsidRDefault="00AA59D5" w:rsidP="00B15089">
    <w:pPr>
      <w:pStyle w:val="Footer"/>
      <w:jc w:val="center"/>
      <w:rPr>
        <w:color w:val="FF0000"/>
        <w:sz w:val="28"/>
      </w:rPr>
    </w:pPr>
    <w:r w:rsidRPr="00B15089">
      <w:rPr>
        <w:color w:val="FF0000"/>
        <w:sz w:val="28"/>
      </w:rPr>
      <w:t>FOR OFFICIAL USE ONLY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475484"/>
      <w:docPartObj>
        <w:docPartGallery w:val="Page Numbers (Bottom of Page)"/>
        <w:docPartUnique/>
      </w:docPartObj>
    </w:sdtPr>
    <w:sdtEndPr>
      <w:rPr>
        <w:noProof/>
      </w:rPr>
    </w:sdtEndPr>
    <w:sdtContent>
      <w:p w14:paraId="19622991" w14:textId="69DBCA01" w:rsidR="00AA59D5" w:rsidRDefault="00AA59D5" w:rsidP="002D3524">
        <w:pPr>
          <w:pStyle w:val="Footer"/>
          <w:tabs>
            <w:tab w:val="clear" w:pos="8306"/>
            <w:tab w:val="right" w:pos="9356"/>
          </w:tabs>
        </w:pPr>
        <w:r>
          <w:rPr>
            <w:sz w:val="20"/>
            <w:szCs w:val="20"/>
          </w:rPr>
          <w:t xml:space="preserve">Tuberculosis </w:t>
        </w:r>
        <w:r w:rsidRPr="00483E01">
          <w:rPr>
            <w:sz w:val="20"/>
            <w:szCs w:val="20"/>
          </w:rPr>
          <w:t>CDNA National Guidelines for Public Health Units</w:t>
        </w:r>
        <w:r w:rsidRPr="00483E01">
          <w:rPr>
            <w:sz w:val="20"/>
            <w:szCs w:val="20"/>
          </w:rPr>
          <w:tab/>
        </w:r>
        <w:r>
          <w:rPr>
            <w:sz w:val="20"/>
            <w:szCs w:val="20"/>
          </w:rPr>
          <w:t xml:space="preserve">Page </w:t>
        </w:r>
        <w:r w:rsidRPr="00483E01">
          <w:rPr>
            <w:sz w:val="20"/>
            <w:szCs w:val="20"/>
          </w:rPr>
          <w:fldChar w:fldCharType="begin"/>
        </w:r>
        <w:r w:rsidRPr="00483E01">
          <w:rPr>
            <w:sz w:val="20"/>
            <w:szCs w:val="20"/>
          </w:rPr>
          <w:instrText xml:space="preserve"> PAGE   \* MERGEFORMAT </w:instrText>
        </w:r>
        <w:r w:rsidRPr="00483E01">
          <w:rPr>
            <w:sz w:val="20"/>
            <w:szCs w:val="20"/>
          </w:rPr>
          <w:fldChar w:fldCharType="separate"/>
        </w:r>
        <w:r>
          <w:rPr>
            <w:noProof/>
            <w:sz w:val="20"/>
            <w:szCs w:val="20"/>
          </w:rPr>
          <w:t>21</w:t>
        </w:r>
        <w:r w:rsidRPr="00483E01">
          <w:rPr>
            <w:noProof/>
            <w:sz w:val="20"/>
            <w:szCs w:val="20"/>
          </w:rPr>
          <w:fldChar w:fldCharType="end"/>
        </w:r>
        <w:r w:rsidRPr="00483E01">
          <w:rPr>
            <w:sz w:val="20"/>
            <w:szCs w:val="20"/>
          </w:rPr>
          <w:t xml:space="preserve"> </w:t>
        </w:r>
        <w:r>
          <w:rPr>
            <w:sz w:val="20"/>
            <w:szCs w:val="20"/>
          </w:rPr>
          <w:t>of 34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4A9DA" w14:textId="77777777" w:rsidR="00AA59D5" w:rsidRDefault="00AA59D5">
      <w:r>
        <w:separator/>
      </w:r>
    </w:p>
  </w:footnote>
  <w:footnote w:type="continuationSeparator" w:id="0">
    <w:p w14:paraId="7274707D" w14:textId="77777777" w:rsidR="00AA59D5" w:rsidRDefault="00AA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60F5E" w14:textId="77777777" w:rsidR="00AA59D5" w:rsidRDefault="00AA59D5" w:rsidP="001C34D7">
    <w:pPr>
      <w:spacing w:after="180"/>
      <w:jc w:val="right"/>
    </w:pPr>
    <w:r>
      <w:rPr>
        <w:noProof/>
      </w:rPr>
      <w:drawing>
        <wp:inline distT="0" distB="0" distL="0" distR="0" wp14:anchorId="4188D0DB" wp14:editId="26279ABE">
          <wp:extent cx="1102647" cy="1273628"/>
          <wp:effectExtent l="0" t="0" r="2540" b="317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647" cy="1273628"/>
                  </a:xfrm>
                  <a:prstGeom prst="rect">
                    <a:avLst/>
                  </a:prstGeom>
                </pic:spPr>
              </pic:pic>
            </a:graphicData>
          </a:graphic>
        </wp:inline>
      </w:drawing>
    </w:r>
    <w:r>
      <w:rPr>
        <w:noProof/>
      </w:rPr>
      <w:drawing>
        <wp:anchor distT="0" distB="0" distL="114300" distR="114300" simplePos="0" relativeHeight="251656704" behindDoc="1" locked="0" layoutInCell="1" allowOverlap="1" wp14:anchorId="6A860D67" wp14:editId="611F8F33">
          <wp:simplePos x="0" y="0"/>
          <wp:positionH relativeFrom="page">
            <wp:align>center</wp:align>
          </wp:positionH>
          <wp:positionV relativeFrom="page">
            <wp:align>center</wp:align>
          </wp:positionV>
          <wp:extent cx="7560000" cy="10692000"/>
          <wp:effectExtent l="0" t="0" r="3175"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6090" w14:textId="17B85302" w:rsidR="00AA59D5" w:rsidRDefault="00AA5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4E80" w14:textId="77777777" w:rsidR="00AA59D5" w:rsidRDefault="00AA59D5" w:rsidP="009D240D">
    <w:pPr>
      <w:tabs>
        <w:tab w:val="center" w:pos="4535"/>
      </w:tabs>
      <w:jc w:val="right"/>
    </w:pPr>
    <w:r>
      <w:rPr>
        <w:noProof/>
      </w:rPr>
      <w:drawing>
        <wp:inline distT="0" distB="0" distL="0" distR="0" wp14:anchorId="77B5B0FF" wp14:editId="105414C9">
          <wp:extent cx="1102647" cy="1273628"/>
          <wp:effectExtent l="0" t="0" r="2540" b="3175"/>
          <wp:docPr id="35" name="Picture 35"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DN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647" cy="1273628"/>
                  </a:xfrm>
                  <a:prstGeom prst="rect">
                    <a:avLst/>
                  </a:prstGeom>
                </pic:spPr>
              </pic:pic>
            </a:graphicData>
          </a:graphic>
        </wp:inline>
      </w:drawing>
    </w:r>
    <w:r>
      <w:rPr>
        <w:noProof/>
      </w:rPr>
      <w:drawing>
        <wp:anchor distT="0" distB="0" distL="114300" distR="114300" simplePos="0" relativeHeight="251657728" behindDoc="1" locked="0" layoutInCell="1" allowOverlap="1" wp14:anchorId="04AE1719" wp14:editId="58683C3F">
          <wp:simplePos x="0" y="0"/>
          <wp:positionH relativeFrom="page">
            <wp:align>center</wp:align>
          </wp:positionH>
          <wp:positionV relativeFrom="page">
            <wp:align>center</wp:align>
          </wp:positionV>
          <wp:extent cx="7560000" cy="10692000"/>
          <wp:effectExtent l="0" t="0" r="317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8895" w14:textId="2E3BE338" w:rsidR="00AA59D5" w:rsidRPr="001C34D7" w:rsidRDefault="00AA59D5" w:rsidP="001C34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E2921" w14:textId="3C25F9DB" w:rsidR="00AA59D5" w:rsidRPr="00867CAB" w:rsidRDefault="00AA59D5" w:rsidP="00B15089">
    <w:pPr>
      <w:pStyle w:val="Footer"/>
      <w:jc w:val="center"/>
      <w:rPr>
        <w:b/>
        <w:color w:val="FF0000"/>
        <w:sz w:val="28"/>
      </w:rPr>
    </w:pPr>
    <w:r w:rsidRPr="00867CAB">
      <w:rPr>
        <w:b/>
        <w:color w:val="FF0000"/>
        <w:sz w:val="28"/>
      </w:rPr>
      <w:t>FOR OFFICIAL USE ONLY</w:t>
    </w:r>
  </w:p>
  <w:p w14:paraId="03AC8419" w14:textId="77777777" w:rsidR="00AA59D5" w:rsidRDefault="00AA59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BAB5" w14:textId="268B26AE" w:rsidR="00AA59D5" w:rsidRDefault="00AA59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3BC9" w14:textId="4357BB46" w:rsidR="00AA59D5" w:rsidRDefault="00AA59D5" w:rsidP="00034649">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FD39" w14:textId="28858D51" w:rsidR="00AA59D5" w:rsidRDefault="00AA59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A7232" w14:textId="155540C1" w:rsidR="00AA59D5" w:rsidRDefault="00AA59D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5220" w14:textId="77777777" w:rsidR="00AA59D5" w:rsidRDefault="00AA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EC4F9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A0E9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188CB0"/>
    <w:lvl w:ilvl="0">
      <w:start w:val="1"/>
      <w:numFmt w:val="lowerLetter"/>
      <w:pStyle w:val="ListNumber3"/>
      <w:lvlText w:val="%1."/>
      <w:lvlJc w:val="left"/>
      <w:pPr>
        <w:ind w:left="360" w:hanging="360"/>
      </w:pPr>
    </w:lvl>
  </w:abstractNum>
  <w:abstractNum w:abstractNumId="3" w15:restartNumberingAfterBreak="0">
    <w:nsid w:val="FFFFFF7F"/>
    <w:multiLevelType w:val="singleLevel"/>
    <w:tmpl w:val="1658A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B454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1260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4E414"/>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3C4EEA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622E22"/>
    <w:lvl w:ilvl="0">
      <w:start w:val="1"/>
      <w:numFmt w:val="decimal"/>
      <w:pStyle w:val="ListNumber"/>
      <w:lvlText w:val="%1."/>
      <w:lvlJc w:val="left"/>
      <w:pPr>
        <w:tabs>
          <w:tab w:val="num" w:pos="360"/>
        </w:tabs>
        <w:ind w:left="360" w:hanging="360"/>
      </w:pPr>
    </w:lvl>
  </w:abstractNum>
  <w:abstractNum w:abstractNumId="9" w15:restartNumberingAfterBreak="0">
    <w:nsid w:val="0CF07FEF"/>
    <w:multiLevelType w:val="hybridMultilevel"/>
    <w:tmpl w:val="0E9241FC"/>
    <w:lvl w:ilvl="0" w:tplc="D89EABEA">
      <w:start w:val="1"/>
      <w:numFmt w:val="decimal"/>
      <w:pStyle w:val="ListNumber2"/>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12B87"/>
    <w:multiLevelType w:val="hybridMultilevel"/>
    <w:tmpl w:val="0B369958"/>
    <w:lvl w:ilvl="0" w:tplc="7138CE46">
      <w:start w:val="1"/>
      <w:numFmt w:val="bullet"/>
      <w:pStyle w:val="Normalbulleted"/>
      <w:lvlText w:val=""/>
      <w:lvlJc w:val="left"/>
      <w:pPr>
        <w:tabs>
          <w:tab w:val="num" w:pos="-3"/>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D1C7B"/>
    <w:multiLevelType w:val="hybridMultilevel"/>
    <w:tmpl w:val="B1D23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A778C"/>
    <w:multiLevelType w:val="hybridMultilevel"/>
    <w:tmpl w:val="7DC2D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96264F"/>
    <w:multiLevelType w:val="hybridMultilevel"/>
    <w:tmpl w:val="431AA802"/>
    <w:lvl w:ilvl="0" w:tplc="F8DC968E">
      <w:start w:val="2"/>
      <w:numFmt w:val="lowerLetter"/>
      <w:suff w:val="space"/>
      <w:lvlText w:val="%1."/>
      <w:lvlJc w:val="left"/>
      <w:pPr>
        <w:ind w:left="94" w:hanging="9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32F40"/>
    <w:multiLevelType w:val="hybridMultilevel"/>
    <w:tmpl w:val="AD2C143A"/>
    <w:lvl w:ilvl="0" w:tplc="23D86FB8">
      <w:start w:val="1"/>
      <w:numFmt w:val="bullet"/>
      <w:pStyle w:val="Listbullet-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322CD"/>
    <w:multiLevelType w:val="multilevel"/>
    <w:tmpl w:val="AF6AF08E"/>
    <w:lvl w:ilvl="0">
      <w:start w:val="1"/>
      <w:numFmt w:val="bullet"/>
      <w:lvlText w:val=""/>
      <w:lvlJc w:val="left"/>
      <w:pPr>
        <w:tabs>
          <w:tab w:val="num" w:pos="360"/>
        </w:tabs>
        <w:ind w:left="360" w:hanging="360"/>
      </w:pPr>
      <w:rPr>
        <w:rFonts w:ascii="Symbol" w:hAnsi="Symbol" w:cs="Symbol" w:hint="default"/>
        <w:sz w:val="26"/>
        <w:szCs w:val="26"/>
      </w:rPr>
    </w:lvl>
    <w:lvl w:ilvl="1">
      <w:start w:val="1"/>
      <w:numFmt w:val="bullet"/>
      <w:lvlText w:val=""/>
      <w:lvlJc w:val="left"/>
      <w:pPr>
        <w:tabs>
          <w:tab w:val="num" w:pos="907"/>
        </w:tabs>
        <w:ind w:left="907" w:hanging="547"/>
      </w:pPr>
      <w:rPr>
        <w:rFonts w:ascii="Wingdings" w:hAnsi="Wingdings" w:cs="Wingdings" w:hint="default"/>
      </w:rPr>
    </w:lvl>
    <w:lvl w:ilvl="2">
      <w:start w:val="1"/>
      <w:numFmt w:val="bullet"/>
      <w:pStyle w:val="BulletPoint"/>
      <w:lvlText w:val=""/>
      <w:lvlJc w:val="left"/>
      <w:pPr>
        <w:tabs>
          <w:tab w:val="num" w:pos="1644"/>
        </w:tabs>
        <w:ind w:left="1644" w:hanging="510"/>
      </w:pPr>
      <w:rPr>
        <w:rFonts w:ascii="Symbol" w:hAnsi="Symbol" w:cs="Symbol" w:hint="default"/>
      </w:rPr>
    </w:lvl>
    <w:lvl w:ilvl="3">
      <w:start w:val="1"/>
      <w:numFmt w:val="none"/>
      <w:lvlText w:val=""/>
      <w:lvlJc w:val="left"/>
      <w:pPr>
        <w:tabs>
          <w:tab w:val="num" w:pos="1758"/>
        </w:tabs>
        <w:ind w:left="1758" w:hanging="678"/>
      </w:pPr>
      <w:rPr>
        <w:rFonts w:hint="default"/>
      </w:rPr>
    </w:lvl>
    <w:lvl w:ilvl="4">
      <w:start w:val="1"/>
      <w:numFmt w:val="none"/>
      <w:lvlText w:val=""/>
      <w:lvlJc w:val="left"/>
      <w:pPr>
        <w:tabs>
          <w:tab w:val="num" w:pos="1871"/>
        </w:tabs>
        <w:ind w:left="1871" w:hanging="431"/>
      </w:pPr>
      <w:rPr>
        <w:rFonts w:hint="default"/>
      </w:rPr>
    </w:lvl>
    <w:lvl w:ilvl="5">
      <w:start w:val="1"/>
      <w:numFmt w:val="none"/>
      <w:lvlText w:val=""/>
      <w:lvlJc w:val="left"/>
      <w:pPr>
        <w:tabs>
          <w:tab w:val="num" w:pos="1871"/>
        </w:tabs>
        <w:ind w:left="1871" w:hanging="397"/>
      </w:pPr>
      <w:rPr>
        <w:rFonts w:hint="default"/>
      </w:rPr>
    </w:lvl>
    <w:lvl w:ilvl="6">
      <w:start w:val="1"/>
      <w:numFmt w:val="none"/>
      <w:lvlText w:val="%7"/>
      <w:lvlJc w:val="left"/>
      <w:pPr>
        <w:tabs>
          <w:tab w:val="num" w:pos="1871"/>
        </w:tabs>
        <w:ind w:left="1871" w:hanging="1304"/>
      </w:pPr>
      <w:rPr>
        <w:rFonts w:hint="default"/>
      </w:rPr>
    </w:lvl>
    <w:lvl w:ilvl="7">
      <w:start w:val="1"/>
      <w:numFmt w:val="none"/>
      <w:lvlText w:val="%8"/>
      <w:lvlJc w:val="left"/>
      <w:pPr>
        <w:tabs>
          <w:tab w:val="num" w:pos="1834"/>
        </w:tabs>
        <w:ind w:left="1814" w:hanging="340"/>
      </w:pPr>
      <w:rPr>
        <w:rFonts w:hint="default"/>
      </w:rPr>
    </w:lvl>
    <w:lvl w:ilvl="8">
      <w:start w:val="1"/>
      <w:numFmt w:val="none"/>
      <w:lvlText w:val=""/>
      <w:lvlJc w:val="left"/>
      <w:pPr>
        <w:tabs>
          <w:tab w:val="num" w:pos="1871"/>
        </w:tabs>
        <w:ind w:left="1871" w:hanging="397"/>
      </w:pPr>
      <w:rPr>
        <w:rFonts w:hint="default"/>
      </w:rPr>
    </w:lvl>
  </w:abstractNum>
  <w:abstractNum w:abstractNumId="16" w15:restartNumberingAfterBreak="0">
    <w:nsid w:val="3D604C63"/>
    <w:multiLevelType w:val="hybridMultilevel"/>
    <w:tmpl w:val="A53C86CE"/>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A40654"/>
    <w:multiLevelType w:val="hybridMultilevel"/>
    <w:tmpl w:val="3EEC65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5622B3"/>
    <w:multiLevelType w:val="hybridMultilevel"/>
    <w:tmpl w:val="187248E8"/>
    <w:lvl w:ilvl="0" w:tplc="579C61BA">
      <w:start w:val="1"/>
      <w:numFmt w:val="decimal"/>
      <w:pStyle w:val="Heading1"/>
      <w:lvlText w:val="%1."/>
      <w:lvlJc w:val="left"/>
      <w:pPr>
        <w:ind w:left="360" w:hanging="360"/>
      </w:pPr>
      <w:rPr>
        <w:rFonts w:ascii="Arial"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7659E8"/>
    <w:multiLevelType w:val="hybridMultilevel"/>
    <w:tmpl w:val="E5101D3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48508F"/>
    <w:multiLevelType w:val="hybridMultilevel"/>
    <w:tmpl w:val="F3685E4A"/>
    <w:lvl w:ilvl="0" w:tplc="9408A4E6">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C6A24AC"/>
    <w:multiLevelType w:val="hybridMultilevel"/>
    <w:tmpl w:val="19B45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67E4D"/>
    <w:multiLevelType w:val="hybridMultilevel"/>
    <w:tmpl w:val="5622D1C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206D8"/>
    <w:multiLevelType w:val="hybridMultilevel"/>
    <w:tmpl w:val="7528D9AC"/>
    <w:lvl w:ilvl="0" w:tplc="4D6469AC">
      <w:start w:val="1"/>
      <w:numFmt w:val="decimal"/>
      <w:lvlText w:val="%1."/>
      <w:lvlJc w:val="left"/>
      <w:pPr>
        <w:ind w:left="360" w:hanging="360"/>
      </w:pPr>
      <w:rPr>
        <w:rFonts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8E6BEC"/>
    <w:multiLevelType w:val="hybridMultilevel"/>
    <w:tmpl w:val="1450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20"/>
  </w:num>
  <w:num w:numId="4">
    <w:abstractNumId w:val="18"/>
  </w:num>
  <w:num w:numId="5">
    <w:abstractNumId w:val="22"/>
  </w:num>
  <w:num w:numId="6">
    <w:abstractNumId w:val="19"/>
  </w:num>
  <w:num w:numId="7">
    <w:abstractNumId w:val="21"/>
  </w:num>
  <w:num w:numId="8">
    <w:abstractNumId w:val="24"/>
  </w:num>
  <w:num w:numId="9">
    <w:abstractNumId w:val="12"/>
  </w:num>
  <w:num w:numId="10">
    <w:abstractNumId w:val="9"/>
  </w:num>
  <w:num w:numId="11">
    <w:abstractNumId w:val="23"/>
  </w:num>
  <w:num w:numId="12">
    <w:abstractNumId w:val="16"/>
  </w:num>
  <w:num w:numId="13">
    <w:abstractNumId w:val="11"/>
  </w:num>
  <w:num w:numId="14">
    <w:abstractNumId w:val="17"/>
  </w:num>
  <w:num w:numId="15">
    <w:abstractNumId w:val="13"/>
  </w:num>
  <w:num w:numId="16">
    <w:abstractNumId w:val="7"/>
  </w:num>
  <w:num w:numId="17">
    <w:abstractNumId w:val="6"/>
  </w:num>
  <w:num w:numId="18">
    <w:abstractNumId w:val="14"/>
  </w:num>
  <w:num w:numId="19">
    <w:abstractNumId w:val="0"/>
  </w:num>
  <w:num w:numId="20">
    <w:abstractNumId w:val="8"/>
  </w:num>
  <w:num w:numId="21">
    <w:abstractNumId w:val="3"/>
  </w:num>
  <w:num w:numId="22">
    <w:abstractNumId w:val="2"/>
  </w:num>
  <w:num w:numId="23">
    <w:abstractNumId w:val="1"/>
  </w:num>
  <w:num w:numId="24">
    <w:abstractNumId w:val="5"/>
  </w:num>
  <w:num w:numId="25">
    <w:abstractNumId w:val="4"/>
  </w:num>
  <w:num w:numId="26">
    <w:abstractNumId w:val="9"/>
    <w:lvlOverride w:ilvl="0">
      <w:startOverride w:val="1"/>
    </w:lvlOverride>
  </w:num>
  <w:num w:numId="27">
    <w:abstractNumId w:val="2"/>
  </w:num>
  <w:num w:numId="28">
    <w:abstractNumId w:val="2"/>
    <w:lvlOverride w:ilvl="0">
      <w:startOverride w:val="1"/>
    </w:lvlOverride>
  </w:num>
  <w:num w:numId="29">
    <w:abstractNumId w:val="9"/>
    <w:lvlOverride w:ilvl="0">
      <w:startOverride w:val="1"/>
    </w:lvlOverride>
  </w:num>
  <w:num w:numId="30">
    <w:abstractNumId w:val="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701"/>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9paxs2qve9wpext2i5swxe50w0rs9dzze2&quot;&gt;NEW_TB_SoN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record-ids&gt;&lt;/item&gt;&lt;/Libraries&gt;"/>
  </w:docVars>
  <w:rsids>
    <w:rsidRoot w:val="00783A27"/>
    <w:rsid w:val="00003ACE"/>
    <w:rsid w:val="000045AB"/>
    <w:rsid w:val="000048AD"/>
    <w:rsid w:val="000060A0"/>
    <w:rsid w:val="00006F30"/>
    <w:rsid w:val="00011265"/>
    <w:rsid w:val="00014835"/>
    <w:rsid w:val="00014A35"/>
    <w:rsid w:val="00017157"/>
    <w:rsid w:val="00017866"/>
    <w:rsid w:val="000204D7"/>
    <w:rsid w:val="0002267D"/>
    <w:rsid w:val="00024C6B"/>
    <w:rsid w:val="00026678"/>
    <w:rsid w:val="00027817"/>
    <w:rsid w:val="00030CB3"/>
    <w:rsid w:val="000318FE"/>
    <w:rsid w:val="00031B10"/>
    <w:rsid w:val="00031F3D"/>
    <w:rsid w:val="00034649"/>
    <w:rsid w:val="000351E3"/>
    <w:rsid w:val="000379B2"/>
    <w:rsid w:val="00043498"/>
    <w:rsid w:val="000447B9"/>
    <w:rsid w:val="00046E13"/>
    <w:rsid w:val="000553F9"/>
    <w:rsid w:val="00055912"/>
    <w:rsid w:val="00056FA5"/>
    <w:rsid w:val="00062009"/>
    <w:rsid w:val="000628E4"/>
    <w:rsid w:val="0006624F"/>
    <w:rsid w:val="00067409"/>
    <w:rsid w:val="00070677"/>
    <w:rsid w:val="0007189E"/>
    <w:rsid w:val="000731DB"/>
    <w:rsid w:val="00075A76"/>
    <w:rsid w:val="00080A76"/>
    <w:rsid w:val="00081C93"/>
    <w:rsid w:val="00083C4E"/>
    <w:rsid w:val="00083C6D"/>
    <w:rsid w:val="00085201"/>
    <w:rsid w:val="000872CA"/>
    <w:rsid w:val="0009186C"/>
    <w:rsid w:val="00091C9A"/>
    <w:rsid w:val="00093C81"/>
    <w:rsid w:val="00095020"/>
    <w:rsid w:val="000960AC"/>
    <w:rsid w:val="00096250"/>
    <w:rsid w:val="00097EA7"/>
    <w:rsid w:val="000A0198"/>
    <w:rsid w:val="000A2A7B"/>
    <w:rsid w:val="000B0707"/>
    <w:rsid w:val="000B3F3F"/>
    <w:rsid w:val="000B5170"/>
    <w:rsid w:val="000B554C"/>
    <w:rsid w:val="000B7B89"/>
    <w:rsid w:val="000C1D27"/>
    <w:rsid w:val="000C433B"/>
    <w:rsid w:val="000C443B"/>
    <w:rsid w:val="000C47F7"/>
    <w:rsid w:val="000C605E"/>
    <w:rsid w:val="000C6BE1"/>
    <w:rsid w:val="000C74CC"/>
    <w:rsid w:val="000C78D8"/>
    <w:rsid w:val="000D0210"/>
    <w:rsid w:val="000D0561"/>
    <w:rsid w:val="000D0F4D"/>
    <w:rsid w:val="000D265F"/>
    <w:rsid w:val="000D3B2F"/>
    <w:rsid w:val="000D3E3E"/>
    <w:rsid w:val="000E029A"/>
    <w:rsid w:val="000E286C"/>
    <w:rsid w:val="000F198E"/>
    <w:rsid w:val="000F22CE"/>
    <w:rsid w:val="000F24DA"/>
    <w:rsid w:val="000F261E"/>
    <w:rsid w:val="000F4159"/>
    <w:rsid w:val="00103049"/>
    <w:rsid w:val="00105DE5"/>
    <w:rsid w:val="001100BF"/>
    <w:rsid w:val="00110472"/>
    <w:rsid w:val="00112251"/>
    <w:rsid w:val="00112A2D"/>
    <w:rsid w:val="00117D44"/>
    <w:rsid w:val="001227AA"/>
    <w:rsid w:val="00123832"/>
    <w:rsid w:val="001239EB"/>
    <w:rsid w:val="00127811"/>
    <w:rsid w:val="0012798B"/>
    <w:rsid w:val="00133409"/>
    <w:rsid w:val="00136673"/>
    <w:rsid w:val="00136EF8"/>
    <w:rsid w:val="00137B4D"/>
    <w:rsid w:val="00141788"/>
    <w:rsid w:val="00141A6C"/>
    <w:rsid w:val="00144C47"/>
    <w:rsid w:val="00150845"/>
    <w:rsid w:val="00152B58"/>
    <w:rsid w:val="00152EBD"/>
    <w:rsid w:val="001566E1"/>
    <w:rsid w:val="00157392"/>
    <w:rsid w:val="001602BD"/>
    <w:rsid w:val="00160913"/>
    <w:rsid w:val="001623FC"/>
    <w:rsid w:val="001629A2"/>
    <w:rsid w:val="00163356"/>
    <w:rsid w:val="00163DC4"/>
    <w:rsid w:val="001647EA"/>
    <w:rsid w:val="00167250"/>
    <w:rsid w:val="00171508"/>
    <w:rsid w:val="00174327"/>
    <w:rsid w:val="00174CF6"/>
    <w:rsid w:val="00176C4D"/>
    <w:rsid w:val="0018139E"/>
    <w:rsid w:val="001922A6"/>
    <w:rsid w:val="00193168"/>
    <w:rsid w:val="00193F8A"/>
    <w:rsid w:val="00196098"/>
    <w:rsid w:val="001A1928"/>
    <w:rsid w:val="001A2491"/>
    <w:rsid w:val="001A3840"/>
    <w:rsid w:val="001A6703"/>
    <w:rsid w:val="001A6877"/>
    <w:rsid w:val="001A70B4"/>
    <w:rsid w:val="001B0F70"/>
    <w:rsid w:val="001B3851"/>
    <w:rsid w:val="001B4F02"/>
    <w:rsid w:val="001B68E7"/>
    <w:rsid w:val="001B6D36"/>
    <w:rsid w:val="001B7692"/>
    <w:rsid w:val="001C1CCB"/>
    <w:rsid w:val="001C25EA"/>
    <w:rsid w:val="001C2C9F"/>
    <w:rsid w:val="001C34D7"/>
    <w:rsid w:val="001C4210"/>
    <w:rsid w:val="001C4E85"/>
    <w:rsid w:val="001D13FB"/>
    <w:rsid w:val="001D3BA7"/>
    <w:rsid w:val="001D777F"/>
    <w:rsid w:val="001E0B7D"/>
    <w:rsid w:val="001E1915"/>
    <w:rsid w:val="001E3202"/>
    <w:rsid w:val="001E5325"/>
    <w:rsid w:val="001E7BD7"/>
    <w:rsid w:val="001F0BCB"/>
    <w:rsid w:val="001F188A"/>
    <w:rsid w:val="001F405A"/>
    <w:rsid w:val="00200A36"/>
    <w:rsid w:val="00203E53"/>
    <w:rsid w:val="00203EFC"/>
    <w:rsid w:val="00205B4C"/>
    <w:rsid w:val="0021026E"/>
    <w:rsid w:val="002103C6"/>
    <w:rsid w:val="002103F2"/>
    <w:rsid w:val="00210E7A"/>
    <w:rsid w:val="0021136D"/>
    <w:rsid w:val="0021384C"/>
    <w:rsid w:val="00213A5C"/>
    <w:rsid w:val="00214C36"/>
    <w:rsid w:val="002170BE"/>
    <w:rsid w:val="002171AF"/>
    <w:rsid w:val="002217A3"/>
    <w:rsid w:val="00224D88"/>
    <w:rsid w:val="00226274"/>
    <w:rsid w:val="00227388"/>
    <w:rsid w:val="002307CD"/>
    <w:rsid w:val="00233968"/>
    <w:rsid w:val="00233B48"/>
    <w:rsid w:val="0023410D"/>
    <w:rsid w:val="002366B1"/>
    <w:rsid w:val="00236C0F"/>
    <w:rsid w:val="002373F6"/>
    <w:rsid w:val="00237F91"/>
    <w:rsid w:val="0024004D"/>
    <w:rsid w:val="00240C0D"/>
    <w:rsid w:val="00242345"/>
    <w:rsid w:val="002427CF"/>
    <w:rsid w:val="00242B60"/>
    <w:rsid w:val="00246F4A"/>
    <w:rsid w:val="00252A9D"/>
    <w:rsid w:val="0025386A"/>
    <w:rsid w:val="0025483C"/>
    <w:rsid w:val="002549AC"/>
    <w:rsid w:val="00254A07"/>
    <w:rsid w:val="00254FA2"/>
    <w:rsid w:val="00261C28"/>
    <w:rsid w:val="002623B7"/>
    <w:rsid w:val="002630C8"/>
    <w:rsid w:val="00264D8B"/>
    <w:rsid w:val="00270384"/>
    <w:rsid w:val="00270A8E"/>
    <w:rsid w:val="00271414"/>
    <w:rsid w:val="0027373D"/>
    <w:rsid w:val="00273900"/>
    <w:rsid w:val="00274307"/>
    <w:rsid w:val="00274BE8"/>
    <w:rsid w:val="00280C6E"/>
    <w:rsid w:val="0028347C"/>
    <w:rsid w:val="00285B29"/>
    <w:rsid w:val="00291F2C"/>
    <w:rsid w:val="00292407"/>
    <w:rsid w:val="0029243B"/>
    <w:rsid w:val="00292896"/>
    <w:rsid w:val="00292D61"/>
    <w:rsid w:val="00294A29"/>
    <w:rsid w:val="00294A5B"/>
    <w:rsid w:val="00296067"/>
    <w:rsid w:val="00296A21"/>
    <w:rsid w:val="00296D1C"/>
    <w:rsid w:val="0029719E"/>
    <w:rsid w:val="002A068D"/>
    <w:rsid w:val="002A0792"/>
    <w:rsid w:val="002A0A15"/>
    <w:rsid w:val="002A1D0D"/>
    <w:rsid w:val="002A38B2"/>
    <w:rsid w:val="002A4A23"/>
    <w:rsid w:val="002A54A5"/>
    <w:rsid w:val="002A6807"/>
    <w:rsid w:val="002B1929"/>
    <w:rsid w:val="002B2637"/>
    <w:rsid w:val="002B2A60"/>
    <w:rsid w:val="002B302C"/>
    <w:rsid w:val="002B502F"/>
    <w:rsid w:val="002C05B5"/>
    <w:rsid w:val="002C0605"/>
    <w:rsid w:val="002C083A"/>
    <w:rsid w:val="002C0E88"/>
    <w:rsid w:val="002C0EE2"/>
    <w:rsid w:val="002C17C6"/>
    <w:rsid w:val="002C1854"/>
    <w:rsid w:val="002C207D"/>
    <w:rsid w:val="002C2C54"/>
    <w:rsid w:val="002C5EE1"/>
    <w:rsid w:val="002D055A"/>
    <w:rsid w:val="002D161A"/>
    <w:rsid w:val="002D3524"/>
    <w:rsid w:val="002D3EA2"/>
    <w:rsid w:val="002D6B23"/>
    <w:rsid w:val="002E1977"/>
    <w:rsid w:val="002E1CF0"/>
    <w:rsid w:val="002E37EB"/>
    <w:rsid w:val="002E5138"/>
    <w:rsid w:val="002E606F"/>
    <w:rsid w:val="002E6F14"/>
    <w:rsid w:val="002E75A4"/>
    <w:rsid w:val="002F17B4"/>
    <w:rsid w:val="002F217F"/>
    <w:rsid w:val="002F2469"/>
    <w:rsid w:val="002F39DC"/>
    <w:rsid w:val="002F597A"/>
    <w:rsid w:val="002F5C3E"/>
    <w:rsid w:val="002F6001"/>
    <w:rsid w:val="00300649"/>
    <w:rsid w:val="00301F65"/>
    <w:rsid w:val="00302F26"/>
    <w:rsid w:val="003031A7"/>
    <w:rsid w:val="003058A5"/>
    <w:rsid w:val="00307BE7"/>
    <w:rsid w:val="0031298B"/>
    <w:rsid w:val="0031322C"/>
    <w:rsid w:val="003171CF"/>
    <w:rsid w:val="00321800"/>
    <w:rsid w:val="00321B14"/>
    <w:rsid w:val="00321CB3"/>
    <w:rsid w:val="00322226"/>
    <w:rsid w:val="003243F2"/>
    <w:rsid w:val="00326D82"/>
    <w:rsid w:val="00330A53"/>
    <w:rsid w:val="00330DBA"/>
    <w:rsid w:val="00331171"/>
    <w:rsid w:val="00334F4A"/>
    <w:rsid w:val="0034047D"/>
    <w:rsid w:val="00342D3C"/>
    <w:rsid w:val="003452D5"/>
    <w:rsid w:val="00351037"/>
    <w:rsid w:val="00351CA9"/>
    <w:rsid w:val="0035211B"/>
    <w:rsid w:val="003523D3"/>
    <w:rsid w:val="00352B2E"/>
    <w:rsid w:val="003533EB"/>
    <w:rsid w:val="00353AAD"/>
    <w:rsid w:val="00354B1B"/>
    <w:rsid w:val="00356CC6"/>
    <w:rsid w:val="0035725B"/>
    <w:rsid w:val="00357BC4"/>
    <w:rsid w:val="00357BE9"/>
    <w:rsid w:val="00360338"/>
    <w:rsid w:val="003631F7"/>
    <w:rsid w:val="00365C49"/>
    <w:rsid w:val="00365C6C"/>
    <w:rsid w:val="003661D4"/>
    <w:rsid w:val="00366CF2"/>
    <w:rsid w:val="00370291"/>
    <w:rsid w:val="003705B9"/>
    <w:rsid w:val="003728BC"/>
    <w:rsid w:val="00380434"/>
    <w:rsid w:val="00384C5F"/>
    <w:rsid w:val="00385988"/>
    <w:rsid w:val="00386169"/>
    <w:rsid w:val="0038688F"/>
    <w:rsid w:val="003904F6"/>
    <w:rsid w:val="00390722"/>
    <w:rsid w:val="00391651"/>
    <w:rsid w:val="003920B5"/>
    <w:rsid w:val="003A193F"/>
    <w:rsid w:val="003A1CDB"/>
    <w:rsid w:val="003A2AED"/>
    <w:rsid w:val="003A2C94"/>
    <w:rsid w:val="003B0FCA"/>
    <w:rsid w:val="003B1A6E"/>
    <w:rsid w:val="003B2431"/>
    <w:rsid w:val="003B599F"/>
    <w:rsid w:val="003B66EF"/>
    <w:rsid w:val="003C073A"/>
    <w:rsid w:val="003C0C08"/>
    <w:rsid w:val="003C1663"/>
    <w:rsid w:val="003C2B9F"/>
    <w:rsid w:val="003C2FDC"/>
    <w:rsid w:val="003C6AAD"/>
    <w:rsid w:val="003C7793"/>
    <w:rsid w:val="003D12CC"/>
    <w:rsid w:val="003D41A1"/>
    <w:rsid w:val="003D42FF"/>
    <w:rsid w:val="003D6C73"/>
    <w:rsid w:val="003D740B"/>
    <w:rsid w:val="003D760A"/>
    <w:rsid w:val="003D7B31"/>
    <w:rsid w:val="003E12F7"/>
    <w:rsid w:val="003E1FF1"/>
    <w:rsid w:val="003E253D"/>
    <w:rsid w:val="003E3B56"/>
    <w:rsid w:val="003E4223"/>
    <w:rsid w:val="003E633C"/>
    <w:rsid w:val="003E6500"/>
    <w:rsid w:val="003E7208"/>
    <w:rsid w:val="003F0E36"/>
    <w:rsid w:val="003F1645"/>
    <w:rsid w:val="003F2215"/>
    <w:rsid w:val="003F2493"/>
    <w:rsid w:val="003F59A0"/>
    <w:rsid w:val="003F6D9C"/>
    <w:rsid w:val="00401BD2"/>
    <w:rsid w:val="0040275B"/>
    <w:rsid w:val="00402FE8"/>
    <w:rsid w:val="004041E8"/>
    <w:rsid w:val="00404510"/>
    <w:rsid w:val="0040694B"/>
    <w:rsid w:val="0041046C"/>
    <w:rsid w:val="00413688"/>
    <w:rsid w:val="00413851"/>
    <w:rsid w:val="00414151"/>
    <w:rsid w:val="00415570"/>
    <w:rsid w:val="00417135"/>
    <w:rsid w:val="00417172"/>
    <w:rsid w:val="00417EC9"/>
    <w:rsid w:val="00424109"/>
    <w:rsid w:val="0042421A"/>
    <w:rsid w:val="004246E5"/>
    <w:rsid w:val="00425062"/>
    <w:rsid w:val="0042579B"/>
    <w:rsid w:val="00426911"/>
    <w:rsid w:val="00430FA5"/>
    <w:rsid w:val="00431F37"/>
    <w:rsid w:val="004328B2"/>
    <w:rsid w:val="00436C1E"/>
    <w:rsid w:val="00440A53"/>
    <w:rsid w:val="0044256B"/>
    <w:rsid w:val="00442EF9"/>
    <w:rsid w:val="00442F13"/>
    <w:rsid w:val="004449C9"/>
    <w:rsid w:val="00446A3B"/>
    <w:rsid w:val="00451CE9"/>
    <w:rsid w:val="00453FCD"/>
    <w:rsid w:val="00454651"/>
    <w:rsid w:val="0045567E"/>
    <w:rsid w:val="00455E5F"/>
    <w:rsid w:val="0045641E"/>
    <w:rsid w:val="00460235"/>
    <w:rsid w:val="00460CA6"/>
    <w:rsid w:val="00461365"/>
    <w:rsid w:val="00462535"/>
    <w:rsid w:val="0046290A"/>
    <w:rsid w:val="0046387D"/>
    <w:rsid w:val="0046523A"/>
    <w:rsid w:val="00465B72"/>
    <w:rsid w:val="00465E91"/>
    <w:rsid w:val="0046625C"/>
    <w:rsid w:val="00467CC3"/>
    <w:rsid w:val="00467D08"/>
    <w:rsid w:val="00472B23"/>
    <w:rsid w:val="00473404"/>
    <w:rsid w:val="00473D80"/>
    <w:rsid w:val="00473D88"/>
    <w:rsid w:val="00475C9F"/>
    <w:rsid w:val="0047606F"/>
    <w:rsid w:val="004760AA"/>
    <w:rsid w:val="0048062D"/>
    <w:rsid w:val="00482140"/>
    <w:rsid w:val="00483E01"/>
    <w:rsid w:val="0048553E"/>
    <w:rsid w:val="004876EF"/>
    <w:rsid w:val="00487B71"/>
    <w:rsid w:val="00491D23"/>
    <w:rsid w:val="00492A98"/>
    <w:rsid w:val="00493099"/>
    <w:rsid w:val="00495060"/>
    <w:rsid w:val="004958EC"/>
    <w:rsid w:val="00496735"/>
    <w:rsid w:val="00497B87"/>
    <w:rsid w:val="004A0FF3"/>
    <w:rsid w:val="004A2A9F"/>
    <w:rsid w:val="004A3750"/>
    <w:rsid w:val="004A6456"/>
    <w:rsid w:val="004A6CB2"/>
    <w:rsid w:val="004A6F42"/>
    <w:rsid w:val="004A7AAC"/>
    <w:rsid w:val="004B54B3"/>
    <w:rsid w:val="004C3F1B"/>
    <w:rsid w:val="004C4A6F"/>
    <w:rsid w:val="004C54F8"/>
    <w:rsid w:val="004C5797"/>
    <w:rsid w:val="004C6F87"/>
    <w:rsid w:val="004D0143"/>
    <w:rsid w:val="004D1532"/>
    <w:rsid w:val="004D399B"/>
    <w:rsid w:val="004D44EC"/>
    <w:rsid w:val="004E1E4F"/>
    <w:rsid w:val="004E29B5"/>
    <w:rsid w:val="004E3F76"/>
    <w:rsid w:val="004E72B4"/>
    <w:rsid w:val="004E7878"/>
    <w:rsid w:val="004F15D3"/>
    <w:rsid w:val="004F2647"/>
    <w:rsid w:val="004F3348"/>
    <w:rsid w:val="004F39C8"/>
    <w:rsid w:val="004F4263"/>
    <w:rsid w:val="004F605E"/>
    <w:rsid w:val="004F651E"/>
    <w:rsid w:val="004F7AF4"/>
    <w:rsid w:val="004F7FE6"/>
    <w:rsid w:val="00500899"/>
    <w:rsid w:val="00502CCC"/>
    <w:rsid w:val="0050396E"/>
    <w:rsid w:val="005058FF"/>
    <w:rsid w:val="00506189"/>
    <w:rsid w:val="00507191"/>
    <w:rsid w:val="005074D9"/>
    <w:rsid w:val="00510475"/>
    <w:rsid w:val="00510E28"/>
    <w:rsid w:val="00510E29"/>
    <w:rsid w:val="00511E68"/>
    <w:rsid w:val="00512B9B"/>
    <w:rsid w:val="0051386E"/>
    <w:rsid w:val="00513ED1"/>
    <w:rsid w:val="00513FBA"/>
    <w:rsid w:val="00514354"/>
    <w:rsid w:val="00514493"/>
    <w:rsid w:val="005149C9"/>
    <w:rsid w:val="005155C4"/>
    <w:rsid w:val="005159C5"/>
    <w:rsid w:val="005167F4"/>
    <w:rsid w:val="00516E08"/>
    <w:rsid w:val="00520A98"/>
    <w:rsid w:val="00520F4E"/>
    <w:rsid w:val="0052258D"/>
    <w:rsid w:val="005228C5"/>
    <w:rsid w:val="00522B27"/>
    <w:rsid w:val="00523712"/>
    <w:rsid w:val="005250D3"/>
    <w:rsid w:val="00526916"/>
    <w:rsid w:val="00526BE2"/>
    <w:rsid w:val="00530997"/>
    <w:rsid w:val="005322E5"/>
    <w:rsid w:val="005338C7"/>
    <w:rsid w:val="00534341"/>
    <w:rsid w:val="00537282"/>
    <w:rsid w:val="00540C49"/>
    <w:rsid w:val="005410B2"/>
    <w:rsid w:val="00541EA6"/>
    <w:rsid w:val="00542DDF"/>
    <w:rsid w:val="00543008"/>
    <w:rsid w:val="00543F48"/>
    <w:rsid w:val="00544F7D"/>
    <w:rsid w:val="00544FE7"/>
    <w:rsid w:val="005516BA"/>
    <w:rsid w:val="00552AD3"/>
    <w:rsid w:val="00553CEF"/>
    <w:rsid w:val="00553FA0"/>
    <w:rsid w:val="00554C3F"/>
    <w:rsid w:val="00555179"/>
    <w:rsid w:val="005555E0"/>
    <w:rsid w:val="00556318"/>
    <w:rsid w:val="00561EE0"/>
    <w:rsid w:val="0056333A"/>
    <w:rsid w:val="00564B9F"/>
    <w:rsid w:val="00564BBB"/>
    <w:rsid w:val="005709EF"/>
    <w:rsid w:val="00572634"/>
    <w:rsid w:val="00575E77"/>
    <w:rsid w:val="00576E58"/>
    <w:rsid w:val="005771CB"/>
    <w:rsid w:val="0058066D"/>
    <w:rsid w:val="0058265B"/>
    <w:rsid w:val="00583FAD"/>
    <w:rsid w:val="005848B4"/>
    <w:rsid w:val="00584ADA"/>
    <w:rsid w:val="0058508D"/>
    <w:rsid w:val="0059088E"/>
    <w:rsid w:val="00593133"/>
    <w:rsid w:val="005932B0"/>
    <w:rsid w:val="00594761"/>
    <w:rsid w:val="00596AF4"/>
    <w:rsid w:val="005A0610"/>
    <w:rsid w:val="005A10A4"/>
    <w:rsid w:val="005A24AC"/>
    <w:rsid w:val="005A27F9"/>
    <w:rsid w:val="005A4971"/>
    <w:rsid w:val="005A55B1"/>
    <w:rsid w:val="005A7C2F"/>
    <w:rsid w:val="005B471D"/>
    <w:rsid w:val="005B70DC"/>
    <w:rsid w:val="005C09A6"/>
    <w:rsid w:val="005C377C"/>
    <w:rsid w:val="005C477B"/>
    <w:rsid w:val="005C6531"/>
    <w:rsid w:val="005C68FC"/>
    <w:rsid w:val="005C6F79"/>
    <w:rsid w:val="005D1C6E"/>
    <w:rsid w:val="005D248E"/>
    <w:rsid w:val="005D2CE2"/>
    <w:rsid w:val="005D4532"/>
    <w:rsid w:val="005D55A0"/>
    <w:rsid w:val="005D76E8"/>
    <w:rsid w:val="005E2457"/>
    <w:rsid w:val="005E4064"/>
    <w:rsid w:val="005E55BC"/>
    <w:rsid w:val="005F170E"/>
    <w:rsid w:val="005F5C7B"/>
    <w:rsid w:val="005F67F5"/>
    <w:rsid w:val="0060128B"/>
    <w:rsid w:val="00601584"/>
    <w:rsid w:val="006025FB"/>
    <w:rsid w:val="00605A45"/>
    <w:rsid w:val="00606D42"/>
    <w:rsid w:val="00613602"/>
    <w:rsid w:val="00613635"/>
    <w:rsid w:val="00615DAC"/>
    <w:rsid w:val="00616198"/>
    <w:rsid w:val="00616642"/>
    <w:rsid w:val="00620639"/>
    <w:rsid w:val="006229A9"/>
    <w:rsid w:val="006241B6"/>
    <w:rsid w:val="00624520"/>
    <w:rsid w:val="006246AC"/>
    <w:rsid w:val="00624860"/>
    <w:rsid w:val="00626099"/>
    <w:rsid w:val="00626B44"/>
    <w:rsid w:val="00626B93"/>
    <w:rsid w:val="00634FA6"/>
    <w:rsid w:val="0063513E"/>
    <w:rsid w:val="0063566A"/>
    <w:rsid w:val="00636865"/>
    <w:rsid w:val="00637013"/>
    <w:rsid w:val="0063768C"/>
    <w:rsid w:val="006429C4"/>
    <w:rsid w:val="0064339C"/>
    <w:rsid w:val="00643800"/>
    <w:rsid w:val="0064522E"/>
    <w:rsid w:val="006453A9"/>
    <w:rsid w:val="0064604B"/>
    <w:rsid w:val="0064759C"/>
    <w:rsid w:val="006508D9"/>
    <w:rsid w:val="00650EE8"/>
    <w:rsid w:val="00652D8A"/>
    <w:rsid w:val="006545CC"/>
    <w:rsid w:val="00654881"/>
    <w:rsid w:val="006561B4"/>
    <w:rsid w:val="00656295"/>
    <w:rsid w:val="0065749F"/>
    <w:rsid w:val="00660EF6"/>
    <w:rsid w:val="00661D3B"/>
    <w:rsid w:val="00664949"/>
    <w:rsid w:val="00670FF7"/>
    <w:rsid w:val="00671010"/>
    <w:rsid w:val="00671895"/>
    <w:rsid w:val="00673816"/>
    <w:rsid w:val="00676044"/>
    <w:rsid w:val="0067693B"/>
    <w:rsid w:val="006806A8"/>
    <w:rsid w:val="006810DE"/>
    <w:rsid w:val="00681FEF"/>
    <w:rsid w:val="006830D0"/>
    <w:rsid w:val="00684AD0"/>
    <w:rsid w:val="00685155"/>
    <w:rsid w:val="0068624A"/>
    <w:rsid w:val="00690597"/>
    <w:rsid w:val="00690A65"/>
    <w:rsid w:val="00692F57"/>
    <w:rsid w:val="0069786E"/>
    <w:rsid w:val="00697D30"/>
    <w:rsid w:val="006A0089"/>
    <w:rsid w:val="006A0849"/>
    <w:rsid w:val="006A196A"/>
    <w:rsid w:val="006A5615"/>
    <w:rsid w:val="006A5B69"/>
    <w:rsid w:val="006A5E02"/>
    <w:rsid w:val="006A62F0"/>
    <w:rsid w:val="006B45AE"/>
    <w:rsid w:val="006B5CD2"/>
    <w:rsid w:val="006B64B5"/>
    <w:rsid w:val="006B64E1"/>
    <w:rsid w:val="006C26E3"/>
    <w:rsid w:val="006C77DB"/>
    <w:rsid w:val="006D1CF6"/>
    <w:rsid w:val="006D6E4D"/>
    <w:rsid w:val="006E0B0E"/>
    <w:rsid w:val="006E13A0"/>
    <w:rsid w:val="006E24EB"/>
    <w:rsid w:val="006E692C"/>
    <w:rsid w:val="006E6D70"/>
    <w:rsid w:val="006F0593"/>
    <w:rsid w:val="006F1192"/>
    <w:rsid w:val="006F2142"/>
    <w:rsid w:val="006F27CA"/>
    <w:rsid w:val="006F4FED"/>
    <w:rsid w:val="006F4FF9"/>
    <w:rsid w:val="006F5717"/>
    <w:rsid w:val="006F68AD"/>
    <w:rsid w:val="006F7EA6"/>
    <w:rsid w:val="00701A9B"/>
    <w:rsid w:val="00702598"/>
    <w:rsid w:val="007050AB"/>
    <w:rsid w:val="00705818"/>
    <w:rsid w:val="0070619E"/>
    <w:rsid w:val="00706F37"/>
    <w:rsid w:val="00707C26"/>
    <w:rsid w:val="007103DE"/>
    <w:rsid w:val="007108D3"/>
    <w:rsid w:val="00710A27"/>
    <w:rsid w:val="00711644"/>
    <w:rsid w:val="007129F3"/>
    <w:rsid w:val="00712D1E"/>
    <w:rsid w:val="00715329"/>
    <w:rsid w:val="00715724"/>
    <w:rsid w:val="007174BE"/>
    <w:rsid w:val="007179B6"/>
    <w:rsid w:val="00717C43"/>
    <w:rsid w:val="0072021E"/>
    <w:rsid w:val="0072080D"/>
    <w:rsid w:val="00720C28"/>
    <w:rsid w:val="00723B1D"/>
    <w:rsid w:val="00723C38"/>
    <w:rsid w:val="00727B0A"/>
    <w:rsid w:val="00727D7B"/>
    <w:rsid w:val="0073043C"/>
    <w:rsid w:val="00731F0E"/>
    <w:rsid w:val="007356BC"/>
    <w:rsid w:val="00735DB9"/>
    <w:rsid w:val="00736E54"/>
    <w:rsid w:val="00740D7F"/>
    <w:rsid w:val="007413A7"/>
    <w:rsid w:val="007456C5"/>
    <w:rsid w:val="00745B35"/>
    <w:rsid w:val="00745BB9"/>
    <w:rsid w:val="00747DC2"/>
    <w:rsid w:val="00750178"/>
    <w:rsid w:val="00751357"/>
    <w:rsid w:val="007528BC"/>
    <w:rsid w:val="007531BB"/>
    <w:rsid w:val="00753E9F"/>
    <w:rsid w:val="0075525D"/>
    <w:rsid w:val="00760DCF"/>
    <w:rsid w:val="007617F0"/>
    <w:rsid w:val="007624B3"/>
    <w:rsid w:val="007642DF"/>
    <w:rsid w:val="00764D7F"/>
    <w:rsid w:val="007653A6"/>
    <w:rsid w:val="007666BE"/>
    <w:rsid w:val="0076700C"/>
    <w:rsid w:val="00771C4D"/>
    <w:rsid w:val="00771C69"/>
    <w:rsid w:val="007729D2"/>
    <w:rsid w:val="007744F0"/>
    <w:rsid w:val="00774782"/>
    <w:rsid w:val="00776E8C"/>
    <w:rsid w:val="007771A3"/>
    <w:rsid w:val="00777892"/>
    <w:rsid w:val="007821C3"/>
    <w:rsid w:val="00782BB7"/>
    <w:rsid w:val="0078313D"/>
    <w:rsid w:val="00783A27"/>
    <w:rsid w:val="00784C86"/>
    <w:rsid w:val="0078533C"/>
    <w:rsid w:val="00785F64"/>
    <w:rsid w:val="00790D4E"/>
    <w:rsid w:val="0079179C"/>
    <w:rsid w:val="00794CDD"/>
    <w:rsid w:val="0079598F"/>
    <w:rsid w:val="00797E7D"/>
    <w:rsid w:val="007A0155"/>
    <w:rsid w:val="007A0BEA"/>
    <w:rsid w:val="007A16A7"/>
    <w:rsid w:val="007A25BD"/>
    <w:rsid w:val="007A3702"/>
    <w:rsid w:val="007A4336"/>
    <w:rsid w:val="007A59B5"/>
    <w:rsid w:val="007B0E43"/>
    <w:rsid w:val="007B0F2F"/>
    <w:rsid w:val="007B13FA"/>
    <w:rsid w:val="007B23D9"/>
    <w:rsid w:val="007B464D"/>
    <w:rsid w:val="007B50E5"/>
    <w:rsid w:val="007B5112"/>
    <w:rsid w:val="007B6BB9"/>
    <w:rsid w:val="007B6DB9"/>
    <w:rsid w:val="007B6FE8"/>
    <w:rsid w:val="007B7702"/>
    <w:rsid w:val="007C1B5F"/>
    <w:rsid w:val="007C3BCC"/>
    <w:rsid w:val="007C4844"/>
    <w:rsid w:val="007C7B42"/>
    <w:rsid w:val="007C7F50"/>
    <w:rsid w:val="007D4CB5"/>
    <w:rsid w:val="007D587D"/>
    <w:rsid w:val="007D6403"/>
    <w:rsid w:val="007D6B34"/>
    <w:rsid w:val="007E16F6"/>
    <w:rsid w:val="007E1BA9"/>
    <w:rsid w:val="007E53A5"/>
    <w:rsid w:val="007E6468"/>
    <w:rsid w:val="007F15D0"/>
    <w:rsid w:val="007F1797"/>
    <w:rsid w:val="007F2D9E"/>
    <w:rsid w:val="007F41BB"/>
    <w:rsid w:val="007F61DF"/>
    <w:rsid w:val="007F6390"/>
    <w:rsid w:val="00800F89"/>
    <w:rsid w:val="00802D43"/>
    <w:rsid w:val="008050D7"/>
    <w:rsid w:val="00805259"/>
    <w:rsid w:val="00805CE0"/>
    <w:rsid w:val="00810674"/>
    <w:rsid w:val="00810BC2"/>
    <w:rsid w:val="00812A7C"/>
    <w:rsid w:val="0081639E"/>
    <w:rsid w:val="00816A7C"/>
    <w:rsid w:val="00816D7F"/>
    <w:rsid w:val="00821B06"/>
    <w:rsid w:val="0082246A"/>
    <w:rsid w:val="00826613"/>
    <w:rsid w:val="008267AC"/>
    <w:rsid w:val="00826A57"/>
    <w:rsid w:val="00827567"/>
    <w:rsid w:val="00830A10"/>
    <w:rsid w:val="00832F8D"/>
    <w:rsid w:val="00833234"/>
    <w:rsid w:val="00834BD3"/>
    <w:rsid w:val="008358ED"/>
    <w:rsid w:val="00835A4A"/>
    <w:rsid w:val="00835C5E"/>
    <w:rsid w:val="00835E41"/>
    <w:rsid w:val="008363F8"/>
    <w:rsid w:val="008365DB"/>
    <w:rsid w:val="00840AD0"/>
    <w:rsid w:val="008415EB"/>
    <w:rsid w:val="00841690"/>
    <w:rsid w:val="008422E7"/>
    <w:rsid w:val="00842831"/>
    <w:rsid w:val="00842FF3"/>
    <w:rsid w:val="00844492"/>
    <w:rsid w:val="0084453C"/>
    <w:rsid w:val="00846EB4"/>
    <w:rsid w:val="00847DC9"/>
    <w:rsid w:val="008510FD"/>
    <w:rsid w:val="00851432"/>
    <w:rsid w:val="00853D97"/>
    <w:rsid w:val="008572ED"/>
    <w:rsid w:val="0086135D"/>
    <w:rsid w:val="00862FF3"/>
    <w:rsid w:val="00863550"/>
    <w:rsid w:val="00864127"/>
    <w:rsid w:val="00865CC7"/>
    <w:rsid w:val="00867053"/>
    <w:rsid w:val="00867CAB"/>
    <w:rsid w:val="0087080C"/>
    <w:rsid w:val="00871474"/>
    <w:rsid w:val="00872C35"/>
    <w:rsid w:val="0087337D"/>
    <w:rsid w:val="00873E40"/>
    <w:rsid w:val="00876827"/>
    <w:rsid w:val="0087703E"/>
    <w:rsid w:val="008818ED"/>
    <w:rsid w:val="0088280A"/>
    <w:rsid w:val="0088284D"/>
    <w:rsid w:val="00885298"/>
    <w:rsid w:val="0088694B"/>
    <w:rsid w:val="008902D8"/>
    <w:rsid w:val="00891AE6"/>
    <w:rsid w:val="0089778A"/>
    <w:rsid w:val="008A0A86"/>
    <w:rsid w:val="008A3FFF"/>
    <w:rsid w:val="008A7BE3"/>
    <w:rsid w:val="008B0DD2"/>
    <w:rsid w:val="008B2A60"/>
    <w:rsid w:val="008B4CB2"/>
    <w:rsid w:val="008B69AF"/>
    <w:rsid w:val="008B78D0"/>
    <w:rsid w:val="008C011D"/>
    <w:rsid w:val="008C0232"/>
    <w:rsid w:val="008C1201"/>
    <w:rsid w:val="008C19D6"/>
    <w:rsid w:val="008C1A8D"/>
    <w:rsid w:val="008C1F64"/>
    <w:rsid w:val="008C2A39"/>
    <w:rsid w:val="008C673C"/>
    <w:rsid w:val="008C6D47"/>
    <w:rsid w:val="008C6E15"/>
    <w:rsid w:val="008C780C"/>
    <w:rsid w:val="008C7C8C"/>
    <w:rsid w:val="008C7E37"/>
    <w:rsid w:val="008D0580"/>
    <w:rsid w:val="008D1042"/>
    <w:rsid w:val="008D261B"/>
    <w:rsid w:val="008D3FCE"/>
    <w:rsid w:val="008D4B67"/>
    <w:rsid w:val="008D5797"/>
    <w:rsid w:val="008D7C79"/>
    <w:rsid w:val="008E1DFC"/>
    <w:rsid w:val="008E24BB"/>
    <w:rsid w:val="008E3739"/>
    <w:rsid w:val="008E4D79"/>
    <w:rsid w:val="008E6E1E"/>
    <w:rsid w:val="008E77FC"/>
    <w:rsid w:val="008E7DC0"/>
    <w:rsid w:val="008F0F2F"/>
    <w:rsid w:val="008F1A5C"/>
    <w:rsid w:val="008F33C1"/>
    <w:rsid w:val="008F5DAB"/>
    <w:rsid w:val="008F6F68"/>
    <w:rsid w:val="008F75F4"/>
    <w:rsid w:val="00900E33"/>
    <w:rsid w:val="00901A38"/>
    <w:rsid w:val="0090363B"/>
    <w:rsid w:val="009036F7"/>
    <w:rsid w:val="00903C0D"/>
    <w:rsid w:val="009043FB"/>
    <w:rsid w:val="00905115"/>
    <w:rsid w:val="009060A9"/>
    <w:rsid w:val="009073AF"/>
    <w:rsid w:val="009135FC"/>
    <w:rsid w:val="009141AD"/>
    <w:rsid w:val="0091674A"/>
    <w:rsid w:val="009168A5"/>
    <w:rsid w:val="00916A57"/>
    <w:rsid w:val="0092050A"/>
    <w:rsid w:val="0092265B"/>
    <w:rsid w:val="00924AFE"/>
    <w:rsid w:val="0092627E"/>
    <w:rsid w:val="009269E4"/>
    <w:rsid w:val="0093152C"/>
    <w:rsid w:val="0093185F"/>
    <w:rsid w:val="009340B5"/>
    <w:rsid w:val="009400AE"/>
    <w:rsid w:val="009404C1"/>
    <w:rsid w:val="00940BFE"/>
    <w:rsid w:val="00944609"/>
    <w:rsid w:val="009513BD"/>
    <w:rsid w:val="00951C86"/>
    <w:rsid w:val="00951C9D"/>
    <w:rsid w:val="00952A05"/>
    <w:rsid w:val="0095305C"/>
    <w:rsid w:val="00955333"/>
    <w:rsid w:val="00956A3F"/>
    <w:rsid w:val="00957970"/>
    <w:rsid w:val="009603BD"/>
    <w:rsid w:val="00960C1B"/>
    <w:rsid w:val="00961B5D"/>
    <w:rsid w:val="009628B2"/>
    <w:rsid w:val="00962C92"/>
    <w:rsid w:val="00962DEF"/>
    <w:rsid w:val="00964E02"/>
    <w:rsid w:val="00964F1B"/>
    <w:rsid w:val="009653FB"/>
    <w:rsid w:val="009702CF"/>
    <w:rsid w:val="00971485"/>
    <w:rsid w:val="00971937"/>
    <w:rsid w:val="00973B7F"/>
    <w:rsid w:val="0097553B"/>
    <w:rsid w:val="009820E6"/>
    <w:rsid w:val="009821B0"/>
    <w:rsid w:val="00982232"/>
    <w:rsid w:val="0098468B"/>
    <w:rsid w:val="009857DC"/>
    <w:rsid w:val="00985A00"/>
    <w:rsid w:val="00985E1F"/>
    <w:rsid w:val="009868CA"/>
    <w:rsid w:val="00987DD7"/>
    <w:rsid w:val="00991C03"/>
    <w:rsid w:val="00991D7C"/>
    <w:rsid w:val="00993C7C"/>
    <w:rsid w:val="009960EC"/>
    <w:rsid w:val="009961E4"/>
    <w:rsid w:val="00996D87"/>
    <w:rsid w:val="00997287"/>
    <w:rsid w:val="009978C7"/>
    <w:rsid w:val="009A0256"/>
    <w:rsid w:val="009A64D5"/>
    <w:rsid w:val="009A6CA4"/>
    <w:rsid w:val="009A6CCE"/>
    <w:rsid w:val="009A7AC7"/>
    <w:rsid w:val="009B00F0"/>
    <w:rsid w:val="009B016C"/>
    <w:rsid w:val="009B07E2"/>
    <w:rsid w:val="009B3497"/>
    <w:rsid w:val="009B41F9"/>
    <w:rsid w:val="009B65D5"/>
    <w:rsid w:val="009B71F8"/>
    <w:rsid w:val="009B7762"/>
    <w:rsid w:val="009C26CF"/>
    <w:rsid w:val="009C3379"/>
    <w:rsid w:val="009C5BF1"/>
    <w:rsid w:val="009C6105"/>
    <w:rsid w:val="009C6520"/>
    <w:rsid w:val="009C724C"/>
    <w:rsid w:val="009D0756"/>
    <w:rsid w:val="009D0951"/>
    <w:rsid w:val="009D1E59"/>
    <w:rsid w:val="009D240D"/>
    <w:rsid w:val="009D3B82"/>
    <w:rsid w:val="009D5F46"/>
    <w:rsid w:val="009E0AD8"/>
    <w:rsid w:val="009E1923"/>
    <w:rsid w:val="009E1F45"/>
    <w:rsid w:val="009E3713"/>
    <w:rsid w:val="009E498C"/>
    <w:rsid w:val="009E5B62"/>
    <w:rsid w:val="009E5D39"/>
    <w:rsid w:val="009F10B5"/>
    <w:rsid w:val="009F1C8C"/>
    <w:rsid w:val="009F4090"/>
    <w:rsid w:val="00A0025B"/>
    <w:rsid w:val="00A01BA1"/>
    <w:rsid w:val="00A03285"/>
    <w:rsid w:val="00A060DB"/>
    <w:rsid w:val="00A06DAE"/>
    <w:rsid w:val="00A0726C"/>
    <w:rsid w:val="00A0758D"/>
    <w:rsid w:val="00A1226B"/>
    <w:rsid w:val="00A13160"/>
    <w:rsid w:val="00A135C8"/>
    <w:rsid w:val="00A141DF"/>
    <w:rsid w:val="00A14BB2"/>
    <w:rsid w:val="00A14C0C"/>
    <w:rsid w:val="00A1633B"/>
    <w:rsid w:val="00A204D6"/>
    <w:rsid w:val="00A20A63"/>
    <w:rsid w:val="00A20C5F"/>
    <w:rsid w:val="00A22490"/>
    <w:rsid w:val="00A22C33"/>
    <w:rsid w:val="00A25DF6"/>
    <w:rsid w:val="00A307A7"/>
    <w:rsid w:val="00A3275A"/>
    <w:rsid w:val="00A32C08"/>
    <w:rsid w:val="00A332AC"/>
    <w:rsid w:val="00A3357C"/>
    <w:rsid w:val="00A33A5D"/>
    <w:rsid w:val="00A40B76"/>
    <w:rsid w:val="00A42E7E"/>
    <w:rsid w:val="00A50423"/>
    <w:rsid w:val="00A52FB3"/>
    <w:rsid w:val="00A53239"/>
    <w:rsid w:val="00A53891"/>
    <w:rsid w:val="00A6036D"/>
    <w:rsid w:val="00A61B80"/>
    <w:rsid w:val="00A61DDC"/>
    <w:rsid w:val="00A62115"/>
    <w:rsid w:val="00A64385"/>
    <w:rsid w:val="00A65F4C"/>
    <w:rsid w:val="00A66766"/>
    <w:rsid w:val="00A67AEB"/>
    <w:rsid w:val="00A70CC9"/>
    <w:rsid w:val="00A73AE9"/>
    <w:rsid w:val="00A767E1"/>
    <w:rsid w:val="00A77C5C"/>
    <w:rsid w:val="00A8061F"/>
    <w:rsid w:val="00A8086C"/>
    <w:rsid w:val="00A80C73"/>
    <w:rsid w:val="00A8225C"/>
    <w:rsid w:val="00A82856"/>
    <w:rsid w:val="00A82DC2"/>
    <w:rsid w:val="00A866D3"/>
    <w:rsid w:val="00A87147"/>
    <w:rsid w:val="00A902F0"/>
    <w:rsid w:val="00A90E51"/>
    <w:rsid w:val="00A94151"/>
    <w:rsid w:val="00A959B8"/>
    <w:rsid w:val="00A95A6A"/>
    <w:rsid w:val="00A96479"/>
    <w:rsid w:val="00AA01F9"/>
    <w:rsid w:val="00AA0502"/>
    <w:rsid w:val="00AA0C6A"/>
    <w:rsid w:val="00AA59D5"/>
    <w:rsid w:val="00AA5B54"/>
    <w:rsid w:val="00AA5EE2"/>
    <w:rsid w:val="00AA6827"/>
    <w:rsid w:val="00AB0432"/>
    <w:rsid w:val="00AB2A30"/>
    <w:rsid w:val="00AB3C2F"/>
    <w:rsid w:val="00AB3D9A"/>
    <w:rsid w:val="00AB41F7"/>
    <w:rsid w:val="00AB449B"/>
    <w:rsid w:val="00AB4E7D"/>
    <w:rsid w:val="00AB5A01"/>
    <w:rsid w:val="00AB5A14"/>
    <w:rsid w:val="00AB5AB3"/>
    <w:rsid w:val="00AB5EA4"/>
    <w:rsid w:val="00AC4302"/>
    <w:rsid w:val="00AC4375"/>
    <w:rsid w:val="00AC51FE"/>
    <w:rsid w:val="00AC60EE"/>
    <w:rsid w:val="00AC7CF4"/>
    <w:rsid w:val="00AD1523"/>
    <w:rsid w:val="00AD401F"/>
    <w:rsid w:val="00AD42D9"/>
    <w:rsid w:val="00AD5303"/>
    <w:rsid w:val="00AD796B"/>
    <w:rsid w:val="00AE0DF2"/>
    <w:rsid w:val="00AE3671"/>
    <w:rsid w:val="00AE6202"/>
    <w:rsid w:val="00AF0875"/>
    <w:rsid w:val="00AF0BD8"/>
    <w:rsid w:val="00AF112F"/>
    <w:rsid w:val="00AF3312"/>
    <w:rsid w:val="00B00069"/>
    <w:rsid w:val="00B023D7"/>
    <w:rsid w:val="00B101A9"/>
    <w:rsid w:val="00B1069F"/>
    <w:rsid w:val="00B10D86"/>
    <w:rsid w:val="00B11493"/>
    <w:rsid w:val="00B1237C"/>
    <w:rsid w:val="00B126FA"/>
    <w:rsid w:val="00B12AD2"/>
    <w:rsid w:val="00B1326C"/>
    <w:rsid w:val="00B1504C"/>
    <w:rsid w:val="00B15089"/>
    <w:rsid w:val="00B17ECA"/>
    <w:rsid w:val="00B2033F"/>
    <w:rsid w:val="00B24609"/>
    <w:rsid w:val="00B2723F"/>
    <w:rsid w:val="00B32227"/>
    <w:rsid w:val="00B33EF9"/>
    <w:rsid w:val="00B354AF"/>
    <w:rsid w:val="00B358DF"/>
    <w:rsid w:val="00B37616"/>
    <w:rsid w:val="00B4060E"/>
    <w:rsid w:val="00B40C07"/>
    <w:rsid w:val="00B40F86"/>
    <w:rsid w:val="00B43107"/>
    <w:rsid w:val="00B43C2E"/>
    <w:rsid w:val="00B44CF1"/>
    <w:rsid w:val="00B475EA"/>
    <w:rsid w:val="00B50638"/>
    <w:rsid w:val="00B50DB7"/>
    <w:rsid w:val="00B53209"/>
    <w:rsid w:val="00B538E6"/>
    <w:rsid w:val="00B54C17"/>
    <w:rsid w:val="00B558E7"/>
    <w:rsid w:val="00B564EE"/>
    <w:rsid w:val="00B666AA"/>
    <w:rsid w:val="00B7021B"/>
    <w:rsid w:val="00B71785"/>
    <w:rsid w:val="00B7223C"/>
    <w:rsid w:val="00B72418"/>
    <w:rsid w:val="00B76048"/>
    <w:rsid w:val="00B767F4"/>
    <w:rsid w:val="00B81413"/>
    <w:rsid w:val="00B8200D"/>
    <w:rsid w:val="00B8247D"/>
    <w:rsid w:val="00B8281E"/>
    <w:rsid w:val="00B87F8F"/>
    <w:rsid w:val="00B90DF6"/>
    <w:rsid w:val="00B91800"/>
    <w:rsid w:val="00B91C88"/>
    <w:rsid w:val="00B93E60"/>
    <w:rsid w:val="00B95D80"/>
    <w:rsid w:val="00B95DD4"/>
    <w:rsid w:val="00B963BB"/>
    <w:rsid w:val="00B97AD1"/>
    <w:rsid w:val="00BA0381"/>
    <w:rsid w:val="00BA199C"/>
    <w:rsid w:val="00BA1F8B"/>
    <w:rsid w:val="00BA326B"/>
    <w:rsid w:val="00BA46E3"/>
    <w:rsid w:val="00BA524C"/>
    <w:rsid w:val="00BA5ED9"/>
    <w:rsid w:val="00BA77DD"/>
    <w:rsid w:val="00BB1192"/>
    <w:rsid w:val="00BB4E6D"/>
    <w:rsid w:val="00BB500A"/>
    <w:rsid w:val="00BB5C7B"/>
    <w:rsid w:val="00BC0495"/>
    <w:rsid w:val="00BC0B30"/>
    <w:rsid w:val="00BC1F7B"/>
    <w:rsid w:val="00BC2F62"/>
    <w:rsid w:val="00BC38B0"/>
    <w:rsid w:val="00BC5CF6"/>
    <w:rsid w:val="00BC5DF6"/>
    <w:rsid w:val="00BC5E13"/>
    <w:rsid w:val="00BC7098"/>
    <w:rsid w:val="00BC7127"/>
    <w:rsid w:val="00BC7204"/>
    <w:rsid w:val="00BD0032"/>
    <w:rsid w:val="00BD2BCB"/>
    <w:rsid w:val="00BD34A5"/>
    <w:rsid w:val="00BD5DDA"/>
    <w:rsid w:val="00BD7C3F"/>
    <w:rsid w:val="00BE12D5"/>
    <w:rsid w:val="00BE258C"/>
    <w:rsid w:val="00BE5E4B"/>
    <w:rsid w:val="00BE6419"/>
    <w:rsid w:val="00BF06B9"/>
    <w:rsid w:val="00BF10E3"/>
    <w:rsid w:val="00BF1AE2"/>
    <w:rsid w:val="00BF216D"/>
    <w:rsid w:val="00BF3E54"/>
    <w:rsid w:val="00BF57B8"/>
    <w:rsid w:val="00BF58E9"/>
    <w:rsid w:val="00BF6091"/>
    <w:rsid w:val="00BF7F64"/>
    <w:rsid w:val="00C0026A"/>
    <w:rsid w:val="00C00499"/>
    <w:rsid w:val="00C00C22"/>
    <w:rsid w:val="00C03429"/>
    <w:rsid w:val="00C0435F"/>
    <w:rsid w:val="00C047DB"/>
    <w:rsid w:val="00C1164C"/>
    <w:rsid w:val="00C11CCD"/>
    <w:rsid w:val="00C13F46"/>
    <w:rsid w:val="00C1442B"/>
    <w:rsid w:val="00C15FDA"/>
    <w:rsid w:val="00C16108"/>
    <w:rsid w:val="00C17863"/>
    <w:rsid w:val="00C2130C"/>
    <w:rsid w:val="00C22017"/>
    <w:rsid w:val="00C22231"/>
    <w:rsid w:val="00C25176"/>
    <w:rsid w:val="00C25835"/>
    <w:rsid w:val="00C259E0"/>
    <w:rsid w:val="00C265CD"/>
    <w:rsid w:val="00C31165"/>
    <w:rsid w:val="00C31886"/>
    <w:rsid w:val="00C323E3"/>
    <w:rsid w:val="00C3410D"/>
    <w:rsid w:val="00C373B6"/>
    <w:rsid w:val="00C4164C"/>
    <w:rsid w:val="00C467DE"/>
    <w:rsid w:val="00C475DD"/>
    <w:rsid w:val="00C50C0F"/>
    <w:rsid w:val="00C5513E"/>
    <w:rsid w:val="00C555D4"/>
    <w:rsid w:val="00C55FCA"/>
    <w:rsid w:val="00C56EAB"/>
    <w:rsid w:val="00C57F55"/>
    <w:rsid w:val="00C606D1"/>
    <w:rsid w:val="00C61208"/>
    <w:rsid w:val="00C61E42"/>
    <w:rsid w:val="00C67A79"/>
    <w:rsid w:val="00C70D54"/>
    <w:rsid w:val="00C71122"/>
    <w:rsid w:val="00C742EF"/>
    <w:rsid w:val="00C7444D"/>
    <w:rsid w:val="00C74BDF"/>
    <w:rsid w:val="00C80BFA"/>
    <w:rsid w:val="00C80E71"/>
    <w:rsid w:val="00C81094"/>
    <w:rsid w:val="00C81545"/>
    <w:rsid w:val="00C8430F"/>
    <w:rsid w:val="00C845D3"/>
    <w:rsid w:val="00C902F9"/>
    <w:rsid w:val="00C90DD3"/>
    <w:rsid w:val="00C92C03"/>
    <w:rsid w:val="00C96B34"/>
    <w:rsid w:val="00C96D28"/>
    <w:rsid w:val="00C97E19"/>
    <w:rsid w:val="00CA0358"/>
    <w:rsid w:val="00CA206E"/>
    <w:rsid w:val="00CA2BB6"/>
    <w:rsid w:val="00CA2D90"/>
    <w:rsid w:val="00CA3389"/>
    <w:rsid w:val="00CA63A8"/>
    <w:rsid w:val="00CA6DF9"/>
    <w:rsid w:val="00CA7C0B"/>
    <w:rsid w:val="00CA7F5E"/>
    <w:rsid w:val="00CB2F85"/>
    <w:rsid w:val="00CB330A"/>
    <w:rsid w:val="00CB5EB9"/>
    <w:rsid w:val="00CB6F2B"/>
    <w:rsid w:val="00CC55FC"/>
    <w:rsid w:val="00CC5C27"/>
    <w:rsid w:val="00CD0D47"/>
    <w:rsid w:val="00CD29DC"/>
    <w:rsid w:val="00CD2D2D"/>
    <w:rsid w:val="00CD642A"/>
    <w:rsid w:val="00CD6CAD"/>
    <w:rsid w:val="00CD6F51"/>
    <w:rsid w:val="00CD7654"/>
    <w:rsid w:val="00CE132A"/>
    <w:rsid w:val="00CE18AB"/>
    <w:rsid w:val="00CE1938"/>
    <w:rsid w:val="00CE3B0A"/>
    <w:rsid w:val="00CE5CE4"/>
    <w:rsid w:val="00CF0094"/>
    <w:rsid w:val="00CF1EE7"/>
    <w:rsid w:val="00CF3EB3"/>
    <w:rsid w:val="00CF5780"/>
    <w:rsid w:val="00CF5A14"/>
    <w:rsid w:val="00CF7113"/>
    <w:rsid w:val="00D01696"/>
    <w:rsid w:val="00D02333"/>
    <w:rsid w:val="00D026A2"/>
    <w:rsid w:val="00D0274C"/>
    <w:rsid w:val="00D03FFC"/>
    <w:rsid w:val="00D05817"/>
    <w:rsid w:val="00D072CC"/>
    <w:rsid w:val="00D1101D"/>
    <w:rsid w:val="00D1132C"/>
    <w:rsid w:val="00D11E06"/>
    <w:rsid w:val="00D15AD1"/>
    <w:rsid w:val="00D16A54"/>
    <w:rsid w:val="00D16E20"/>
    <w:rsid w:val="00D20291"/>
    <w:rsid w:val="00D21317"/>
    <w:rsid w:val="00D22168"/>
    <w:rsid w:val="00D2262D"/>
    <w:rsid w:val="00D22A62"/>
    <w:rsid w:val="00D23B32"/>
    <w:rsid w:val="00D24B4F"/>
    <w:rsid w:val="00D253E0"/>
    <w:rsid w:val="00D30B84"/>
    <w:rsid w:val="00D338DB"/>
    <w:rsid w:val="00D34A05"/>
    <w:rsid w:val="00D35CA8"/>
    <w:rsid w:val="00D37362"/>
    <w:rsid w:val="00D40010"/>
    <w:rsid w:val="00D4194D"/>
    <w:rsid w:val="00D41D2E"/>
    <w:rsid w:val="00D42C89"/>
    <w:rsid w:val="00D43F11"/>
    <w:rsid w:val="00D444B5"/>
    <w:rsid w:val="00D456DC"/>
    <w:rsid w:val="00D4671D"/>
    <w:rsid w:val="00D46A02"/>
    <w:rsid w:val="00D46C5D"/>
    <w:rsid w:val="00D522C6"/>
    <w:rsid w:val="00D530F0"/>
    <w:rsid w:val="00D5500A"/>
    <w:rsid w:val="00D56D00"/>
    <w:rsid w:val="00D573F4"/>
    <w:rsid w:val="00D57F58"/>
    <w:rsid w:val="00D60195"/>
    <w:rsid w:val="00D60231"/>
    <w:rsid w:val="00D6049A"/>
    <w:rsid w:val="00D61190"/>
    <w:rsid w:val="00D62136"/>
    <w:rsid w:val="00D6369C"/>
    <w:rsid w:val="00D646CA"/>
    <w:rsid w:val="00D6575A"/>
    <w:rsid w:val="00D659EF"/>
    <w:rsid w:val="00D65BA9"/>
    <w:rsid w:val="00D66797"/>
    <w:rsid w:val="00D66A0F"/>
    <w:rsid w:val="00D70E33"/>
    <w:rsid w:val="00D728EB"/>
    <w:rsid w:val="00D74AB0"/>
    <w:rsid w:val="00D75826"/>
    <w:rsid w:val="00D76237"/>
    <w:rsid w:val="00D81D33"/>
    <w:rsid w:val="00D82D7C"/>
    <w:rsid w:val="00D86EEF"/>
    <w:rsid w:val="00D92B75"/>
    <w:rsid w:val="00D950DE"/>
    <w:rsid w:val="00D95967"/>
    <w:rsid w:val="00D97222"/>
    <w:rsid w:val="00D97577"/>
    <w:rsid w:val="00DA2224"/>
    <w:rsid w:val="00DA62F4"/>
    <w:rsid w:val="00DA7A42"/>
    <w:rsid w:val="00DA7D12"/>
    <w:rsid w:val="00DA7F8C"/>
    <w:rsid w:val="00DB107E"/>
    <w:rsid w:val="00DB2906"/>
    <w:rsid w:val="00DB425B"/>
    <w:rsid w:val="00DB7465"/>
    <w:rsid w:val="00DB77E1"/>
    <w:rsid w:val="00DD0965"/>
    <w:rsid w:val="00DD22F6"/>
    <w:rsid w:val="00DD3899"/>
    <w:rsid w:val="00DD4BB7"/>
    <w:rsid w:val="00DD523A"/>
    <w:rsid w:val="00DD546B"/>
    <w:rsid w:val="00DD67E3"/>
    <w:rsid w:val="00DE096A"/>
    <w:rsid w:val="00DE1015"/>
    <w:rsid w:val="00DE3A61"/>
    <w:rsid w:val="00DE480A"/>
    <w:rsid w:val="00DE59CA"/>
    <w:rsid w:val="00DE5FE4"/>
    <w:rsid w:val="00DE6331"/>
    <w:rsid w:val="00DE6C38"/>
    <w:rsid w:val="00DF02F8"/>
    <w:rsid w:val="00DF06FB"/>
    <w:rsid w:val="00DF29DE"/>
    <w:rsid w:val="00DF2CA6"/>
    <w:rsid w:val="00DF567E"/>
    <w:rsid w:val="00DF6874"/>
    <w:rsid w:val="00DF7453"/>
    <w:rsid w:val="00E002D5"/>
    <w:rsid w:val="00E0202A"/>
    <w:rsid w:val="00E02F13"/>
    <w:rsid w:val="00E073AA"/>
    <w:rsid w:val="00E07560"/>
    <w:rsid w:val="00E1021E"/>
    <w:rsid w:val="00E11C06"/>
    <w:rsid w:val="00E11EE2"/>
    <w:rsid w:val="00E11FAD"/>
    <w:rsid w:val="00E12EFA"/>
    <w:rsid w:val="00E14110"/>
    <w:rsid w:val="00E1589B"/>
    <w:rsid w:val="00E2232E"/>
    <w:rsid w:val="00E224E3"/>
    <w:rsid w:val="00E242B2"/>
    <w:rsid w:val="00E2548B"/>
    <w:rsid w:val="00E25C7A"/>
    <w:rsid w:val="00E25FFB"/>
    <w:rsid w:val="00E273AA"/>
    <w:rsid w:val="00E302C5"/>
    <w:rsid w:val="00E32AC0"/>
    <w:rsid w:val="00E36F59"/>
    <w:rsid w:val="00E4205C"/>
    <w:rsid w:val="00E42540"/>
    <w:rsid w:val="00E45F9F"/>
    <w:rsid w:val="00E46BA0"/>
    <w:rsid w:val="00E477A1"/>
    <w:rsid w:val="00E50437"/>
    <w:rsid w:val="00E50C0D"/>
    <w:rsid w:val="00E50FD4"/>
    <w:rsid w:val="00E512C9"/>
    <w:rsid w:val="00E521A3"/>
    <w:rsid w:val="00E52B7F"/>
    <w:rsid w:val="00E52C23"/>
    <w:rsid w:val="00E52E5E"/>
    <w:rsid w:val="00E54946"/>
    <w:rsid w:val="00E55D69"/>
    <w:rsid w:val="00E56368"/>
    <w:rsid w:val="00E5711F"/>
    <w:rsid w:val="00E57E89"/>
    <w:rsid w:val="00E600FD"/>
    <w:rsid w:val="00E60A1F"/>
    <w:rsid w:val="00E62F8C"/>
    <w:rsid w:val="00E63C91"/>
    <w:rsid w:val="00E66197"/>
    <w:rsid w:val="00E6684C"/>
    <w:rsid w:val="00E70333"/>
    <w:rsid w:val="00E7135E"/>
    <w:rsid w:val="00E71AC6"/>
    <w:rsid w:val="00E72862"/>
    <w:rsid w:val="00E80136"/>
    <w:rsid w:val="00E82509"/>
    <w:rsid w:val="00E83378"/>
    <w:rsid w:val="00E8432A"/>
    <w:rsid w:val="00E84599"/>
    <w:rsid w:val="00E849D6"/>
    <w:rsid w:val="00E85B8C"/>
    <w:rsid w:val="00E85F4C"/>
    <w:rsid w:val="00E86231"/>
    <w:rsid w:val="00E86B83"/>
    <w:rsid w:val="00E873ED"/>
    <w:rsid w:val="00E90D2D"/>
    <w:rsid w:val="00E92320"/>
    <w:rsid w:val="00E93807"/>
    <w:rsid w:val="00E95AA3"/>
    <w:rsid w:val="00E9611A"/>
    <w:rsid w:val="00E97BED"/>
    <w:rsid w:val="00EA3789"/>
    <w:rsid w:val="00EA3B4F"/>
    <w:rsid w:val="00EA5EFA"/>
    <w:rsid w:val="00EB007D"/>
    <w:rsid w:val="00EB0400"/>
    <w:rsid w:val="00EB0A45"/>
    <w:rsid w:val="00EB3575"/>
    <w:rsid w:val="00EB3765"/>
    <w:rsid w:val="00EB51EF"/>
    <w:rsid w:val="00EB60B1"/>
    <w:rsid w:val="00EB6AB9"/>
    <w:rsid w:val="00EC2687"/>
    <w:rsid w:val="00EC6426"/>
    <w:rsid w:val="00EC69D0"/>
    <w:rsid w:val="00EC7387"/>
    <w:rsid w:val="00ED2ECB"/>
    <w:rsid w:val="00ED7159"/>
    <w:rsid w:val="00ED72DE"/>
    <w:rsid w:val="00EE0CEC"/>
    <w:rsid w:val="00EE10E2"/>
    <w:rsid w:val="00EE1B87"/>
    <w:rsid w:val="00EE1D16"/>
    <w:rsid w:val="00EE2178"/>
    <w:rsid w:val="00EE2B79"/>
    <w:rsid w:val="00EE32F9"/>
    <w:rsid w:val="00EF293F"/>
    <w:rsid w:val="00EF48D7"/>
    <w:rsid w:val="00EF49EF"/>
    <w:rsid w:val="00EF5D34"/>
    <w:rsid w:val="00EF61F4"/>
    <w:rsid w:val="00EF7091"/>
    <w:rsid w:val="00EF79E6"/>
    <w:rsid w:val="00EF7C13"/>
    <w:rsid w:val="00F00343"/>
    <w:rsid w:val="00F01483"/>
    <w:rsid w:val="00F03267"/>
    <w:rsid w:val="00F04918"/>
    <w:rsid w:val="00F04ACE"/>
    <w:rsid w:val="00F0588E"/>
    <w:rsid w:val="00F10446"/>
    <w:rsid w:val="00F11BB2"/>
    <w:rsid w:val="00F12010"/>
    <w:rsid w:val="00F14003"/>
    <w:rsid w:val="00F14141"/>
    <w:rsid w:val="00F149EF"/>
    <w:rsid w:val="00F14C2B"/>
    <w:rsid w:val="00F15494"/>
    <w:rsid w:val="00F15C23"/>
    <w:rsid w:val="00F17DB1"/>
    <w:rsid w:val="00F202AE"/>
    <w:rsid w:val="00F205B6"/>
    <w:rsid w:val="00F22EF7"/>
    <w:rsid w:val="00F24CDF"/>
    <w:rsid w:val="00F2500A"/>
    <w:rsid w:val="00F2510E"/>
    <w:rsid w:val="00F25222"/>
    <w:rsid w:val="00F2706A"/>
    <w:rsid w:val="00F2792C"/>
    <w:rsid w:val="00F32C49"/>
    <w:rsid w:val="00F33A0C"/>
    <w:rsid w:val="00F40999"/>
    <w:rsid w:val="00F412EB"/>
    <w:rsid w:val="00F41565"/>
    <w:rsid w:val="00F42039"/>
    <w:rsid w:val="00F43DCD"/>
    <w:rsid w:val="00F45EAE"/>
    <w:rsid w:val="00F4604A"/>
    <w:rsid w:val="00F467BF"/>
    <w:rsid w:val="00F504AB"/>
    <w:rsid w:val="00F505D3"/>
    <w:rsid w:val="00F50E1E"/>
    <w:rsid w:val="00F51BD2"/>
    <w:rsid w:val="00F522F7"/>
    <w:rsid w:val="00F523F1"/>
    <w:rsid w:val="00F52A47"/>
    <w:rsid w:val="00F53400"/>
    <w:rsid w:val="00F53758"/>
    <w:rsid w:val="00F54246"/>
    <w:rsid w:val="00F604E0"/>
    <w:rsid w:val="00F624C5"/>
    <w:rsid w:val="00F6578B"/>
    <w:rsid w:val="00F65B10"/>
    <w:rsid w:val="00F66D8F"/>
    <w:rsid w:val="00F70314"/>
    <w:rsid w:val="00F705D8"/>
    <w:rsid w:val="00F70A71"/>
    <w:rsid w:val="00F7219C"/>
    <w:rsid w:val="00F74681"/>
    <w:rsid w:val="00F752C7"/>
    <w:rsid w:val="00F768E3"/>
    <w:rsid w:val="00F76F6C"/>
    <w:rsid w:val="00F81CB0"/>
    <w:rsid w:val="00F820DB"/>
    <w:rsid w:val="00F83403"/>
    <w:rsid w:val="00F83976"/>
    <w:rsid w:val="00F90690"/>
    <w:rsid w:val="00F9152D"/>
    <w:rsid w:val="00F91C40"/>
    <w:rsid w:val="00F91F00"/>
    <w:rsid w:val="00F92A84"/>
    <w:rsid w:val="00F932F7"/>
    <w:rsid w:val="00F943D6"/>
    <w:rsid w:val="00F9486A"/>
    <w:rsid w:val="00F96BD4"/>
    <w:rsid w:val="00F97BFB"/>
    <w:rsid w:val="00FA07C1"/>
    <w:rsid w:val="00FA20AA"/>
    <w:rsid w:val="00FA23A3"/>
    <w:rsid w:val="00FA2B06"/>
    <w:rsid w:val="00FA2C15"/>
    <w:rsid w:val="00FA7173"/>
    <w:rsid w:val="00FB0C07"/>
    <w:rsid w:val="00FB0C9C"/>
    <w:rsid w:val="00FB337B"/>
    <w:rsid w:val="00FB375E"/>
    <w:rsid w:val="00FB464A"/>
    <w:rsid w:val="00FB4F56"/>
    <w:rsid w:val="00FB6DC7"/>
    <w:rsid w:val="00FB7A7A"/>
    <w:rsid w:val="00FC327D"/>
    <w:rsid w:val="00FC352A"/>
    <w:rsid w:val="00FC36D2"/>
    <w:rsid w:val="00FC4004"/>
    <w:rsid w:val="00FC7BD8"/>
    <w:rsid w:val="00FD00F8"/>
    <w:rsid w:val="00FD062E"/>
    <w:rsid w:val="00FD0AC9"/>
    <w:rsid w:val="00FD0C66"/>
    <w:rsid w:val="00FD2F44"/>
    <w:rsid w:val="00FD498C"/>
    <w:rsid w:val="00FE01DF"/>
    <w:rsid w:val="00FE0353"/>
    <w:rsid w:val="00FE2908"/>
    <w:rsid w:val="00FE501C"/>
    <w:rsid w:val="00FE56C8"/>
    <w:rsid w:val="00FE5F41"/>
    <w:rsid w:val="00FE696A"/>
    <w:rsid w:val="00FE6F17"/>
    <w:rsid w:val="00FE7D20"/>
    <w:rsid w:val="00FF2E3E"/>
    <w:rsid w:val="00FF46D3"/>
    <w:rsid w:val="00FF523F"/>
    <w:rsid w:val="00FF5FF0"/>
    <w:rsid w:val="00FF69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8388D4"/>
  <w15:docId w15:val="{DAE9B868-BE4A-4864-816E-183031D6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lsdException w:name="heading 7" w:semiHidden="1" w:uiPriority="9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F5E"/>
    <w:pPr>
      <w:autoSpaceDE w:val="0"/>
      <w:autoSpaceDN w:val="0"/>
      <w:adjustRightInd w:val="0"/>
      <w:spacing w:before="120" w:after="120" w:line="240" w:lineRule="auto"/>
    </w:pPr>
  </w:style>
  <w:style w:type="paragraph" w:styleId="Heading1">
    <w:name w:val="heading 1"/>
    <w:next w:val="Normal"/>
    <w:link w:val="Heading1Char"/>
    <w:uiPriority w:val="9"/>
    <w:qFormat/>
    <w:rsid w:val="003B599F"/>
    <w:pPr>
      <w:keepNext/>
      <w:numPr>
        <w:numId w:val="4"/>
      </w:numPr>
      <w:spacing w:before="120" w:after="120" w:line="240" w:lineRule="auto"/>
      <w:ind w:left="567" w:hanging="567"/>
      <w:outlineLvl w:val="0"/>
    </w:pPr>
    <w:rPr>
      <w:rFonts w:cs="Arial"/>
      <w:b/>
      <w:color w:val="244061"/>
      <w:sz w:val="32"/>
      <w:lang w:val="en-US"/>
    </w:rPr>
  </w:style>
  <w:style w:type="paragraph" w:styleId="Heading2">
    <w:name w:val="heading 2"/>
    <w:basedOn w:val="Heading1"/>
    <w:next w:val="Normal"/>
    <w:link w:val="Heading2Char"/>
    <w:uiPriority w:val="9"/>
    <w:unhideWhenUsed/>
    <w:qFormat/>
    <w:rsid w:val="003B599F"/>
    <w:pPr>
      <w:numPr>
        <w:numId w:val="0"/>
      </w:numPr>
      <w:outlineLvl w:val="1"/>
    </w:pPr>
    <w:rPr>
      <w:iCs/>
      <w:sz w:val="24"/>
    </w:rPr>
  </w:style>
  <w:style w:type="paragraph" w:styleId="Heading3">
    <w:name w:val="heading 3"/>
    <w:basedOn w:val="Heading2"/>
    <w:next w:val="Normal"/>
    <w:link w:val="Heading3Char"/>
    <w:unhideWhenUsed/>
    <w:qFormat/>
    <w:rsid w:val="00034649"/>
    <w:pPr>
      <w:outlineLvl w:val="2"/>
    </w:pPr>
    <w:rPr>
      <w:sz w:val="22"/>
    </w:rPr>
  </w:style>
  <w:style w:type="paragraph" w:styleId="Heading4">
    <w:name w:val="heading 4"/>
    <w:basedOn w:val="Heading3"/>
    <w:next w:val="Normal"/>
    <w:link w:val="Heading4Char"/>
    <w:unhideWhenUsed/>
    <w:qFormat/>
    <w:rsid w:val="00541EA6"/>
    <w:pPr>
      <w:outlineLvl w:val="3"/>
    </w:pPr>
    <w:rPr>
      <w:b w:val="0"/>
    </w:rPr>
  </w:style>
  <w:style w:type="paragraph" w:styleId="Heading5">
    <w:name w:val="heading 5"/>
    <w:basedOn w:val="Heading4"/>
    <w:next w:val="Normal"/>
    <w:link w:val="Heading5Char"/>
    <w:uiPriority w:val="9"/>
    <w:unhideWhenUsed/>
    <w:qFormat/>
    <w:rsid w:val="00541EA6"/>
    <w:pPr>
      <w:outlineLvl w:val="4"/>
    </w:pPr>
    <w:rPr>
      <w:i/>
      <w:lang w:val="en-GB"/>
    </w:rPr>
  </w:style>
  <w:style w:type="paragraph" w:styleId="Heading6">
    <w:name w:val="heading 6"/>
    <w:basedOn w:val="Normal"/>
    <w:next w:val="Normal"/>
    <w:link w:val="Heading6Char"/>
    <w:uiPriority w:val="99"/>
    <w:pPr>
      <w:keepNext/>
      <w:outlineLvl w:val="5"/>
    </w:pPr>
    <w:rPr>
      <w:sz w:val="24"/>
      <w:u w:val="single"/>
    </w:rPr>
  </w:style>
  <w:style w:type="paragraph" w:styleId="Heading7">
    <w:name w:val="heading 7"/>
    <w:basedOn w:val="Normal"/>
    <w:next w:val="Normal"/>
    <w:link w:val="Heading7Char"/>
    <w:uiPriority w:val="99"/>
    <w:unhideWhenUsed/>
    <w:rsid w:val="007B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Numbered list paragraph"/>
    <w:basedOn w:val="ListParagraph"/>
    <w:next w:val="Normal"/>
    <w:link w:val="Heading8Char"/>
    <w:uiPriority w:val="9"/>
    <w:unhideWhenUsed/>
    <w:rsid w:val="00541EA6"/>
    <w:pPr>
      <w:outlineLvl w:val="7"/>
    </w:pPr>
  </w:style>
  <w:style w:type="paragraph" w:styleId="Heading9">
    <w:name w:val="heading 9"/>
    <w:aliases w:val="Appendicies heading"/>
    <w:basedOn w:val="Normal"/>
    <w:next w:val="Normal"/>
    <w:link w:val="Heading9Char"/>
    <w:uiPriority w:val="9"/>
    <w:unhideWhenUsed/>
    <w:rsid w:val="00541EA6"/>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Paragraph"/>
    <w:unhideWhenUsed/>
    <w:rsid w:val="003031A7"/>
    <w:pPr>
      <w:numPr>
        <w:numId w:val="10"/>
      </w:numPr>
    </w:pPr>
    <w:rPr>
      <w:lang w:val="en-AU"/>
    </w:rPr>
  </w:style>
  <w:style w:type="paragraph" w:styleId="BodyTextIndent">
    <w:name w:val="Body Text Indent"/>
    <w:basedOn w:val="Normal"/>
    <w:link w:val="BodyTextIndentChar"/>
    <w:uiPriority w:val="99"/>
    <w:pPr>
      <w:spacing w:line="240" w:lineRule="atLeast"/>
      <w:ind w:firstLine="567"/>
    </w:pPr>
    <w:rPr>
      <w:snapToGrid w:val="0"/>
      <w:color w:val="000000"/>
    </w:rPr>
  </w:style>
  <w:style w:type="paragraph" w:styleId="BodyText">
    <w:name w:val="Body Text"/>
    <w:basedOn w:val="Normal"/>
    <w:link w:val="BodyTextChar"/>
    <w:uiPriority w:val="99"/>
    <w:pPr>
      <w:spacing w:line="240" w:lineRule="atLeast"/>
    </w:pPr>
    <w:rPr>
      <w:snapToGrid w:val="0"/>
      <w:color w:val="000000"/>
      <w:sz w:val="24"/>
    </w:rPr>
  </w:style>
  <w:style w:type="paragraph" w:styleId="BodyText2">
    <w:name w:val="Body Text 2"/>
    <w:basedOn w:val="Normal"/>
    <w:link w:val="BodyText2Char1"/>
    <w:uiPriority w:val="99"/>
    <w:rPr>
      <w:b/>
      <w:sz w:val="28"/>
    </w:rPr>
  </w:style>
  <w:style w:type="paragraph" w:styleId="Footer">
    <w:name w:val="footer"/>
    <w:basedOn w:val="Normal"/>
    <w:link w:val="FooterChar"/>
    <w:uiPriority w:val="99"/>
    <w:qFormat/>
    <w:pPr>
      <w:tabs>
        <w:tab w:val="center" w:pos="4153"/>
        <w:tab w:val="right" w:pos="8306"/>
      </w:tabs>
    </w:pPr>
  </w:style>
  <w:style w:type="paragraph" w:customStyle="1" w:styleId="FrontPage">
    <w:name w:val="Front Page"/>
    <w:basedOn w:val="Normal"/>
    <w:rsid w:val="00DE480A"/>
    <w:rPr>
      <w:sz w:val="48"/>
    </w:rPr>
  </w:style>
  <w:style w:type="paragraph" w:customStyle="1" w:styleId="HeadingsforTOCetc">
    <w:name w:val="Headings for TOC etc"/>
    <w:basedOn w:val="Normal"/>
    <w:next w:val="Normal"/>
    <w:rsid w:val="00DE480A"/>
    <w:rPr>
      <w:b/>
      <w:sz w:val="26"/>
    </w:rPr>
  </w:style>
  <w:style w:type="character" w:styleId="Hyperlink">
    <w:name w:val="Hyperlink"/>
    <w:aliases w:val="Hyperlinks"/>
    <w:uiPriority w:val="99"/>
    <w:qFormat/>
    <w:rsid w:val="00541EA6"/>
    <w:rPr>
      <w:rFonts w:ascii="Arial" w:hAnsi="Arial"/>
      <w:color w:val="0000FF"/>
      <w:sz w:val="22"/>
      <w:u w:val="single"/>
    </w:rPr>
  </w:style>
  <w:style w:type="paragraph" w:styleId="TableofFigures">
    <w:name w:val="table of figures"/>
    <w:basedOn w:val="Normal"/>
    <w:next w:val="Normal"/>
    <w:semiHidden/>
    <w:rsid w:val="00924AFE"/>
  </w:style>
  <w:style w:type="character" w:styleId="CommentReference">
    <w:name w:val="annotation reference"/>
    <w:uiPriority w:val="99"/>
    <w:semiHidden/>
    <w:rsid w:val="00495060"/>
    <w:rPr>
      <w:sz w:val="16"/>
      <w:szCs w:val="16"/>
    </w:rPr>
  </w:style>
  <w:style w:type="paragraph" w:styleId="CommentText">
    <w:name w:val="annotation text"/>
    <w:basedOn w:val="Normal"/>
    <w:link w:val="CommentTextChar"/>
    <w:uiPriority w:val="99"/>
    <w:semiHidden/>
    <w:rsid w:val="00495060"/>
  </w:style>
  <w:style w:type="paragraph" w:styleId="CommentSubject">
    <w:name w:val="annotation subject"/>
    <w:basedOn w:val="CommentText"/>
    <w:next w:val="CommentText"/>
    <w:link w:val="CommentSubjectChar"/>
    <w:uiPriority w:val="99"/>
    <w:semiHidden/>
    <w:rsid w:val="00495060"/>
    <w:rPr>
      <w:b/>
      <w:bCs/>
    </w:rPr>
  </w:style>
  <w:style w:type="paragraph" w:styleId="BalloonText">
    <w:name w:val="Balloon Text"/>
    <w:basedOn w:val="Normal"/>
    <w:link w:val="BalloonTextChar"/>
    <w:uiPriority w:val="99"/>
    <w:semiHidden/>
    <w:rsid w:val="00495060"/>
    <w:rPr>
      <w:rFonts w:ascii="Tahoma" w:hAnsi="Tahoma" w:cs="Tahoma"/>
      <w:sz w:val="16"/>
      <w:szCs w:val="16"/>
    </w:rPr>
  </w:style>
  <w:style w:type="character" w:customStyle="1" w:styleId="Heading7Char">
    <w:name w:val="Heading 7 Char"/>
    <w:basedOn w:val="DefaultParagraphFont"/>
    <w:link w:val="Heading7"/>
    <w:uiPriority w:val="99"/>
    <w:rsid w:val="007B6BB9"/>
    <w:rPr>
      <w:rFonts w:asciiTheme="majorHAnsi" w:eastAsiaTheme="majorEastAsia" w:hAnsiTheme="majorHAnsi" w:cstheme="majorBidi"/>
      <w:i/>
      <w:iCs/>
      <w:color w:val="404040" w:themeColor="text1" w:themeTint="BF"/>
      <w:lang w:eastAsia="en-US"/>
    </w:rPr>
  </w:style>
  <w:style w:type="character" w:customStyle="1" w:styleId="Heading8Char">
    <w:name w:val="Heading 8 Char"/>
    <w:aliases w:val="Numbered list paragraph Char"/>
    <w:basedOn w:val="DefaultParagraphFont"/>
    <w:link w:val="Heading8"/>
    <w:uiPriority w:val="9"/>
    <w:rsid w:val="00541EA6"/>
    <w:rPr>
      <w:rFonts w:cs="Arial"/>
      <w:lang w:val="en-US"/>
    </w:rPr>
  </w:style>
  <w:style w:type="character" w:customStyle="1" w:styleId="Heading9Char">
    <w:name w:val="Heading 9 Char"/>
    <w:aliases w:val="Appendicies heading Char"/>
    <w:basedOn w:val="DefaultParagraphFont"/>
    <w:link w:val="Heading9"/>
    <w:uiPriority w:val="9"/>
    <w:rsid w:val="00541EA6"/>
    <w:rPr>
      <w:rFonts w:cs="Arial"/>
      <w:b/>
      <w:sz w:val="28"/>
      <w:lang w:val="en-US"/>
    </w:rPr>
  </w:style>
  <w:style w:type="character" w:customStyle="1" w:styleId="Heading1Char">
    <w:name w:val="Heading 1 Char"/>
    <w:basedOn w:val="DefaultParagraphFont"/>
    <w:link w:val="Heading1"/>
    <w:uiPriority w:val="9"/>
    <w:locked/>
    <w:rsid w:val="003B599F"/>
    <w:rPr>
      <w:rFonts w:cs="Arial"/>
      <w:b/>
      <w:color w:val="244061"/>
      <w:sz w:val="32"/>
      <w:lang w:val="en-US"/>
    </w:rPr>
  </w:style>
  <w:style w:type="character" w:customStyle="1" w:styleId="Heading2Char">
    <w:name w:val="Heading 2 Char"/>
    <w:basedOn w:val="DefaultParagraphFont"/>
    <w:link w:val="Heading2"/>
    <w:uiPriority w:val="9"/>
    <w:locked/>
    <w:rsid w:val="003B599F"/>
    <w:rPr>
      <w:rFonts w:cs="Arial"/>
      <w:b/>
      <w:iCs/>
      <w:color w:val="244061"/>
      <w:sz w:val="24"/>
      <w:lang w:val="en-US"/>
    </w:rPr>
  </w:style>
  <w:style w:type="character" w:customStyle="1" w:styleId="Heading3Char">
    <w:name w:val="Heading 3 Char"/>
    <w:basedOn w:val="DefaultParagraphFont"/>
    <w:link w:val="Heading3"/>
    <w:locked/>
    <w:rsid w:val="00034649"/>
    <w:rPr>
      <w:rFonts w:cs="Arial"/>
      <w:b/>
      <w:i/>
      <w:iCs/>
      <w:lang w:val="en-US"/>
    </w:rPr>
  </w:style>
  <w:style w:type="character" w:customStyle="1" w:styleId="Heading4Char">
    <w:name w:val="Heading 4 Char"/>
    <w:basedOn w:val="DefaultParagraphFont"/>
    <w:link w:val="Heading4"/>
    <w:locked/>
    <w:rsid w:val="00541EA6"/>
    <w:rPr>
      <w:rFonts w:cs="Arial"/>
      <w:i/>
      <w:iCs/>
      <w:lang w:val="en-US"/>
    </w:rPr>
  </w:style>
  <w:style w:type="character" w:customStyle="1" w:styleId="Heading5Char">
    <w:name w:val="Heading 5 Char"/>
    <w:basedOn w:val="DefaultParagraphFont"/>
    <w:link w:val="Heading5"/>
    <w:uiPriority w:val="9"/>
    <w:locked/>
    <w:rsid w:val="00541EA6"/>
    <w:rPr>
      <w:rFonts w:cs="Arial"/>
      <w:iCs/>
      <w:lang w:val="en-GB"/>
    </w:rPr>
  </w:style>
  <w:style w:type="character" w:customStyle="1" w:styleId="Heading6Char">
    <w:name w:val="Heading 6 Char"/>
    <w:basedOn w:val="DefaultParagraphFont"/>
    <w:link w:val="Heading6"/>
    <w:uiPriority w:val="9"/>
    <w:locked/>
    <w:rsid w:val="007B6BB9"/>
    <w:rPr>
      <w:rFonts w:ascii="Arial" w:hAnsi="Arial"/>
      <w:sz w:val="24"/>
      <w:u w:val="single"/>
      <w:lang w:eastAsia="en-US"/>
    </w:rPr>
  </w:style>
  <w:style w:type="paragraph" w:customStyle="1" w:styleId="Listbullet-table">
    <w:name w:val="List bullet - table"/>
    <w:basedOn w:val="Normal"/>
    <w:link w:val="Listbullet-tableChar"/>
    <w:qFormat/>
    <w:rsid w:val="007821C3"/>
    <w:pPr>
      <w:numPr>
        <w:numId w:val="18"/>
      </w:numPr>
      <w:spacing w:before="0" w:after="0"/>
      <w:ind w:left="414" w:hanging="357"/>
      <w:contextualSpacing/>
    </w:pPr>
    <w:rPr>
      <w:rFonts w:eastAsia="Times New Roman" w:cs="Times New Roman"/>
      <w:sz w:val="20"/>
      <w:szCs w:val="20"/>
    </w:rPr>
  </w:style>
  <w:style w:type="paragraph" w:styleId="ListNumber3">
    <w:name w:val="List Number 3"/>
    <w:aliases w:val="List Number 3 abc"/>
    <w:basedOn w:val="Normal"/>
    <w:unhideWhenUsed/>
    <w:rsid w:val="003031A7"/>
    <w:pPr>
      <w:numPr>
        <w:numId w:val="22"/>
      </w:numPr>
      <w:spacing w:before="0" w:after="0"/>
      <w:contextualSpacing/>
    </w:pPr>
  </w:style>
  <w:style w:type="character" w:styleId="PageNumber">
    <w:name w:val="page number"/>
    <w:basedOn w:val="DefaultParagraphFont"/>
    <w:rsid w:val="007B6BB9"/>
    <w:rPr>
      <w:rFonts w:cs="Times New Roman"/>
    </w:rPr>
  </w:style>
  <w:style w:type="character" w:customStyle="1" w:styleId="FooterChar">
    <w:name w:val="Footer Char"/>
    <w:basedOn w:val="DefaultParagraphFont"/>
    <w:link w:val="Footer"/>
    <w:uiPriority w:val="99"/>
    <w:locked/>
    <w:rsid w:val="007B6BB9"/>
    <w:rPr>
      <w:lang w:eastAsia="en-US"/>
    </w:rPr>
  </w:style>
  <w:style w:type="character" w:customStyle="1" w:styleId="BodyText2Char">
    <w:name w:val="Body Text 2 Char"/>
    <w:basedOn w:val="DefaultParagraphFont"/>
    <w:uiPriority w:val="99"/>
    <w:semiHidden/>
    <w:locked/>
    <w:rsid w:val="007B6BB9"/>
    <w:rPr>
      <w:rFonts w:cs="Times New Roman"/>
      <w:sz w:val="22"/>
      <w:szCs w:val="22"/>
      <w:lang w:val="en-AU" w:eastAsia="en-US"/>
    </w:rPr>
  </w:style>
  <w:style w:type="paragraph" w:customStyle="1" w:styleId="head1">
    <w:name w:val="head1"/>
    <w:basedOn w:val="Heading2"/>
    <w:uiPriority w:val="99"/>
    <w:rsid w:val="007B6BB9"/>
    <w:pPr>
      <w:shd w:val="clear" w:color="auto" w:fill="F3F3F3"/>
      <w:spacing w:after="60"/>
    </w:pPr>
    <w:rPr>
      <w:rFonts w:ascii="Tahoma" w:hAnsi="Tahoma" w:cs="Tahoma"/>
      <w:bCs/>
      <w:sz w:val="28"/>
      <w:szCs w:val="28"/>
      <w:shd w:val="clear" w:color="auto" w:fill="F3F3F3"/>
    </w:rPr>
  </w:style>
  <w:style w:type="paragraph" w:customStyle="1" w:styleId="text">
    <w:name w:val="text"/>
    <w:basedOn w:val="BodyText2"/>
    <w:uiPriority w:val="99"/>
    <w:rsid w:val="007B6BB9"/>
    <w:pPr>
      <w:shd w:val="clear" w:color="auto" w:fill="E6E6E6"/>
      <w:jc w:val="both"/>
    </w:pPr>
    <w:rPr>
      <w:rFonts w:ascii="Tahoma" w:hAnsi="Tahoma" w:cs="Tahoma"/>
      <w:b w:val="0"/>
      <w:sz w:val="20"/>
    </w:rPr>
  </w:style>
  <w:style w:type="paragraph" w:customStyle="1" w:styleId="bullet">
    <w:name w:val="bullet"/>
    <w:basedOn w:val="Normal"/>
    <w:autoRedefine/>
    <w:uiPriority w:val="99"/>
    <w:rsid w:val="007B6BB9"/>
    <w:rPr>
      <w:rFonts w:ascii="Tahoma" w:hAnsi="Tahoma" w:cs="Tahoma"/>
      <w:lang w:val="en-US"/>
    </w:rPr>
  </w:style>
  <w:style w:type="paragraph" w:customStyle="1" w:styleId="text2">
    <w:name w:val="text2"/>
    <w:basedOn w:val="text"/>
    <w:uiPriority w:val="99"/>
    <w:rsid w:val="007B6BB9"/>
    <w:pPr>
      <w:shd w:val="clear" w:color="auto" w:fill="auto"/>
      <w:spacing w:after="60"/>
    </w:pPr>
  </w:style>
  <w:style w:type="paragraph" w:customStyle="1" w:styleId="head3">
    <w:name w:val="head3"/>
    <w:basedOn w:val="Normal"/>
    <w:uiPriority w:val="99"/>
    <w:rsid w:val="007B6BB9"/>
    <w:pPr>
      <w:keepNext/>
      <w:jc w:val="both"/>
    </w:pPr>
    <w:rPr>
      <w:rFonts w:ascii="Tahoma" w:hAnsi="Tahoma" w:cs="Tahoma"/>
      <w:b/>
      <w:bCs/>
      <w:i/>
      <w:iCs/>
    </w:rPr>
  </w:style>
  <w:style w:type="paragraph" w:customStyle="1" w:styleId="head2">
    <w:name w:val="head2"/>
    <w:basedOn w:val="Normal"/>
    <w:uiPriority w:val="99"/>
    <w:rsid w:val="007B6BB9"/>
    <w:pPr>
      <w:keepNext/>
      <w:spacing w:before="200"/>
    </w:pPr>
    <w:rPr>
      <w:rFonts w:ascii="Tahoma" w:hAnsi="Tahoma" w:cs="Tahoma"/>
      <w:b/>
      <w:bCs/>
    </w:rPr>
  </w:style>
  <w:style w:type="character" w:customStyle="1" w:styleId="BodyText2Char1">
    <w:name w:val="Body Text 2 Char1"/>
    <w:basedOn w:val="DefaultParagraphFont"/>
    <w:link w:val="BodyText2"/>
    <w:uiPriority w:val="99"/>
    <w:locked/>
    <w:rsid w:val="007B6BB9"/>
    <w:rPr>
      <w:rFonts w:ascii="Arial" w:hAnsi="Arial"/>
      <w:b/>
      <w:sz w:val="28"/>
      <w:lang w:eastAsia="en-US"/>
    </w:rPr>
  </w:style>
  <w:style w:type="character" w:customStyle="1" w:styleId="CommentTextChar">
    <w:name w:val="Comment Text Char"/>
    <w:basedOn w:val="DefaultParagraphFont"/>
    <w:link w:val="CommentText"/>
    <w:uiPriority w:val="99"/>
    <w:semiHidden/>
    <w:locked/>
    <w:rsid w:val="007B6BB9"/>
    <w:rPr>
      <w:lang w:eastAsia="en-US"/>
    </w:rPr>
  </w:style>
  <w:style w:type="paragraph" w:styleId="FootnoteText">
    <w:name w:val="footnote text"/>
    <w:basedOn w:val="Normal"/>
    <w:link w:val="FootnoteTextChar"/>
    <w:uiPriority w:val="99"/>
    <w:rsid w:val="001C34D7"/>
    <w:pPr>
      <w:spacing w:before="0"/>
    </w:pPr>
    <w:rPr>
      <w:rFonts w:cs="Tahoma"/>
      <w:sz w:val="20"/>
    </w:rPr>
  </w:style>
  <w:style w:type="character" w:customStyle="1" w:styleId="FootnoteTextChar">
    <w:name w:val="Footnote Text Char"/>
    <w:basedOn w:val="DefaultParagraphFont"/>
    <w:link w:val="FootnoteText"/>
    <w:uiPriority w:val="99"/>
    <w:rsid w:val="001C34D7"/>
    <w:rPr>
      <w:rFonts w:cs="Tahoma"/>
      <w:sz w:val="20"/>
    </w:rPr>
  </w:style>
  <w:style w:type="character" w:customStyle="1" w:styleId="BalloonTextChar">
    <w:name w:val="Balloon Text Char"/>
    <w:basedOn w:val="DefaultParagraphFont"/>
    <w:link w:val="BalloonText"/>
    <w:uiPriority w:val="99"/>
    <w:semiHidden/>
    <w:locked/>
    <w:rsid w:val="007B6BB9"/>
    <w:rPr>
      <w:rFonts w:ascii="Tahoma" w:hAnsi="Tahoma" w:cs="Tahoma"/>
      <w:sz w:val="16"/>
      <w:szCs w:val="16"/>
      <w:lang w:eastAsia="en-US"/>
    </w:rPr>
  </w:style>
  <w:style w:type="character" w:customStyle="1" w:styleId="BodyTextChar">
    <w:name w:val="Body Text Char"/>
    <w:basedOn w:val="DefaultParagraphFont"/>
    <w:link w:val="BodyText"/>
    <w:uiPriority w:val="99"/>
    <w:locked/>
    <w:rsid w:val="007B6BB9"/>
    <w:rPr>
      <w:snapToGrid w:val="0"/>
      <w:color w:val="000000"/>
      <w:sz w:val="24"/>
      <w:lang w:eastAsia="en-US"/>
    </w:rPr>
  </w:style>
  <w:style w:type="paragraph" w:styleId="Caption">
    <w:name w:val="caption"/>
    <w:next w:val="Normal"/>
    <w:uiPriority w:val="35"/>
    <w:unhideWhenUsed/>
    <w:qFormat/>
    <w:rsid w:val="001C34D7"/>
    <w:pPr>
      <w:spacing w:before="120" w:after="0" w:line="240" w:lineRule="auto"/>
    </w:pPr>
    <w:rPr>
      <w:b/>
      <w:sz w:val="20"/>
      <w:szCs w:val="20"/>
    </w:rPr>
  </w:style>
  <w:style w:type="paragraph" w:styleId="BodyTextIndent2">
    <w:name w:val="Body Text Indent 2"/>
    <w:basedOn w:val="Normal"/>
    <w:link w:val="BodyTextIndent2Char"/>
    <w:uiPriority w:val="99"/>
    <w:rsid w:val="007B6BB9"/>
    <w:pPr>
      <w:ind w:firstLine="360"/>
    </w:pPr>
    <w:rPr>
      <w:rFonts w:ascii="Tahoma" w:hAnsi="Tahoma" w:cs="Tahoma"/>
    </w:rPr>
  </w:style>
  <w:style w:type="character" w:customStyle="1" w:styleId="BodyTextIndent2Char">
    <w:name w:val="Body Text Indent 2 Char"/>
    <w:basedOn w:val="DefaultParagraphFont"/>
    <w:link w:val="BodyTextIndent2"/>
    <w:uiPriority w:val="99"/>
    <w:rsid w:val="007B6BB9"/>
    <w:rPr>
      <w:rFonts w:ascii="Tahoma" w:hAnsi="Tahoma" w:cs="Tahoma"/>
      <w:lang w:eastAsia="en-US"/>
    </w:rPr>
  </w:style>
  <w:style w:type="paragraph" w:styleId="BodyText3">
    <w:name w:val="Body Text 3"/>
    <w:basedOn w:val="Normal"/>
    <w:link w:val="BodyText3Char"/>
    <w:uiPriority w:val="99"/>
    <w:rsid w:val="007B6BB9"/>
    <w:rPr>
      <w:rFonts w:ascii="Tahoma" w:hAnsi="Tahoma" w:cs="Tahoma"/>
      <w:lang w:val="en-US"/>
    </w:rPr>
  </w:style>
  <w:style w:type="character" w:customStyle="1" w:styleId="BodyText3Char">
    <w:name w:val="Body Text 3 Char"/>
    <w:basedOn w:val="DefaultParagraphFont"/>
    <w:link w:val="BodyText3"/>
    <w:uiPriority w:val="99"/>
    <w:rsid w:val="007B6BB9"/>
    <w:rPr>
      <w:rFonts w:ascii="Tahoma" w:hAnsi="Tahoma" w:cs="Tahoma"/>
      <w:lang w:val="en-US" w:eastAsia="en-US"/>
    </w:rPr>
  </w:style>
  <w:style w:type="paragraph" w:styleId="NormalWeb">
    <w:name w:val="Normal (Web)"/>
    <w:basedOn w:val="Normal"/>
    <w:uiPriority w:val="99"/>
    <w:rsid w:val="007B6BB9"/>
    <w:pPr>
      <w:spacing w:before="100" w:beforeAutospacing="1" w:after="100" w:afterAutospacing="1"/>
    </w:pPr>
    <w:rPr>
      <w:rFonts w:ascii="Tahoma" w:hAnsi="Tahoma" w:cs="Tahoma"/>
    </w:rPr>
  </w:style>
  <w:style w:type="paragraph" w:styleId="BodyTextIndent3">
    <w:name w:val="Body Text Indent 3"/>
    <w:basedOn w:val="Normal"/>
    <w:link w:val="BodyTextIndent3Char"/>
    <w:uiPriority w:val="99"/>
    <w:rsid w:val="007B6BB9"/>
    <w:pPr>
      <w:ind w:left="360"/>
    </w:pPr>
    <w:rPr>
      <w:rFonts w:ascii="Tahoma" w:hAnsi="Tahoma" w:cs="Tahoma"/>
    </w:rPr>
  </w:style>
  <w:style w:type="character" w:customStyle="1" w:styleId="BodyTextIndent3Char">
    <w:name w:val="Body Text Indent 3 Char"/>
    <w:basedOn w:val="DefaultParagraphFont"/>
    <w:link w:val="BodyTextIndent3"/>
    <w:uiPriority w:val="99"/>
    <w:rsid w:val="007B6BB9"/>
    <w:rPr>
      <w:rFonts w:ascii="Tahoma" w:hAnsi="Tahoma" w:cs="Tahoma"/>
      <w:sz w:val="22"/>
      <w:szCs w:val="22"/>
      <w:lang w:eastAsia="en-US"/>
    </w:rPr>
  </w:style>
  <w:style w:type="character" w:styleId="FollowedHyperlink">
    <w:name w:val="FollowedHyperlink"/>
    <w:basedOn w:val="DefaultParagraphFont"/>
    <w:uiPriority w:val="99"/>
    <w:rsid w:val="007B6BB9"/>
    <w:rPr>
      <w:rFonts w:cs="Times New Roman"/>
      <w:color w:val="800080"/>
      <w:u w:val="single"/>
    </w:rPr>
  </w:style>
  <w:style w:type="paragraph" w:customStyle="1" w:styleId="footnote">
    <w:name w:val="footnote"/>
    <w:basedOn w:val="Normal"/>
    <w:uiPriority w:val="99"/>
    <w:rsid w:val="007B6BB9"/>
    <w:pPr>
      <w:spacing w:before="100" w:beforeAutospacing="1" w:after="100" w:afterAutospacing="1"/>
    </w:pPr>
    <w:rPr>
      <w:rFonts w:ascii="Arial Unicode MS" w:eastAsia="Arial Unicode MS" w:hAnsi="Arial Unicode MS" w:cs="Arial Unicode MS"/>
    </w:rPr>
  </w:style>
  <w:style w:type="paragraph" w:styleId="Title">
    <w:name w:val="Title"/>
    <w:next w:val="Normal"/>
    <w:link w:val="TitleChar"/>
    <w:qFormat/>
    <w:rsid w:val="007A4336"/>
    <w:pPr>
      <w:spacing w:before="240" w:after="240" w:line="240" w:lineRule="auto"/>
    </w:pPr>
    <w:rPr>
      <w:rFonts w:cs="Arial"/>
      <w:b/>
      <w:color w:val="244061"/>
      <w:sz w:val="44"/>
      <w:szCs w:val="32"/>
      <w:lang w:val="en-US"/>
    </w:rPr>
  </w:style>
  <w:style w:type="character" w:customStyle="1" w:styleId="TitleChar">
    <w:name w:val="Title Char"/>
    <w:basedOn w:val="DefaultParagraphFont"/>
    <w:link w:val="Title"/>
    <w:rsid w:val="007A4336"/>
    <w:rPr>
      <w:rFonts w:cs="Arial"/>
      <w:b/>
      <w:color w:val="244061"/>
      <w:sz w:val="44"/>
      <w:szCs w:val="32"/>
      <w:lang w:val="en-US"/>
    </w:rPr>
  </w:style>
  <w:style w:type="paragraph" w:customStyle="1" w:styleId="head5">
    <w:name w:val="head5"/>
    <w:basedOn w:val="text"/>
    <w:next w:val="text"/>
    <w:uiPriority w:val="99"/>
    <w:rsid w:val="007B6BB9"/>
    <w:rPr>
      <w:rFonts w:ascii="Arial" w:hAnsi="Arial" w:cs="Arial"/>
      <w:b/>
      <w:bCs/>
    </w:rPr>
  </w:style>
  <w:style w:type="character" w:styleId="Strong">
    <w:name w:val="Strong"/>
    <w:basedOn w:val="DefaultParagraphFont"/>
    <w:uiPriority w:val="22"/>
    <w:qFormat/>
    <w:rsid w:val="007B6BB9"/>
    <w:rPr>
      <w:rFonts w:cs="Times New Roman"/>
      <w:b/>
      <w:bCs/>
    </w:rPr>
  </w:style>
  <w:style w:type="paragraph" w:customStyle="1" w:styleId="Default">
    <w:name w:val="Default"/>
    <w:uiPriority w:val="99"/>
    <w:rsid w:val="007B6BB9"/>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uiPriority w:val="99"/>
    <w:rsid w:val="007B6BB9"/>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0">
    <w:name w:val="Head 1"/>
    <w:basedOn w:val="Normal"/>
    <w:uiPriority w:val="99"/>
    <w:rsid w:val="007B6BB9"/>
    <w:pPr>
      <w:jc w:val="center"/>
    </w:pPr>
    <w:rPr>
      <w:rFonts w:ascii="Tahoma" w:hAnsi="Tahoma" w:cs="Tahoma"/>
      <w:b/>
      <w:bCs/>
      <w:sz w:val="32"/>
      <w:szCs w:val="32"/>
    </w:rPr>
  </w:style>
  <w:style w:type="paragraph" w:customStyle="1" w:styleId="Head20">
    <w:name w:val="Head 2"/>
    <w:basedOn w:val="Normal"/>
    <w:uiPriority w:val="99"/>
    <w:rsid w:val="007B6BB9"/>
    <w:pPr>
      <w:jc w:val="center"/>
    </w:pPr>
    <w:rPr>
      <w:rFonts w:ascii="Tahoma" w:hAnsi="Tahoma" w:cs="Tahoma"/>
      <w:sz w:val="32"/>
      <w:szCs w:val="32"/>
    </w:rPr>
  </w:style>
  <w:style w:type="paragraph" w:styleId="ListNumber">
    <w:name w:val="List Number"/>
    <w:basedOn w:val="Normal"/>
    <w:rsid w:val="00E71AC6"/>
    <w:pPr>
      <w:numPr>
        <w:numId w:val="20"/>
      </w:numPr>
      <w:contextualSpacing/>
    </w:pPr>
    <w:rPr>
      <w:b/>
    </w:rPr>
  </w:style>
  <w:style w:type="character" w:customStyle="1" w:styleId="A7">
    <w:name w:val="A7"/>
    <w:uiPriority w:val="99"/>
    <w:rsid w:val="007B6BB9"/>
    <w:rPr>
      <w:color w:val="000000"/>
    </w:rPr>
  </w:style>
  <w:style w:type="paragraph" w:customStyle="1" w:styleId="Indent">
    <w:name w:val="Indent"/>
    <w:basedOn w:val="Normal"/>
    <w:rsid w:val="00321CB3"/>
    <w:pPr>
      <w:spacing w:after="0"/>
      <w:ind w:left="1985"/>
    </w:pPr>
  </w:style>
  <w:style w:type="character" w:customStyle="1" w:styleId="CommentSubjectChar">
    <w:name w:val="Comment Subject Char"/>
    <w:basedOn w:val="CommentTextChar"/>
    <w:link w:val="CommentSubject"/>
    <w:uiPriority w:val="99"/>
    <w:semiHidden/>
    <w:locked/>
    <w:rsid w:val="007B6BB9"/>
    <w:rPr>
      <w:b/>
      <w:bCs/>
      <w:lang w:eastAsia="en-US"/>
    </w:rPr>
  </w:style>
  <w:style w:type="paragraph" w:customStyle="1" w:styleId="HBTabletext">
    <w:name w:val="HB Table text"/>
    <w:basedOn w:val="Normal"/>
    <w:uiPriority w:val="99"/>
    <w:rsid w:val="007B6BB9"/>
    <w:rPr>
      <w:rFonts w:ascii="Tahoma" w:hAnsi="Tahoma" w:cs="Tahoma"/>
      <w:sz w:val="16"/>
      <w:szCs w:val="16"/>
    </w:rPr>
  </w:style>
  <w:style w:type="character" w:styleId="Emphasis">
    <w:name w:val="Emphasis"/>
    <w:basedOn w:val="DefaultParagraphFont"/>
    <w:uiPriority w:val="20"/>
    <w:qFormat/>
    <w:rsid w:val="00541EA6"/>
    <w:rPr>
      <w:i/>
      <w:iCs/>
    </w:rPr>
  </w:style>
  <w:style w:type="character" w:styleId="UnresolvedMention">
    <w:name w:val="Unresolved Mention"/>
    <w:basedOn w:val="DefaultParagraphFont"/>
    <w:uiPriority w:val="99"/>
    <w:semiHidden/>
    <w:unhideWhenUsed/>
    <w:rsid w:val="00321CB3"/>
    <w:rPr>
      <w:color w:val="605E5C"/>
      <w:shd w:val="clear" w:color="auto" w:fill="E1DFDD"/>
    </w:rPr>
  </w:style>
  <w:style w:type="paragraph" w:customStyle="1" w:styleId="Normalbulleted">
    <w:name w:val="Normal bulleted"/>
    <w:basedOn w:val="Normal"/>
    <w:autoRedefine/>
    <w:uiPriority w:val="99"/>
    <w:rsid w:val="007B6BB9"/>
    <w:pPr>
      <w:numPr>
        <w:numId w:val="1"/>
      </w:numPr>
      <w:tabs>
        <w:tab w:val="left" w:pos="357"/>
      </w:tabs>
      <w:ind w:left="357" w:hanging="357"/>
    </w:pPr>
    <w:rPr>
      <w:rFonts w:ascii="Tahoma" w:hAnsi="Tahoma" w:cs="Tahoma"/>
    </w:rPr>
  </w:style>
  <w:style w:type="paragraph" w:styleId="Revision">
    <w:name w:val="Revision"/>
    <w:hidden/>
    <w:uiPriority w:val="99"/>
    <w:semiHidden/>
    <w:rsid w:val="007B6BB9"/>
    <w:rPr>
      <w:rFonts w:ascii="Tahoma" w:hAnsi="Tahoma" w:cs="Tahoma"/>
      <w:lang w:eastAsia="en-US"/>
    </w:rPr>
  </w:style>
  <w:style w:type="character" w:styleId="FootnoteReference">
    <w:name w:val="footnote reference"/>
    <w:uiPriority w:val="99"/>
    <w:rsid w:val="002D161A"/>
    <w:rPr>
      <w:vertAlign w:val="superscript"/>
    </w:rPr>
  </w:style>
  <w:style w:type="paragraph" w:styleId="TOC1">
    <w:name w:val="toc 1"/>
    <w:basedOn w:val="Normal"/>
    <w:next w:val="Normal"/>
    <w:autoRedefine/>
    <w:uiPriority w:val="39"/>
    <w:rsid w:val="00F04ACE"/>
    <w:pPr>
      <w:tabs>
        <w:tab w:val="left" w:pos="440"/>
        <w:tab w:val="right" w:leader="dot" w:pos="9962"/>
      </w:tabs>
      <w:spacing w:before="60" w:after="60"/>
    </w:pPr>
    <w:rPr>
      <w:b/>
      <w:bCs/>
      <w:noProof/>
    </w:rPr>
  </w:style>
  <w:style w:type="paragraph" w:styleId="DocumentMap">
    <w:name w:val="Document Map"/>
    <w:basedOn w:val="Normal"/>
    <w:link w:val="DocumentMapChar"/>
    <w:uiPriority w:val="99"/>
    <w:rsid w:val="002D161A"/>
    <w:pPr>
      <w:shd w:val="clear" w:color="auto" w:fill="000080"/>
    </w:pPr>
    <w:rPr>
      <w:rFonts w:ascii="Tahoma" w:hAnsi="Tahoma"/>
    </w:rPr>
  </w:style>
  <w:style w:type="character" w:customStyle="1" w:styleId="DocumentMapChar">
    <w:name w:val="Document Map Char"/>
    <w:basedOn w:val="DefaultParagraphFont"/>
    <w:link w:val="DocumentMap"/>
    <w:uiPriority w:val="99"/>
    <w:rsid w:val="002D161A"/>
    <w:rPr>
      <w:rFonts w:ascii="Tahoma" w:hAnsi="Tahoma"/>
      <w:shd w:val="clear" w:color="auto" w:fill="000080"/>
    </w:rPr>
  </w:style>
  <w:style w:type="character" w:customStyle="1" w:styleId="Listbullet-tableChar">
    <w:name w:val="List bullet - table Char"/>
    <w:basedOn w:val="DefaultParagraphFont"/>
    <w:link w:val="Listbullet-table"/>
    <w:rsid w:val="007821C3"/>
    <w:rPr>
      <w:rFonts w:eastAsia="Times New Roman" w:cs="Times New Roman"/>
      <w:sz w:val="20"/>
      <w:szCs w:val="20"/>
    </w:rPr>
  </w:style>
  <w:style w:type="paragraph" w:styleId="Header">
    <w:name w:val="header"/>
    <w:basedOn w:val="Normal"/>
    <w:link w:val="HeaderChar"/>
    <w:unhideWhenUsed/>
    <w:qFormat/>
    <w:rsid w:val="00321CB3"/>
    <w:pPr>
      <w:tabs>
        <w:tab w:val="center" w:pos="4513"/>
        <w:tab w:val="right" w:pos="9026"/>
      </w:tabs>
      <w:spacing w:before="0" w:after="0"/>
    </w:pPr>
  </w:style>
  <w:style w:type="character" w:customStyle="1" w:styleId="HeaderChar">
    <w:name w:val="Header Char"/>
    <w:basedOn w:val="DefaultParagraphFont"/>
    <w:link w:val="Header"/>
    <w:rsid w:val="00321CB3"/>
  </w:style>
  <w:style w:type="paragraph" w:customStyle="1" w:styleId="StyleIndentHanging35cm">
    <w:name w:val="Style Indent + Hanging:  3.5 cm"/>
    <w:basedOn w:val="Indent"/>
    <w:rsid w:val="00321CB3"/>
    <w:pPr>
      <w:spacing w:before="60"/>
      <w:ind w:hanging="1985"/>
    </w:pPr>
    <w:rPr>
      <w:rFonts w:eastAsia="Times New Roman" w:cs="Times New Roman"/>
      <w:szCs w:val="20"/>
    </w:rPr>
  </w:style>
  <w:style w:type="paragraph" w:styleId="EndnoteText">
    <w:name w:val="endnote text"/>
    <w:basedOn w:val="Normal"/>
    <w:link w:val="EndnoteTextChar"/>
    <w:uiPriority w:val="99"/>
    <w:unhideWhenUsed/>
    <w:rsid w:val="002D161A"/>
    <w:rPr>
      <w:rFonts w:ascii="Tahoma" w:hAnsi="Tahoma"/>
    </w:rPr>
  </w:style>
  <w:style w:type="character" w:customStyle="1" w:styleId="EndnoteTextChar">
    <w:name w:val="Endnote Text Char"/>
    <w:basedOn w:val="DefaultParagraphFont"/>
    <w:link w:val="EndnoteText"/>
    <w:uiPriority w:val="99"/>
    <w:rsid w:val="002D161A"/>
    <w:rPr>
      <w:rFonts w:ascii="Tahoma" w:hAnsi="Tahoma"/>
    </w:rPr>
  </w:style>
  <w:style w:type="paragraph" w:customStyle="1" w:styleId="Style1">
    <w:name w:val="Style1"/>
    <w:basedOn w:val="Normal"/>
    <w:rsid w:val="002D161A"/>
    <w:pPr>
      <w:tabs>
        <w:tab w:val="num" w:pos="360"/>
      </w:tabs>
      <w:ind w:left="360" w:hanging="360"/>
    </w:pPr>
    <w:rPr>
      <w:rFonts w:ascii="Tahoma" w:hAnsi="Tahoma"/>
    </w:rPr>
  </w:style>
  <w:style w:type="paragraph" w:customStyle="1" w:styleId="StyleIndentBefore3pt">
    <w:name w:val="Style Indent + Before:  3 pt"/>
    <w:basedOn w:val="Indent"/>
    <w:next w:val="Indent"/>
    <w:rsid w:val="00062009"/>
    <w:pPr>
      <w:spacing w:before="20"/>
      <w:ind w:left="1701" w:hanging="1701"/>
    </w:pPr>
    <w:rPr>
      <w:rFonts w:eastAsia="Times New Roman" w:cs="Times New Roman"/>
      <w:szCs w:val="20"/>
    </w:rPr>
  </w:style>
  <w:style w:type="character" w:styleId="EndnoteReference">
    <w:name w:val="endnote reference"/>
    <w:basedOn w:val="DefaultParagraphFont"/>
    <w:uiPriority w:val="99"/>
    <w:unhideWhenUsed/>
    <w:rsid w:val="002D161A"/>
    <w:rPr>
      <w:vertAlign w:val="superscript"/>
    </w:rPr>
  </w:style>
  <w:style w:type="paragraph" w:styleId="ListParagraph">
    <w:name w:val="List Paragraph"/>
    <w:aliases w:val="Bullet List Paragraph"/>
    <w:basedOn w:val="Normal"/>
    <w:link w:val="ListParagraphChar"/>
    <w:uiPriority w:val="34"/>
    <w:qFormat/>
    <w:rsid w:val="003031A7"/>
    <w:pPr>
      <w:ind w:left="470" w:hanging="357"/>
    </w:pPr>
    <w:rPr>
      <w:rFonts w:cs="Arial"/>
      <w:lang w:val="en-US"/>
    </w:rPr>
  </w:style>
  <w:style w:type="numbering" w:customStyle="1" w:styleId="NoList1">
    <w:name w:val="No List1"/>
    <w:next w:val="NoList"/>
    <w:uiPriority w:val="99"/>
    <w:semiHidden/>
    <w:unhideWhenUsed/>
    <w:rsid w:val="002E1CF0"/>
  </w:style>
  <w:style w:type="character" w:customStyle="1" w:styleId="BodyTextIndentChar">
    <w:name w:val="Body Text Indent Char"/>
    <w:link w:val="BodyTextIndent"/>
    <w:uiPriority w:val="99"/>
    <w:rsid w:val="002E1CF0"/>
    <w:rPr>
      <w:rFonts w:ascii="Arial" w:hAnsi="Arial"/>
      <w:snapToGrid w:val="0"/>
      <w:color w:val="000000"/>
      <w:lang w:eastAsia="en-US"/>
    </w:rPr>
  </w:style>
  <w:style w:type="table" w:styleId="Table3Deffects2">
    <w:name w:val="Table 3D effects 2"/>
    <w:basedOn w:val="TableNormal"/>
    <w:uiPriority w:val="99"/>
    <w:rsid w:val="002E1CF0"/>
    <w:rPr>
      <w:rFonts w:ascii="Tahoma" w:hAnsi="Tahoma" w:cs="Tahom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Point">
    <w:name w:val="Bullet Point"/>
    <w:basedOn w:val="Heading3"/>
    <w:uiPriority w:val="99"/>
    <w:rsid w:val="002E1CF0"/>
    <w:pPr>
      <w:numPr>
        <w:ilvl w:val="2"/>
        <w:numId w:val="2"/>
      </w:numPr>
      <w:spacing w:after="60"/>
      <w:outlineLvl w:val="9"/>
    </w:pPr>
    <w:rPr>
      <w:rFonts w:ascii="Verdana" w:hAnsi="Verdana" w:cs="Verdana"/>
      <w:b w:val="0"/>
      <w:sz w:val="26"/>
      <w:szCs w:val="26"/>
    </w:rPr>
  </w:style>
  <w:style w:type="paragraph" w:styleId="ListBullet">
    <w:name w:val="List Bullet"/>
    <w:basedOn w:val="Normal"/>
    <w:uiPriority w:val="99"/>
    <w:rsid w:val="002E1CF0"/>
    <w:pPr>
      <w:numPr>
        <w:numId w:val="3"/>
      </w:numPr>
      <w:tabs>
        <w:tab w:val="left" w:pos="720"/>
      </w:tabs>
      <w:overflowPunct w:val="0"/>
      <w:textAlignment w:val="baseline"/>
    </w:pPr>
    <w:rPr>
      <w:rFonts w:ascii="Tahoma" w:hAnsi="Tahoma" w:cs="Tahoma"/>
    </w:rPr>
  </w:style>
  <w:style w:type="paragraph" w:customStyle="1" w:styleId="References">
    <w:name w:val="References"/>
    <w:basedOn w:val="Normal"/>
    <w:qFormat/>
    <w:rsid w:val="00541EA6"/>
    <w:pPr>
      <w:spacing w:after="0"/>
    </w:pPr>
  </w:style>
  <w:style w:type="paragraph" w:customStyle="1" w:styleId="Footertext">
    <w:name w:val="Footer text"/>
    <w:basedOn w:val="Footer"/>
    <w:qFormat/>
    <w:rsid w:val="00541EA6"/>
    <w:rPr>
      <w:sz w:val="16"/>
      <w:szCs w:val="20"/>
    </w:rPr>
  </w:style>
  <w:style w:type="paragraph" w:styleId="Subtitle">
    <w:name w:val="Subtitle"/>
    <w:basedOn w:val="Title"/>
    <w:next w:val="Normal"/>
    <w:link w:val="SubtitleChar"/>
    <w:qFormat/>
    <w:rsid w:val="007A4336"/>
    <w:pPr>
      <w:spacing w:before="120" w:after="120"/>
    </w:pPr>
    <w:rPr>
      <w:b w:val="0"/>
      <w:sz w:val="36"/>
    </w:rPr>
  </w:style>
  <w:style w:type="character" w:customStyle="1" w:styleId="SubtitleChar">
    <w:name w:val="Subtitle Char"/>
    <w:basedOn w:val="DefaultParagraphFont"/>
    <w:link w:val="Subtitle"/>
    <w:rsid w:val="007A4336"/>
    <w:rPr>
      <w:rFonts w:cs="Arial"/>
      <w:color w:val="244061"/>
      <w:sz w:val="36"/>
      <w:szCs w:val="32"/>
      <w:lang w:val="en-US"/>
    </w:rPr>
  </w:style>
  <w:style w:type="character" w:customStyle="1" w:styleId="ListParagraphChar">
    <w:name w:val="List Paragraph Char"/>
    <w:aliases w:val="Bullet List Paragraph Char"/>
    <w:basedOn w:val="DefaultParagraphFont"/>
    <w:link w:val="ListParagraph"/>
    <w:uiPriority w:val="34"/>
    <w:rsid w:val="003031A7"/>
    <w:rPr>
      <w:rFonts w:cs="Arial"/>
      <w:lang w:val="en-US"/>
    </w:rPr>
  </w:style>
  <w:style w:type="character" w:styleId="SubtleReference">
    <w:name w:val="Subtle Reference"/>
    <w:aliases w:val="Figure text"/>
    <w:uiPriority w:val="31"/>
    <w:qFormat/>
    <w:rsid w:val="00541EA6"/>
    <w:rPr>
      <w:rFonts w:ascii="Arial" w:hAnsi="Arial"/>
      <w:b/>
      <w:sz w:val="22"/>
    </w:rPr>
  </w:style>
  <w:style w:type="character" w:styleId="IntenseReference">
    <w:name w:val="Intense Reference"/>
    <w:aliases w:val="Table header text"/>
    <w:uiPriority w:val="32"/>
    <w:qFormat/>
    <w:rsid w:val="00541EA6"/>
    <w:rPr>
      <w:rFonts w:ascii="Arial" w:hAnsi="Arial"/>
      <w:b/>
      <w:sz w:val="22"/>
      <w:szCs w:val="22"/>
    </w:rPr>
  </w:style>
  <w:style w:type="character" w:styleId="BookTitle">
    <w:name w:val="Book Title"/>
    <w:aliases w:val="Table body text"/>
    <w:uiPriority w:val="33"/>
    <w:qFormat/>
    <w:rsid w:val="00541EA6"/>
    <w:rPr>
      <w:rFonts w:ascii="Arial" w:hAnsi="Arial"/>
      <w:sz w:val="22"/>
      <w:szCs w:val="22"/>
    </w:rPr>
  </w:style>
  <w:style w:type="paragraph" w:styleId="TOCHeading">
    <w:name w:val="TOC Heading"/>
    <w:next w:val="Normal"/>
    <w:uiPriority w:val="39"/>
    <w:unhideWhenUsed/>
    <w:qFormat/>
    <w:rsid w:val="003031A7"/>
    <w:pPr>
      <w:keepLines/>
      <w:spacing w:before="120" w:after="120" w:line="240" w:lineRule="auto"/>
    </w:pPr>
    <w:rPr>
      <w:rFonts w:eastAsiaTheme="majorEastAsia" w:cstheme="majorBidi"/>
      <w:b/>
      <w:color w:val="006666"/>
      <w:sz w:val="28"/>
      <w:szCs w:val="28"/>
    </w:rPr>
  </w:style>
  <w:style w:type="paragraph" w:customStyle="1" w:styleId="EndNoteBibliographyTitle">
    <w:name w:val="EndNote Bibliography Title"/>
    <w:basedOn w:val="Normal"/>
    <w:rsid w:val="00F9486A"/>
    <w:pPr>
      <w:spacing w:after="0"/>
      <w:jc w:val="center"/>
    </w:pPr>
    <w:rPr>
      <w:rFonts w:cs="Arial"/>
    </w:rPr>
  </w:style>
  <w:style w:type="paragraph" w:customStyle="1" w:styleId="EndNoteBibliography">
    <w:name w:val="EndNote Bibliography"/>
    <w:basedOn w:val="Normal"/>
    <w:rsid w:val="00F9486A"/>
    <w:rPr>
      <w:rFonts w:cs="Arial"/>
    </w:rPr>
  </w:style>
  <w:style w:type="character" w:customStyle="1" w:styleId="UnresolvedMention1">
    <w:name w:val="Unresolved Mention1"/>
    <w:basedOn w:val="DefaultParagraphFont"/>
    <w:uiPriority w:val="99"/>
    <w:semiHidden/>
    <w:unhideWhenUsed/>
    <w:rsid w:val="00160913"/>
    <w:rPr>
      <w:color w:val="808080"/>
      <w:shd w:val="clear" w:color="auto" w:fill="E6E6E6"/>
    </w:rPr>
  </w:style>
  <w:style w:type="paragraph" w:styleId="TOC2">
    <w:name w:val="toc 2"/>
    <w:basedOn w:val="Normal"/>
    <w:next w:val="Normal"/>
    <w:autoRedefine/>
    <w:uiPriority w:val="39"/>
    <w:unhideWhenUsed/>
    <w:rsid w:val="008E1DFC"/>
    <w:pPr>
      <w:tabs>
        <w:tab w:val="right" w:leader="dot" w:pos="9962"/>
      </w:tabs>
      <w:spacing w:after="60"/>
      <w:ind w:left="454"/>
    </w:pPr>
  </w:style>
  <w:style w:type="paragraph" w:styleId="TOC3">
    <w:name w:val="toc 3"/>
    <w:basedOn w:val="Normal"/>
    <w:next w:val="Normal"/>
    <w:autoRedefine/>
    <w:uiPriority w:val="39"/>
    <w:unhideWhenUsed/>
    <w:rsid w:val="00CA3389"/>
    <w:pPr>
      <w:spacing w:after="100"/>
      <w:ind w:left="440"/>
    </w:pPr>
  </w:style>
  <w:style w:type="character" w:customStyle="1" w:styleId="UnresolvedMention2">
    <w:name w:val="Unresolved Mention2"/>
    <w:basedOn w:val="DefaultParagraphFont"/>
    <w:uiPriority w:val="99"/>
    <w:semiHidden/>
    <w:unhideWhenUsed/>
    <w:rsid w:val="0023410D"/>
    <w:rPr>
      <w:color w:val="605E5C"/>
      <w:shd w:val="clear" w:color="auto" w:fill="E1DFDD"/>
    </w:rPr>
  </w:style>
  <w:style w:type="character" w:customStyle="1" w:styleId="UnresolvedMention3">
    <w:name w:val="Unresolved Mention3"/>
    <w:basedOn w:val="DefaultParagraphFont"/>
    <w:uiPriority w:val="99"/>
    <w:semiHidden/>
    <w:unhideWhenUsed/>
    <w:rsid w:val="00233B48"/>
    <w:rPr>
      <w:color w:val="605E5C"/>
      <w:shd w:val="clear" w:color="auto" w:fill="E1DFDD"/>
    </w:rPr>
  </w:style>
  <w:style w:type="paragraph" w:customStyle="1" w:styleId="Paragraphtext">
    <w:name w:val="Paragraph text"/>
    <w:basedOn w:val="Normal"/>
    <w:qFormat/>
    <w:rsid w:val="00C3410D"/>
    <w:pPr>
      <w:autoSpaceDE/>
      <w:autoSpaceDN/>
      <w:adjustRightInd/>
      <w:spacing w:after="60"/>
    </w:pPr>
    <w:rPr>
      <w:rFonts w:eastAsia="Times New Roman" w:cs="Times New Roman"/>
      <w:color w:val="000000" w:themeColor="text1"/>
      <w:sz w:val="21"/>
      <w:szCs w:val="24"/>
      <w:lang w:eastAsia="en-US"/>
    </w:rPr>
  </w:style>
  <w:style w:type="paragraph" w:customStyle="1" w:styleId="StyleJustified">
    <w:name w:val="Style Justified"/>
    <w:basedOn w:val="Normal"/>
    <w:rsid w:val="001C34D7"/>
    <w:pPr>
      <w:spacing w:after="0"/>
      <w:jc w:val="both"/>
    </w:pPr>
    <w:rPr>
      <w:rFonts w:eastAsia="Times New Roman" w:cs="Times New Roman"/>
      <w:szCs w:val="20"/>
    </w:rPr>
  </w:style>
  <w:style w:type="table" w:customStyle="1" w:styleId="TableGrid1">
    <w:name w:val="Table Grid1"/>
    <w:basedOn w:val="TableNormal"/>
    <w:next w:val="TableGrid"/>
    <w:uiPriority w:val="39"/>
    <w:rsid w:val="001C34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2"/>
      </w:rPr>
      <w:tblPr/>
      <w:tcPr>
        <w:shd w:val="clear" w:color="auto" w:fill="00928F"/>
      </w:tcPr>
    </w:tblStylePr>
  </w:style>
  <w:style w:type="paragraph" w:styleId="List">
    <w:name w:val="List"/>
    <w:basedOn w:val="Normal"/>
    <w:unhideWhenUsed/>
    <w:rsid w:val="001C34D7"/>
    <w:pPr>
      <w:ind w:left="283" w:hanging="283"/>
      <w:contextualSpacing/>
    </w:pPr>
  </w:style>
  <w:style w:type="paragraph" w:styleId="ListBullet2">
    <w:name w:val="List Bullet 2"/>
    <w:basedOn w:val="Normal"/>
    <w:unhideWhenUsed/>
    <w:rsid w:val="001C34D7"/>
    <w:pPr>
      <w:numPr>
        <w:numId w:val="16"/>
      </w:numPr>
      <w:contextualSpacing/>
    </w:pPr>
  </w:style>
  <w:style w:type="paragraph" w:styleId="ListBullet3">
    <w:name w:val="List Bullet 3"/>
    <w:basedOn w:val="Normal"/>
    <w:unhideWhenUsed/>
    <w:rsid w:val="001C34D7"/>
    <w:pPr>
      <w:numPr>
        <w:numId w:val="17"/>
      </w:numPr>
      <w:spacing w:before="0" w:after="0"/>
      <w:ind w:left="924" w:hanging="357"/>
      <w:contextualSpacing/>
    </w:pPr>
  </w:style>
  <w:style w:type="paragraph" w:customStyle="1" w:styleId="Heading1nonumbering">
    <w:name w:val="Heading 1 (no numbering)"/>
    <w:basedOn w:val="Heading1"/>
    <w:link w:val="Heading1nonumberingChar"/>
    <w:qFormat/>
    <w:rsid w:val="00CA7F5E"/>
    <w:pPr>
      <w:numPr>
        <w:numId w:val="0"/>
      </w:numPr>
    </w:pPr>
    <w:rPr>
      <w:sz w:val="28"/>
    </w:rPr>
  </w:style>
  <w:style w:type="character" w:customStyle="1" w:styleId="Heading1nonumberingChar">
    <w:name w:val="Heading 1 (no numbering) Char"/>
    <w:basedOn w:val="Heading1Char"/>
    <w:link w:val="Heading1nonumbering"/>
    <w:rsid w:val="00CA7F5E"/>
    <w:rPr>
      <w:rFonts w:cs="Arial"/>
      <w:b/>
      <w:color w:val="244061"/>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3480">
      <w:bodyDiv w:val="1"/>
      <w:marLeft w:val="0"/>
      <w:marRight w:val="0"/>
      <w:marTop w:val="0"/>
      <w:marBottom w:val="0"/>
      <w:divBdr>
        <w:top w:val="none" w:sz="0" w:space="0" w:color="auto"/>
        <w:left w:val="none" w:sz="0" w:space="0" w:color="auto"/>
        <w:bottom w:val="none" w:sz="0" w:space="0" w:color="auto"/>
        <w:right w:val="none" w:sz="0" w:space="0" w:color="auto"/>
      </w:divBdr>
    </w:div>
    <w:div w:id="317002949">
      <w:bodyDiv w:val="1"/>
      <w:marLeft w:val="0"/>
      <w:marRight w:val="0"/>
      <w:marTop w:val="0"/>
      <w:marBottom w:val="0"/>
      <w:divBdr>
        <w:top w:val="none" w:sz="0" w:space="0" w:color="auto"/>
        <w:left w:val="none" w:sz="0" w:space="0" w:color="auto"/>
        <w:bottom w:val="none" w:sz="0" w:space="0" w:color="auto"/>
        <w:right w:val="none" w:sz="0" w:space="0" w:color="auto"/>
      </w:divBdr>
    </w:div>
    <w:div w:id="406198342">
      <w:bodyDiv w:val="1"/>
      <w:marLeft w:val="0"/>
      <w:marRight w:val="0"/>
      <w:marTop w:val="0"/>
      <w:marBottom w:val="0"/>
      <w:divBdr>
        <w:top w:val="none" w:sz="0" w:space="0" w:color="auto"/>
        <w:left w:val="none" w:sz="0" w:space="0" w:color="auto"/>
        <w:bottom w:val="none" w:sz="0" w:space="0" w:color="auto"/>
        <w:right w:val="none" w:sz="0" w:space="0" w:color="auto"/>
      </w:divBdr>
    </w:div>
    <w:div w:id="495611842">
      <w:bodyDiv w:val="1"/>
      <w:marLeft w:val="0"/>
      <w:marRight w:val="0"/>
      <w:marTop w:val="0"/>
      <w:marBottom w:val="0"/>
      <w:divBdr>
        <w:top w:val="none" w:sz="0" w:space="0" w:color="auto"/>
        <w:left w:val="none" w:sz="0" w:space="0" w:color="auto"/>
        <w:bottom w:val="none" w:sz="0" w:space="0" w:color="auto"/>
        <w:right w:val="none" w:sz="0" w:space="0" w:color="auto"/>
      </w:divBdr>
    </w:div>
    <w:div w:id="568270790">
      <w:bodyDiv w:val="1"/>
      <w:marLeft w:val="0"/>
      <w:marRight w:val="0"/>
      <w:marTop w:val="0"/>
      <w:marBottom w:val="0"/>
      <w:divBdr>
        <w:top w:val="none" w:sz="0" w:space="0" w:color="auto"/>
        <w:left w:val="none" w:sz="0" w:space="0" w:color="auto"/>
        <w:bottom w:val="none" w:sz="0" w:space="0" w:color="auto"/>
        <w:right w:val="none" w:sz="0" w:space="0" w:color="auto"/>
      </w:divBdr>
    </w:div>
    <w:div w:id="587158392">
      <w:bodyDiv w:val="1"/>
      <w:marLeft w:val="0"/>
      <w:marRight w:val="0"/>
      <w:marTop w:val="0"/>
      <w:marBottom w:val="0"/>
      <w:divBdr>
        <w:top w:val="none" w:sz="0" w:space="0" w:color="auto"/>
        <w:left w:val="none" w:sz="0" w:space="0" w:color="auto"/>
        <w:bottom w:val="none" w:sz="0" w:space="0" w:color="auto"/>
        <w:right w:val="none" w:sz="0" w:space="0" w:color="auto"/>
      </w:divBdr>
    </w:div>
    <w:div w:id="592935026">
      <w:bodyDiv w:val="1"/>
      <w:marLeft w:val="0"/>
      <w:marRight w:val="0"/>
      <w:marTop w:val="0"/>
      <w:marBottom w:val="0"/>
      <w:divBdr>
        <w:top w:val="none" w:sz="0" w:space="0" w:color="auto"/>
        <w:left w:val="none" w:sz="0" w:space="0" w:color="auto"/>
        <w:bottom w:val="none" w:sz="0" w:space="0" w:color="auto"/>
        <w:right w:val="none" w:sz="0" w:space="0" w:color="auto"/>
      </w:divBdr>
    </w:div>
    <w:div w:id="638658152">
      <w:bodyDiv w:val="1"/>
      <w:marLeft w:val="0"/>
      <w:marRight w:val="0"/>
      <w:marTop w:val="0"/>
      <w:marBottom w:val="0"/>
      <w:divBdr>
        <w:top w:val="none" w:sz="0" w:space="0" w:color="auto"/>
        <w:left w:val="none" w:sz="0" w:space="0" w:color="auto"/>
        <w:bottom w:val="none" w:sz="0" w:space="0" w:color="auto"/>
        <w:right w:val="none" w:sz="0" w:space="0" w:color="auto"/>
      </w:divBdr>
    </w:div>
    <w:div w:id="1005548291">
      <w:bodyDiv w:val="1"/>
      <w:marLeft w:val="0"/>
      <w:marRight w:val="0"/>
      <w:marTop w:val="0"/>
      <w:marBottom w:val="0"/>
      <w:divBdr>
        <w:top w:val="none" w:sz="0" w:space="0" w:color="auto"/>
        <w:left w:val="none" w:sz="0" w:space="0" w:color="auto"/>
        <w:bottom w:val="none" w:sz="0" w:space="0" w:color="auto"/>
        <w:right w:val="none" w:sz="0" w:space="0" w:color="auto"/>
      </w:divBdr>
    </w:div>
    <w:div w:id="1022900397">
      <w:bodyDiv w:val="1"/>
      <w:marLeft w:val="0"/>
      <w:marRight w:val="0"/>
      <w:marTop w:val="0"/>
      <w:marBottom w:val="0"/>
      <w:divBdr>
        <w:top w:val="none" w:sz="0" w:space="0" w:color="auto"/>
        <w:left w:val="none" w:sz="0" w:space="0" w:color="auto"/>
        <w:bottom w:val="none" w:sz="0" w:space="0" w:color="auto"/>
        <w:right w:val="none" w:sz="0" w:space="0" w:color="auto"/>
      </w:divBdr>
    </w:div>
    <w:div w:id="1062094887">
      <w:bodyDiv w:val="1"/>
      <w:marLeft w:val="0"/>
      <w:marRight w:val="0"/>
      <w:marTop w:val="0"/>
      <w:marBottom w:val="0"/>
      <w:divBdr>
        <w:top w:val="none" w:sz="0" w:space="0" w:color="auto"/>
        <w:left w:val="none" w:sz="0" w:space="0" w:color="auto"/>
        <w:bottom w:val="none" w:sz="0" w:space="0" w:color="auto"/>
        <w:right w:val="none" w:sz="0" w:space="0" w:color="auto"/>
      </w:divBdr>
      <w:divsChild>
        <w:div w:id="1717437372">
          <w:marLeft w:val="0"/>
          <w:marRight w:val="0"/>
          <w:marTop w:val="0"/>
          <w:marBottom w:val="0"/>
          <w:divBdr>
            <w:top w:val="none" w:sz="0" w:space="0" w:color="auto"/>
            <w:left w:val="none" w:sz="0" w:space="0" w:color="auto"/>
            <w:bottom w:val="none" w:sz="0" w:space="0" w:color="auto"/>
            <w:right w:val="none" w:sz="0" w:space="0" w:color="auto"/>
          </w:divBdr>
          <w:divsChild>
            <w:div w:id="1922792686">
              <w:marLeft w:val="0"/>
              <w:marRight w:val="0"/>
              <w:marTop w:val="0"/>
              <w:marBottom w:val="0"/>
              <w:divBdr>
                <w:top w:val="none" w:sz="0" w:space="0" w:color="auto"/>
                <w:left w:val="none" w:sz="0" w:space="0" w:color="auto"/>
                <w:bottom w:val="none" w:sz="0" w:space="0" w:color="auto"/>
                <w:right w:val="none" w:sz="0" w:space="0" w:color="auto"/>
              </w:divBdr>
              <w:divsChild>
                <w:div w:id="9145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4915">
      <w:bodyDiv w:val="1"/>
      <w:marLeft w:val="0"/>
      <w:marRight w:val="0"/>
      <w:marTop w:val="0"/>
      <w:marBottom w:val="0"/>
      <w:divBdr>
        <w:top w:val="none" w:sz="0" w:space="0" w:color="auto"/>
        <w:left w:val="none" w:sz="0" w:space="0" w:color="auto"/>
        <w:bottom w:val="none" w:sz="0" w:space="0" w:color="auto"/>
        <w:right w:val="none" w:sz="0" w:space="0" w:color="auto"/>
      </w:divBdr>
    </w:div>
    <w:div w:id="1271859436">
      <w:bodyDiv w:val="1"/>
      <w:marLeft w:val="0"/>
      <w:marRight w:val="0"/>
      <w:marTop w:val="0"/>
      <w:marBottom w:val="0"/>
      <w:divBdr>
        <w:top w:val="none" w:sz="0" w:space="0" w:color="auto"/>
        <w:left w:val="none" w:sz="0" w:space="0" w:color="auto"/>
        <w:bottom w:val="none" w:sz="0" w:space="0" w:color="auto"/>
        <w:right w:val="none" w:sz="0" w:space="0" w:color="auto"/>
      </w:divBdr>
      <w:divsChild>
        <w:div w:id="204754688">
          <w:marLeft w:val="0"/>
          <w:marRight w:val="0"/>
          <w:marTop w:val="0"/>
          <w:marBottom w:val="0"/>
          <w:divBdr>
            <w:top w:val="none" w:sz="0" w:space="0" w:color="auto"/>
            <w:left w:val="none" w:sz="0" w:space="0" w:color="auto"/>
            <w:bottom w:val="none" w:sz="0" w:space="0" w:color="auto"/>
            <w:right w:val="none" w:sz="0" w:space="0" w:color="auto"/>
          </w:divBdr>
          <w:divsChild>
            <w:div w:id="487941151">
              <w:marLeft w:val="0"/>
              <w:marRight w:val="0"/>
              <w:marTop w:val="0"/>
              <w:marBottom w:val="0"/>
              <w:divBdr>
                <w:top w:val="none" w:sz="0" w:space="0" w:color="auto"/>
                <w:left w:val="none" w:sz="0" w:space="0" w:color="auto"/>
                <w:bottom w:val="none" w:sz="0" w:space="0" w:color="auto"/>
                <w:right w:val="none" w:sz="0" w:space="0" w:color="auto"/>
              </w:divBdr>
              <w:divsChild>
                <w:div w:id="1926841887">
                  <w:marLeft w:val="0"/>
                  <w:marRight w:val="0"/>
                  <w:marTop w:val="0"/>
                  <w:marBottom w:val="0"/>
                  <w:divBdr>
                    <w:top w:val="none" w:sz="0" w:space="0" w:color="auto"/>
                    <w:left w:val="none" w:sz="0" w:space="0" w:color="auto"/>
                    <w:bottom w:val="none" w:sz="0" w:space="0" w:color="auto"/>
                    <w:right w:val="none" w:sz="0" w:space="0" w:color="auto"/>
                  </w:divBdr>
                  <w:divsChild>
                    <w:div w:id="18759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4411">
      <w:bodyDiv w:val="1"/>
      <w:marLeft w:val="0"/>
      <w:marRight w:val="0"/>
      <w:marTop w:val="0"/>
      <w:marBottom w:val="0"/>
      <w:divBdr>
        <w:top w:val="none" w:sz="0" w:space="0" w:color="auto"/>
        <w:left w:val="none" w:sz="0" w:space="0" w:color="auto"/>
        <w:bottom w:val="none" w:sz="0" w:space="0" w:color="auto"/>
        <w:right w:val="none" w:sz="0" w:space="0" w:color="auto"/>
      </w:divBdr>
    </w:div>
    <w:div w:id="1726178443">
      <w:bodyDiv w:val="1"/>
      <w:marLeft w:val="0"/>
      <w:marRight w:val="0"/>
      <w:marTop w:val="0"/>
      <w:marBottom w:val="0"/>
      <w:divBdr>
        <w:top w:val="none" w:sz="0" w:space="0" w:color="auto"/>
        <w:left w:val="none" w:sz="0" w:space="0" w:color="auto"/>
        <w:bottom w:val="none" w:sz="0" w:space="0" w:color="auto"/>
        <w:right w:val="none" w:sz="0" w:space="0" w:color="auto"/>
      </w:divBdr>
    </w:div>
    <w:div w:id="1782336674">
      <w:bodyDiv w:val="1"/>
      <w:marLeft w:val="0"/>
      <w:marRight w:val="0"/>
      <w:marTop w:val="0"/>
      <w:marBottom w:val="0"/>
      <w:divBdr>
        <w:top w:val="none" w:sz="0" w:space="0" w:color="auto"/>
        <w:left w:val="none" w:sz="0" w:space="0" w:color="auto"/>
        <w:bottom w:val="none" w:sz="0" w:space="0" w:color="auto"/>
        <w:right w:val="none" w:sz="0" w:space="0" w:color="auto"/>
      </w:divBdr>
      <w:divsChild>
        <w:div w:id="535239141">
          <w:marLeft w:val="1166"/>
          <w:marRight w:val="0"/>
          <w:marTop w:val="115"/>
          <w:marBottom w:val="0"/>
          <w:divBdr>
            <w:top w:val="none" w:sz="0" w:space="0" w:color="auto"/>
            <w:left w:val="none" w:sz="0" w:space="0" w:color="auto"/>
            <w:bottom w:val="none" w:sz="0" w:space="0" w:color="auto"/>
            <w:right w:val="none" w:sz="0" w:space="0" w:color="auto"/>
          </w:divBdr>
        </w:div>
        <w:div w:id="1147937164">
          <w:marLeft w:val="547"/>
          <w:marRight w:val="0"/>
          <w:marTop w:val="134"/>
          <w:marBottom w:val="0"/>
          <w:divBdr>
            <w:top w:val="none" w:sz="0" w:space="0" w:color="auto"/>
            <w:left w:val="none" w:sz="0" w:space="0" w:color="auto"/>
            <w:bottom w:val="none" w:sz="0" w:space="0" w:color="auto"/>
            <w:right w:val="none" w:sz="0" w:space="0" w:color="auto"/>
          </w:divBdr>
        </w:div>
        <w:div w:id="1785080458">
          <w:marLeft w:val="1166"/>
          <w:marRight w:val="0"/>
          <w:marTop w:val="115"/>
          <w:marBottom w:val="0"/>
          <w:divBdr>
            <w:top w:val="none" w:sz="0" w:space="0" w:color="auto"/>
            <w:left w:val="none" w:sz="0" w:space="0" w:color="auto"/>
            <w:bottom w:val="none" w:sz="0" w:space="0" w:color="auto"/>
            <w:right w:val="none" w:sz="0" w:space="0" w:color="auto"/>
          </w:divBdr>
        </w:div>
      </w:divsChild>
    </w:div>
    <w:div w:id="18783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1.health.gov.au/internet/main/publishing.nsf/content/cda-pubs-annlrpt-tbannrep.htm" TargetMode="External"/><Relationship Id="rId39" Type="http://schemas.openxmlformats.org/officeDocument/2006/relationships/hyperlink" Target="https://apps.who.int/iris/bitstream/handle/10665/336069/9789240013131-eng.pdf" TargetMode="External"/><Relationship Id="rId21" Type="http://schemas.openxmlformats.org/officeDocument/2006/relationships/header" Target="header6.xml"/><Relationship Id="rId34" Type="http://schemas.openxmlformats.org/officeDocument/2006/relationships/hyperlink" Target="https://www1.health.gov.au/internet/main/publishing.nsf/Content/cdi4103-c" TargetMode="External"/><Relationship Id="rId42" Type="http://schemas.openxmlformats.org/officeDocument/2006/relationships/hyperlink" Target="https://apps.who.int/iris/bitstream/handle/10665/332398/9789240006997-eng.pdf?sequence=1&amp;isAllowed=y" TargetMode="External"/><Relationship Id="rId47" Type="http://schemas.openxmlformats.org/officeDocument/2006/relationships/hyperlink" Target="https://www.health.act.gov.au/sites/default/files/2019-10/Tuberculosis.pdf" TargetMode="External"/><Relationship Id="rId50" Type="http://schemas.openxmlformats.org/officeDocument/2006/relationships/hyperlink" Target="https://www.health.qld.gov.au/clinical-practice/guidelines-procedures/diseases-infection/diseases/tuberculosis/about" TargetMode="External"/><Relationship Id="rId55" Type="http://schemas.openxmlformats.org/officeDocument/2006/relationships/hyperlink" Target="mailto:CDNA.SoNG@health.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who.int/teams/global-tuberculosis-programme/tb-reports" TargetMode="External"/><Relationship Id="rId33" Type="http://schemas.openxmlformats.org/officeDocument/2006/relationships/hyperlink" Target="https://www1.health.gov.au/internet/main/publishing.nsf/Content/cda-cdi4003i.htm" TargetMode="External"/><Relationship Id="rId38" Type="http://schemas.openxmlformats.org/officeDocument/2006/relationships/header" Target="header10.xml"/><Relationship Id="rId46" Type="http://schemas.openxmlformats.org/officeDocument/2006/relationships/hyperlink" Target="https://www.uptodate.com/contents/adherence-to-tuberculosis-treatment"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tgldcdp.tg.org.au/etgAccessDenied?access=denied" TargetMode="External"/><Relationship Id="rId41" Type="http://schemas.openxmlformats.org/officeDocument/2006/relationships/hyperlink" Target="https://immunisationhandbook.health.gov.au/" TargetMode="External"/><Relationship Id="rId54" Type="http://schemas.openxmlformats.org/officeDocument/2006/relationships/hyperlink" Target="https://www1.health.gov.au/internet/main/publishing.nsf/Content/cdna-ntac-about.htm?Open=&amp;utm_source=health.gov.au&amp;utm_medium=redirect&amp;utm_campaign=digital_transformation&amp;utm_content=nt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nsw.gov.au/Infectious/tuberculosis/Pages/high-incidence-countries.aspx" TargetMode="External"/><Relationship Id="rId32" Type="http://schemas.openxmlformats.org/officeDocument/2006/relationships/hyperlink" Target="https://www1.health.gov.au/internet/main/publishing.nsf/Content/cdi4104-c" TargetMode="External"/><Relationship Id="rId37" Type="http://schemas.openxmlformats.org/officeDocument/2006/relationships/footer" Target="footer5.xml"/><Relationship Id="rId40" Type="http://schemas.openxmlformats.org/officeDocument/2006/relationships/hyperlink" Target="http://www9.health.gov.au/cda/source/cda-index.cfm" TargetMode="External"/><Relationship Id="rId45" Type="http://schemas.openxmlformats.org/officeDocument/2006/relationships/hyperlink" Target="https://tgldcdp.tg.org.au/guideLine?guidelinePage=Antibiotic&amp;frompage=etgcomplete" TargetMode="External"/><Relationship Id="rId53" Type="http://schemas.openxmlformats.org/officeDocument/2006/relationships/hyperlink" Target="https://www.sahealth.sa.gov.au/wps/wcm/connect/public+content/sa+health+internet/services/hospitals/outpatient+services/outpatient+clinics/central+adelaide+lhn+specialist+and+outpatient+clinics/sa+tuberculosis+services+in+calhn" TargetMode="External"/><Relationship Id="rId58" Type="http://schemas.openxmlformats.org/officeDocument/2006/relationships/hyperlink" Target="https://www1.health.gov.au/internet/main/publishing.nsf/Content/cda-state-legislation-links.ht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dc.gov/tb/education/skillscourse/" TargetMode="External"/><Relationship Id="rId28" Type="http://schemas.openxmlformats.org/officeDocument/2006/relationships/hyperlink" Target="https://www1.health.gov.au/internet/main/publishing.nsf/Content/cdna-casedefinitions.htm?Open=&amp;utm_source=health.gov.au&amp;utm_medium=redirect&amp;utm_campaign=digital_transformation&amp;utm_content=casedefinitions" TargetMode="External"/><Relationship Id="rId36" Type="http://schemas.openxmlformats.org/officeDocument/2006/relationships/header" Target="header9.xml"/><Relationship Id="rId49" Type="http://schemas.openxmlformats.org/officeDocument/2006/relationships/hyperlink" Target="https://www.health.nsw.gov.au/Infectious/factsheets/Factsheets/tb.PDF" TargetMode="External"/><Relationship Id="rId57" Type="http://schemas.openxmlformats.org/officeDocument/2006/relationships/hyperlink" Target="http://www.health.gov.au/internet/main/publishing.nsf/content/D140EDF48C0A0CEACA257BF0001A3537/$File/wTuberculosis-Case-Form-Aug13.docx" TargetMode="External"/><Relationship Id="rId10" Type="http://schemas.openxmlformats.org/officeDocument/2006/relationships/endnotes" Target="endnotes.xml"/><Relationship Id="rId19" Type="http://schemas.openxmlformats.org/officeDocument/2006/relationships/hyperlink" Target="https://www.who.int/news/item/27-01-2021-who-announces-updated-definitions-of-extensively-drug-resistant-tuberculosis" TargetMode="External"/><Relationship Id="rId31" Type="http://schemas.openxmlformats.org/officeDocument/2006/relationships/hyperlink" Target="https://www1.health.gov.au/internet/main/publishing.nsf/Content/cda-cdi4003i.htm" TargetMode="External"/><Relationship Id="rId44" Type="http://schemas.openxmlformats.org/officeDocument/2006/relationships/hyperlink" Target="https://www.who.int/publications/i/item/technical-report-on-critical-concentrations-for-drugsusceptibility-testing-of-isoniazid-and-therifamycins-(rifampicin-rifabutin-and-rifapentine" TargetMode="External"/><Relationship Id="rId52" Type="http://schemas.openxmlformats.org/officeDocument/2006/relationships/hyperlink" Target="https://www.healthywa.wa.gov.au/Articles/S_T/Tuberculosi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www1.health.gov.au/internet/main/publishing.nsf/Content/cda-cdi3904e.htm" TargetMode="External"/><Relationship Id="rId30" Type="http://schemas.openxmlformats.org/officeDocument/2006/relationships/hyperlink" Target="https://www1.health.gov.au/internet/main/publishing.nsf/Content/cda-phlncd-tb.htm" TargetMode="External"/><Relationship Id="rId35" Type="http://schemas.openxmlformats.org/officeDocument/2006/relationships/header" Target="header8.xml"/><Relationship Id="rId43" Type="http://schemas.openxmlformats.org/officeDocument/2006/relationships/hyperlink" Target="https://www.who.int/publications/i/item/WHO-CDS-TB-2018.5" TargetMode="External"/><Relationship Id="rId48" Type="http://schemas.openxmlformats.org/officeDocument/2006/relationships/hyperlink" Target="https://www2.health.vic.gov.au/public-health/infectious-diseases/disease-information-advice/tuberculosis" TargetMode="External"/><Relationship Id="rId56" Type="http://schemas.openxmlformats.org/officeDocument/2006/relationships/hyperlink" Target="https://www1.health.gov.au/internet/main/publishing.nsf/content/D140EDF48C0A0CEACA257BF0001A3537/$File/Tuberculosis-Case-Form-Aug13.pdf" TargetMode="External"/><Relationship Id="rId8" Type="http://schemas.openxmlformats.org/officeDocument/2006/relationships/webSettings" Target="webSettings.xml"/><Relationship Id="rId51" Type="http://schemas.openxmlformats.org/officeDocument/2006/relationships/hyperlink" Target="https://digitallibrary.health.nt.gov.au/prodjspui/bitstream/10137/6786/3/Tuberculosis%20-%20What%20you%20need%20to%20know%20CDC%20Factsheet.pdf"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4F1F92D7BB249A8E5ABB9F36F17EB" ma:contentTypeVersion="13" ma:contentTypeDescription="Create a new document." ma:contentTypeScope="" ma:versionID="ab4b3c01b9576259a0d5e3ce988d133e">
  <xsd:schema xmlns:xsd="http://www.w3.org/2001/XMLSchema" xmlns:xs="http://www.w3.org/2001/XMLSchema" xmlns:p="http://schemas.microsoft.com/office/2006/metadata/properties" xmlns:ns3="a051cbd1-ab4d-4fab-bd61-7d6253b98b80" xmlns:ns4="1243ebcf-0991-4196-b967-4720d47d75a3" targetNamespace="http://schemas.microsoft.com/office/2006/metadata/properties" ma:root="true" ma:fieldsID="2929683ff5fa7c9a9a114a1693dc57c4" ns3:_="" ns4:_="">
    <xsd:import namespace="a051cbd1-ab4d-4fab-bd61-7d6253b98b80"/>
    <xsd:import namespace="1243ebcf-0991-4196-b967-4720d47d75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1cbd1-ab4d-4fab-bd61-7d6253b9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3ebcf-0991-4196-b967-4720d47d75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43FD-4DD6-433D-B1C9-DFB5EE81F321}">
  <ds:schemaRefs>
    <ds:schemaRef ds:uri="http://schemas.microsoft.com/sharepoint/v3/contenttype/forms"/>
  </ds:schemaRefs>
</ds:datastoreItem>
</file>

<file path=customXml/itemProps2.xml><?xml version="1.0" encoding="utf-8"?>
<ds:datastoreItem xmlns:ds="http://schemas.openxmlformats.org/officeDocument/2006/customXml" ds:itemID="{DCC10384-80E9-4730-8F88-5E85D30066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C510F-B500-462F-A966-24A1D7994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1cbd1-ab4d-4fab-bd61-7d6253b98b80"/>
    <ds:schemaRef ds:uri="1243ebcf-0991-4196-b967-4720d47d7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2035B-375D-41E5-B7CB-A801741B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12642</Words>
  <Characters>128858</Characters>
  <Application>Microsoft Office Word</Application>
  <DocSecurity>0</DocSecurity>
  <Lines>1073</Lines>
  <Paragraphs>282</Paragraphs>
  <ScaleCrop>false</ScaleCrop>
  <HeadingPairs>
    <vt:vector size="2" baseType="variant">
      <vt:variant>
        <vt:lpstr>Title</vt:lpstr>
      </vt:variant>
      <vt:variant>
        <vt:i4>1</vt:i4>
      </vt:variant>
    </vt:vector>
  </HeadingPairs>
  <TitlesOfParts>
    <vt:vector size="1" baseType="lpstr">
      <vt:lpstr>Tuberculosis CDNA national guidelines for public health units</vt:lpstr>
    </vt:vector>
  </TitlesOfParts>
  <Company>HFS</Company>
  <LinksUpToDate>false</LinksUpToDate>
  <CharactersWithSpaces>141218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Tuberculosis CDNA national guidelines for public health units</dc:title>
  <dc:subject>Vaccines</dc:subject>
  <cp:keywords>Tuberculosis; CDNA; guidelines; public health units; vaccines</cp:keywords>
  <cp:revision>3</cp:revision>
  <cp:lastPrinted>2017-05-18T21:58:00Z</cp:lastPrinted>
  <dcterms:created xsi:type="dcterms:W3CDTF">2022-03-02T23:16:00Z</dcterms:created>
  <dcterms:modified xsi:type="dcterms:W3CDTF">2022-03-02T23:17:00Z</dcterms:modified>
</cp:coreProperties>
</file>