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800DEB" w14:paraId="53ECB373" w14:textId="77777777" w:rsidTr="00800DEB">
        <w:tc>
          <w:tcPr>
            <w:tcW w:w="2547" w:type="dxa"/>
          </w:tcPr>
          <w:p w14:paraId="18688B85" w14:textId="77777777" w:rsidR="00800DEB" w:rsidRDefault="00800DEB" w:rsidP="00800DEB">
            <w:r>
              <w:rPr>
                <w:noProof/>
              </w:rPr>
              <w:drawing>
                <wp:inline distT="0" distB="0" distL="0" distR="0" wp14:anchorId="243ECBD3" wp14:editId="181E10FB">
                  <wp:extent cx="1171575" cy="1714500"/>
                  <wp:effectExtent l="0" t="0" r="9525" b="0"/>
                  <wp:docPr id="2" name="Picture 2" descr="Communicable Diseases Network Australi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ommunicable Diseases Network Australia logo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1714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13" w:type="dxa"/>
          </w:tcPr>
          <w:p w14:paraId="7DBD2A4E" w14:textId="6F328857" w:rsidR="00800DEB" w:rsidRDefault="007E5E75" w:rsidP="00800DEB">
            <w:pPr>
              <w:pStyle w:val="Title"/>
            </w:pPr>
            <w:r w:rsidRPr="007E5E75">
              <w:t>Tuberculosis</w:t>
            </w:r>
          </w:p>
          <w:p w14:paraId="5D0CECFE" w14:textId="77777777" w:rsidR="00800DEB" w:rsidRDefault="00800DEB" w:rsidP="00800DEB">
            <w:pPr>
              <w:pStyle w:val="Subtitle"/>
            </w:pPr>
            <w:r w:rsidRPr="00800DEB">
              <w:t>Australian national notifiable diseases case definition</w:t>
            </w:r>
          </w:p>
        </w:tc>
      </w:tr>
    </w:tbl>
    <w:p w14:paraId="3AAD2130" w14:textId="4424C113" w:rsidR="004516E8" w:rsidRDefault="00800DEB" w:rsidP="009E0B84">
      <w:pPr>
        <w:pStyle w:val="IntroPara"/>
      </w:pPr>
      <w:r w:rsidRPr="00872414">
        <w:t xml:space="preserve">This document contains the </w:t>
      </w:r>
      <w:r>
        <w:t xml:space="preserve">surveillance </w:t>
      </w:r>
      <w:r w:rsidRPr="00872414">
        <w:t xml:space="preserve">case definition for </w:t>
      </w:r>
      <w:r w:rsidR="007E5E75">
        <w:t>t</w:t>
      </w:r>
      <w:r w:rsidR="007E5E75" w:rsidRPr="007E5E75">
        <w:t xml:space="preserve">uberculosis </w:t>
      </w:r>
      <w:r w:rsidRPr="00872414">
        <w:t xml:space="preserve">which is nationally notifiable within Australia. </w:t>
      </w:r>
      <w:r w:rsidR="004516E8">
        <w:t>State and territory health departments use this definition to decide whether to notify the Australian Government Department of Health</w:t>
      </w:r>
      <w:r w:rsidR="00B14926">
        <w:t xml:space="preserve"> and Aged Care</w:t>
      </w:r>
      <w:r w:rsidR="004516E8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4"/>
        <w:gridCol w:w="4756"/>
        <w:gridCol w:w="1336"/>
        <w:gridCol w:w="1954"/>
      </w:tblGrid>
      <w:tr w:rsidR="00800DEB" w:rsidRPr="00872414" w14:paraId="22684C72" w14:textId="77777777" w:rsidTr="006505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EDF032F" w14:textId="77777777" w:rsidR="00800DEB" w:rsidRPr="00872414" w:rsidRDefault="00800DEB" w:rsidP="00650561">
            <w:pPr>
              <w:pStyle w:val="TableHeader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Version</w:t>
            </w:r>
          </w:p>
        </w:tc>
        <w:tc>
          <w:tcPr>
            <w:tcW w:w="0" w:type="auto"/>
            <w:hideMark/>
          </w:tcPr>
          <w:p w14:paraId="6C89E642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Status</w:t>
            </w:r>
          </w:p>
        </w:tc>
        <w:tc>
          <w:tcPr>
            <w:tcW w:w="0" w:type="auto"/>
            <w:hideMark/>
          </w:tcPr>
          <w:p w14:paraId="0153570F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Last reviewed</w:t>
            </w:r>
          </w:p>
        </w:tc>
        <w:tc>
          <w:tcPr>
            <w:tcW w:w="0" w:type="auto"/>
            <w:hideMark/>
          </w:tcPr>
          <w:p w14:paraId="753F8F45" w14:textId="77777777" w:rsidR="00800DEB" w:rsidRPr="00872414" w:rsidRDefault="00800DEB" w:rsidP="00650561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lang w:eastAsia="en-AU"/>
              </w:rPr>
            </w:pPr>
            <w:r w:rsidRPr="00872414">
              <w:rPr>
                <w:color w:val="FFFFFF" w:themeColor="background1"/>
                <w:lang w:eastAsia="en-AU"/>
              </w:rPr>
              <w:t>Implementation date</w:t>
            </w:r>
          </w:p>
        </w:tc>
      </w:tr>
      <w:tr w:rsidR="00800DEB" w:rsidRPr="00872414" w14:paraId="7EB085FE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16497288" w14:textId="10BD869E" w:rsidR="00800DEB" w:rsidRPr="00872414" w:rsidRDefault="007E5E7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1.2</w:t>
            </w:r>
          </w:p>
        </w:tc>
        <w:tc>
          <w:tcPr>
            <w:tcW w:w="0" w:type="auto"/>
          </w:tcPr>
          <w:p w14:paraId="1C9BB587" w14:textId="77777777" w:rsidR="007E5E75" w:rsidRDefault="007E5E75" w:rsidP="007E5E75">
            <w:pPr>
              <w:pStyle w:val="NormalWeb"/>
              <w:shd w:val="clear" w:color="auto" w:fill="FFFFFF"/>
              <w:spacing w:before="24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Point 1, under Laboratory definitive evidence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was rewritten to exclude -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 xml:space="preserve">M. tuberculosis, 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bovis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or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 xml:space="preserve">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africanum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from notification: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  <w:t>1. Isolation of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Mycobacterium tuberculosis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complex (excluding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 xml:space="preserve">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bovis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var BCG) by culture</w:t>
            </w:r>
          </w:p>
          <w:p w14:paraId="1ABB78F7" w14:textId="44E5C971" w:rsidR="00800DEB" w:rsidRPr="007E5E75" w:rsidRDefault="007E5E75" w:rsidP="007E5E75">
            <w:pPr>
              <w:pStyle w:val="NormalWeb"/>
              <w:shd w:val="clear" w:color="auto" w:fill="FFFFFF"/>
              <w:spacing w:before="0" w:beforeAutospacing="0" w:after="240" w:afterAutospacing="0" w:line="300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</w:rPr>
            </w:pPr>
            <w:r>
              <w:rPr>
                <w:rStyle w:val="Strong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</w:rPr>
              <w:t>Under Clinical evidence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 was rewritten to exclude - ‘clinical’ from the statement on two places: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  <w:t>A clinician experienced in tuberculosis makes a clinical diagnosis of tuberculosis, including follow-up assessment to ensure a consistent course.</w:t>
            </w:r>
          </w:p>
        </w:tc>
        <w:tc>
          <w:tcPr>
            <w:tcW w:w="0" w:type="auto"/>
          </w:tcPr>
          <w:p w14:paraId="7ADA9ED6" w14:textId="77777777" w:rsidR="00800DEB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  <w:p w14:paraId="1DDAA107" w14:textId="77777777" w:rsidR="007E5E75" w:rsidRDefault="007E5E75" w:rsidP="007E5E7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N/A</w:t>
            </w:r>
          </w:p>
          <w:p w14:paraId="251C5FFE" w14:textId="37455BAC" w:rsidR="007E5E75" w:rsidRPr="00872414" w:rsidRDefault="007E5E7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0" w:type="auto"/>
          </w:tcPr>
          <w:p w14:paraId="78BCB2C6" w14:textId="77777777" w:rsidR="00800DEB" w:rsidRPr="007E5E75" w:rsidRDefault="00800DEB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</w:p>
          <w:p w14:paraId="4C9B58F5" w14:textId="16F42D28" w:rsidR="007E5E75" w:rsidRPr="007E5E75" w:rsidRDefault="007E5E7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2"/>
                <w:lang w:eastAsia="en-AU"/>
              </w:rPr>
            </w:pPr>
            <w:r w:rsidRPr="007E5E75">
              <w:rPr>
                <w:sz w:val="20"/>
                <w:szCs w:val="22"/>
                <w:lang w:eastAsia="en-AU"/>
              </w:rPr>
              <w:t>1 July 2022</w:t>
            </w:r>
          </w:p>
        </w:tc>
      </w:tr>
      <w:tr w:rsidR="00800DEB" w:rsidRPr="00872414" w14:paraId="66EB5687" w14:textId="77777777" w:rsidTr="00800DE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55115D0E" w14:textId="46B3F6FC" w:rsidR="00800DEB" w:rsidRPr="00872414" w:rsidRDefault="007E5E7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1.1</w:t>
            </w:r>
          </w:p>
        </w:tc>
        <w:tc>
          <w:tcPr>
            <w:tcW w:w="0" w:type="auto"/>
          </w:tcPr>
          <w:p w14:paraId="7BCED08C" w14:textId="77777777" w:rsidR="00800DEB" w:rsidRDefault="007E5E7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Point 1, under Laboratory definitive evidence was rewritten to include - excluding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Mycobacterium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bovis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variant BCG from notification:</w:t>
            </w: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br/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“1. Isolation of 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Mycobacterium tuberculosis 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complex (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M. tuberculosis, 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Bovis</w:t>
            </w:r>
            <w:proofErr w:type="spellEnd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 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or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 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africanum</w:t>
            </w:r>
            <w:proofErr w:type="spellEnd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, </w:t>
            </w:r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excluding</w:t>
            </w:r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 M. </w:t>
            </w:r>
            <w:proofErr w:type="spellStart"/>
            <w:r>
              <w:rPr>
                <w:rStyle w:val="Emphasis"/>
                <w:rFonts w:ascii="Helvetica" w:hAnsi="Helvetica" w:cs="Helvetica"/>
                <w:color w:val="222222"/>
                <w:sz w:val="20"/>
                <w:szCs w:val="20"/>
                <w:bdr w:val="none" w:sz="0" w:space="0" w:color="auto" w:frame="1"/>
                <w:shd w:val="clear" w:color="auto" w:fill="FFFFFF"/>
              </w:rPr>
              <w:t>bovis</w:t>
            </w:r>
            <w:proofErr w:type="spellEnd"/>
            <w:r>
              <w:rPr>
                <w:rFonts w:ascii="Helvetica" w:hAnsi="Helvetica" w:cs="Helvetica"/>
                <w:color w:val="222222"/>
                <w:sz w:val="20"/>
                <w:szCs w:val="20"/>
                <w:shd w:val="clear" w:color="auto" w:fill="FFFFFF"/>
              </w:rPr>
              <w:t> var BCG) by culture”</w:t>
            </w:r>
          </w:p>
          <w:p w14:paraId="162BBEA0" w14:textId="45D447AF" w:rsidR="007E5E75" w:rsidRPr="00872414" w:rsidRDefault="007E5E7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0" w:type="auto"/>
          </w:tcPr>
          <w:p w14:paraId="629FA629" w14:textId="77777777" w:rsidR="007E5E75" w:rsidRDefault="007E5E75" w:rsidP="007E5E75">
            <w:pPr>
              <w:spacing w:after="30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>CDWG 7 April 2010</w:t>
            </w:r>
          </w:p>
          <w:p w14:paraId="273CC01E" w14:textId="77777777" w:rsidR="00800DEB" w:rsidRPr="00872414" w:rsidRDefault="00800DEB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</w:p>
        </w:tc>
        <w:tc>
          <w:tcPr>
            <w:tcW w:w="0" w:type="auto"/>
          </w:tcPr>
          <w:p w14:paraId="60A2F705" w14:textId="3D1410C6" w:rsidR="00800DEB" w:rsidRPr="00872414" w:rsidRDefault="007E5E75" w:rsidP="00650561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en-AU"/>
              </w:rPr>
            </w:pPr>
            <w:r w:rsidRPr="007E5E75">
              <w:rPr>
                <w:lang w:eastAsia="en-AU"/>
              </w:rPr>
              <w:t>1 January 2011</w:t>
            </w:r>
          </w:p>
        </w:tc>
      </w:tr>
      <w:tr w:rsidR="007E5E75" w:rsidRPr="00872414" w14:paraId="4A027801" w14:textId="77777777" w:rsidTr="00800DE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45752DA6" w14:textId="5369C240" w:rsidR="007E5E75" w:rsidRPr="00872414" w:rsidRDefault="007E5E75" w:rsidP="00650561">
            <w:pPr>
              <w:pStyle w:val="TableText"/>
              <w:rPr>
                <w:lang w:eastAsia="en-AU"/>
              </w:rPr>
            </w:pPr>
            <w:r>
              <w:rPr>
                <w:lang w:eastAsia="en-AU"/>
              </w:rPr>
              <w:t>1.0</w:t>
            </w:r>
          </w:p>
        </w:tc>
        <w:tc>
          <w:tcPr>
            <w:tcW w:w="0" w:type="auto"/>
          </w:tcPr>
          <w:p w14:paraId="3B651AC9" w14:textId="541500C7" w:rsidR="007E5E75" w:rsidRPr="007E5E75" w:rsidRDefault="007E5E75" w:rsidP="007E5E75">
            <w:pPr>
              <w:spacing w:after="30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Helvetica"/>
                <w:color w:val="222222"/>
                <w:sz w:val="20"/>
                <w:szCs w:val="20"/>
                <w:lang w:eastAsia="en-AU"/>
              </w:rPr>
            </w:pPr>
            <w:r>
              <w:rPr>
                <w:rFonts w:ascii="Helvetica" w:hAnsi="Helvetica" w:cs="Helvetica"/>
                <w:color w:val="222222"/>
                <w:sz w:val="20"/>
                <w:szCs w:val="20"/>
              </w:rPr>
              <w:t xml:space="preserve">Initial case definition </w:t>
            </w:r>
          </w:p>
        </w:tc>
        <w:tc>
          <w:tcPr>
            <w:tcW w:w="0" w:type="auto"/>
          </w:tcPr>
          <w:p w14:paraId="30C176EC" w14:textId="485BB8F5" w:rsidR="007E5E75" w:rsidRPr="00872414" w:rsidRDefault="007E5E7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  <w:tc>
          <w:tcPr>
            <w:tcW w:w="0" w:type="auto"/>
          </w:tcPr>
          <w:p w14:paraId="08FC16C7" w14:textId="1DEF8001" w:rsidR="007E5E75" w:rsidRPr="00872414" w:rsidRDefault="007E5E75" w:rsidP="00650561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en-AU"/>
              </w:rPr>
            </w:pPr>
            <w:r>
              <w:rPr>
                <w:lang w:eastAsia="en-AU"/>
              </w:rPr>
              <w:t>2004</w:t>
            </w:r>
          </w:p>
        </w:tc>
      </w:tr>
    </w:tbl>
    <w:p w14:paraId="6D635F78" w14:textId="77777777" w:rsidR="009E0B84" w:rsidRDefault="009E0B84" w:rsidP="00800DEB"/>
    <w:p w14:paraId="1852640D" w14:textId="77777777" w:rsidR="00800DEB" w:rsidRDefault="00800DEB" w:rsidP="00800DEB"/>
    <w:p w14:paraId="05015756" w14:textId="77777777" w:rsidR="007E5E75" w:rsidRPr="007E5E75" w:rsidRDefault="007E5E75" w:rsidP="007E5E7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E5E75">
        <w:rPr>
          <w:rFonts w:ascii="Open Sans" w:hAnsi="Open Sans" w:cs="Open Sans"/>
          <w:color w:val="000000"/>
          <w:sz w:val="27"/>
          <w:szCs w:val="27"/>
          <w:lang w:eastAsia="en-AU"/>
        </w:rPr>
        <w:lastRenderedPageBreak/>
        <w:t>Reporting</w:t>
      </w:r>
    </w:p>
    <w:p w14:paraId="1F803744" w14:textId="77777777" w:rsidR="007E5E75" w:rsidRPr="007E5E75" w:rsidRDefault="007E5E75" w:rsidP="007E5E75">
      <w:pPr>
        <w:rPr>
          <w:rFonts w:ascii="Times New Roman" w:hAnsi="Times New Roman"/>
          <w:sz w:val="24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Only </w:t>
      </w:r>
      <w:r w:rsidRPr="007E5E75">
        <w:rPr>
          <w:rFonts w:ascii="Helvetica" w:hAnsi="Helvetica" w:cs="Helvetica"/>
          <w:b/>
          <w:bCs/>
          <w:color w:val="222222"/>
          <w:sz w:val="20"/>
          <w:szCs w:val="20"/>
          <w:shd w:val="clear" w:color="auto" w:fill="FFFFFF"/>
          <w:lang w:eastAsia="en-AU"/>
        </w:rPr>
        <w:t>confirmed cases</w:t>
      </w: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should be notified.</w:t>
      </w:r>
    </w:p>
    <w:p w14:paraId="14D4E7F3" w14:textId="77777777" w:rsidR="007E5E75" w:rsidRPr="007E5E75" w:rsidRDefault="007E5E75" w:rsidP="007E5E75">
      <w:pPr>
        <w:shd w:val="clear" w:color="auto" w:fill="FFFFFF"/>
        <w:spacing w:before="240"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E5E75">
        <w:rPr>
          <w:rFonts w:ascii="Open Sans" w:hAnsi="Open Sans" w:cs="Open Sans"/>
          <w:color w:val="000000"/>
          <w:sz w:val="27"/>
          <w:szCs w:val="27"/>
          <w:lang w:eastAsia="en-AU"/>
        </w:rPr>
        <w:t>Confirmed case</w:t>
      </w:r>
    </w:p>
    <w:p w14:paraId="46D30A40" w14:textId="05E740BA" w:rsidR="007E5E75" w:rsidRPr="007E5E75" w:rsidRDefault="007E5E75" w:rsidP="007E5E75">
      <w:pPr>
        <w:rPr>
          <w:rFonts w:ascii="Times New Roman" w:hAnsi="Times New Roman"/>
          <w:sz w:val="24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confirmed case requires a diagnosis accepted by the Director of Tuberculosis Control (or equivalent) in the relevant jurisdiction, based on either:</w:t>
      </w:r>
    </w:p>
    <w:p w14:paraId="293D2333" w14:textId="77777777" w:rsidR="007E5E75" w:rsidRPr="007E5E75" w:rsidRDefault="007E5E75" w:rsidP="007E5E7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E5E7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1. Laboratory definitive evidence</w:t>
      </w:r>
    </w:p>
    <w:p w14:paraId="297C2F39" w14:textId="77777777" w:rsidR="007E5E75" w:rsidRPr="007E5E75" w:rsidRDefault="007E5E75" w:rsidP="007E5E7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1C2C736D" w14:textId="77777777" w:rsidR="007E5E75" w:rsidRPr="007E5E75" w:rsidRDefault="007E5E75" w:rsidP="007E5E7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E5E75">
        <w:rPr>
          <w:rFonts w:ascii="Helvetica" w:hAnsi="Helvetica" w:cs="Helvetica"/>
          <w:b/>
          <w:bCs/>
          <w:color w:val="222222"/>
          <w:sz w:val="20"/>
          <w:szCs w:val="20"/>
          <w:lang w:eastAsia="en-AU"/>
        </w:rPr>
        <w:t>2. Clinical evidence</w:t>
      </w:r>
    </w:p>
    <w:p w14:paraId="7054EEA4" w14:textId="77777777" w:rsidR="007E5E75" w:rsidRPr="007E5E75" w:rsidRDefault="007E5E75" w:rsidP="007E5E7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E5E75">
        <w:rPr>
          <w:rFonts w:ascii="Open Sans" w:hAnsi="Open Sans" w:cs="Open Sans"/>
          <w:color w:val="000000"/>
          <w:sz w:val="27"/>
          <w:szCs w:val="27"/>
          <w:lang w:eastAsia="en-AU"/>
        </w:rPr>
        <w:t>Laboratory definitive evidence</w:t>
      </w:r>
    </w:p>
    <w:p w14:paraId="055405D0" w14:textId="77777777" w:rsidR="007E5E75" w:rsidRPr="007E5E75" w:rsidRDefault="007E5E75" w:rsidP="007E5E75">
      <w:pPr>
        <w:rPr>
          <w:rFonts w:ascii="Times New Roman" w:hAnsi="Times New Roman"/>
          <w:sz w:val="24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1. Isolation of </w:t>
      </w:r>
      <w:r w:rsidRPr="007E5E75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Mycobacterium tuberculosis</w:t>
      </w: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complex (excluding </w:t>
      </w:r>
      <w:r w:rsidRPr="007E5E75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 xml:space="preserve">M. </w:t>
      </w:r>
      <w:proofErr w:type="spellStart"/>
      <w:r w:rsidRPr="007E5E75">
        <w:rPr>
          <w:rFonts w:ascii="Helvetica" w:hAnsi="Helvetica" w:cs="Helvetica"/>
          <w:i/>
          <w:iCs/>
          <w:color w:val="222222"/>
          <w:sz w:val="20"/>
          <w:szCs w:val="20"/>
          <w:shd w:val="clear" w:color="auto" w:fill="FFFFFF"/>
          <w:lang w:eastAsia="en-AU"/>
        </w:rPr>
        <w:t>bovis</w:t>
      </w:r>
      <w:proofErr w:type="spellEnd"/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 var BCG) by culture</w:t>
      </w:r>
    </w:p>
    <w:p w14:paraId="036FB656" w14:textId="77777777" w:rsidR="007E5E75" w:rsidRPr="007E5E75" w:rsidRDefault="007E5E75" w:rsidP="007E5E75">
      <w:pPr>
        <w:shd w:val="clear" w:color="auto" w:fill="FFFFFF"/>
        <w:spacing w:before="240"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lang w:eastAsia="en-AU"/>
        </w:rPr>
        <w:t>OR</w:t>
      </w:r>
    </w:p>
    <w:p w14:paraId="6FB2B670" w14:textId="77777777" w:rsidR="007E5E75" w:rsidRPr="007E5E75" w:rsidRDefault="007E5E75" w:rsidP="007E5E75">
      <w:pPr>
        <w:shd w:val="clear" w:color="auto" w:fill="FFFFFF"/>
        <w:spacing w:after="240" w:line="300" w:lineRule="atLeast"/>
        <w:rPr>
          <w:rFonts w:ascii="Helvetica" w:hAnsi="Helvetica" w:cs="Helvetica"/>
          <w:color w:val="222222"/>
          <w:sz w:val="20"/>
          <w:szCs w:val="20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lang w:eastAsia="en-AU"/>
        </w:rPr>
        <w:t>2. Detection of </w:t>
      </w:r>
      <w:r w:rsidRPr="007E5E75">
        <w:rPr>
          <w:rFonts w:ascii="Helvetica" w:hAnsi="Helvetica" w:cs="Helvetica"/>
          <w:i/>
          <w:iCs/>
          <w:color w:val="222222"/>
          <w:sz w:val="20"/>
          <w:szCs w:val="20"/>
          <w:lang w:eastAsia="en-AU"/>
        </w:rPr>
        <w:t>M. tuberculosis</w:t>
      </w:r>
      <w:r w:rsidRPr="007E5E75">
        <w:rPr>
          <w:rFonts w:ascii="Helvetica" w:hAnsi="Helvetica" w:cs="Helvetica"/>
          <w:color w:val="222222"/>
          <w:sz w:val="20"/>
          <w:szCs w:val="20"/>
          <w:lang w:eastAsia="en-AU"/>
        </w:rPr>
        <w:t> complex by nucleic acid testing EXCEPT where this is likely to be due to previously treated or inactive disease.</w:t>
      </w:r>
    </w:p>
    <w:p w14:paraId="360DE58B" w14:textId="77777777" w:rsidR="007E5E75" w:rsidRPr="007E5E75" w:rsidRDefault="007E5E75" w:rsidP="007E5E75">
      <w:pPr>
        <w:shd w:val="clear" w:color="auto" w:fill="FFFFFF"/>
        <w:spacing w:after="120"/>
        <w:outlineLvl w:val="2"/>
        <w:rPr>
          <w:rFonts w:ascii="Open Sans" w:hAnsi="Open Sans" w:cs="Open Sans"/>
          <w:color w:val="000000"/>
          <w:sz w:val="27"/>
          <w:szCs w:val="27"/>
          <w:lang w:eastAsia="en-AU"/>
        </w:rPr>
      </w:pPr>
      <w:r w:rsidRPr="007E5E75">
        <w:rPr>
          <w:rFonts w:ascii="Open Sans" w:hAnsi="Open Sans" w:cs="Open Sans"/>
          <w:color w:val="000000"/>
          <w:sz w:val="27"/>
          <w:szCs w:val="27"/>
          <w:lang w:eastAsia="en-AU"/>
        </w:rPr>
        <w:t>Clinical evidence</w:t>
      </w:r>
    </w:p>
    <w:p w14:paraId="2BD4F81A" w14:textId="13AAC4D0" w:rsidR="009E0B84" w:rsidRPr="007E5E75" w:rsidRDefault="007E5E75" w:rsidP="007E5E75">
      <w:pPr>
        <w:rPr>
          <w:rFonts w:ascii="Times New Roman" w:hAnsi="Times New Roman"/>
          <w:sz w:val="24"/>
          <w:lang w:eastAsia="en-AU"/>
        </w:rPr>
      </w:pPr>
      <w:r w:rsidRPr="007E5E75">
        <w:rPr>
          <w:rFonts w:ascii="Helvetica" w:hAnsi="Helvetica" w:cs="Helvetica"/>
          <w:color w:val="222222"/>
          <w:sz w:val="20"/>
          <w:szCs w:val="20"/>
          <w:shd w:val="clear" w:color="auto" w:fill="FFFFFF"/>
          <w:lang w:eastAsia="en-AU"/>
        </w:rPr>
        <w:t>A clinician experienced in tuberculosis makes a clinical diagnosis of tuberculosis, including follow-up assessment to ensure a consistent course.</w:t>
      </w:r>
    </w:p>
    <w:sectPr w:rsidR="009E0B84" w:rsidRPr="007E5E75" w:rsidSect="00022629">
      <w:footerReference w:type="default" r:id="rId12"/>
      <w:type w:val="continuous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0C8834" w14:textId="77777777" w:rsidR="007E5E75" w:rsidRDefault="007E5E75" w:rsidP="006B56BB">
      <w:r>
        <w:separator/>
      </w:r>
    </w:p>
    <w:p w14:paraId="07D23545" w14:textId="77777777" w:rsidR="007E5E75" w:rsidRDefault="007E5E75"/>
  </w:endnote>
  <w:endnote w:type="continuationSeparator" w:id="0">
    <w:p w14:paraId="3E79618C" w14:textId="77777777" w:rsidR="007E5E75" w:rsidRDefault="007E5E75" w:rsidP="006B56BB">
      <w:r>
        <w:continuationSeparator/>
      </w:r>
    </w:p>
    <w:p w14:paraId="51A010F3" w14:textId="77777777" w:rsidR="007E5E75" w:rsidRDefault="007E5E75"/>
  </w:endnote>
  <w:endnote w:type="continuationNotice" w:id="1">
    <w:p w14:paraId="7E607682" w14:textId="77777777" w:rsidR="007E5E75" w:rsidRDefault="007E5E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B95D4B" w14:textId="1E4E5D53" w:rsidR="00CD407A" w:rsidRDefault="007E5E75">
            <w:pPr>
              <w:pStyle w:val="Footer"/>
              <w:jc w:val="right"/>
            </w:pPr>
            <w:r w:rsidRPr="007E5E75">
              <w:t xml:space="preserve">Tuberculosis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23CEE66" w14:textId="77777777" w:rsidR="00CD407A" w:rsidRDefault="00CD40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7E30EB" w14:textId="77777777" w:rsidR="007E5E75" w:rsidRDefault="007E5E75" w:rsidP="006B56BB">
      <w:r>
        <w:separator/>
      </w:r>
    </w:p>
    <w:p w14:paraId="08278902" w14:textId="77777777" w:rsidR="007E5E75" w:rsidRDefault="007E5E75"/>
  </w:footnote>
  <w:footnote w:type="continuationSeparator" w:id="0">
    <w:p w14:paraId="2922E2E7" w14:textId="77777777" w:rsidR="007E5E75" w:rsidRDefault="007E5E75" w:rsidP="006B56BB">
      <w:r>
        <w:continuationSeparator/>
      </w:r>
    </w:p>
    <w:p w14:paraId="3A6786D1" w14:textId="77777777" w:rsidR="007E5E75" w:rsidRDefault="007E5E75"/>
  </w:footnote>
  <w:footnote w:type="continuationNotice" w:id="1">
    <w:p w14:paraId="4D57D428" w14:textId="77777777" w:rsidR="007E5E75" w:rsidRDefault="007E5E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75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E5E75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5E7F"/>
    <w:rsid w:val="009557C1"/>
    <w:rsid w:val="00960D6E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7FE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F0CA24"/>
  <w15:docId w15:val="{85C6E991-58BB-4B9B-99EB-68E04E5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3F5F4D"/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8376E2"/>
    <w:pPr>
      <w:keepNext/>
      <w:spacing w:before="240" w:after="60"/>
      <w:outlineLvl w:val="0"/>
    </w:pPr>
    <w:rPr>
      <w:rFonts w:cs="Arial"/>
      <w:bCs/>
      <w:color w:val="3F4A75"/>
      <w:kern w:val="28"/>
      <w:sz w:val="36"/>
      <w:szCs w:val="36"/>
    </w:rPr>
  </w:style>
  <w:style w:type="paragraph" w:styleId="Heading2">
    <w:name w:val="heading 2"/>
    <w:next w:val="Paragraphtext"/>
    <w:qFormat/>
    <w:rsid w:val="008376E2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32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1571C7"/>
    <w:pPr>
      <w:spacing w:before="120" w:after="60"/>
    </w:pPr>
    <w:rPr>
      <w:color w:val="000000" w:themeColor="text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next w:val="Normal"/>
    <w:link w:val="SubtitleChar"/>
    <w:qFormat/>
    <w:rsid w:val="003100AE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3100AE"/>
    <w:rPr>
      <w:rFonts w:ascii="Arial" w:eastAsiaTheme="majorEastAsia" w:hAnsi="Arial" w:cstheme="majorBidi"/>
      <w:iCs/>
      <w:color w:val="000000" w:themeColor="text1"/>
      <w:spacing w:val="15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EC5E9A"/>
    <w:pPr>
      <w:spacing w:before="480" w:after="120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EC5E9A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pPr>
      <w:spacing w:before="120" w:after="120"/>
    </w:pPr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B16A51"/>
    <w:pPr>
      <w:spacing w:before="80" w:after="80"/>
    </w:pPr>
    <w:rPr>
      <w:rFonts w:eastAsia="Cambria"/>
      <w:b/>
      <w:color w:val="000000" w:themeColor="text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2496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24961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basedOn w:val="Title"/>
    <w:qFormat/>
    <w:rsid w:val="00EC5E9A"/>
    <w:pPr>
      <w:spacing w:after="240" w:line="360" w:lineRule="auto"/>
    </w:pPr>
    <w:rPr>
      <w:b w:val="0"/>
      <w:color w:val="000000" w:themeColor="text1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pPr>
      <w:spacing w:before="120" w:after="120"/>
    </w:pPr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paragraph" w:styleId="NormalWeb">
    <w:name w:val="Normal (Web)"/>
    <w:basedOn w:val="Normal"/>
    <w:uiPriority w:val="99"/>
    <w:unhideWhenUsed/>
    <w:rsid w:val="007E5E75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7E5E75"/>
    <w:rPr>
      <w:rFonts w:ascii="Arial" w:hAnsi="Arial" w:cs="Arial"/>
      <w:bCs/>
      <w:color w:val="358189"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3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entral.health\dfsuserenv\Users\User_01\ARNOMA\Documents\Surveillance%20Case%20Definitions\CDNA%20surveillance%20case%20defini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0C6417-ADBB-487B-9091-DC3471F064BF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6487dd-ec90-4f99-8970-1318e5f29791"/>
    <ds:schemaRef ds:uri="http://schemas.microsoft.com/office/2006/documentManagement/types"/>
    <ds:schemaRef ds:uri="dcf7b372-aaaa-46d8-9da6-ade9aab953d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24233F0-C6C5-47D2-8476-7493FB07EF51}"/>
</file>

<file path=customXml/itemProps4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CDNA surveillance case definition template.dotx</Template>
  <TotalTime>3</TotalTime>
  <Pages>2</Pages>
  <Words>278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Surveillance case definition</vt:lpstr>
    </vt:vector>
  </TitlesOfParts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Tuberculosis – Surveillance case definition</dc:title>
  <dc:creator>Communicable Diseases Network Australia</dc:creator>
  <cp:keywords>Communicable diseases</cp:keywords>
  <dcterms:created xsi:type="dcterms:W3CDTF">2022-06-08T02:38:00Z</dcterms:created>
  <dcterms:modified xsi:type="dcterms:W3CDTF">2022-06-08T02:41:00Z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170;#Style Guide|fae42d66-6622-4466-b060-a03a1a4f59f8</vt:lpwstr>
  </property>
  <property fmtid="{D5CDD505-2E9C-101B-9397-08002B2CF9AE}" pid="3" name="File Structure">
    <vt:lpwstr>169;#Style Guide|aa9bcad4-d3b7-4fe1-b475-a8e6573a6ad1</vt:lpwstr>
  </property>
  <property fmtid="{D5CDD505-2E9C-101B-9397-08002B2CF9AE}" pid="4" name="ContentTypeId">
    <vt:lpwstr>0x010100BA217076F0871349BCBE5A6EC7EEC4B3</vt:lpwstr>
  </property>
</Properties>
</file>