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0373B97F" w14:textId="77777777" w:rsidTr="00800DEB">
        <w:tc>
          <w:tcPr>
            <w:tcW w:w="2547" w:type="dxa"/>
          </w:tcPr>
          <w:p w14:paraId="03BF2BF6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6387FC4B" wp14:editId="72E6C433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58063EE7" w14:textId="14B99C78" w:rsidR="00800DEB" w:rsidRDefault="0071336D" w:rsidP="00800DEB">
            <w:pPr>
              <w:pStyle w:val="Title"/>
            </w:pPr>
            <w:r w:rsidRPr="0071336D">
              <w:t>Varicella zoster (chickenpox)</w:t>
            </w:r>
          </w:p>
          <w:p w14:paraId="02A80926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099FE395" w14:textId="20A6662E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for </w:t>
      </w:r>
      <w:r w:rsidR="0071336D">
        <w:t>v</w:t>
      </w:r>
      <w:r w:rsidR="0071336D" w:rsidRPr="0071336D">
        <w:t>aricella zoster (chickenpox)</w:t>
      </w:r>
      <w:r w:rsidR="0071336D" w:rsidRPr="0071336D">
        <w:t xml:space="preserve"> </w:t>
      </w:r>
      <w:r w:rsidRPr="00872414">
        <w:t xml:space="preserve">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023"/>
        <w:gridCol w:w="4343"/>
        <w:gridCol w:w="1862"/>
        <w:gridCol w:w="1842"/>
      </w:tblGrid>
      <w:tr w:rsidR="00800DEB" w:rsidRPr="00872414" w14:paraId="0D2C813B" w14:textId="77777777" w:rsidTr="007133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EA7634" w14:textId="77777777" w:rsidR="00800DEB" w:rsidRPr="00872414" w:rsidRDefault="00800DEB" w:rsidP="00650561">
            <w:pPr>
              <w:pStyle w:val="TableHeader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hideMark/>
          </w:tcPr>
          <w:p w14:paraId="1EC5847C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1027" w:type="pct"/>
            <w:hideMark/>
          </w:tcPr>
          <w:p w14:paraId="1A784298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1014" w:type="pct"/>
            <w:hideMark/>
          </w:tcPr>
          <w:p w14:paraId="129F87E1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800DEB" w:rsidRPr="00872414" w14:paraId="1970352C" w14:textId="77777777" w:rsidTr="00713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F667AA3" w14:textId="4ED640BF" w:rsidR="00800DEB" w:rsidRPr="00872414" w:rsidRDefault="0071336D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1.2</w:t>
            </w:r>
          </w:p>
        </w:tc>
        <w:tc>
          <w:tcPr>
            <w:tcW w:w="0" w:type="auto"/>
          </w:tcPr>
          <w:p w14:paraId="5C5B550A" w14:textId="77777777" w:rsidR="0071336D" w:rsidRDefault="0071336D" w:rsidP="0071336D">
            <w:pPr>
              <w:pStyle w:val="TableText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Addition of IgG seroconversion as laboratory definitive evidence</w:t>
            </w:r>
          </w:p>
          <w:p w14:paraId="197BC6FD" w14:textId="36DA585E" w:rsidR="00800DEB" w:rsidRPr="00872414" w:rsidRDefault="0071336D" w:rsidP="0071336D">
            <w:pPr>
              <w:pStyle w:val="TableText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Removal of IgM detection as laboratory definitive evidence</w:t>
            </w:r>
          </w:p>
        </w:tc>
        <w:tc>
          <w:tcPr>
            <w:tcW w:w="1027" w:type="pct"/>
          </w:tcPr>
          <w:p w14:paraId="3C8D907B" w14:textId="458D52D3" w:rsidR="00800DEB" w:rsidRPr="00872414" w:rsidRDefault="0071336D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71336D">
              <w:rPr>
                <w:lang w:eastAsia="en-AU"/>
              </w:rPr>
              <w:t>2017</w:t>
            </w:r>
          </w:p>
        </w:tc>
        <w:tc>
          <w:tcPr>
            <w:tcW w:w="1014" w:type="pct"/>
          </w:tcPr>
          <w:p w14:paraId="1DEC9DD8" w14:textId="7C0CB373" w:rsidR="00800DEB" w:rsidRPr="00872414" w:rsidRDefault="0071336D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71336D">
              <w:rPr>
                <w:lang w:eastAsia="en-AU"/>
              </w:rPr>
              <w:t>1 January 2018</w:t>
            </w:r>
          </w:p>
        </w:tc>
      </w:tr>
      <w:tr w:rsidR="0071336D" w:rsidRPr="00872414" w14:paraId="1D37E6D2" w14:textId="77777777" w:rsidTr="007133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28EDEF9" w14:textId="1B66DDD2" w:rsidR="0071336D" w:rsidRPr="00872414" w:rsidRDefault="0071336D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1.1</w:t>
            </w:r>
          </w:p>
        </w:tc>
        <w:tc>
          <w:tcPr>
            <w:tcW w:w="0" w:type="auto"/>
          </w:tcPr>
          <w:p w14:paraId="5F7BCE4B" w14:textId="77777777" w:rsidR="0071336D" w:rsidRPr="0071336D" w:rsidRDefault="0071336D" w:rsidP="0071336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71336D">
              <w:rPr>
                <w:lang w:eastAsia="en-AU"/>
              </w:rPr>
              <w:t>No Change</w:t>
            </w:r>
          </w:p>
          <w:p w14:paraId="7E0CBC49" w14:textId="77777777" w:rsidR="0071336D" w:rsidRPr="00872414" w:rsidRDefault="0071336D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</w:p>
        </w:tc>
        <w:tc>
          <w:tcPr>
            <w:tcW w:w="1027" w:type="pct"/>
          </w:tcPr>
          <w:p w14:paraId="49A047D0" w14:textId="0DAC6CAE" w:rsidR="0071336D" w:rsidRPr="00872414" w:rsidRDefault="0071336D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71336D">
              <w:rPr>
                <w:lang w:eastAsia="en-AU"/>
              </w:rPr>
              <w:t>14 August 2008</w:t>
            </w:r>
            <w:r w:rsidRPr="0071336D">
              <w:rPr>
                <w:lang w:eastAsia="en-AU"/>
              </w:rPr>
              <w:tab/>
            </w:r>
          </w:p>
        </w:tc>
        <w:tc>
          <w:tcPr>
            <w:tcW w:w="1014" w:type="pct"/>
          </w:tcPr>
          <w:p w14:paraId="24EFC3D1" w14:textId="1DFFC2DE" w:rsidR="0071336D" w:rsidRPr="00872414" w:rsidRDefault="0071336D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71336D">
              <w:rPr>
                <w:lang w:eastAsia="en-AU"/>
              </w:rPr>
              <w:t>14 August 2008</w:t>
            </w:r>
          </w:p>
        </w:tc>
      </w:tr>
      <w:tr w:rsidR="0071336D" w:rsidRPr="00872414" w14:paraId="4D937154" w14:textId="77777777" w:rsidTr="007133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76F85B" w14:textId="3B3EA8D8" w:rsidR="0071336D" w:rsidRPr="00872414" w:rsidRDefault="0071336D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1.0</w:t>
            </w:r>
          </w:p>
        </w:tc>
        <w:tc>
          <w:tcPr>
            <w:tcW w:w="0" w:type="auto"/>
          </w:tcPr>
          <w:p w14:paraId="532293D9" w14:textId="7BDD989F" w:rsidR="0071336D" w:rsidRPr="00872414" w:rsidRDefault="0071336D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71336D">
              <w:rPr>
                <w:lang w:eastAsia="en-AU"/>
              </w:rPr>
              <w:t>Initial case definition</w:t>
            </w:r>
            <w:r w:rsidRPr="0071336D">
              <w:rPr>
                <w:lang w:eastAsia="en-AU"/>
              </w:rPr>
              <w:tab/>
            </w:r>
          </w:p>
        </w:tc>
        <w:tc>
          <w:tcPr>
            <w:tcW w:w="1027" w:type="pct"/>
          </w:tcPr>
          <w:p w14:paraId="708ECF09" w14:textId="5C8F57BD" w:rsidR="0071336D" w:rsidRPr="00872414" w:rsidRDefault="0071336D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2006</w:t>
            </w:r>
          </w:p>
        </w:tc>
        <w:tc>
          <w:tcPr>
            <w:tcW w:w="1014" w:type="pct"/>
          </w:tcPr>
          <w:p w14:paraId="31A978FE" w14:textId="2F73C51D" w:rsidR="0071336D" w:rsidRPr="00872414" w:rsidRDefault="0071336D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2006</w:t>
            </w:r>
          </w:p>
        </w:tc>
      </w:tr>
    </w:tbl>
    <w:p w14:paraId="7AFFCDF5" w14:textId="77777777" w:rsidR="009E0B84" w:rsidRDefault="009E0B84" w:rsidP="00800DEB"/>
    <w:p w14:paraId="5BCAE899" w14:textId="77777777" w:rsidR="0071336D" w:rsidRPr="0071336D" w:rsidRDefault="0071336D" w:rsidP="0071336D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71336D">
        <w:rPr>
          <w:rFonts w:ascii="Open Sans" w:hAnsi="Open Sans" w:cs="Open Sans"/>
          <w:color w:val="000000"/>
          <w:sz w:val="27"/>
          <w:szCs w:val="27"/>
          <w:lang w:eastAsia="en-AU"/>
        </w:rPr>
        <w:t>Reporting</w:t>
      </w:r>
    </w:p>
    <w:p w14:paraId="124A21DB" w14:textId="77777777" w:rsidR="0071336D" w:rsidRPr="0071336D" w:rsidRDefault="0071336D" w:rsidP="0071336D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71336D">
        <w:rPr>
          <w:rFonts w:ascii="Helvetica" w:hAnsi="Helvetica" w:cs="Helvetica"/>
          <w:color w:val="222222"/>
          <w:sz w:val="20"/>
          <w:szCs w:val="20"/>
          <w:lang w:eastAsia="en-AU"/>
        </w:rPr>
        <w:t>Both </w:t>
      </w:r>
      <w:r w:rsidRPr="0071336D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confirmed cases</w:t>
      </w:r>
      <w:r w:rsidRPr="0071336D">
        <w:rPr>
          <w:rFonts w:ascii="Helvetica" w:hAnsi="Helvetica" w:cs="Helvetica"/>
          <w:color w:val="222222"/>
          <w:sz w:val="20"/>
          <w:szCs w:val="20"/>
          <w:lang w:eastAsia="en-AU"/>
        </w:rPr>
        <w:t> and </w:t>
      </w:r>
      <w:r w:rsidRPr="0071336D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probable cases</w:t>
      </w:r>
      <w:r w:rsidRPr="0071336D">
        <w:rPr>
          <w:rFonts w:ascii="Helvetica" w:hAnsi="Helvetica" w:cs="Helvetica"/>
          <w:color w:val="222222"/>
          <w:sz w:val="20"/>
          <w:szCs w:val="20"/>
          <w:lang w:eastAsia="en-AU"/>
        </w:rPr>
        <w:t> should be notified.</w:t>
      </w:r>
    </w:p>
    <w:p w14:paraId="41019418" w14:textId="77777777" w:rsidR="0071336D" w:rsidRPr="0071336D" w:rsidRDefault="0071336D" w:rsidP="0071336D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71336D">
        <w:rPr>
          <w:rFonts w:ascii="Open Sans" w:hAnsi="Open Sans" w:cs="Open Sans"/>
          <w:color w:val="000000"/>
          <w:sz w:val="27"/>
          <w:szCs w:val="27"/>
          <w:lang w:eastAsia="en-AU"/>
        </w:rPr>
        <w:t>Confirmed case</w:t>
      </w:r>
    </w:p>
    <w:p w14:paraId="749B25C5" w14:textId="77777777" w:rsidR="0071336D" w:rsidRPr="0071336D" w:rsidRDefault="0071336D" w:rsidP="0071336D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71336D">
        <w:rPr>
          <w:rFonts w:ascii="Helvetica" w:hAnsi="Helvetica" w:cs="Helvetica"/>
          <w:color w:val="222222"/>
          <w:sz w:val="20"/>
          <w:szCs w:val="20"/>
          <w:lang w:eastAsia="en-AU"/>
        </w:rPr>
        <w:t>A confirmed case requires either:</w:t>
      </w:r>
    </w:p>
    <w:p w14:paraId="7F04FA96" w14:textId="77777777" w:rsidR="0071336D" w:rsidRPr="0071336D" w:rsidRDefault="0071336D" w:rsidP="0071336D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71336D">
        <w:rPr>
          <w:rFonts w:ascii="Helvetica" w:hAnsi="Helvetica" w:cs="Helvetica"/>
          <w:color w:val="222222"/>
          <w:sz w:val="20"/>
          <w:szCs w:val="20"/>
          <w:lang w:eastAsia="en-AU"/>
        </w:rPr>
        <w:t>1. </w:t>
      </w:r>
      <w:r w:rsidRPr="0071336D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Laboratory definitive evidence</w:t>
      </w:r>
      <w:r w:rsidRPr="0071336D">
        <w:rPr>
          <w:rFonts w:ascii="Helvetica" w:hAnsi="Helvetica" w:cs="Helvetica"/>
          <w:color w:val="222222"/>
          <w:sz w:val="20"/>
          <w:szCs w:val="20"/>
          <w:lang w:eastAsia="en-AU"/>
        </w:rPr>
        <w:t> AND </w:t>
      </w:r>
      <w:r w:rsidRPr="0071336D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clinical evidence</w:t>
      </w:r>
    </w:p>
    <w:p w14:paraId="7D0E4ECA" w14:textId="77777777" w:rsidR="0071336D" w:rsidRPr="0071336D" w:rsidRDefault="0071336D" w:rsidP="0071336D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71336D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28F196CB" w14:textId="77777777" w:rsidR="0071336D" w:rsidRPr="0071336D" w:rsidRDefault="0071336D" w:rsidP="0071336D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71336D">
        <w:rPr>
          <w:rFonts w:ascii="Helvetica" w:hAnsi="Helvetica" w:cs="Helvetica"/>
          <w:color w:val="222222"/>
          <w:sz w:val="20"/>
          <w:szCs w:val="20"/>
          <w:lang w:eastAsia="en-AU"/>
        </w:rPr>
        <w:t>2. </w:t>
      </w:r>
      <w:r w:rsidRPr="0071336D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Clinical evidence</w:t>
      </w:r>
      <w:r w:rsidRPr="0071336D">
        <w:rPr>
          <w:rFonts w:ascii="Helvetica" w:hAnsi="Helvetica" w:cs="Helvetica"/>
          <w:color w:val="222222"/>
          <w:sz w:val="20"/>
          <w:szCs w:val="20"/>
          <w:lang w:eastAsia="en-AU"/>
        </w:rPr>
        <w:t> AND </w:t>
      </w:r>
      <w:r w:rsidRPr="0071336D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epidemiological evidence</w:t>
      </w:r>
    </w:p>
    <w:p w14:paraId="5732A384" w14:textId="234EE8FF" w:rsidR="0071336D" w:rsidRPr="0071336D" w:rsidRDefault="0071336D" w:rsidP="0071336D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hyperlink r:id="rId12" w:anchor="top" w:history="1"/>
    </w:p>
    <w:p w14:paraId="4CB7DA84" w14:textId="77777777" w:rsidR="0071336D" w:rsidRPr="0071336D" w:rsidRDefault="0071336D" w:rsidP="0071336D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71336D">
        <w:rPr>
          <w:rFonts w:ascii="Open Sans" w:hAnsi="Open Sans" w:cs="Open Sans"/>
          <w:color w:val="000000"/>
          <w:sz w:val="27"/>
          <w:szCs w:val="27"/>
          <w:lang w:eastAsia="en-AU"/>
        </w:rPr>
        <w:lastRenderedPageBreak/>
        <w:t>Laboratory definitive evidence</w:t>
      </w:r>
    </w:p>
    <w:p w14:paraId="4446D272" w14:textId="77777777" w:rsidR="0071336D" w:rsidRPr="0071336D" w:rsidRDefault="0071336D" w:rsidP="0071336D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71336D">
        <w:rPr>
          <w:rFonts w:ascii="Helvetica" w:hAnsi="Helvetica" w:cs="Helvetica"/>
          <w:color w:val="222222"/>
          <w:sz w:val="20"/>
          <w:szCs w:val="20"/>
          <w:lang w:eastAsia="en-AU"/>
        </w:rPr>
        <w:t>1. Isolation of varicella-zoster virus from a skin or lesion swab. If the case received varicella vaccine between five and 42 days prior to the onset of rash the virus must be confirmed to be a wild type strain.</w:t>
      </w:r>
    </w:p>
    <w:p w14:paraId="6C0426BE" w14:textId="77777777" w:rsidR="0071336D" w:rsidRPr="0071336D" w:rsidRDefault="0071336D" w:rsidP="0071336D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71336D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764F443A" w14:textId="77777777" w:rsidR="0071336D" w:rsidRPr="0071336D" w:rsidRDefault="0071336D" w:rsidP="0071336D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71336D">
        <w:rPr>
          <w:rFonts w:ascii="Helvetica" w:hAnsi="Helvetica" w:cs="Helvetica"/>
          <w:color w:val="222222"/>
          <w:sz w:val="20"/>
          <w:szCs w:val="20"/>
          <w:lang w:eastAsia="en-AU"/>
        </w:rPr>
        <w:t>2. Detection of varicella-zoster virus from a skin or lesion swab by nucleic acid testing from a skin or lesion swab. If the case received varicella vaccine between five and 42 days prior to the onset of rash the virus must be confirmed to be a wild type strain.</w:t>
      </w:r>
    </w:p>
    <w:p w14:paraId="59F952FD" w14:textId="77777777" w:rsidR="0071336D" w:rsidRPr="0071336D" w:rsidRDefault="0071336D" w:rsidP="0071336D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71336D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4CF19FBB" w14:textId="77777777" w:rsidR="0071336D" w:rsidRPr="0071336D" w:rsidRDefault="0071336D" w:rsidP="0071336D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71336D">
        <w:rPr>
          <w:rFonts w:ascii="Helvetica" w:hAnsi="Helvetica" w:cs="Helvetica"/>
          <w:color w:val="222222"/>
          <w:sz w:val="20"/>
          <w:szCs w:val="20"/>
          <w:lang w:eastAsia="en-AU"/>
        </w:rPr>
        <w:t>3. Detection of varicella-zoster virus antigen from a skin or lesion swab by direct fluorescent antibody from a skin or lesion swab. If the case received varicella vaccine between five and 42 days prior to the onset of rash the virus must be confirmed to be a wild type strain.</w:t>
      </w:r>
    </w:p>
    <w:p w14:paraId="6C89B162" w14:textId="77777777" w:rsidR="0071336D" w:rsidRPr="0071336D" w:rsidRDefault="0071336D" w:rsidP="0071336D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71336D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7966DE61" w14:textId="77777777" w:rsidR="0071336D" w:rsidRPr="0071336D" w:rsidRDefault="0071336D" w:rsidP="0071336D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71336D">
        <w:rPr>
          <w:rFonts w:ascii="Helvetica" w:hAnsi="Helvetica" w:cs="Helvetica"/>
          <w:color w:val="222222"/>
          <w:sz w:val="20"/>
          <w:szCs w:val="20"/>
          <w:lang w:eastAsia="en-AU"/>
        </w:rPr>
        <w:t>4. IgG seroconversion or a signiﬁcant increase in antibody level, such as a fourfold or greater rise in titre to varicella-zoster virus (VZV) EXCEPT if the case has received a VZV-containing vaccine eight days to eight weeks prior to convalescent specimen collection.  (NOTE: paired sera must be tested in parallel)</w:t>
      </w:r>
    </w:p>
    <w:p w14:paraId="7A6E3116" w14:textId="77777777" w:rsidR="0071336D" w:rsidRPr="0071336D" w:rsidRDefault="0071336D" w:rsidP="0071336D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71336D">
        <w:rPr>
          <w:rFonts w:ascii="Open Sans" w:hAnsi="Open Sans" w:cs="Open Sans"/>
          <w:color w:val="000000"/>
          <w:sz w:val="27"/>
          <w:szCs w:val="27"/>
          <w:lang w:eastAsia="en-AU"/>
        </w:rPr>
        <w:t>Clinical evidence</w:t>
      </w:r>
    </w:p>
    <w:p w14:paraId="705E10F3" w14:textId="77777777" w:rsidR="0071336D" w:rsidRPr="0071336D" w:rsidRDefault="0071336D" w:rsidP="0071336D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71336D">
        <w:rPr>
          <w:rFonts w:ascii="Helvetica" w:hAnsi="Helvetica" w:cs="Helvetica"/>
          <w:color w:val="222222"/>
          <w:sz w:val="20"/>
          <w:szCs w:val="20"/>
          <w:lang w:eastAsia="en-AU"/>
        </w:rPr>
        <w:t>Acute onset of a diffuse maculopapular rash developing into vesicles within 24–48 hours and forming crusts (or crusting over) within 5 days.</w:t>
      </w:r>
    </w:p>
    <w:p w14:paraId="63BD3323" w14:textId="77777777" w:rsidR="0071336D" w:rsidRPr="0071336D" w:rsidRDefault="0071336D" w:rsidP="0071336D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71336D">
        <w:rPr>
          <w:rFonts w:ascii="Open Sans" w:hAnsi="Open Sans" w:cs="Open Sans"/>
          <w:color w:val="000000"/>
          <w:sz w:val="27"/>
          <w:szCs w:val="27"/>
          <w:lang w:eastAsia="en-AU"/>
        </w:rPr>
        <w:t>Epidemiological evidence</w:t>
      </w:r>
    </w:p>
    <w:p w14:paraId="6C5F9F1A" w14:textId="77777777" w:rsidR="0071336D" w:rsidRPr="0071336D" w:rsidRDefault="0071336D" w:rsidP="0071336D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71336D">
        <w:rPr>
          <w:rFonts w:ascii="Helvetica" w:hAnsi="Helvetica" w:cs="Helvetica"/>
          <w:color w:val="222222"/>
          <w:sz w:val="20"/>
          <w:szCs w:val="20"/>
          <w:lang w:eastAsia="en-AU"/>
        </w:rPr>
        <w:t>An epidemiological link is established when there is:</w:t>
      </w:r>
    </w:p>
    <w:p w14:paraId="2B679D09" w14:textId="77777777" w:rsidR="0071336D" w:rsidRPr="0071336D" w:rsidRDefault="0071336D" w:rsidP="0071336D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71336D">
        <w:rPr>
          <w:rFonts w:ascii="Helvetica" w:hAnsi="Helvetica" w:cs="Helvetica"/>
          <w:color w:val="222222"/>
          <w:sz w:val="20"/>
          <w:szCs w:val="20"/>
          <w:lang w:eastAsia="en-AU"/>
        </w:rPr>
        <w:t>1. Contact between two people involving a plausible mode of transmission at a time when:</w:t>
      </w:r>
    </w:p>
    <w:p w14:paraId="41002E06" w14:textId="77777777" w:rsidR="0071336D" w:rsidRPr="0071336D" w:rsidRDefault="0071336D" w:rsidP="0071336D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71336D">
        <w:rPr>
          <w:rFonts w:ascii="Helvetica" w:hAnsi="Helvetica" w:cs="Helvetica"/>
          <w:color w:val="222222"/>
          <w:sz w:val="20"/>
          <w:szCs w:val="20"/>
          <w:lang w:eastAsia="en-AU"/>
        </w:rPr>
        <w:t>a. one of them is likely to be infectious</w:t>
      </w:r>
    </w:p>
    <w:p w14:paraId="3EF26828" w14:textId="77777777" w:rsidR="0071336D" w:rsidRPr="0071336D" w:rsidRDefault="0071336D" w:rsidP="0071336D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71336D">
        <w:rPr>
          <w:rFonts w:ascii="Helvetica" w:hAnsi="Helvetica" w:cs="Helvetica"/>
          <w:color w:val="222222"/>
          <w:sz w:val="20"/>
          <w:szCs w:val="20"/>
          <w:lang w:eastAsia="en-AU"/>
        </w:rPr>
        <w:t>AND</w:t>
      </w:r>
    </w:p>
    <w:p w14:paraId="7492A769" w14:textId="77777777" w:rsidR="0071336D" w:rsidRPr="0071336D" w:rsidRDefault="0071336D" w:rsidP="0071336D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71336D">
        <w:rPr>
          <w:rFonts w:ascii="Helvetica" w:hAnsi="Helvetica" w:cs="Helvetica"/>
          <w:color w:val="222222"/>
          <w:sz w:val="20"/>
          <w:szCs w:val="20"/>
          <w:lang w:eastAsia="en-AU"/>
        </w:rPr>
        <w:t>b. the other has illness 10 to 21 days after contact</w:t>
      </w:r>
    </w:p>
    <w:p w14:paraId="392D6207" w14:textId="77777777" w:rsidR="0071336D" w:rsidRPr="0071336D" w:rsidRDefault="0071336D" w:rsidP="0071336D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71336D">
        <w:rPr>
          <w:rFonts w:ascii="Helvetica" w:hAnsi="Helvetica" w:cs="Helvetica"/>
          <w:color w:val="222222"/>
          <w:sz w:val="20"/>
          <w:szCs w:val="20"/>
          <w:lang w:eastAsia="en-AU"/>
        </w:rPr>
        <w:t>AND</w:t>
      </w:r>
    </w:p>
    <w:p w14:paraId="1D167C30" w14:textId="77777777" w:rsidR="0071336D" w:rsidRPr="0071336D" w:rsidRDefault="0071336D" w:rsidP="0071336D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71336D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2. At least one case in the chain of </w:t>
      </w:r>
      <w:proofErr w:type="gramStart"/>
      <w:r w:rsidRPr="0071336D">
        <w:rPr>
          <w:rFonts w:ascii="Helvetica" w:hAnsi="Helvetica" w:cs="Helvetica"/>
          <w:color w:val="222222"/>
          <w:sz w:val="20"/>
          <w:szCs w:val="20"/>
          <w:lang w:eastAsia="en-AU"/>
        </w:rPr>
        <w:t>epidemiologically-linked</w:t>
      </w:r>
      <w:proofErr w:type="gramEnd"/>
      <w:r w:rsidRPr="0071336D">
        <w:rPr>
          <w:rFonts w:ascii="Helvetica" w:hAnsi="Helvetica" w:cs="Helvetica"/>
          <w:color w:val="222222"/>
          <w:sz w:val="20"/>
          <w:szCs w:val="20"/>
          <w:lang w:eastAsia="en-AU"/>
        </w:rPr>
        <w:t xml:space="preserve"> cases is laboratory confirmed.</w:t>
      </w:r>
    </w:p>
    <w:p w14:paraId="02A70885" w14:textId="77777777" w:rsidR="0071336D" w:rsidRPr="0071336D" w:rsidRDefault="0071336D" w:rsidP="0071336D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71336D">
        <w:rPr>
          <w:rFonts w:ascii="Open Sans" w:hAnsi="Open Sans" w:cs="Open Sans"/>
          <w:color w:val="000000"/>
          <w:sz w:val="27"/>
          <w:szCs w:val="27"/>
          <w:lang w:eastAsia="en-AU"/>
        </w:rPr>
        <w:t>Probable case</w:t>
      </w:r>
    </w:p>
    <w:p w14:paraId="5CFE89F1" w14:textId="77777777" w:rsidR="0071336D" w:rsidRPr="0071336D" w:rsidRDefault="0071336D" w:rsidP="0071336D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71336D">
        <w:rPr>
          <w:rFonts w:ascii="Helvetica" w:hAnsi="Helvetica" w:cs="Helvetica"/>
          <w:color w:val="222222"/>
          <w:sz w:val="20"/>
          <w:szCs w:val="20"/>
          <w:lang w:eastAsia="en-AU"/>
        </w:rPr>
        <w:t>A probable case requires </w:t>
      </w:r>
      <w:r w:rsidRPr="0071336D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clinical evidence</w:t>
      </w:r>
      <w:r w:rsidRPr="0071336D">
        <w:rPr>
          <w:rFonts w:ascii="Helvetica" w:hAnsi="Helvetica" w:cs="Helvetica"/>
          <w:color w:val="222222"/>
          <w:sz w:val="20"/>
          <w:szCs w:val="20"/>
          <w:lang w:eastAsia="en-AU"/>
        </w:rPr>
        <w:t> only.</w:t>
      </w:r>
    </w:p>
    <w:p w14:paraId="2BFEC22A" w14:textId="77777777" w:rsidR="0071336D" w:rsidRPr="0071336D" w:rsidRDefault="0071336D" w:rsidP="0071336D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71336D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lastRenderedPageBreak/>
        <w:t>Note: </w:t>
      </w:r>
      <w:r w:rsidRPr="0071336D">
        <w:rPr>
          <w:rFonts w:ascii="Helvetica" w:hAnsi="Helvetica" w:cs="Helvetica"/>
          <w:color w:val="222222"/>
          <w:sz w:val="20"/>
          <w:szCs w:val="20"/>
          <w:lang w:eastAsia="en-AU"/>
        </w:rPr>
        <w:t>Laboratory confirmation should be strongly encouraged for vaccinated cases. If positive, samples should be referred for identification as a vaccine or wild type strain.</w:t>
      </w:r>
    </w:p>
    <w:p w14:paraId="3DCFAF61" w14:textId="2A4CB510" w:rsidR="009E0B84" w:rsidRDefault="009E0B84" w:rsidP="0071336D">
      <w:pPr>
        <w:pStyle w:val="Paragraphtext"/>
      </w:pPr>
    </w:p>
    <w:sectPr w:rsidR="009E0B84" w:rsidSect="00022629">
      <w:footerReference w:type="default" r:id="rId13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82108C" w14:textId="77777777" w:rsidR="0071336D" w:rsidRDefault="0071336D" w:rsidP="006B56BB">
      <w:r>
        <w:separator/>
      </w:r>
    </w:p>
    <w:p w14:paraId="27C1BD94" w14:textId="77777777" w:rsidR="0071336D" w:rsidRDefault="0071336D"/>
  </w:endnote>
  <w:endnote w:type="continuationSeparator" w:id="0">
    <w:p w14:paraId="6755581D" w14:textId="77777777" w:rsidR="0071336D" w:rsidRDefault="0071336D" w:rsidP="006B56BB">
      <w:r>
        <w:continuationSeparator/>
      </w:r>
    </w:p>
    <w:p w14:paraId="50224E6A" w14:textId="77777777" w:rsidR="0071336D" w:rsidRDefault="0071336D"/>
  </w:endnote>
  <w:endnote w:type="continuationNotice" w:id="1">
    <w:p w14:paraId="29DDA7A9" w14:textId="77777777" w:rsidR="0071336D" w:rsidRDefault="007133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F65E0" w14:textId="0E05884D" w:rsidR="00CD407A" w:rsidRDefault="0071336D" w:rsidP="0071336D">
    <w:pPr>
      <w:pStyle w:val="Footer"/>
      <w:jc w:val="right"/>
    </w:pPr>
    <w:r w:rsidRPr="0071336D">
      <w:t>Varicella zoster (chickenpox)</w:t>
    </w:r>
    <w:r w:rsidRPr="0071336D">
      <w:t xml:space="preserve"> </w:t>
    </w:r>
    <w:sdt>
      <w:sdtPr>
        <w:id w:val="-198246970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1DB81" w14:textId="77777777" w:rsidR="0071336D" w:rsidRDefault="0071336D" w:rsidP="006B56BB">
      <w:r>
        <w:separator/>
      </w:r>
    </w:p>
    <w:p w14:paraId="544EAAD2" w14:textId="77777777" w:rsidR="0071336D" w:rsidRDefault="0071336D"/>
  </w:footnote>
  <w:footnote w:type="continuationSeparator" w:id="0">
    <w:p w14:paraId="29B126C2" w14:textId="77777777" w:rsidR="0071336D" w:rsidRDefault="0071336D" w:rsidP="006B56BB">
      <w:r>
        <w:continuationSeparator/>
      </w:r>
    </w:p>
    <w:p w14:paraId="0C289D06" w14:textId="77777777" w:rsidR="0071336D" w:rsidRDefault="0071336D"/>
  </w:footnote>
  <w:footnote w:type="continuationNotice" w:id="1">
    <w:p w14:paraId="1D3FE83A" w14:textId="77777777" w:rsidR="0071336D" w:rsidRDefault="007133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4CD370C0"/>
    <w:multiLevelType w:val="hybridMultilevel"/>
    <w:tmpl w:val="7E6EB0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7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3"/>
  </w:num>
  <w:num w:numId="8">
    <w:abstractNumId w:val="1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18"/>
  </w:num>
  <w:num w:numId="17">
    <w:abstractNumId w:val="10"/>
  </w:num>
  <w:num w:numId="18">
    <w:abstractNumId w:val="11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6D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36D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113638"/>
  <w15:docId w15:val="{4F17D6B8-42A2-4FE4-86D0-F842130D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3Char">
    <w:name w:val="Heading 3 Char"/>
    <w:basedOn w:val="DefaultParagraphFont"/>
    <w:link w:val="Heading3"/>
    <w:uiPriority w:val="9"/>
    <w:rsid w:val="0071336D"/>
    <w:rPr>
      <w:rFonts w:ascii="Arial" w:hAnsi="Arial" w:cs="Arial"/>
      <w:bCs/>
      <w:color w:val="358189"/>
      <w:sz w:val="24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1336D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1.health.gov.au/internet/main/publishing.nsf/Content/cdna-casedef-chickenpox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dfsuserenv\Users\User_01\ARNOMA\Documents\Surveillance%20Case%20Definitions\CDNA%20surveillance%20case%20defini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Props1.xml><?xml version="1.0" encoding="utf-8"?>
<ds:datastoreItem xmlns:ds="http://schemas.openxmlformats.org/officeDocument/2006/customXml" ds:itemID="{B3525048-6949-4CAB-97AF-1C0C6A966CF2}"/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36487dd-ec90-4f99-8970-1318e5f29791"/>
    <ds:schemaRef ds:uri="http://purl.org/dc/elements/1.1/"/>
    <ds:schemaRef ds:uri="dcf7b372-aaaa-46d8-9da6-ade9aab953d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CDNA surveillance case definition template.dotx</Template>
  <TotalTime>4</TotalTime>
  <Pages>3</Pages>
  <Words>438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Surveillance case definition</vt:lpstr>
    </vt:vector>
  </TitlesOfParts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Varicella zoster (chickenpox) – Surveillance case definition</dc:title>
  <dc:creator>Communicable Diseases Network Australia</dc:creator>
  <cp:keywords>Communicable diseases</cp:keywords>
  <dcterms:created xsi:type="dcterms:W3CDTF">2022-06-08T02:53:00Z</dcterms:created>
  <dcterms:modified xsi:type="dcterms:W3CDTF">2022-06-08T02:57:00Z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0x010100BA217076F0871349BCBE5A6EC7EEC4B3</vt:lpwstr>
  </property>
</Properties>
</file>