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63C7" w:rsidP="6CCF24CD" w:rsidRDefault="000613F4" w14:paraId="36C1E0D1" w14:textId="0F29D9F2" w14:noSpellErr="1">
      <w:pPr>
        <w:pStyle w:val="Subtitle"/>
        <w:numPr>
          <w:numId w:val="0"/>
        </w:numPr>
        <w:rPr>
          <w:b w:val="1"/>
          <w:bCs w:val="1"/>
          <w:i w:val="1"/>
          <w:iCs w:val="1"/>
          <w:color w:val="auto"/>
          <w:spacing w:val="0"/>
          <w:kern w:val="28"/>
          <w:sz w:val="48"/>
          <w:szCs w:val="48"/>
        </w:rPr>
      </w:pPr>
      <w:r w:rsidRPr="6CCF24CD" w:rsidR="000613F4">
        <w:rPr>
          <w:b w:val="1"/>
          <w:bCs w:val="1"/>
          <w:i w:val="1"/>
          <w:iCs w:val="1"/>
          <w:color w:val="auto"/>
          <w:spacing w:val="0"/>
          <w:kern w:val="28"/>
          <w:sz w:val="48"/>
          <w:szCs w:val="48"/>
        </w:rPr>
        <w:t>Varicella zoster virus</w:t>
      </w:r>
    </w:p>
    <w:p w:rsidR="00177AD2" w:rsidP="009E0B84" w:rsidRDefault="009E0B84" w14:paraId="46DA8492" w14:textId="77777777">
      <w:pPr>
        <w:pStyle w:val="Subtitle"/>
      </w:pPr>
      <w:r>
        <w:t>Laboratory case definition</w:t>
      </w:r>
    </w:p>
    <w:p w:rsidR="009E0B84" w:rsidP="009E0B84" w:rsidRDefault="009E0B84" w14:paraId="481CBC4A" w14:textId="32013E2D" w14:noSpellErr="1">
      <w:pPr>
        <w:pStyle w:val="IntroPara"/>
      </w:pPr>
      <w:r w:rsidR="009E0B84">
        <w:rPr/>
        <w:t xml:space="preserve">The Public Health Laboratory Network </w:t>
      </w:r>
      <w:r w:rsidR="00CD407A">
        <w:rPr/>
        <w:t xml:space="preserve">(PHLN) </w:t>
      </w:r>
      <w:r w:rsidR="009E0B84">
        <w:rPr/>
        <w:t>ha</w:t>
      </w:r>
      <w:r w:rsidR="003100AE">
        <w:rPr/>
        <w:t>s</w:t>
      </w:r>
      <w:r w:rsidR="009E0B84">
        <w:rPr/>
        <w:t xml:space="preserve"> developed standard case definition</w:t>
      </w:r>
      <w:r w:rsidR="003100AE">
        <w:rPr/>
        <w:t>s</w:t>
      </w:r>
      <w:r w:rsidR="009E0B84">
        <w:rPr/>
        <w:t xml:space="preserve"> for the diagnosis of </w:t>
      </w:r>
      <w:r w:rsidR="00AA26D0">
        <w:rPr/>
        <w:t xml:space="preserve">key </w:t>
      </w:r>
      <w:r w:rsidR="009E0B84">
        <w:rPr/>
        <w:t xml:space="preserve">diseases in Australia. This document contains the laboratory case definition for </w:t>
      </w:r>
      <w:r w:rsidRPr="6CCF24CD" w:rsidR="000613F4">
        <w:rPr>
          <w:i w:val="1"/>
          <w:iCs w:val="1"/>
        </w:rPr>
        <w:t>v</w:t>
      </w:r>
      <w:r w:rsidRPr="6CCF24CD" w:rsidR="000613F4">
        <w:rPr>
          <w:i w:val="1"/>
          <w:iCs w:val="1"/>
        </w:rPr>
        <w:t>aricella zoster virus</w:t>
      </w:r>
      <w:r w:rsidRPr="6CCF24CD" w:rsidR="000613F4">
        <w:rPr>
          <w:i w:val="1"/>
          <w:iCs w:val="1"/>
        </w:rPr>
        <w:t>.</w:t>
      </w:r>
    </w:p>
    <w:p w:rsidRPr="009E0B84" w:rsidR="009E0B84" w:rsidP="009E0B84" w:rsidRDefault="009E0B84" w14:paraId="1B9102F7" w14:textId="77777777">
      <w:pPr>
        <w:spacing w:after="120"/>
      </w:pPr>
      <w:r w:rsidRPr="009E0B84">
        <w:rPr>
          <w:b/>
          <w:bCs/>
        </w:rPr>
        <w:t>Authorisation:</w:t>
      </w:r>
      <w:r w:rsidRPr="009E0B84">
        <w:t> </w:t>
      </w:r>
      <w:r w:rsidRPr="009E0B84">
        <w:tab/>
      </w:r>
      <w:r w:rsidRPr="009E0B84">
        <w:t>PHLN</w:t>
      </w:r>
    </w:p>
    <w:p w:rsidRPr="009E0B84" w:rsidR="009E0B84" w:rsidP="009E0B84" w:rsidRDefault="009E0B84" w14:paraId="11323271" w14:textId="77777777">
      <w:pPr>
        <w:pBdr>
          <w:bottom w:val="single" w:color="auto" w:sz="6" w:space="1"/>
        </w:pBdr>
      </w:pPr>
    </w:p>
    <w:p w:rsidR="009E0B84" w:rsidP="009E0B84" w:rsidRDefault="009E0B84" w14:paraId="4DC5DF8F" w14:textId="77777777">
      <w:pPr>
        <w:pStyle w:val="Paragraphtext"/>
      </w:pPr>
    </w:p>
    <w:p w:rsidRPr="000613F4" w:rsidR="000613F4" w:rsidP="000613F4" w:rsidRDefault="000613F4" w14:paraId="0BA83241" w14:textId="77777777">
      <w:pPr>
        <w:shd w:val="clear" w:color="auto" w:fill="FFFFFF"/>
        <w:spacing w:before="240" w:after="120"/>
        <w:outlineLvl w:val="1"/>
        <w:rPr>
          <w:rFonts w:ascii="Open Sans" w:hAnsi="Open Sans" w:cs="Open Sans"/>
          <w:color w:val="000000"/>
          <w:sz w:val="36"/>
          <w:szCs w:val="36"/>
          <w:lang w:eastAsia="en-AU"/>
        </w:rPr>
      </w:pPr>
      <w:r w:rsidRPr="000613F4">
        <w:rPr>
          <w:rFonts w:ascii="Open Sans" w:hAnsi="Open Sans" w:cs="Open Sans"/>
          <w:color w:val="000000"/>
          <w:sz w:val="36"/>
          <w:szCs w:val="36"/>
          <w:lang w:eastAsia="en-AU"/>
        </w:rPr>
        <w:t>1 PHLN summary laboratory definition</w:t>
      </w:r>
    </w:p>
    <w:p w:rsidRPr="000613F4" w:rsidR="000613F4" w:rsidP="000613F4" w:rsidRDefault="000613F4" w14:paraId="4E9CA85A" w14:textId="77777777">
      <w:pPr>
        <w:shd w:val="clear" w:color="auto" w:fill="FFFFFF"/>
        <w:spacing w:before="240" w:after="120"/>
        <w:outlineLvl w:val="2"/>
        <w:rPr>
          <w:rFonts w:ascii="Open Sans" w:hAnsi="Open Sans" w:cs="Open Sans"/>
          <w:color w:val="000000"/>
          <w:sz w:val="27"/>
          <w:szCs w:val="27"/>
          <w:lang w:eastAsia="en-AU"/>
        </w:rPr>
      </w:pPr>
      <w:r w:rsidRPr="000613F4">
        <w:rPr>
          <w:rFonts w:ascii="Open Sans" w:hAnsi="Open Sans" w:cs="Open Sans"/>
          <w:color w:val="000000"/>
          <w:sz w:val="27"/>
          <w:szCs w:val="27"/>
          <w:lang w:eastAsia="en-AU"/>
        </w:rPr>
        <w:t>1.1 Condition:</w:t>
      </w:r>
    </w:p>
    <w:p w:rsidRPr="000613F4" w:rsidR="000613F4" w:rsidP="6CCF24CD" w:rsidRDefault="000613F4" w14:paraId="6AF35C22" w14:textId="77777777" w14:noSpellErr="1">
      <w:pPr>
        <w:shd w:val="clear" w:color="auto" w:fill="FFFFFF" w:themeFill="background1"/>
        <w:spacing w:after="240" w:line="300" w:lineRule="atLeast"/>
        <w:rPr>
          <w:rFonts w:ascii="Helvetica" w:hAnsi="Helvetica" w:cs="Helvetica"/>
          <w:i w:val="0"/>
          <w:iCs w:val="0"/>
          <w:color w:val="222222"/>
          <w:sz w:val="20"/>
          <w:szCs w:val="20"/>
          <w:lang w:eastAsia="en-AU"/>
        </w:rPr>
      </w:pPr>
      <w:r w:rsidRPr="6CCF24CD" w:rsidR="000613F4">
        <w:rPr>
          <w:rFonts w:ascii="Helvetica" w:hAnsi="Helvetica" w:cs="Helvetica"/>
          <w:i w:val="0"/>
          <w:iCs w:val="0"/>
          <w:color w:val="222222"/>
          <w:sz w:val="20"/>
          <w:szCs w:val="20"/>
          <w:lang w:eastAsia="en-AU"/>
        </w:rPr>
        <w:t xml:space="preserve">Varicella </w:t>
      </w:r>
      <w:r w:rsidRPr="6CCF24CD" w:rsidR="000613F4">
        <w:rPr>
          <w:rFonts w:ascii="Helvetica" w:hAnsi="Helvetica" w:cs="Helvetica"/>
          <w:i w:val="0"/>
          <w:iCs w:val="0"/>
          <w:color w:val="222222"/>
          <w:sz w:val="20"/>
          <w:szCs w:val="20"/>
          <w:lang w:eastAsia="en-AU"/>
        </w:rPr>
        <w:t xml:space="preserve">(chicken pox); </w:t>
      </w:r>
      <w:r w:rsidRPr="6CCF24CD" w:rsidR="000613F4">
        <w:rPr>
          <w:rFonts w:ascii="Helvetica" w:hAnsi="Helvetica" w:cs="Helvetica"/>
          <w:i w:val="0"/>
          <w:iCs w:val="0"/>
          <w:color w:val="222222"/>
          <w:sz w:val="20"/>
          <w:szCs w:val="20"/>
          <w:lang w:eastAsia="en-AU"/>
        </w:rPr>
        <w:t xml:space="preserve">herpes zoster </w:t>
      </w:r>
      <w:r w:rsidRPr="6CCF24CD" w:rsidR="000613F4">
        <w:rPr>
          <w:rFonts w:ascii="Helvetica" w:hAnsi="Helvetica" w:cs="Helvetica"/>
          <w:i w:val="0"/>
          <w:iCs w:val="0"/>
          <w:color w:val="222222"/>
          <w:sz w:val="20"/>
          <w:szCs w:val="20"/>
          <w:lang w:eastAsia="en-AU"/>
        </w:rPr>
        <w:t>(shingles)</w:t>
      </w:r>
    </w:p>
    <w:p w:rsidRPr="000613F4" w:rsidR="000613F4" w:rsidP="000613F4" w:rsidRDefault="000613F4" w14:paraId="15228395" w14:textId="77777777">
      <w:pPr>
        <w:shd w:val="clear" w:color="auto" w:fill="FFFFFF"/>
        <w:spacing w:after="120"/>
        <w:outlineLvl w:val="3"/>
        <w:rPr>
          <w:rFonts w:ascii="Open Sans" w:hAnsi="Open Sans" w:cs="Open Sans"/>
          <w:color w:val="000000"/>
          <w:sz w:val="24"/>
          <w:lang w:eastAsia="en-AU"/>
        </w:rPr>
      </w:pPr>
      <w:r w:rsidRPr="000613F4">
        <w:rPr>
          <w:rFonts w:ascii="Open Sans" w:hAnsi="Open Sans" w:cs="Open Sans"/>
          <w:color w:val="000000"/>
          <w:sz w:val="24"/>
          <w:lang w:eastAsia="en-AU"/>
        </w:rPr>
        <w:t>1.1.1 Definitive Criteria</w:t>
      </w:r>
    </w:p>
    <w:p w:rsidRPr="000613F4" w:rsidR="000613F4" w:rsidP="6CCF24CD" w:rsidRDefault="000613F4" w14:paraId="681EAF16" w14:textId="77777777" w14:noSpellErr="1">
      <w:pPr>
        <w:shd w:val="clear" w:color="auto" w:fill="FFFFFF" w:themeFill="background1"/>
        <w:spacing w:after="240" w:line="300" w:lineRule="atLeast"/>
        <w:rPr>
          <w:rFonts w:ascii="Helvetica" w:hAnsi="Helvetica" w:cs="Helvetica"/>
          <w:color w:val="222222"/>
          <w:sz w:val="20"/>
          <w:szCs w:val="20"/>
          <w:lang w:eastAsia="en-AU"/>
        </w:rPr>
      </w:pPr>
      <w:r w:rsidRPr="6CCF24CD" w:rsidR="000613F4">
        <w:rPr>
          <w:rFonts w:ascii="Helvetica" w:hAnsi="Helvetica" w:cs="Helvetica"/>
          <w:i w:val="1"/>
          <w:iCs w:val="1"/>
          <w:color w:val="222222"/>
          <w:sz w:val="20"/>
          <w:szCs w:val="20"/>
          <w:lang w:eastAsia="en-AU"/>
        </w:rPr>
        <w:t xml:space="preserve">Varicella zoster virus </w:t>
      </w:r>
      <w:r w:rsidRPr="6CCF24CD" w:rsidR="000613F4">
        <w:rPr>
          <w:rFonts w:ascii="Helvetica" w:hAnsi="Helvetica" w:cs="Helvetica"/>
          <w:color w:val="222222"/>
          <w:sz w:val="20"/>
          <w:szCs w:val="20"/>
          <w:lang w:eastAsia="en-AU"/>
        </w:rPr>
        <w:t>(VZV) infections (chickenpox, herpes zoster) have characteristic clinical presentations and are usually diagnosed clinically. However, laboratory diagnosis is recommended when the clinical picture is atypical or complicated. Diagnostic methods used in the laboratory include:</w:t>
      </w:r>
    </w:p>
    <w:p w:rsidRPr="000613F4" w:rsidR="000613F4" w:rsidP="000613F4" w:rsidRDefault="000613F4" w14:paraId="7C2FD587" w14:textId="77777777">
      <w:pPr>
        <w:numPr>
          <w:ilvl w:val="0"/>
          <w:numId w:val="20"/>
        </w:numPr>
        <w:shd w:val="clear" w:color="auto" w:fill="FFFFFF"/>
        <w:spacing w:after="9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Detection of VZV by nucleic acid amplification testing (NAAT), or direct immunofluorescence assay (DFA); or</w:t>
      </w:r>
    </w:p>
    <w:p w:rsidRPr="000613F4" w:rsidR="000613F4" w:rsidP="000613F4" w:rsidRDefault="000613F4" w14:paraId="521F8385" w14:textId="77777777">
      <w:pPr>
        <w:numPr>
          <w:ilvl w:val="0"/>
          <w:numId w:val="20"/>
        </w:numPr>
        <w:shd w:val="clear" w:color="auto" w:fill="FFFFFF"/>
        <w:spacing w:after="9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Seroconversion with VZV-specific IgG antibody; or</w:t>
      </w:r>
    </w:p>
    <w:p w:rsidRPr="000613F4" w:rsidR="000613F4" w:rsidP="000613F4" w:rsidRDefault="000613F4" w14:paraId="1E055950" w14:textId="77777777">
      <w:pPr>
        <w:numPr>
          <w:ilvl w:val="0"/>
          <w:numId w:val="20"/>
        </w:numPr>
        <w:shd w:val="clear" w:color="auto" w:fill="FFFFFF"/>
        <w:spacing w:after="9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Isolation of VZV by cell culture, now rarely performed</w:t>
      </w:r>
    </w:p>
    <w:p w:rsidRPr="000613F4" w:rsidR="000613F4" w:rsidP="000613F4" w:rsidRDefault="000613F4" w14:paraId="4E401D4A" w14:textId="77777777">
      <w:pPr>
        <w:shd w:val="clear" w:color="auto" w:fill="FFFFFF"/>
        <w:spacing w:before="240" w:after="24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VZV NAAT, DFA and/or cell culture are also unable to differentiate varicella from herpes zoster, which requires either clinical correlation and/or antibody testing.</w:t>
      </w:r>
    </w:p>
    <w:p w:rsidRPr="000613F4" w:rsidR="000613F4" w:rsidP="000613F4" w:rsidRDefault="000613F4" w14:paraId="0CB087D0" w14:textId="77777777">
      <w:pPr>
        <w:shd w:val="clear" w:color="auto" w:fill="FFFFFF"/>
        <w:spacing w:after="120"/>
        <w:outlineLvl w:val="3"/>
        <w:rPr>
          <w:rFonts w:ascii="Open Sans" w:hAnsi="Open Sans" w:cs="Open Sans"/>
          <w:color w:val="000000"/>
          <w:sz w:val="24"/>
          <w:lang w:eastAsia="en-AU"/>
        </w:rPr>
      </w:pPr>
      <w:r w:rsidRPr="000613F4">
        <w:rPr>
          <w:rFonts w:ascii="Open Sans" w:hAnsi="Open Sans" w:cs="Open Sans"/>
          <w:color w:val="000000"/>
          <w:sz w:val="24"/>
          <w:lang w:eastAsia="en-AU"/>
        </w:rPr>
        <w:t>1.1.2 Suggestive Criteria</w:t>
      </w:r>
    </w:p>
    <w:p w:rsidRPr="000613F4" w:rsidR="000613F4" w:rsidP="000613F4" w:rsidRDefault="000613F4" w14:paraId="6B56E790" w14:textId="77777777">
      <w:pPr>
        <w:numPr>
          <w:ilvl w:val="0"/>
          <w:numId w:val="21"/>
        </w:numPr>
        <w:shd w:val="clear" w:color="auto" w:fill="FFFFFF"/>
        <w:spacing w:after="9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Detection of VZV specific IgM antibody by enzyme immunoassay, or another validated serological assay.</w:t>
      </w:r>
    </w:p>
    <w:p w:rsidRPr="000613F4" w:rsidR="000613F4" w:rsidP="000613F4" w:rsidRDefault="000613F4" w14:paraId="7FFE7792" w14:textId="77777777">
      <w:pPr>
        <w:keepNext/>
        <w:shd w:val="clear" w:color="auto" w:fill="FFFFFF"/>
        <w:spacing w:after="120"/>
        <w:outlineLvl w:val="3"/>
        <w:rPr>
          <w:rFonts w:ascii="Open Sans" w:hAnsi="Open Sans" w:cs="Open Sans"/>
          <w:color w:val="000000"/>
          <w:sz w:val="24"/>
          <w:lang w:eastAsia="en-AU"/>
        </w:rPr>
      </w:pPr>
      <w:r w:rsidRPr="000613F4">
        <w:rPr>
          <w:rFonts w:ascii="Open Sans" w:hAnsi="Open Sans" w:cs="Open Sans"/>
          <w:color w:val="000000"/>
          <w:sz w:val="24"/>
          <w:lang w:eastAsia="en-AU"/>
        </w:rPr>
        <w:lastRenderedPageBreak/>
        <w:t>1.1.3 Special Considerations / Guide for Use</w:t>
      </w:r>
    </w:p>
    <w:p w:rsidRPr="000613F4" w:rsidR="000613F4" w:rsidP="000613F4" w:rsidRDefault="000613F4" w14:paraId="603E0A68" w14:textId="77777777">
      <w:pPr>
        <w:shd w:val="clear" w:color="auto" w:fill="FFFFFF"/>
        <w:spacing w:after="24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 xml:space="preserve">Laboratory confirmation is useful for atypical presentations of VZV, particularly in vaccinated and immunocompromised persons, and to distinguish between herpes simplex virus (HSV) and VZV infection in situations where cutaneous rashes may resemble one another, such as genital HSV and zoster in the </w:t>
      </w:r>
      <w:proofErr w:type="spellStart"/>
      <w:r w:rsidRPr="000613F4">
        <w:rPr>
          <w:rFonts w:ascii="Helvetica" w:hAnsi="Helvetica" w:cs="Helvetica"/>
          <w:color w:val="222222"/>
          <w:sz w:val="20"/>
          <w:szCs w:val="20"/>
          <w:lang w:eastAsia="en-AU"/>
        </w:rPr>
        <w:t>ano</w:t>
      </w:r>
      <w:proofErr w:type="spellEnd"/>
      <w:r w:rsidRPr="000613F4">
        <w:rPr>
          <w:rFonts w:ascii="Helvetica" w:hAnsi="Helvetica" w:cs="Helvetica"/>
          <w:color w:val="222222"/>
          <w:sz w:val="20"/>
          <w:szCs w:val="20"/>
          <w:lang w:eastAsia="en-AU"/>
        </w:rPr>
        <w:t>-genital area. Direct antigen detection may be performed when there is cutaneous manifestation of disease, and where fluid and/or scrapings from the base of fresh vesicles are obtained for testing. The diagnosis of zoster </w:t>
      </w:r>
      <w:r w:rsidRPr="000613F4">
        <w:rPr>
          <w:rFonts w:ascii="Helvetica" w:hAnsi="Helvetica" w:cs="Helvetica"/>
          <w:i/>
          <w:iCs/>
          <w:color w:val="222222"/>
          <w:sz w:val="20"/>
          <w:szCs w:val="20"/>
          <w:lang w:eastAsia="en-AU"/>
        </w:rPr>
        <w:t>sine herpete</w:t>
      </w:r>
      <w:r w:rsidRPr="000613F4">
        <w:rPr>
          <w:rFonts w:ascii="Helvetica" w:hAnsi="Helvetica" w:cs="Helvetica"/>
          <w:color w:val="222222"/>
          <w:sz w:val="20"/>
          <w:szCs w:val="20"/>
          <w:lang w:eastAsia="en-AU"/>
        </w:rPr>
        <w:t> (zoster in the absence of rash), which may occur in immunocompromised persons, is more challenging as infection may be difficult to confirm in the laboratory.</w:t>
      </w:r>
    </w:p>
    <w:p w:rsidRPr="000613F4" w:rsidR="000613F4" w:rsidP="000613F4" w:rsidRDefault="000613F4" w14:paraId="4722270D" w14:textId="77777777">
      <w:pPr>
        <w:shd w:val="clear" w:color="auto" w:fill="FFFFFF"/>
        <w:spacing w:after="120"/>
        <w:outlineLvl w:val="1"/>
        <w:rPr>
          <w:rFonts w:ascii="Open Sans" w:hAnsi="Open Sans" w:cs="Open Sans"/>
          <w:color w:val="000000"/>
          <w:sz w:val="36"/>
          <w:szCs w:val="36"/>
          <w:lang w:eastAsia="en-AU"/>
        </w:rPr>
      </w:pPr>
      <w:r w:rsidRPr="000613F4">
        <w:rPr>
          <w:rFonts w:ascii="Open Sans" w:hAnsi="Open Sans" w:cs="Open Sans"/>
          <w:color w:val="000000"/>
          <w:sz w:val="36"/>
          <w:szCs w:val="36"/>
          <w:lang w:eastAsia="en-AU"/>
        </w:rPr>
        <w:t>2 Introduction</w:t>
      </w:r>
    </w:p>
    <w:p w:rsidRPr="000613F4" w:rsidR="000613F4" w:rsidP="6CCF24CD" w:rsidRDefault="000613F4" w14:paraId="0440ED73" w14:textId="77777777" w14:noSpellErr="1">
      <w:pPr>
        <w:shd w:val="clear" w:color="auto" w:fill="FFFFFF" w:themeFill="background1"/>
        <w:spacing w:after="240" w:line="300" w:lineRule="atLeast"/>
        <w:rPr>
          <w:rFonts w:ascii="Helvetica" w:hAnsi="Helvetica" w:cs="Helvetica"/>
          <w:color w:val="222222"/>
          <w:sz w:val="20"/>
          <w:szCs w:val="20"/>
          <w:lang w:eastAsia="en-AU"/>
        </w:rPr>
      </w:pPr>
      <w:r w:rsidRPr="6CCF24CD" w:rsidR="000613F4">
        <w:rPr>
          <w:rFonts w:ascii="Helvetica" w:hAnsi="Helvetica" w:cs="Helvetica"/>
          <w:i w:val="1"/>
          <w:iCs w:val="1"/>
          <w:color w:val="222222"/>
          <w:sz w:val="20"/>
          <w:szCs w:val="20"/>
          <w:lang w:eastAsia="en-AU"/>
        </w:rPr>
        <w:t xml:space="preserve">Varicella zoster virus </w:t>
      </w:r>
      <w:r w:rsidRPr="6CCF24CD" w:rsidR="000613F4">
        <w:rPr>
          <w:rFonts w:ascii="Helvetica" w:hAnsi="Helvetica" w:cs="Helvetica"/>
          <w:color w:val="222222"/>
          <w:sz w:val="20"/>
          <w:szCs w:val="20"/>
          <w:lang w:eastAsia="en-AU"/>
        </w:rPr>
        <w:t xml:space="preserve">(VZV), also known as human herpes virus 3 (HHV-3), is a highly communicable </w:t>
      </w:r>
      <w:r w:rsidRPr="6CCF24CD" w:rsidR="000613F4">
        <w:rPr>
          <w:rFonts w:ascii="Helvetica" w:hAnsi="Helvetica" w:cs="Helvetica"/>
          <w:i w:val="1"/>
          <w:iCs w:val="1"/>
          <w:color w:val="222222"/>
          <w:sz w:val="20"/>
          <w:szCs w:val="20"/>
          <w:lang w:eastAsia="en-AU"/>
        </w:rPr>
        <w:t>alpha-herpesvirus</w:t>
      </w:r>
      <w:r w:rsidRPr="6CCF24CD" w:rsidR="000613F4">
        <w:rPr>
          <w:rFonts w:ascii="Helvetica" w:hAnsi="Helvetica" w:cs="Helvetica"/>
          <w:color w:val="222222"/>
          <w:sz w:val="20"/>
          <w:szCs w:val="20"/>
          <w:lang w:eastAsia="en-AU"/>
        </w:rPr>
        <w:t>, which causes varicella (chickenpox) and herpes zoster (shingles). It has a double-stranded DNA genome approximately 125Kb in length, within a 100nm icosahedral nucleocapsid surrounded by a lipid envelope, giving a total virion size of approximately 150-200nm.</w:t>
      </w:r>
    </w:p>
    <w:p w:rsidRPr="000613F4" w:rsidR="000613F4" w:rsidP="6CCF24CD" w:rsidRDefault="000613F4" w14:paraId="49E21271" w14:textId="77777777" w14:noSpellErr="1">
      <w:pPr>
        <w:shd w:val="clear" w:color="auto" w:fill="FFFFFF" w:themeFill="background1"/>
        <w:spacing w:after="240" w:line="300" w:lineRule="atLeast"/>
        <w:rPr>
          <w:rFonts w:ascii="Helvetica" w:hAnsi="Helvetica" w:cs="Helvetica"/>
          <w:color w:val="222222"/>
          <w:sz w:val="20"/>
          <w:szCs w:val="20"/>
          <w:lang w:eastAsia="en-AU"/>
        </w:rPr>
      </w:pPr>
      <w:r w:rsidRPr="6CCF24CD" w:rsidR="000613F4">
        <w:rPr>
          <w:rFonts w:ascii="Helvetica" w:hAnsi="Helvetica" w:cs="Helvetica"/>
          <w:i w:val="1"/>
          <w:iCs w:val="1"/>
          <w:color w:val="222222"/>
          <w:sz w:val="20"/>
          <w:szCs w:val="20"/>
          <w:lang w:eastAsia="en-AU"/>
        </w:rPr>
        <w:t xml:space="preserve">Varicella </w:t>
      </w:r>
      <w:r w:rsidRPr="6CCF24CD" w:rsidR="000613F4">
        <w:rPr>
          <w:rFonts w:ascii="Helvetica" w:hAnsi="Helvetica" w:cs="Helvetica"/>
          <w:color w:val="222222"/>
          <w:sz w:val="20"/>
          <w:szCs w:val="20"/>
          <w:lang w:eastAsia="en-AU"/>
        </w:rPr>
        <w:t xml:space="preserve">is a common, and usually self-limited childhood disease causing fever and a generalised pruritic vesicular rash after which VZV establishes life-long latency in the dorsal root ganglia of the spinal cord. Unvaccinated children usually acquire </w:t>
      </w:r>
      <w:r w:rsidRPr="6CCF24CD" w:rsidR="000613F4">
        <w:rPr>
          <w:rFonts w:ascii="Helvetica" w:hAnsi="Helvetica" w:cs="Helvetica"/>
          <w:i w:val="1"/>
          <w:iCs w:val="1"/>
          <w:color w:val="222222"/>
          <w:sz w:val="20"/>
          <w:szCs w:val="20"/>
          <w:lang w:eastAsia="en-AU"/>
        </w:rPr>
        <w:t xml:space="preserve">varicella </w:t>
      </w:r>
      <w:r w:rsidRPr="6CCF24CD" w:rsidR="000613F4">
        <w:rPr>
          <w:rFonts w:ascii="Helvetica" w:hAnsi="Helvetica" w:cs="Helvetica"/>
          <w:color w:val="222222"/>
          <w:sz w:val="20"/>
          <w:szCs w:val="20"/>
          <w:lang w:eastAsia="en-AU"/>
        </w:rPr>
        <w:t>between five to 10 years of age, with the highest rates of hospitalisation occurring in children under the age of four. VZV has a worldwide geographic distribution, but infection is more prevalent in temperate climates with a strong seasonality, occurring most often during late winter and spring</w:t>
      </w:r>
      <w:hyperlink w:anchor="ref01" r:id="Rbca5e8ab4231425c">
        <w:r w:rsidRPr="6CCF24CD" w:rsidR="000613F4">
          <w:rPr>
            <w:rFonts w:ascii="Helvetica" w:hAnsi="Helvetica" w:cs="Helvetica"/>
            <w:color w:val="1157AD"/>
            <w:sz w:val="15"/>
            <w:szCs w:val="15"/>
            <w:u w:val="single"/>
            <w:vertAlign w:val="superscript"/>
            <w:lang w:eastAsia="en-AU"/>
          </w:rPr>
          <w:t>1</w:t>
        </w:r>
      </w:hyperlink>
      <w:r w:rsidRPr="6CCF24CD" w:rsidR="000613F4">
        <w:rPr>
          <w:rFonts w:ascii="Helvetica" w:hAnsi="Helvetica" w:cs="Helvetica"/>
          <w:color w:val="222222"/>
          <w:sz w:val="20"/>
          <w:szCs w:val="20"/>
          <w:lang w:eastAsia="en-AU"/>
        </w:rPr>
        <w:t>. VZV is one of the most contagious infectious diseases, with a Ro (reproductive number) between 3.7 – 5.0. It is spread by inhalation of respiratory aerosols, and to a much lesser extent aerosolised virus particles from vesicular skin lesions. After an incubation period of approximately two weeks, a characteristic cropping vesicular rash moves from the scalp and trunk to the periphery accompanied by mild fever. Lesions evolve from vesicles and begin to crust over within eight to 12 hours.</w:t>
      </w:r>
    </w:p>
    <w:p w:rsidRPr="000613F4" w:rsidR="000613F4" w:rsidP="000613F4" w:rsidRDefault="000613F4" w14:paraId="00EA65B3" w14:textId="77777777">
      <w:pPr>
        <w:shd w:val="clear" w:color="auto" w:fill="FFFFFF"/>
        <w:spacing w:after="24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 xml:space="preserve">Complications include skin infection, benign cerebral ataxia in children, post infections encephalitis in adults, and pneumonitis. Immunocompromised persons, neonates, </w:t>
      </w:r>
      <w:proofErr w:type="gramStart"/>
      <w:r w:rsidRPr="000613F4">
        <w:rPr>
          <w:rFonts w:ascii="Helvetica" w:hAnsi="Helvetica" w:cs="Helvetica"/>
          <w:color w:val="222222"/>
          <w:sz w:val="20"/>
          <w:szCs w:val="20"/>
          <w:lang w:eastAsia="en-AU"/>
        </w:rPr>
        <w:t>adults</w:t>
      </w:r>
      <w:proofErr w:type="gramEnd"/>
      <w:r w:rsidRPr="000613F4">
        <w:rPr>
          <w:rFonts w:ascii="Helvetica" w:hAnsi="Helvetica" w:cs="Helvetica"/>
          <w:color w:val="222222"/>
          <w:sz w:val="20"/>
          <w:szCs w:val="20"/>
          <w:lang w:eastAsia="en-AU"/>
        </w:rPr>
        <w:t xml:space="preserve"> and pregnant women may be at increased risk of severe disease. Neonates </w:t>
      </w:r>
      <w:proofErr w:type="gramStart"/>
      <w:r w:rsidRPr="000613F4">
        <w:rPr>
          <w:rFonts w:ascii="Helvetica" w:hAnsi="Helvetica" w:cs="Helvetica"/>
          <w:color w:val="222222"/>
          <w:sz w:val="20"/>
          <w:szCs w:val="20"/>
          <w:lang w:eastAsia="en-AU"/>
        </w:rPr>
        <w:t>in particular are</w:t>
      </w:r>
      <w:proofErr w:type="gramEnd"/>
      <w:r w:rsidRPr="000613F4">
        <w:rPr>
          <w:rFonts w:ascii="Helvetica" w:hAnsi="Helvetica" w:cs="Helvetica"/>
          <w:color w:val="222222"/>
          <w:sz w:val="20"/>
          <w:szCs w:val="20"/>
          <w:lang w:eastAsia="en-AU"/>
        </w:rPr>
        <w:t xml:space="preserve"> at increased risk if primary maternal infection occurs four days before to 48 hours after birth, due to potential exposure to viraemia prior to development of maternal antibody.</w:t>
      </w:r>
    </w:p>
    <w:p w:rsidRPr="000613F4" w:rsidR="000613F4" w:rsidP="000613F4" w:rsidRDefault="000613F4" w14:paraId="3B4C460A" w14:textId="77777777">
      <w:pPr>
        <w:shd w:val="clear" w:color="auto" w:fill="FFFFFF"/>
        <w:spacing w:after="24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 xml:space="preserve">Herpes zoster (HZ) occurs from the reactivation of latent VZV, with a lifetime risk of reactivation of approximately 50%. HZ causes a localised, painful, vesicular rash involving one or more adjacent dermatomes, most commonly one or more adjacent unilateral thoracic dermatomes. Disseminated disease may occur in immunocompromised hosts with the rash involving multiple non-contiguous dermatomes, central nervous and pulmonary systems. HZ is typically preceded by a </w:t>
      </w:r>
      <w:proofErr w:type="gramStart"/>
      <w:r w:rsidRPr="000613F4">
        <w:rPr>
          <w:rFonts w:ascii="Helvetica" w:hAnsi="Helvetica" w:cs="Helvetica"/>
          <w:color w:val="222222"/>
          <w:sz w:val="20"/>
          <w:szCs w:val="20"/>
          <w:lang w:eastAsia="en-AU"/>
        </w:rPr>
        <w:t>one to four day</w:t>
      </w:r>
      <w:proofErr w:type="gramEnd"/>
      <w:r w:rsidRPr="000613F4">
        <w:rPr>
          <w:rFonts w:ascii="Helvetica" w:hAnsi="Helvetica" w:cs="Helvetica"/>
          <w:color w:val="222222"/>
          <w:sz w:val="20"/>
          <w:szCs w:val="20"/>
          <w:lang w:eastAsia="en-AU"/>
        </w:rPr>
        <w:t xml:space="preserve"> prodrome of pain and paraesthesia in the affected dermatome(s). HZ is uncommon before the age of 12 years, and most cases occur in persons over the age of 40. The incidence of herpes zoster increases with </w:t>
      </w:r>
      <w:proofErr w:type="gramStart"/>
      <w:r w:rsidRPr="000613F4">
        <w:rPr>
          <w:rFonts w:ascii="Helvetica" w:hAnsi="Helvetica" w:cs="Helvetica"/>
          <w:color w:val="222222"/>
          <w:sz w:val="20"/>
          <w:szCs w:val="20"/>
          <w:lang w:eastAsia="en-AU"/>
        </w:rPr>
        <w:t>age, and</w:t>
      </w:r>
      <w:proofErr w:type="gramEnd"/>
      <w:r w:rsidRPr="000613F4">
        <w:rPr>
          <w:rFonts w:ascii="Helvetica" w:hAnsi="Helvetica" w:cs="Helvetica"/>
          <w:color w:val="222222"/>
          <w:sz w:val="20"/>
          <w:szCs w:val="20"/>
          <w:lang w:eastAsia="en-AU"/>
        </w:rPr>
        <w:t xml:space="preserve"> is increased in immunocompromised persons.</w:t>
      </w:r>
    </w:p>
    <w:p w:rsidRPr="000613F4" w:rsidR="000613F4" w:rsidP="000613F4" w:rsidRDefault="000613F4" w14:paraId="2941A86A" w14:textId="2124A579">
      <w:pPr>
        <w:shd w:val="clear" w:color="auto" w:fill="FFFFFF"/>
        <w:spacing w:after="24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 xml:space="preserve">Post herpetic neuralgia occurs in up to 50% of persons following HZ, characterised by persistent severe pain in the affected dermatome(s). Other central nervous system (CNS) complications include </w:t>
      </w:r>
      <w:r w:rsidRPr="000613F4">
        <w:rPr>
          <w:rFonts w:ascii="Helvetica" w:hAnsi="Helvetica" w:cs="Helvetica"/>
          <w:color w:val="222222"/>
          <w:sz w:val="20"/>
          <w:szCs w:val="20"/>
          <w:lang w:eastAsia="en-AU"/>
        </w:rPr>
        <w:lastRenderedPageBreak/>
        <w:t xml:space="preserve">meningitis, encephalitis, and post-infectious strokes from granulomatous angiitis. Herpes zoster </w:t>
      </w:r>
      <w:proofErr w:type="spellStart"/>
      <w:r w:rsidRPr="000613F4">
        <w:rPr>
          <w:rFonts w:ascii="Helvetica" w:hAnsi="Helvetica" w:cs="Helvetica"/>
          <w:color w:val="222222"/>
          <w:sz w:val="20"/>
          <w:szCs w:val="20"/>
          <w:lang w:eastAsia="en-AU"/>
        </w:rPr>
        <w:t>ophthalmicus</w:t>
      </w:r>
      <w:proofErr w:type="spellEnd"/>
      <w:r w:rsidRPr="000613F4">
        <w:rPr>
          <w:rFonts w:ascii="Helvetica" w:hAnsi="Helvetica" w:cs="Helvetica"/>
          <w:color w:val="222222"/>
          <w:sz w:val="20"/>
          <w:szCs w:val="20"/>
          <w:lang w:eastAsia="en-AU"/>
        </w:rPr>
        <w:t xml:space="preserve"> may occur with infection of the ophthalmic division of the trigeminal nerve.</w:t>
      </w:r>
    </w:p>
    <w:p w:rsidRPr="000613F4" w:rsidR="000613F4" w:rsidP="000613F4" w:rsidRDefault="000613F4" w14:paraId="56E6ACAB" w14:textId="77777777">
      <w:pPr>
        <w:shd w:val="clear" w:color="auto" w:fill="FFFFFF"/>
        <w:spacing w:before="240" w:after="24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 xml:space="preserve">Maternal varicella during the first and second trimesters of pregnancy may result in congenital infection among a minority of offspring. Congenital varicella syndrome, which is characterised by cicatricial skin lesions, limb deformities, a variety of ocular abnormalities, and CNS disease appears to occur in less than 5% of infants from varicella-infected pregnancies. If there is significant exposure to VZV during pregnancy in a woman with no history, or an uncertain </w:t>
      </w:r>
      <w:proofErr w:type="gramStart"/>
      <w:r w:rsidRPr="000613F4">
        <w:rPr>
          <w:rFonts w:ascii="Helvetica" w:hAnsi="Helvetica" w:cs="Helvetica"/>
          <w:color w:val="222222"/>
          <w:sz w:val="20"/>
          <w:szCs w:val="20"/>
          <w:lang w:eastAsia="en-AU"/>
        </w:rPr>
        <w:t>past history</w:t>
      </w:r>
      <w:proofErr w:type="gramEnd"/>
      <w:r w:rsidRPr="000613F4">
        <w:rPr>
          <w:rFonts w:ascii="Helvetica" w:hAnsi="Helvetica" w:cs="Helvetica"/>
          <w:color w:val="222222"/>
          <w:sz w:val="20"/>
          <w:szCs w:val="20"/>
          <w:lang w:eastAsia="en-AU"/>
        </w:rPr>
        <w:t xml:space="preserve"> of varicella or VZV vaccination, then serology for VZV IgG should be performed urgently. Pregnant women who are seronegative should be assessed for passive immunisation with VZV immunoglobulin (ZIG), or for therapy with oral acyclovir, depending on the time that has elapsed since significant exposure. VZV vaccine is not recommended during pregnancy.</w:t>
      </w:r>
    </w:p>
    <w:p w:rsidRPr="000613F4" w:rsidR="000613F4" w:rsidP="6CCF24CD" w:rsidRDefault="000613F4" w14:paraId="6A7B04DE" w14:textId="77777777">
      <w:pPr>
        <w:shd w:val="clear" w:color="auto" w:fill="FFFFFF" w:themeFill="background1"/>
        <w:spacing w:after="240" w:line="300" w:lineRule="atLeast"/>
        <w:rPr>
          <w:rFonts w:ascii="Helvetica" w:hAnsi="Helvetica" w:cs="Helvetica"/>
          <w:color w:val="222222"/>
          <w:sz w:val="20"/>
          <w:szCs w:val="20"/>
          <w:lang w:eastAsia="en-AU"/>
        </w:rPr>
      </w:pPr>
      <w:r w:rsidRPr="6CCF24CD" w:rsidR="000613F4">
        <w:rPr>
          <w:rFonts w:ascii="Helvetica" w:hAnsi="Helvetica" w:cs="Helvetica"/>
          <w:color w:val="222222"/>
          <w:sz w:val="20"/>
          <w:szCs w:val="20"/>
          <w:lang w:eastAsia="en-AU"/>
        </w:rPr>
        <w:t>Varicella-containing vaccine is recommended for children aged 12 months to &lt;14 years (one but preferably two doses) and for all non-immune adolescents ≥14 years of age and adults (two doses)</w:t>
      </w:r>
      <w:hyperlink w:anchor="ref02" r:id="Rf351869ca1584329">
        <w:r w:rsidRPr="6CCF24CD" w:rsidR="000613F4">
          <w:rPr>
            <w:rFonts w:ascii="Helvetica" w:hAnsi="Helvetica" w:cs="Helvetica"/>
            <w:color w:val="1157AD"/>
            <w:sz w:val="15"/>
            <w:szCs w:val="15"/>
            <w:u w:val="single"/>
            <w:vertAlign w:val="superscript"/>
            <w:lang w:eastAsia="en-AU"/>
          </w:rPr>
          <w:t>2</w:t>
        </w:r>
      </w:hyperlink>
      <w:r w:rsidRPr="6CCF24CD" w:rsidR="000613F4">
        <w:rPr>
          <w:rFonts w:ascii="Helvetica" w:hAnsi="Helvetica" w:cs="Helvetica"/>
          <w:color w:val="222222"/>
          <w:sz w:val="20"/>
          <w:szCs w:val="20"/>
          <w:lang w:eastAsia="en-AU"/>
        </w:rPr>
        <w:t>. Other groups where varicella vaccine is recommended include non-immune healthcare workers, childhood educators and carers, persons who work in long-term care facilities and household contacts of people who are immunocompromised. Monovalent (</w:t>
      </w:r>
      <w:proofErr w:type="gramStart"/>
      <w:r w:rsidRPr="6CCF24CD" w:rsidR="000613F4">
        <w:rPr>
          <w:rFonts w:ascii="Helvetica" w:hAnsi="Helvetica" w:cs="Helvetica"/>
          <w:color w:val="222222"/>
          <w:sz w:val="20"/>
          <w:szCs w:val="20"/>
          <w:lang w:eastAsia="en-AU"/>
        </w:rPr>
        <w:t>e.g.</w:t>
      </w:r>
      <w:proofErr w:type="gramEnd"/>
      <w:r w:rsidRPr="6CCF24CD" w:rsidR="000613F4">
        <w:rPr>
          <w:rFonts w:ascii="Helvetica" w:hAnsi="Helvetica" w:cs="Helvetica"/>
          <w:color w:val="222222"/>
          <w:sz w:val="20"/>
          <w:szCs w:val="20"/>
          <w:lang w:eastAsia="en-AU"/>
        </w:rPr>
        <w:t xml:space="preserve"> </w:t>
      </w:r>
      <w:proofErr w:type="spellStart"/>
      <w:r w:rsidRPr="6CCF24CD" w:rsidR="000613F4">
        <w:rPr>
          <w:rFonts w:ascii="Helvetica" w:hAnsi="Helvetica" w:cs="Helvetica"/>
          <w:color w:val="222222"/>
          <w:sz w:val="20"/>
          <w:szCs w:val="20"/>
          <w:lang w:eastAsia="en-AU"/>
        </w:rPr>
        <w:t>Varilrix</w:t>
      </w:r>
      <w:proofErr w:type="spellEnd"/>
      <w:r w:rsidRPr="6CCF24CD" w:rsidR="000613F4">
        <w:rPr>
          <w:rFonts w:ascii="Helvetica" w:hAnsi="Helvetica" w:cs="Helvetica"/>
          <w:color w:val="222222"/>
          <w:sz w:val="15"/>
          <w:szCs w:val="15"/>
          <w:vertAlign w:val="superscript"/>
          <w:lang w:eastAsia="en-AU"/>
        </w:rPr>
        <w:t>®</w:t>
      </w:r>
      <w:r w:rsidRPr="6CCF24CD" w:rsidR="000613F4">
        <w:rPr>
          <w:rFonts w:ascii="Helvetica" w:hAnsi="Helvetica" w:cs="Helvetica"/>
          <w:color w:val="222222"/>
          <w:sz w:val="20"/>
          <w:szCs w:val="20"/>
          <w:lang w:eastAsia="en-AU"/>
        </w:rPr>
        <w:t xml:space="preserve"> and </w:t>
      </w:r>
      <w:proofErr w:type="spellStart"/>
      <w:r w:rsidRPr="6CCF24CD" w:rsidR="000613F4">
        <w:rPr>
          <w:rFonts w:ascii="Helvetica" w:hAnsi="Helvetica" w:cs="Helvetica"/>
          <w:color w:val="222222"/>
          <w:sz w:val="20"/>
          <w:szCs w:val="20"/>
          <w:lang w:eastAsia="en-AU"/>
        </w:rPr>
        <w:t>Varivax</w:t>
      </w:r>
      <w:proofErr w:type="spellEnd"/>
      <w:r w:rsidRPr="6CCF24CD" w:rsidR="000613F4">
        <w:rPr>
          <w:rFonts w:ascii="Helvetica" w:hAnsi="Helvetica" w:cs="Helvetica"/>
          <w:color w:val="222222"/>
          <w:sz w:val="15"/>
          <w:szCs w:val="15"/>
          <w:vertAlign w:val="superscript"/>
          <w:lang w:eastAsia="en-AU"/>
        </w:rPr>
        <w:t>®</w:t>
      </w:r>
      <w:r w:rsidRPr="6CCF24CD" w:rsidR="000613F4">
        <w:rPr>
          <w:rFonts w:ascii="Helvetica" w:hAnsi="Helvetica" w:cs="Helvetica"/>
          <w:color w:val="222222"/>
          <w:sz w:val="20"/>
          <w:szCs w:val="20"/>
          <w:lang w:eastAsia="en-AU"/>
        </w:rPr>
        <w:t xml:space="preserve">) and combination varicella vaccines which also contain </w:t>
      </w:r>
      <w:r w:rsidRPr="6CCF24CD" w:rsidR="000613F4">
        <w:rPr>
          <w:rFonts w:ascii="Helvetica" w:hAnsi="Helvetica" w:cs="Helvetica"/>
          <w:i w:val="1"/>
          <w:iCs w:val="1"/>
          <w:color w:val="222222"/>
          <w:sz w:val="20"/>
          <w:szCs w:val="20"/>
          <w:lang w:eastAsia="en-AU"/>
        </w:rPr>
        <w:t xml:space="preserve">measles-mumps-rubella viruses </w:t>
      </w:r>
      <w:r w:rsidRPr="6CCF24CD" w:rsidR="000613F4">
        <w:rPr>
          <w:rFonts w:ascii="Helvetica" w:hAnsi="Helvetica" w:cs="Helvetica"/>
          <w:color w:val="222222"/>
          <w:sz w:val="20"/>
          <w:szCs w:val="20"/>
          <w:lang w:eastAsia="en-AU"/>
        </w:rPr>
        <w:t xml:space="preserve">(e.g. </w:t>
      </w:r>
      <w:proofErr w:type="spellStart"/>
      <w:r w:rsidRPr="6CCF24CD" w:rsidR="000613F4">
        <w:rPr>
          <w:rFonts w:ascii="Helvetica" w:hAnsi="Helvetica" w:cs="Helvetica"/>
          <w:color w:val="222222"/>
          <w:sz w:val="20"/>
          <w:szCs w:val="20"/>
          <w:lang w:eastAsia="en-AU"/>
        </w:rPr>
        <w:t>Priorix</w:t>
      </w:r>
      <w:proofErr w:type="spellEnd"/>
      <w:r w:rsidRPr="6CCF24CD" w:rsidR="000613F4">
        <w:rPr>
          <w:rFonts w:ascii="Helvetica" w:hAnsi="Helvetica" w:cs="Helvetica"/>
          <w:color w:val="222222"/>
          <w:sz w:val="20"/>
          <w:szCs w:val="20"/>
          <w:lang w:eastAsia="en-AU"/>
        </w:rPr>
        <w:t>-tetra</w:t>
      </w:r>
      <w:r w:rsidRPr="6CCF24CD" w:rsidR="000613F4">
        <w:rPr>
          <w:rFonts w:ascii="Helvetica" w:hAnsi="Helvetica" w:cs="Helvetica"/>
          <w:color w:val="222222"/>
          <w:sz w:val="15"/>
          <w:szCs w:val="15"/>
          <w:vertAlign w:val="superscript"/>
          <w:lang w:eastAsia="en-AU"/>
        </w:rPr>
        <w:t>®</w:t>
      </w:r>
      <w:r w:rsidRPr="6CCF24CD" w:rsidR="000613F4">
        <w:rPr>
          <w:rFonts w:ascii="Helvetica" w:hAnsi="Helvetica" w:cs="Helvetica"/>
          <w:color w:val="222222"/>
          <w:sz w:val="20"/>
          <w:szCs w:val="20"/>
          <w:lang w:eastAsia="en-AU"/>
        </w:rPr>
        <w:t xml:space="preserve"> and </w:t>
      </w:r>
      <w:proofErr w:type="spellStart"/>
      <w:r w:rsidRPr="6CCF24CD" w:rsidR="000613F4">
        <w:rPr>
          <w:rFonts w:ascii="Helvetica" w:hAnsi="Helvetica" w:cs="Helvetica"/>
          <w:color w:val="222222"/>
          <w:sz w:val="20"/>
          <w:szCs w:val="20"/>
          <w:lang w:eastAsia="en-AU"/>
        </w:rPr>
        <w:t>ProQuad</w:t>
      </w:r>
      <w:proofErr w:type="spellEnd"/>
      <w:r w:rsidRPr="6CCF24CD" w:rsidR="000613F4">
        <w:rPr>
          <w:rFonts w:ascii="Helvetica" w:hAnsi="Helvetica" w:cs="Helvetica"/>
          <w:color w:val="222222"/>
          <w:sz w:val="15"/>
          <w:szCs w:val="15"/>
          <w:vertAlign w:val="superscript"/>
          <w:lang w:eastAsia="en-AU"/>
        </w:rPr>
        <w:t>®</w:t>
      </w:r>
      <w:r w:rsidRPr="6CCF24CD" w:rsidR="000613F4">
        <w:rPr>
          <w:rFonts w:ascii="Helvetica" w:hAnsi="Helvetica" w:cs="Helvetica"/>
          <w:color w:val="222222"/>
          <w:sz w:val="20"/>
          <w:szCs w:val="20"/>
          <w:lang w:eastAsia="en-AU"/>
        </w:rPr>
        <w:t>) are available.</w:t>
      </w:r>
    </w:p>
    <w:p w:rsidRPr="000613F4" w:rsidR="000613F4" w:rsidP="000613F4" w:rsidRDefault="000613F4" w14:paraId="0C76B64F" w14:textId="77777777">
      <w:pPr>
        <w:shd w:val="clear" w:color="auto" w:fill="FFFFFF"/>
        <w:spacing w:after="24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The live zoster vaccine (Zostavax</w:t>
      </w:r>
      <w:r w:rsidRPr="000613F4">
        <w:rPr>
          <w:rFonts w:ascii="Helvetica" w:hAnsi="Helvetica" w:cs="Helvetica"/>
          <w:color w:val="222222"/>
          <w:sz w:val="15"/>
          <w:szCs w:val="15"/>
          <w:vertAlign w:val="superscript"/>
          <w:lang w:eastAsia="en-AU"/>
        </w:rPr>
        <w:t>®</w:t>
      </w:r>
      <w:r w:rsidRPr="000613F4">
        <w:rPr>
          <w:rFonts w:ascii="Helvetica" w:hAnsi="Helvetica" w:cs="Helvetica"/>
          <w:color w:val="222222"/>
          <w:sz w:val="20"/>
          <w:szCs w:val="20"/>
          <w:lang w:eastAsia="en-AU"/>
        </w:rPr>
        <w:t>) is the only zoster vaccine currently on the National Immunisation Program (NIP) in Australia</w:t>
      </w:r>
      <w:hyperlink w:history="1" w:anchor="ref02" r:id="rId14">
        <w:r w:rsidRPr="000613F4">
          <w:rPr>
            <w:rFonts w:ascii="Helvetica" w:hAnsi="Helvetica" w:cs="Helvetica"/>
            <w:color w:val="1157AD"/>
            <w:sz w:val="15"/>
            <w:szCs w:val="15"/>
            <w:u w:val="single"/>
            <w:vertAlign w:val="superscript"/>
            <w:lang w:eastAsia="en-AU"/>
          </w:rPr>
          <w:t>2</w:t>
        </w:r>
      </w:hyperlink>
      <w:r w:rsidRPr="000613F4">
        <w:rPr>
          <w:rFonts w:ascii="Helvetica" w:hAnsi="Helvetica" w:cs="Helvetica"/>
          <w:color w:val="222222"/>
          <w:sz w:val="20"/>
          <w:szCs w:val="20"/>
          <w:lang w:eastAsia="en-AU"/>
        </w:rPr>
        <w:t>. As of November 2018, the PBAC did not recommend the listing of the recombinant VZV glycoprotein E antigen (AS01B adjuvanted) vaccine (Shingrix</w:t>
      </w:r>
      <w:r w:rsidRPr="000613F4">
        <w:rPr>
          <w:rFonts w:ascii="Helvetica" w:hAnsi="Helvetica" w:cs="Helvetica"/>
          <w:color w:val="222222"/>
          <w:sz w:val="15"/>
          <w:szCs w:val="15"/>
          <w:vertAlign w:val="superscript"/>
          <w:lang w:eastAsia="en-AU"/>
        </w:rPr>
        <w:t>®</w:t>
      </w:r>
      <w:r w:rsidRPr="000613F4">
        <w:rPr>
          <w:rFonts w:ascii="Helvetica" w:hAnsi="Helvetica" w:cs="Helvetica"/>
          <w:color w:val="222222"/>
          <w:sz w:val="20"/>
          <w:szCs w:val="20"/>
          <w:lang w:eastAsia="en-AU"/>
        </w:rPr>
        <w:t>) on the NIP. Zoster vaccine is recommended for adults aged ≥60 years of age, and adults aged ≥50 years who are household contacts of a person who is immunocompromised. People who have received the varicella vaccine previously are not recommended to receive zoster vaccine.</w:t>
      </w:r>
    </w:p>
    <w:p w:rsidRPr="000613F4" w:rsidR="000613F4" w:rsidP="000613F4" w:rsidRDefault="000613F4" w14:paraId="413C9944" w14:textId="77777777">
      <w:pPr>
        <w:shd w:val="clear" w:color="auto" w:fill="FFFFFF"/>
        <w:spacing w:after="24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Both varicella and zoster vaccines are derived from the Oka strain of VZV (</w:t>
      </w:r>
      <w:proofErr w:type="spellStart"/>
      <w:r w:rsidRPr="000613F4">
        <w:rPr>
          <w:rFonts w:ascii="Helvetica" w:hAnsi="Helvetica" w:cs="Helvetica"/>
          <w:color w:val="222222"/>
          <w:sz w:val="20"/>
          <w:szCs w:val="20"/>
          <w:lang w:eastAsia="en-AU"/>
        </w:rPr>
        <w:t>vOka</w:t>
      </w:r>
      <w:proofErr w:type="spellEnd"/>
      <w:r w:rsidRPr="000613F4">
        <w:rPr>
          <w:rFonts w:ascii="Helvetica" w:hAnsi="Helvetica" w:cs="Helvetica"/>
          <w:color w:val="222222"/>
          <w:sz w:val="20"/>
          <w:szCs w:val="20"/>
          <w:lang w:eastAsia="en-AU"/>
        </w:rPr>
        <w:t>)</w:t>
      </w:r>
      <w:hyperlink w:history="1" w:anchor="ref03" r:id="rId15">
        <w:r w:rsidRPr="000613F4">
          <w:rPr>
            <w:rFonts w:ascii="Helvetica" w:hAnsi="Helvetica" w:cs="Helvetica"/>
            <w:color w:val="1157AD"/>
            <w:sz w:val="15"/>
            <w:szCs w:val="15"/>
            <w:u w:val="single"/>
            <w:vertAlign w:val="superscript"/>
            <w:lang w:eastAsia="en-AU"/>
          </w:rPr>
          <w:t>3</w:t>
        </w:r>
      </w:hyperlink>
      <w:r w:rsidRPr="000613F4">
        <w:rPr>
          <w:rFonts w:ascii="Helvetica" w:hAnsi="Helvetica" w:cs="Helvetica"/>
          <w:color w:val="222222"/>
          <w:sz w:val="20"/>
          <w:szCs w:val="20"/>
          <w:lang w:eastAsia="en-AU"/>
        </w:rPr>
        <w:t xml:space="preserve">. Vaccine failure is known as ‘breakthrough varicella’ and is defined as a case of wild-type varicella post vaccination. Breakthrough varicella infections are generally mild with fewer lesions than natural </w:t>
      </w:r>
      <w:proofErr w:type="gramStart"/>
      <w:r w:rsidRPr="000613F4">
        <w:rPr>
          <w:rFonts w:ascii="Helvetica" w:hAnsi="Helvetica" w:cs="Helvetica"/>
          <w:color w:val="222222"/>
          <w:sz w:val="20"/>
          <w:szCs w:val="20"/>
          <w:lang w:eastAsia="en-AU"/>
        </w:rPr>
        <w:t>infection, but</w:t>
      </w:r>
      <w:proofErr w:type="gramEnd"/>
      <w:r w:rsidRPr="000613F4">
        <w:rPr>
          <w:rFonts w:ascii="Helvetica" w:hAnsi="Helvetica" w:cs="Helvetica"/>
          <w:color w:val="222222"/>
          <w:sz w:val="20"/>
          <w:szCs w:val="20"/>
          <w:lang w:eastAsia="en-AU"/>
        </w:rPr>
        <w:t xml:space="preserve"> can be contagious</w:t>
      </w:r>
      <w:hyperlink w:history="1" w:anchor="ref04" r:id="rId16">
        <w:r w:rsidRPr="000613F4">
          <w:rPr>
            <w:rFonts w:ascii="Helvetica" w:hAnsi="Helvetica" w:cs="Helvetica"/>
            <w:color w:val="1157AD"/>
            <w:sz w:val="15"/>
            <w:szCs w:val="15"/>
            <w:u w:val="single"/>
            <w:vertAlign w:val="superscript"/>
            <w:lang w:eastAsia="en-AU"/>
          </w:rPr>
          <w:t>4</w:t>
        </w:r>
      </w:hyperlink>
      <w:r w:rsidRPr="000613F4">
        <w:rPr>
          <w:rFonts w:ascii="Helvetica" w:hAnsi="Helvetica" w:cs="Helvetica"/>
          <w:color w:val="222222"/>
          <w:sz w:val="20"/>
          <w:szCs w:val="20"/>
          <w:lang w:eastAsia="en-AU"/>
        </w:rPr>
        <w:t xml:space="preserve">. Cases of varicella or HZ occurring in vaccinated persons can be caused by either wild-type or vaccine virus. Monitoring of these and other potential vaccine-related complications, as well as transmission events, requires that the vaccine strain be differentiated from wild-type viruses, which may be determined by strain-specific NAAT or sequencing methods. These methods have classified wild-type strains into clades separated by geographic regions. Detection and quantitation of viremia during VZV infections are potentially useful for diagnostic, </w:t>
      </w:r>
      <w:proofErr w:type="gramStart"/>
      <w:r w:rsidRPr="000613F4">
        <w:rPr>
          <w:rFonts w:ascii="Helvetica" w:hAnsi="Helvetica" w:cs="Helvetica"/>
          <w:color w:val="222222"/>
          <w:sz w:val="20"/>
          <w:szCs w:val="20"/>
          <w:lang w:eastAsia="en-AU"/>
        </w:rPr>
        <w:t>prognostic</w:t>
      </w:r>
      <w:proofErr w:type="gramEnd"/>
      <w:r w:rsidRPr="000613F4">
        <w:rPr>
          <w:rFonts w:ascii="Helvetica" w:hAnsi="Helvetica" w:cs="Helvetica"/>
          <w:color w:val="222222"/>
          <w:sz w:val="20"/>
          <w:szCs w:val="20"/>
          <w:lang w:eastAsia="en-AU"/>
        </w:rPr>
        <w:t xml:space="preserve"> and therapeutic monitoring purposes</w:t>
      </w:r>
      <w:hyperlink w:history="1" w:anchor="ref05" r:id="rId17">
        <w:r w:rsidRPr="000613F4">
          <w:rPr>
            <w:rFonts w:ascii="Helvetica" w:hAnsi="Helvetica" w:cs="Helvetica"/>
            <w:color w:val="1157AD"/>
            <w:sz w:val="15"/>
            <w:szCs w:val="15"/>
            <w:u w:val="single"/>
            <w:vertAlign w:val="superscript"/>
            <w:lang w:eastAsia="en-AU"/>
          </w:rPr>
          <w:t>5</w:t>
        </w:r>
      </w:hyperlink>
      <w:r w:rsidRPr="000613F4">
        <w:rPr>
          <w:rFonts w:ascii="Helvetica" w:hAnsi="Helvetica" w:cs="Helvetica"/>
          <w:color w:val="222222"/>
          <w:sz w:val="20"/>
          <w:szCs w:val="20"/>
          <w:lang w:eastAsia="en-AU"/>
        </w:rPr>
        <w:t>.</w:t>
      </w:r>
    </w:p>
    <w:p w:rsidRPr="000613F4" w:rsidR="000613F4" w:rsidP="000613F4" w:rsidRDefault="000613F4" w14:paraId="4CD091C1" w14:textId="77777777">
      <w:pPr>
        <w:shd w:val="clear" w:color="auto" w:fill="FFFFFF"/>
        <w:spacing w:after="120"/>
        <w:outlineLvl w:val="1"/>
        <w:rPr>
          <w:rFonts w:ascii="Open Sans" w:hAnsi="Open Sans" w:cs="Open Sans"/>
          <w:color w:val="000000"/>
          <w:sz w:val="36"/>
          <w:szCs w:val="36"/>
          <w:lang w:eastAsia="en-AU"/>
        </w:rPr>
      </w:pPr>
      <w:r w:rsidRPr="000613F4">
        <w:rPr>
          <w:rFonts w:ascii="Open Sans" w:hAnsi="Open Sans" w:cs="Open Sans"/>
          <w:color w:val="000000"/>
          <w:sz w:val="36"/>
          <w:szCs w:val="36"/>
          <w:lang w:eastAsia="en-AU"/>
        </w:rPr>
        <w:t>3 Tests</w:t>
      </w:r>
    </w:p>
    <w:p w:rsidRPr="000613F4" w:rsidR="000613F4" w:rsidP="000613F4" w:rsidRDefault="000613F4" w14:paraId="787480F6" w14:textId="77777777">
      <w:pPr>
        <w:shd w:val="clear" w:color="auto" w:fill="FFFFFF"/>
        <w:spacing w:before="240" w:after="120"/>
        <w:outlineLvl w:val="2"/>
        <w:rPr>
          <w:rFonts w:ascii="Open Sans" w:hAnsi="Open Sans" w:cs="Open Sans"/>
          <w:color w:val="000000"/>
          <w:sz w:val="27"/>
          <w:szCs w:val="27"/>
          <w:lang w:eastAsia="en-AU"/>
        </w:rPr>
      </w:pPr>
      <w:r w:rsidRPr="000613F4">
        <w:rPr>
          <w:rFonts w:ascii="Open Sans" w:hAnsi="Open Sans" w:cs="Open Sans"/>
          <w:color w:val="000000"/>
          <w:sz w:val="27"/>
          <w:szCs w:val="27"/>
          <w:lang w:eastAsia="en-AU"/>
        </w:rPr>
        <w:t>3.1 Clinical specimens</w:t>
      </w:r>
    </w:p>
    <w:p w:rsidRPr="000613F4" w:rsidR="000613F4" w:rsidP="000613F4" w:rsidRDefault="000613F4" w14:paraId="28845421" w14:textId="77777777">
      <w:pPr>
        <w:shd w:val="clear" w:color="auto" w:fill="FFFFFF"/>
        <w:spacing w:after="24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 xml:space="preserve">Swabs taken from the base of fresh vesicular lesions are suitable for NAAT, and virus genotyping of amplicons, DFA and culture. Ideally, swabs in viral transport media should be used for sampling. Rayon or Dacron-tipped swabs with plastic-coated shafts can also be used. After sampling, the swab </w:t>
      </w:r>
      <w:r w:rsidRPr="000613F4">
        <w:rPr>
          <w:rFonts w:ascii="Helvetica" w:hAnsi="Helvetica" w:cs="Helvetica"/>
          <w:color w:val="222222"/>
          <w:sz w:val="20"/>
          <w:szCs w:val="20"/>
          <w:lang w:eastAsia="en-AU"/>
        </w:rPr>
        <w:lastRenderedPageBreak/>
        <w:t xml:space="preserve">should be placed immediately in viral or universal transport medium and stored at 4ºC until processed. Cerebrospinal fluid (CSF) can also be used for testing in the appropriate clinical situation. Acceptable specimens for quantitative real-time polymerase chain reaction (rt-PCR) analysis also include whole blood or plasma, </w:t>
      </w:r>
      <w:proofErr w:type="gramStart"/>
      <w:r w:rsidRPr="000613F4">
        <w:rPr>
          <w:rFonts w:ascii="Helvetica" w:hAnsi="Helvetica" w:cs="Helvetica"/>
          <w:color w:val="222222"/>
          <w:sz w:val="20"/>
          <w:szCs w:val="20"/>
          <w:lang w:eastAsia="en-AU"/>
        </w:rPr>
        <w:t>serum</w:t>
      </w:r>
      <w:proofErr w:type="gramEnd"/>
      <w:r w:rsidRPr="000613F4">
        <w:rPr>
          <w:rFonts w:ascii="Helvetica" w:hAnsi="Helvetica" w:cs="Helvetica"/>
          <w:color w:val="222222"/>
          <w:sz w:val="20"/>
          <w:szCs w:val="20"/>
          <w:lang w:eastAsia="en-AU"/>
        </w:rPr>
        <w:t xml:space="preserve"> or peripheral blood mononuclear cells (PBMCs), or CSF.</w:t>
      </w:r>
    </w:p>
    <w:p w:rsidRPr="000613F4" w:rsidR="000613F4" w:rsidP="000613F4" w:rsidRDefault="000613F4" w14:paraId="779C4C14" w14:textId="77777777">
      <w:pPr>
        <w:shd w:val="clear" w:color="auto" w:fill="FFFFFF"/>
        <w:spacing w:after="120"/>
        <w:outlineLvl w:val="2"/>
        <w:rPr>
          <w:rFonts w:ascii="Open Sans" w:hAnsi="Open Sans" w:cs="Open Sans"/>
          <w:color w:val="000000"/>
          <w:sz w:val="27"/>
          <w:szCs w:val="27"/>
          <w:lang w:eastAsia="en-AU"/>
        </w:rPr>
      </w:pPr>
      <w:r w:rsidRPr="000613F4">
        <w:rPr>
          <w:rFonts w:ascii="Open Sans" w:hAnsi="Open Sans" w:cs="Open Sans"/>
          <w:color w:val="000000"/>
          <w:sz w:val="27"/>
          <w:szCs w:val="27"/>
          <w:lang w:eastAsia="en-AU"/>
        </w:rPr>
        <w:t>3.2 Nucleic Acid Detection</w:t>
      </w:r>
    </w:p>
    <w:p w:rsidRPr="000613F4" w:rsidR="000613F4" w:rsidP="000613F4" w:rsidRDefault="000613F4" w14:paraId="421F9027" w14:textId="77777777">
      <w:pPr>
        <w:shd w:val="clear" w:color="auto" w:fill="FFFFFF"/>
        <w:spacing w:before="240" w:after="120"/>
        <w:outlineLvl w:val="3"/>
        <w:rPr>
          <w:rFonts w:ascii="Open Sans" w:hAnsi="Open Sans" w:cs="Open Sans"/>
          <w:color w:val="000000"/>
          <w:sz w:val="24"/>
          <w:lang w:eastAsia="en-AU"/>
        </w:rPr>
      </w:pPr>
      <w:r w:rsidRPr="000613F4">
        <w:rPr>
          <w:rFonts w:ascii="Open Sans" w:hAnsi="Open Sans" w:cs="Open Sans"/>
          <w:color w:val="000000"/>
          <w:sz w:val="24"/>
          <w:lang w:eastAsia="en-AU"/>
        </w:rPr>
        <w:t>3.2.1 Polymerase Chain Reaction (PCR)</w:t>
      </w:r>
    </w:p>
    <w:p w:rsidRPr="000613F4" w:rsidR="000613F4" w:rsidP="000613F4" w:rsidRDefault="000613F4" w14:paraId="4FEA0FCB" w14:textId="77777777">
      <w:pPr>
        <w:shd w:val="clear" w:color="auto" w:fill="FFFFFF"/>
        <w:spacing w:after="24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 xml:space="preserve">PCR allows the rapid and highly sensitive detection of VZV from clinical specimens in the clinical laboratory. As for other PCR, two chemistries are currently used for the amplification and detection of VZV gene </w:t>
      </w:r>
      <w:proofErr w:type="gramStart"/>
      <w:r w:rsidRPr="000613F4">
        <w:rPr>
          <w:rFonts w:ascii="Helvetica" w:hAnsi="Helvetica" w:cs="Helvetica"/>
          <w:color w:val="222222"/>
          <w:sz w:val="20"/>
          <w:szCs w:val="20"/>
          <w:lang w:eastAsia="en-AU"/>
        </w:rPr>
        <w:t>targets;</w:t>
      </w:r>
      <w:proofErr w:type="gramEnd"/>
      <w:r w:rsidRPr="000613F4">
        <w:rPr>
          <w:rFonts w:ascii="Helvetica" w:hAnsi="Helvetica" w:cs="Helvetica"/>
          <w:color w:val="222222"/>
          <w:sz w:val="20"/>
          <w:szCs w:val="20"/>
          <w:lang w:eastAsia="en-AU"/>
        </w:rPr>
        <w:t xml:space="preserve"> sequence-specific probes and intercalating dsDNA fluorescent dyes. Nucleic acid extraction may be performed separately, or using automated platforms that integrate nucleic acid extraction, </w:t>
      </w:r>
      <w:proofErr w:type="gramStart"/>
      <w:r w:rsidRPr="000613F4">
        <w:rPr>
          <w:rFonts w:ascii="Helvetica" w:hAnsi="Helvetica" w:cs="Helvetica"/>
          <w:color w:val="222222"/>
          <w:sz w:val="20"/>
          <w:szCs w:val="20"/>
          <w:lang w:eastAsia="en-AU"/>
        </w:rPr>
        <w:t>amplification</w:t>
      </w:r>
      <w:proofErr w:type="gramEnd"/>
      <w:r w:rsidRPr="000613F4">
        <w:rPr>
          <w:rFonts w:ascii="Helvetica" w:hAnsi="Helvetica" w:cs="Helvetica"/>
          <w:color w:val="222222"/>
          <w:sz w:val="20"/>
          <w:szCs w:val="20"/>
          <w:lang w:eastAsia="en-AU"/>
        </w:rPr>
        <w:t xml:space="preserve"> and detection in the one instrument.</w:t>
      </w:r>
    </w:p>
    <w:p w:rsidRPr="000613F4" w:rsidR="000613F4" w:rsidP="000613F4" w:rsidRDefault="000613F4" w14:paraId="616CC09A" w14:textId="77777777">
      <w:pPr>
        <w:shd w:val="clear" w:color="auto" w:fill="FFFFFF"/>
        <w:spacing w:after="120"/>
        <w:outlineLvl w:val="3"/>
        <w:rPr>
          <w:rFonts w:ascii="Open Sans" w:hAnsi="Open Sans" w:cs="Open Sans"/>
          <w:color w:val="000000"/>
          <w:sz w:val="24"/>
          <w:lang w:eastAsia="en-AU"/>
        </w:rPr>
      </w:pPr>
      <w:r w:rsidRPr="000613F4">
        <w:rPr>
          <w:rFonts w:ascii="Open Sans" w:hAnsi="Open Sans" w:cs="Open Sans"/>
          <w:color w:val="000000"/>
          <w:sz w:val="24"/>
          <w:lang w:eastAsia="en-AU"/>
        </w:rPr>
        <w:t>3.2.2 Qualitative and quantitative PCR</w:t>
      </w:r>
    </w:p>
    <w:p w:rsidRPr="000613F4" w:rsidR="000613F4" w:rsidP="000613F4" w:rsidRDefault="000613F4" w14:paraId="2425B654" w14:textId="77777777">
      <w:pPr>
        <w:shd w:val="clear" w:color="auto" w:fill="FFFFFF"/>
        <w:spacing w:after="24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 xml:space="preserve">Qualitative rt-PCR is used for the detection of VZV, whilst </w:t>
      </w:r>
      <w:proofErr w:type="spellStart"/>
      <w:r w:rsidRPr="000613F4">
        <w:rPr>
          <w:rFonts w:ascii="Helvetica" w:hAnsi="Helvetica" w:cs="Helvetica"/>
          <w:color w:val="222222"/>
          <w:sz w:val="20"/>
          <w:szCs w:val="20"/>
          <w:lang w:eastAsia="en-AU"/>
        </w:rPr>
        <w:t>quntitative</w:t>
      </w:r>
      <w:proofErr w:type="spellEnd"/>
      <w:r w:rsidRPr="000613F4">
        <w:rPr>
          <w:rFonts w:ascii="Helvetica" w:hAnsi="Helvetica" w:cs="Helvetica"/>
          <w:color w:val="222222"/>
          <w:sz w:val="20"/>
          <w:szCs w:val="20"/>
          <w:lang w:eastAsia="en-AU"/>
        </w:rPr>
        <w:t xml:space="preserve"> rt-PCR may be used for the detection and quantitation of VZV, but is generally reserved for specific settings, and not as widely available as qualitative testing. Monitoring of VZV viral load in blood and CSF may be useful in complicated cases which fail to respond to antiviral treatment.</w:t>
      </w:r>
    </w:p>
    <w:p w:rsidRPr="000613F4" w:rsidR="000613F4" w:rsidP="000613F4" w:rsidRDefault="000613F4" w14:paraId="55D07AF2" w14:textId="77777777">
      <w:pPr>
        <w:shd w:val="clear" w:color="auto" w:fill="FFFFFF"/>
        <w:spacing w:after="120"/>
        <w:outlineLvl w:val="3"/>
        <w:rPr>
          <w:rFonts w:ascii="Open Sans" w:hAnsi="Open Sans" w:cs="Open Sans"/>
          <w:color w:val="000000"/>
          <w:sz w:val="24"/>
          <w:lang w:eastAsia="en-AU"/>
        </w:rPr>
      </w:pPr>
      <w:r w:rsidRPr="000613F4">
        <w:rPr>
          <w:rFonts w:ascii="Open Sans" w:hAnsi="Open Sans" w:cs="Open Sans"/>
          <w:color w:val="000000"/>
          <w:sz w:val="24"/>
          <w:lang w:eastAsia="en-AU"/>
        </w:rPr>
        <w:t>3.2.3 Test Details</w:t>
      </w:r>
    </w:p>
    <w:p w:rsidRPr="000613F4" w:rsidR="000613F4" w:rsidP="000613F4" w:rsidRDefault="000613F4" w14:paraId="3A098C3A" w14:textId="77777777">
      <w:pPr>
        <w:shd w:val="clear" w:color="auto" w:fill="FFFFFF"/>
        <w:spacing w:after="24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Gene specific primers and FRET (fluorescent resonance energy transfer) labelled probes or alternatively, a dsDNA intercalating fluorescent dye followed by melt curve analysis can be used for both the qualitative detection and quantitation of VZV. Suitable gene targets often used in PCR detection include ORF 29, 62, glycoprotein 19 and polymerase gene</w:t>
      </w:r>
      <w:hyperlink w:history="1" w:anchor="ref06" r:id="rId18">
        <w:r w:rsidRPr="000613F4">
          <w:rPr>
            <w:rFonts w:ascii="Helvetica" w:hAnsi="Helvetica" w:cs="Helvetica"/>
            <w:color w:val="1157AD"/>
            <w:sz w:val="15"/>
            <w:szCs w:val="15"/>
            <w:u w:val="single"/>
            <w:vertAlign w:val="superscript"/>
            <w:lang w:eastAsia="en-AU"/>
          </w:rPr>
          <w:t>6-9</w:t>
        </w:r>
      </w:hyperlink>
      <w:r w:rsidRPr="000613F4">
        <w:rPr>
          <w:rFonts w:ascii="Helvetica" w:hAnsi="Helvetica" w:cs="Helvetica"/>
          <w:color w:val="222222"/>
          <w:sz w:val="20"/>
          <w:szCs w:val="20"/>
          <w:lang w:eastAsia="en-AU"/>
        </w:rPr>
        <w:t>.</w:t>
      </w:r>
    </w:p>
    <w:p w:rsidRPr="000613F4" w:rsidR="000613F4" w:rsidP="000613F4" w:rsidRDefault="000613F4" w14:paraId="1B555FA5" w14:textId="77777777">
      <w:pPr>
        <w:shd w:val="clear" w:color="auto" w:fill="FFFFFF"/>
        <w:spacing w:after="24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For quantitation, a standard curve comprising plasmid constructs containing the VZV gene target of interest is used as a standard and incorporated into each PCR test assay. Hence, the VZV genome equivalents (</w:t>
      </w:r>
      <w:proofErr w:type="spellStart"/>
      <w:r w:rsidRPr="000613F4">
        <w:rPr>
          <w:rFonts w:ascii="Helvetica" w:hAnsi="Helvetica" w:cs="Helvetica"/>
          <w:color w:val="222222"/>
          <w:sz w:val="20"/>
          <w:szCs w:val="20"/>
          <w:lang w:eastAsia="en-AU"/>
        </w:rPr>
        <w:t>geq</w:t>
      </w:r>
      <w:proofErr w:type="spellEnd"/>
      <w:r w:rsidRPr="000613F4">
        <w:rPr>
          <w:rFonts w:ascii="Helvetica" w:hAnsi="Helvetica" w:cs="Helvetica"/>
          <w:color w:val="222222"/>
          <w:sz w:val="20"/>
          <w:szCs w:val="20"/>
          <w:lang w:eastAsia="en-AU"/>
        </w:rPr>
        <w:t>) of the test samples are interpolated from the standard curve.</w:t>
      </w:r>
    </w:p>
    <w:p w:rsidRPr="000613F4" w:rsidR="000613F4" w:rsidP="000613F4" w:rsidRDefault="000613F4" w14:paraId="3542F6DD" w14:textId="77777777">
      <w:pPr>
        <w:shd w:val="clear" w:color="auto" w:fill="FFFFFF"/>
        <w:spacing w:after="120"/>
        <w:outlineLvl w:val="3"/>
        <w:rPr>
          <w:rFonts w:ascii="Open Sans" w:hAnsi="Open Sans" w:cs="Open Sans"/>
          <w:color w:val="000000"/>
          <w:sz w:val="24"/>
          <w:lang w:eastAsia="en-AU"/>
        </w:rPr>
      </w:pPr>
      <w:r w:rsidRPr="000613F4">
        <w:rPr>
          <w:rFonts w:ascii="Open Sans" w:hAnsi="Open Sans" w:cs="Open Sans"/>
          <w:color w:val="000000"/>
          <w:sz w:val="24"/>
          <w:lang w:eastAsia="en-AU"/>
        </w:rPr>
        <w:t>3.2.4 Test Performance</w:t>
      </w:r>
    </w:p>
    <w:p w:rsidRPr="000613F4" w:rsidR="000613F4" w:rsidP="000613F4" w:rsidRDefault="000613F4" w14:paraId="155EE27C" w14:textId="74D2ECD8">
      <w:pPr>
        <w:shd w:val="clear" w:color="auto" w:fill="FFFFFF"/>
        <w:spacing w:after="24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Sensitivity of PCR for detection of VZV significantly exceeds that of other methods and approaches 100%. Gene specific probe based assays have shown higher sensitivity to detecting VZV DNA than fluorescent dye based methods</w:t>
      </w:r>
      <w:hyperlink w:history="1" w:anchor="ref07" r:id="rId19">
        <w:r w:rsidRPr="000613F4">
          <w:rPr>
            <w:rFonts w:ascii="Helvetica" w:hAnsi="Helvetica" w:cs="Helvetica"/>
            <w:color w:val="1157AD"/>
            <w:sz w:val="15"/>
            <w:szCs w:val="15"/>
            <w:u w:val="single"/>
            <w:vertAlign w:val="superscript"/>
            <w:lang w:eastAsia="en-AU"/>
          </w:rPr>
          <w:t>7,9</w:t>
        </w:r>
      </w:hyperlink>
      <w:r w:rsidRPr="000613F4">
        <w:rPr>
          <w:rFonts w:ascii="Helvetica" w:hAnsi="Helvetica" w:cs="Helvetica"/>
          <w:color w:val="222222"/>
          <w:sz w:val="20"/>
          <w:szCs w:val="20"/>
          <w:lang w:eastAsia="en-AU"/>
        </w:rPr>
        <w:t xml:space="preserve">. However, the use of fewer than ten copies of target may produce inconsistent results due to the random distribution inherent in dilutions of samples with low copy numbers. The specificity of each NAAT assay is dependent on the primer/probe </w:t>
      </w:r>
      <w:proofErr w:type="gramStart"/>
      <w:r w:rsidRPr="000613F4">
        <w:rPr>
          <w:rFonts w:ascii="Helvetica" w:hAnsi="Helvetica" w:cs="Helvetica"/>
          <w:color w:val="222222"/>
          <w:sz w:val="20"/>
          <w:szCs w:val="20"/>
          <w:lang w:eastAsia="en-AU"/>
        </w:rPr>
        <w:t>design, but</w:t>
      </w:r>
      <w:proofErr w:type="gramEnd"/>
      <w:r w:rsidRPr="000613F4">
        <w:rPr>
          <w:rFonts w:ascii="Helvetica" w:hAnsi="Helvetica" w:cs="Helvetica"/>
          <w:color w:val="222222"/>
          <w:sz w:val="20"/>
          <w:szCs w:val="20"/>
          <w:lang w:eastAsia="en-AU"/>
        </w:rPr>
        <w:t xml:space="preserve"> is generally very high.</w:t>
      </w:r>
    </w:p>
    <w:p w:rsidRPr="000613F4" w:rsidR="000613F4" w:rsidP="000613F4" w:rsidRDefault="000613F4" w14:paraId="74237720" w14:textId="77777777">
      <w:pPr>
        <w:shd w:val="clear" w:color="auto" w:fill="FFFFFF"/>
        <w:spacing w:before="240" w:after="120"/>
        <w:outlineLvl w:val="3"/>
        <w:rPr>
          <w:rFonts w:ascii="Open Sans" w:hAnsi="Open Sans" w:cs="Open Sans"/>
          <w:color w:val="000000"/>
          <w:sz w:val="24"/>
          <w:lang w:eastAsia="en-AU"/>
        </w:rPr>
      </w:pPr>
      <w:r w:rsidRPr="000613F4">
        <w:rPr>
          <w:rFonts w:ascii="Open Sans" w:hAnsi="Open Sans" w:cs="Open Sans"/>
          <w:color w:val="000000"/>
          <w:sz w:val="24"/>
          <w:lang w:eastAsia="en-AU"/>
        </w:rPr>
        <w:t>3.2.5 Predictive Values and Relevant Populations</w:t>
      </w:r>
    </w:p>
    <w:p w:rsidRPr="000613F4" w:rsidR="000613F4" w:rsidP="000613F4" w:rsidRDefault="000613F4" w14:paraId="0F9DFCCA" w14:textId="77777777">
      <w:pPr>
        <w:shd w:val="clear" w:color="auto" w:fill="FFFFFF"/>
        <w:spacing w:after="24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The predictive value of a positive result is high in symptomatic individuals. In asymptomatic and immunocompromised individuals, predictability may be compromised by the absence of detectable or low VZV viral loads. A significant proportion of patients with uncomplicated varicella have DNA detectable in blood and CSF during the acute phase of illness. A smaller proportion of zoster patients have detectable viremia.</w:t>
      </w:r>
    </w:p>
    <w:p w:rsidRPr="000613F4" w:rsidR="000613F4" w:rsidP="000613F4" w:rsidRDefault="000613F4" w14:paraId="3AF79618" w14:textId="77777777">
      <w:pPr>
        <w:shd w:val="clear" w:color="auto" w:fill="FFFFFF"/>
        <w:spacing w:after="120"/>
        <w:outlineLvl w:val="3"/>
        <w:rPr>
          <w:rFonts w:ascii="Open Sans" w:hAnsi="Open Sans" w:cs="Open Sans"/>
          <w:color w:val="000000"/>
          <w:sz w:val="24"/>
          <w:lang w:eastAsia="en-AU"/>
        </w:rPr>
      </w:pPr>
      <w:r w:rsidRPr="000613F4">
        <w:rPr>
          <w:rFonts w:ascii="Open Sans" w:hAnsi="Open Sans" w:cs="Open Sans"/>
          <w:color w:val="000000"/>
          <w:sz w:val="24"/>
          <w:lang w:eastAsia="en-AU"/>
        </w:rPr>
        <w:lastRenderedPageBreak/>
        <w:t>3.2.6 Suitable Test Acceptance Criteria</w:t>
      </w:r>
    </w:p>
    <w:p w:rsidRPr="000613F4" w:rsidR="000613F4" w:rsidP="000613F4" w:rsidRDefault="000613F4" w14:paraId="4745DFD9" w14:textId="77777777">
      <w:pPr>
        <w:shd w:val="clear" w:color="auto" w:fill="FFFFFF"/>
        <w:spacing w:after="24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Varicella-zoster positive control, a negative control and a non-template control should be included in each assay. If processed together, care should be taken to ensure that CSF specimens are not contaminated by skin specimens.</w:t>
      </w:r>
    </w:p>
    <w:p w:rsidRPr="000613F4" w:rsidR="000613F4" w:rsidP="000613F4" w:rsidRDefault="000613F4" w14:paraId="5EA96C76" w14:textId="77777777">
      <w:pPr>
        <w:shd w:val="clear" w:color="auto" w:fill="FFFFFF"/>
        <w:spacing w:after="120"/>
        <w:outlineLvl w:val="3"/>
        <w:rPr>
          <w:rFonts w:ascii="Open Sans" w:hAnsi="Open Sans" w:cs="Open Sans"/>
          <w:color w:val="000000"/>
          <w:sz w:val="24"/>
          <w:lang w:eastAsia="en-AU"/>
        </w:rPr>
      </w:pPr>
      <w:r w:rsidRPr="000613F4">
        <w:rPr>
          <w:rFonts w:ascii="Open Sans" w:hAnsi="Open Sans" w:cs="Open Sans"/>
          <w:color w:val="000000"/>
          <w:sz w:val="24"/>
          <w:lang w:eastAsia="en-AU"/>
        </w:rPr>
        <w:t>3.2.7 Suitable Internal Controls</w:t>
      </w:r>
    </w:p>
    <w:p w:rsidRPr="000613F4" w:rsidR="000613F4" w:rsidP="000613F4" w:rsidRDefault="000613F4" w14:paraId="24B2C289" w14:textId="77777777">
      <w:pPr>
        <w:shd w:val="clear" w:color="auto" w:fill="FFFFFF"/>
        <w:spacing w:after="24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An amplification control sequence is incorporated in the same tube to ensure that any VZV-negative samples do not contain PCR inhibitors and as a check on DNA sample integrity.</w:t>
      </w:r>
    </w:p>
    <w:p w:rsidRPr="000613F4" w:rsidR="000613F4" w:rsidP="000613F4" w:rsidRDefault="000613F4" w14:paraId="78DDC92C" w14:textId="77777777">
      <w:pPr>
        <w:shd w:val="clear" w:color="auto" w:fill="FFFFFF"/>
        <w:spacing w:after="120"/>
        <w:outlineLvl w:val="2"/>
        <w:rPr>
          <w:rFonts w:ascii="Open Sans" w:hAnsi="Open Sans" w:cs="Open Sans"/>
          <w:color w:val="000000"/>
          <w:sz w:val="27"/>
          <w:szCs w:val="27"/>
          <w:lang w:eastAsia="en-AU"/>
        </w:rPr>
      </w:pPr>
      <w:r w:rsidRPr="000613F4">
        <w:rPr>
          <w:rFonts w:ascii="Open Sans" w:hAnsi="Open Sans" w:cs="Open Sans"/>
          <w:color w:val="000000"/>
          <w:sz w:val="27"/>
          <w:szCs w:val="27"/>
          <w:lang w:eastAsia="en-AU"/>
        </w:rPr>
        <w:t>3.3 VZV-Specific Antibody Detection</w:t>
      </w:r>
    </w:p>
    <w:p w:rsidRPr="000613F4" w:rsidR="000613F4" w:rsidP="000613F4" w:rsidRDefault="000613F4" w14:paraId="6F7BA128" w14:textId="77777777">
      <w:pPr>
        <w:shd w:val="clear" w:color="auto" w:fill="FFFFFF"/>
        <w:spacing w:after="24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Serological diagnosis is important for determining the immune status of an individual to VZV. Suitable specimens are serum or plasma samples (EDTA/heparinised/citrated plasma). Samples should be stored for not more than 3 days at 2-8ºC. Paired acute and convalescent sera are used for the diagnosis of primary varicella infection, but this is less reliable for herpes zoster where specific antibodies are already present. For this reason, collection of the first sample as soon as possible after the onset of the rash is important to show a rising titre. However, cross reactivity between HSV and VZV can make the interpretation of results difficult.</w:t>
      </w:r>
    </w:p>
    <w:p w:rsidRPr="000613F4" w:rsidR="000613F4" w:rsidP="000613F4" w:rsidRDefault="000613F4" w14:paraId="74E26541" w14:textId="77777777">
      <w:pPr>
        <w:shd w:val="clear" w:color="auto" w:fill="FFFFFF"/>
        <w:spacing w:after="24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 xml:space="preserve">Recent infection is suggested by the detection of serum VZV-specific IgM </w:t>
      </w:r>
      <w:proofErr w:type="gramStart"/>
      <w:r w:rsidRPr="000613F4">
        <w:rPr>
          <w:rFonts w:ascii="Helvetica" w:hAnsi="Helvetica" w:cs="Helvetica"/>
          <w:color w:val="222222"/>
          <w:sz w:val="20"/>
          <w:szCs w:val="20"/>
          <w:lang w:eastAsia="en-AU"/>
        </w:rPr>
        <w:t>antibodies,</w:t>
      </w:r>
      <w:proofErr w:type="gramEnd"/>
      <w:r w:rsidRPr="000613F4">
        <w:rPr>
          <w:rFonts w:ascii="Helvetica" w:hAnsi="Helvetica" w:cs="Helvetica"/>
          <w:color w:val="222222"/>
          <w:sz w:val="20"/>
          <w:szCs w:val="20"/>
          <w:lang w:eastAsia="en-AU"/>
        </w:rPr>
        <w:t xml:space="preserve"> however this alone is not diagnostic of acute varicella infection due to biological false positives or non-specific reactivity due to other infectious or non-infectious conditions, recurrence of IgM during zoster reactivation and/or prolonged detection following recent infection. The antibodies occur within days of onset of infection and to a lesser extent after further exposure. Immunity to varicella is relatively rarely an indication for a laboratory test, in part because of the high predictive value of a history of varicella, and the relatively high prevalence of immunity in those without such a history. This may change as varicella vaccine displaces naturally acquired immunity. In addition, post-immunization serological testing for immunity is not generally indicated because of the high level of immunity conferred by the vaccine – 95% of adults seroconvert using high quality tests after receiving two doses of </w:t>
      </w:r>
      <w:proofErr w:type="spellStart"/>
      <w:r w:rsidRPr="000613F4">
        <w:rPr>
          <w:rFonts w:ascii="Helvetica" w:hAnsi="Helvetica" w:cs="Helvetica"/>
          <w:color w:val="222222"/>
          <w:sz w:val="20"/>
          <w:szCs w:val="20"/>
          <w:lang w:eastAsia="en-AU"/>
        </w:rPr>
        <w:t>vOka</w:t>
      </w:r>
      <w:proofErr w:type="spellEnd"/>
      <w:r w:rsidRPr="000613F4">
        <w:rPr>
          <w:rFonts w:ascii="Helvetica" w:hAnsi="Helvetica" w:cs="Helvetica"/>
          <w:color w:val="222222"/>
          <w:sz w:val="20"/>
          <w:szCs w:val="20"/>
          <w:lang w:eastAsia="en-AU"/>
        </w:rPr>
        <w:t xml:space="preserve"> vaccine.</w:t>
      </w:r>
    </w:p>
    <w:p w:rsidRPr="000613F4" w:rsidR="000613F4" w:rsidP="000613F4" w:rsidRDefault="000613F4" w14:paraId="2C5353D8" w14:textId="77777777">
      <w:pPr>
        <w:shd w:val="clear" w:color="auto" w:fill="FFFFFF"/>
        <w:spacing w:after="24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 xml:space="preserve">In addition, VZV IgG assays used in clinical practice are not as sensitive as those used for vaccine studies, and undetectable IgG following appropriate immunisation in an immunocompetent individual does not necessarily indicate vaccine failure. Assessing for immunity is most important in </w:t>
      </w:r>
      <w:proofErr w:type="gramStart"/>
      <w:r w:rsidRPr="000613F4">
        <w:rPr>
          <w:rFonts w:ascii="Helvetica" w:hAnsi="Helvetica" w:cs="Helvetica"/>
          <w:color w:val="222222"/>
          <w:sz w:val="20"/>
          <w:szCs w:val="20"/>
          <w:lang w:eastAsia="en-AU"/>
        </w:rPr>
        <w:t>high risk</w:t>
      </w:r>
      <w:proofErr w:type="gramEnd"/>
      <w:r w:rsidRPr="000613F4">
        <w:rPr>
          <w:rFonts w:ascii="Helvetica" w:hAnsi="Helvetica" w:cs="Helvetica"/>
          <w:color w:val="222222"/>
          <w:sz w:val="20"/>
          <w:szCs w:val="20"/>
          <w:lang w:eastAsia="en-AU"/>
        </w:rPr>
        <w:t xml:space="preserve"> individuals, such as pregnant women and immunocompromised (mainly to assist in management in the event of an exposure), and in healthcare workers with uncertain immune status.</w:t>
      </w:r>
    </w:p>
    <w:p w:rsidRPr="000613F4" w:rsidR="000613F4" w:rsidP="000613F4" w:rsidRDefault="000613F4" w14:paraId="13C4483C" w14:textId="77777777">
      <w:pPr>
        <w:shd w:val="clear" w:color="auto" w:fill="FFFFFF"/>
        <w:spacing w:after="120"/>
        <w:outlineLvl w:val="3"/>
        <w:rPr>
          <w:rFonts w:ascii="Open Sans" w:hAnsi="Open Sans" w:cs="Open Sans"/>
          <w:color w:val="000000"/>
          <w:sz w:val="24"/>
          <w:lang w:eastAsia="en-AU"/>
        </w:rPr>
      </w:pPr>
      <w:r w:rsidRPr="000613F4">
        <w:rPr>
          <w:rFonts w:ascii="Open Sans" w:hAnsi="Open Sans" w:cs="Open Sans"/>
          <w:color w:val="000000"/>
          <w:sz w:val="24"/>
          <w:lang w:eastAsia="en-AU"/>
        </w:rPr>
        <w:t>3.3.1 Test Details</w:t>
      </w:r>
    </w:p>
    <w:p w:rsidRPr="000613F4" w:rsidR="000613F4" w:rsidP="000613F4" w:rsidRDefault="000613F4" w14:paraId="6C13D333" w14:textId="77777777">
      <w:pPr>
        <w:shd w:val="clear" w:color="auto" w:fill="FFFFFF"/>
        <w:spacing w:after="24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 xml:space="preserve">The fluorescent antibody to membrane antigen (FAMA) assay is the accepted gold standard serological assay to determine immunity/protection against VZV. </w:t>
      </w:r>
      <w:proofErr w:type="gramStart"/>
      <w:r w:rsidRPr="000613F4">
        <w:rPr>
          <w:rFonts w:ascii="Helvetica" w:hAnsi="Helvetica" w:cs="Helvetica"/>
          <w:color w:val="222222"/>
          <w:sz w:val="20"/>
          <w:szCs w:val="20"/>
          <w:lang w:eastAsia="en-AU"/>
        </w:rPr>
        <w:t>However</w:t>
      </w:r>
      <w:proofErr w:type="gramEnd"/>
      <w:r w:rsidRPr="000613F4">
        <w:rPr>
          <w:rFonts w:ascii="Helvetica" w:hAnsi="Helvetica" w:cs="Helvetica"/>
          <w:color w:val="222222"/>
          <w:sz w:val="20"/>
          <w:szCs w:val="20"/>
          <w:lang w:eastAsia="en-AU"/>
        </w:rPr>
        <w:t xml:space="preserve"> as FAMA is labour intensive, it is rarely performed (and available) in routine clinical laboratories. In healthy persons with a FAMA </w:t>
      </w:r>
      <w:proofErr w:type="spellStart"/>
      <w:r w:rsidRPr="000613F4">
        <w:rPr>
          <w:rFonts w:ascii="Helvetica" w:hAnsi="Helvetica" w:cs="Helvetica"/>
          <w:color w:val="222222"/>
          <w:sz w:val="20"/>
          <w:szCs w:val="20"/>
          <w:lang w:eastAsia="en-AU"/>
        </w:rPr>
        <w:t>titer</w:t>
      </w:r>
      <w:proofErr w:type="spellEnd"/>
      <w:r w:rsidRPr="000613F4">
        <w:rPr>
          <w:rFonts w:ascii="Helvetica" w:hAnsi="Helvetica" w:cs="Helvetica"/>
          <w:color w:val="222222"/>
          <w:sz w:val="20"/>
          <w:szCs w:val="20"/>
          <w:lang w:eastAsia="en-AU"/>
        </w:rPr>
        <w:t xml:space="preserve"> of ≥1:4, &lt;2% developed varicella after a household exposure to VZV, compared to an attack rate of 59% in persons with a FAMA </w:t>
      </w:r>
      <w:proofErr w:type="spellStart"/>
      <w:r w:rsidRPr="000613F4">
        <w:rPr>
          <w:rFonts w:ascii="Helvetica" w:hAnsi="Helvetica" w:cs="Helvetica"/>
          <w:color w:val="222222"/>
          <w:sz w:val="20"/>
          <w:szCs w:val="20"/>
          <w:lang w:eastAsia="en-AU"/>
        </w:rPr>
        <w:t>titer</w:t>
      </w:r>
      <w:proofErr w:type="spellEnd"/>
      <w:r w:rsidRPr="000613F4">
        <w:rPr>
          <w:rFonts w:ascii="Helvetica" w:hAnsi="Helvetica" w:cs="Helvetica"/>
          <w:color w:val="222222"/>
          <w:sz w:val="20"/>
          <w:szCs w:val="20"/>
          <w:lang w:eastAsia="en-AU"/>
        </w:rPr>
        <w:t xml:space="preserve"> of &lt;1:4</w:t>
      </w:r>
      <w:hyperlink w:history="1" w:anchor="ref10" r:id="rId21">
        <w:r w:rsidRPr="000613F4">
          <w:rPr>
            <w:rFonts w:ascii="Helvetica" w:hAnsi="Helvetica" w:cs="Helvetica"/>
            <w:color w:val="1157AD"/>
            <w:sz w:val="15"/>
            <w:szCs w:val="15"/>
            <w:u w:val="single"/>
            <w:vertAlign w:val="superscript"/>
            <w:lang w:eastAsia="en-AU"/>
          </w:rPr>
          <w:t>10</w:t>
        </w:r>
      </w:hyperlink>
      <w:r w:rsidRPr="000613F4">
        <w:rPr>
          <w:rFonts w:ascii="Helvetica" w:hAnsi="Helvetica" w:cs="Helvetica"/>
          <w:color w:val="222222"/>
          <w:sz w:val="20"/>
          <w:szCs w:val="20"/>
          <w:lang w:eastAsia="en-AU"/>
        </w:rPr>
        <w:t>. By contrast, FAMA does not perform well in determining protective immunity in immunocompromised persons.</w:t>
      </w:r>
    </w:p>
    <w:p w:rsidRPr="000613F4" w:rsidR="000613F4" w:rsidP="000613F4" w:rsidRDefault="000613F4" w14:paraId="4F9A4E94" w14:textId="77777777">
      <w:pPr>
        <w:shd w:val="clear" w:color="auto" w:fill="FFFFFF"/>
        <w:spacing w:after="24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lastRenderedPageBreak/>
        <w:t>Whilst commonly available, commercial VZV-specific tests may lack sensitivity in detecting antibodies against VZV (81). Examples of three commonly used commercial assays include:</w:t>
      </w:r>
    </w:p>
    <w:p w:rsidRPr="000613F4" w:rsidR="000613F4" w:rsidP="000613F4" w:rsidRDefault="000613F4" w14:paraId="6DC551C3" w14:textId="77777777">
      <w:pPr>
        <w:numPr>
          <w:ilvl w:val="0"/>
          <w:numId w:val="22"/>
        </w:numPr>
        <w:shd w:val="clear" w:color="auto" w:fill="FFFFFF"/>
        <w:spacing w:after="9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Enzyme-linked immunosorbent assay (ELISA) – (</w:t>
      </w:r>
      <w:proofErr w:type="gramStart"/>
      <w:r w:rsidRPr="000613F4">
        <w:rPr>
          <w:rFonts w:ascii="Helvetica" w:hAnsi="Helvetica" w:cs="Helvetica"/>
          <w:color w:val="222222"/>
          <w:sz w:val="20"/>
          <w:szCs w:val="20"/>
          <w:lang w:eastAsia="en-AU"/>
        </w:rPr>
        <w:t>e.g.</w:t>
      </w:r>
      <w:proofErr w:type="gramEnd"/>
      <w:r w:rsidRPr="000613F4">
        <w:rPr>
          <w:rFonts w:ascii="Helvetica" w:hAnsi="Helvetica" w:cs="Helvetica"/>
          <w:color w:val="222222"/>
          <w:sz w:val="20"/>
          <w:szCs w:val="20"/>
          <w:lang w:eastAsia="en-AU"/>
        </w:rPr>
        <w:t xml:space="preserve"> </w:t>
      </w:r>
      <w:proofErr w:type="spellStart"/>
      <w:r w:rsidRPr="000613F4">
        <w:rPr>
          <w:rFonts w:ascii="Helvetica" w:hAnsi="Helvetica" w:cs="Helvetica"/>
          <w:color w:val="222222"/>
          <w:sz w:val="20"/>
          <w:szCs w:val="20"/>
          <w:lang w:eastAsia="en-AU"/>
        </w:rPr>
        <w:t>Enzygnost</w:t>
      </w:r>
      <w:proofErr w:type="spellEnd"/>
      <w:r w:rsidRPr="000613F4">
        <w:rPr>
          <w:rFonts w:ascii="Helvetica" w:hAnsi="Helvetica" w:cs="Helvetica"/>
          <w:color w:val="222222"/>
          <w:sz w:val="20"/>
          <w:szCs w:val="20"/>
          <w:lang w:eastAsia="en-AU"/>
        </w:rPr>
        <w:t>, Siemens, Germany)</w:t>
      </w:r>
    </w:p>
    <w:p w:rsidRPr="000613F4" w:rsidR="000613F4" w:rsidP="000613F4" w:rsidRDefault="000613F4" w14:paraId="45DEA96A" w14:textId="77777777">
      <w:pPr>
        <w:numPr>
          <w:ilvl w:val="0"/>
          <w:numId w:val="22"/>
        </w:numPr>
        <w:shd w:val="clear" w:color="auto" w:fill="FFFFFF"/>
        <w:spacing w:after="9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Chemiluminescent microparticle immunoassay (CMIA) – (</w:t>
      </w:r>
      <w:proofErr w:type="gramStart"/>
      <w:r w:rsidRPr="000613F4">
        <w:rPr>
          <w:rFonts w:ascii="Helvetica" w:hAnsi="Helvetica" w:cs="Helvetica"/>
          <w:color w:val="222222"/>
          <w:sz w:val="20"/>
          <w:szCs w:val="20"/>
          <w:lang w:eastAsia="en-AU"/>
        </w:rPr>
        <w:t>e.g.</w:t>
      </w:r>
      <w:proofErr w:type="gramEnd"/>
      <w:r w:rsidRPr="000613F4">
        <w:rPr>
          <w:rFonts w:ascii="Helvetica" w:hAnsi="Helvetica" w:cs="Helvetica"/>
          <w:color w:val="222222"/>
          <w:sz w:val="20"/>
          <w:szCs w:val="20"/>
          <w:lang w:eastAsia="en-AU"/>
        </w:rPr>
        <w:t xml:space="preserve"> LIAISON, </w:t>
      </w:r>
      <w:proofErr w:type="spellStart"/>
      <w:r w:rsidRPr="000613F4">
        <w:rPr>
          <w:rFonts w:ascii="Helvetica" w:hAnsi="Helvetica" w:cs="Helvetica"/>
          <w:color w:val="222222"/>
          <w:sz w:val="20"/>
          <w:szCs w:val="20"/>
          <w:lang w:eastAsia="en-AU"/>
        </w:rPr>
        <w:t>DiaSorin</w:t>
      </w:r>
      <w:proofErr w:type="spellEnd"/>
      <w:r w:rsidRPr="000613F4">
        <w:rPr>
          <w:rFonts w:ascii="Helvetica" w:hAnsi="Helvetica" w:cs="Helvetica"/>
          <w:color w:val="222222"/>
          <w:sz w:val="20"/>
          <w:szCs w:val="20"/>
          <w:lang w:eastAsia="en-AU"/>
        </w:rPr>
        <w:t>, Italy)</w:t>
      </w:r>
    </w:p>
    <w:p w:rsidRPr="000613F4" w:rsidR="000613F4" w:rsidP="000613F4" w:rsidRDefault="000613F4" w14:paraId="0A161FDA" w14:textId="77777777">
      <w:pPr>
        <w:numPr>
          <w:ilvl w:val="0"/>
          <w:numId w:val="22"/>
        </w:numPr>
        <w:shd w:val="clear" w:color="auto" w:fill="FFFFFF"/>
        <w:spacing w:after="9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Enzyme-linked fluorescent immunoassay (ELFA) – (</w:t>
      </w:r>
      <w:proofErr w:type="gramStart"/>
      <w:r w:rsidRPr="000613F4">
        <w:rPr>
          <w:rFonts w:ascii="Helvetica" w:hAnsi="Helvetica" w:cs="Helvetica"/>
          <w:color w:val="222222"/>
          <w:sz w:val="20"/>
          <w:szCs w:val="20"/>
          <w:lang w:eastAsia="en-AU"/>
        </w:rPr>
        <w:t>e.g.</w:t>
      </w:r>
      <w:proofErr w:type="gramEnd"/>
      <w:r w:rsidRPr="000613F4">
        <w:rPr>
          <w:rFonts w:ascii="Helvetica" w:hAnsi="Helvetica" w:cs="Helvetica"/>
          <w:color w:val="222222"/>
          <w:sz w:val="20"/>
          <w:szCs w:val="20"/>
          <w:lang w:eastAsia="en-AU"/>
        </w:rPr>
        <w:t xml:space="preserve"> VIDAS, </w:t>
      </w:r>
      <w:proofErr w:type="spellStart"/>
      <w:r w:rsidRPr="000613F4">
        <w:rPr>
          <w:rFonts w:ascii="Helvetica" w:hAnsi="Helvetica" w:cs="Helvetica"/>
          <w:color w:val="222222"/>
          <w:sz w:val="20"/>
          <w:szCs w:val="20"/>
          <w:lang w:eastAsia="en-AU"/>
        </w:rPr>
        <w:t>bioMérieux</w:t>
      </w:r>
      <w:proofErr w:type="spellEnd"/>
      <w:r w:rsidRPr="000613F4">
        <w:rPr>
          <w:rFonts w:ascii="Helvetica" w:hAnsi="Helvetica" w:cs="Helvetica"/>
          <w:color w:val="222222"/>
          <w:sz w:val="20"/>
          <w:szCs w:val="20"/>
          <w:lang w:eastAsia="en-AU"/>
        </w:rPr>
        <w:t>, France)</w:t>
      </w:r>
    </w:p>
    <w:p w:rsidRPr="000613F4" w:rsidR="000613F4" w:rsidP="000613F4" w:rsidRDefault="000613F4" w14:paraId="0DD0A798" w14:textId="77777777">
      <w:pPr>
        <w:shd w:val="clear" w:color="auto" w:fill="FFFFFF"/>
        <w:spacing w:before="240" w:after="24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ELISAs and CMIAs are generally performed by many laboratories in a high-throughput automated fashion, and in general, are the preferred diagnostic test for determining serum antibodies against VZV. They are typically based on detection of antibody to whole antigen extracts prepared from VZV-infected cells. The performance of ELISAs and CMIAs in determining IgG post vaccination vary greatly, and false negative results may occur in up to 35% of sera tested. In addition, false positive results may also occur in up to 10% of varicella-susceptible individuals</w:t>
      </w:r>
      <w:hyperlink w:history="1" w:anchor="ref11" r:id="rId22">
        <w:r w:rsidRPr="000613F4">
          <w:rPr>
            <w:rFonts w:ascii="Helvetica" w:hAnsi="Helvetica" w:cs="Helvetica"/>
            <w:color w:val="1157AD"/>
            <w:sz w:val="15"/>
            <w:szCs w:val="15"/>
            <w:u w:val="single"/>
            <w:vertAlign w:val="superscript"/>
            <w:lang w:eastAsia="en-AU"/>
          </w:rPr>
          <w:t>11</w:t>
        </w:r>
      </w:hyperlink>
      <w:r w:rsidRPr="000613F4">
        <w:rPr>
          <w:rFonts w:ascii="Helvetica" w:hAnsi="Helvetica" w:cs="Helvetica"/>
          <w:color w:val="222222"/>
          <w:sz w:val="20"/>
          <w:szCs w:val="20"/>
          <w:lang w:eastAsia="en-AU"/>
        </w:rPr>
        <w:t>.</w:t>
      </w:r>
    </w:p>
    <w:p w:rsidRPr="000613F4" w:rsidR="000613F4" w:rsidP="000613F4" w:rsidRDefault="000613F4" w14:paraId="18BA2AF1" w14:textId="77777777">
      <w:pPr>
        <w:shd w:val="clear" w:color="auto" w:fill="FFFFFF"/>
        <w:spacing w:after="24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Glycoprotein ELISAs are more sensitive, but previous criticisms are that the tests are too sensitive in that they may detect very low levels of VZV antibodies that may mis-identify persons with insufficient antibodies to confer protection against VZV</w:t>
      </w:r>
      <w:hyperlink w:history="1" w:anchor="ref10" r:id="rId23">
        <w:r w:rsidRPr="000613F4">
          <w:rPr>
            <w:rFonts w:ascii="Helvetica" w:hAnsi="Helvetica" w:cs="Helvetica"/>
            <w:color w:val="1157AD"/>
            <w:sz w:val="15"/>
            <w:szCs w:val="15"/>
            <w:u w:val="single"/>
            <w:vertAlign w:val="superscript"/>
            <w:lang w:eastAsia="en-AU"/>
          </w:rPr>
          <w:t>10</w:t>
        </w:r>
      </w:hyperlink>
      <w:r w:rsidRPr="000613F4">
        <w:rPr>
          <w:rFonts w:ascii="Helvetica" w:hAnsi="Helvetica" w:cs="Helvetica"/>
          <w:color w:val="222222"/>
          <w:sz w:val="20"/>
          <w:szCs w:val="20"/>
          <w:lang w:eastAsia="en-AU"/>
        </w:rPr>
        <w:t>. Laboratories that may not have the capacity perform ELISA or CMIA may choose to screen samples initially with ELFA. As the analytical sensitivity of ELFA is less compared to ELISA and CMIA, equivocal sera or sera which require confirmation may be re-tested using the latter methods.</w:t>
      </w:r>
    </w:p>
    <w:p w:rsidRPr="000613F4" w:rsidR="000613F4" w:rsidP="000613F4" w:rsidRDefault="000613F4" w14:paraId="390E2649" w14:textId="77777777">
      <w:pPr>
        <w:shd w:val="clear" w:color="auto" w:fill="FFFFFF"/>
        <w:spacing w:after="24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A less common technique for identifying VZV antibodies is the indirect-immunofluorescence assay (IIFA) in which bound antibody is detected by a fluorescent-labelled anti-immunoglobulin. The stained VZV-infected cells are examined using fluorescent microscopy and the antibody titre determined by the highest dilution of a serum sample that allows the clear detection of fluorescence.</w:t>
      </w:r>
    </w:p>
    <w:p w:rsidRPr="000613F4" w:rsidR="000613F4" w:rsidP="000613F4" w:rsidRDefault="000613F4" w14:paraId="0FD6F646" w14:textId="5AD501A5">
      <w:pPr>
        <w:shd w:val="clear" w:color="auto" w:fill="FFFFFF"/>
        <w:spacing w:after="24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VZV IgG avidity testing is potentially capable of determining if a rash consistent with VZV-infection is due to a primary infection or reactivation of latent virus. Persons infected in the past have high affinity IgG antibodies that bind to the antigen compared to persons with more recent infection. However, IgG avidity testing is not commercially available, and rarely performed in the routine laboratory.</w:t>
      </w:r>
    </w:p>
    <w:p w:rsidRPr="000613F4" w:rsidR="000613F4" w:rsidP="000613F4" w:rsidRDefault="000613F4" w14:paraId="44B296FF" w14:textId="77777777">
      <w:pPr>
        <w:shd w:val="clear" w:color="auto" w:fill="FFFFFF"/>
        <w:spacing w:before="240" w:after="120"/>
        <w:outlineLvl w:val="3"/>
        <w:rPr>
          <w:rFonts w:ascii="Open Sans" w:hAnsi="Open Sans" w:cs="Open Sans"/>
          <w:color w:val="000000"/>
          <w:sz w:val="24"/>
          <w:lang w:eastAsia="en-AU"/>
        </w:rPr>
      </w:pPr>
      <w:r w:rsidRPr="000613F4">
        <w:rPr>
          <w:rFonts w:ascii="Open Sans" w:hAnsi="Open Sans" w:cs="Open Sans"/>
          <w:color w:val="000000"/>
          <w:sz w:val="24"/>
          <w:lang w:eastAsia="en-AU"/>
        </w:rPr>
        <w:t>3.3.2 Test performance</w:t>
      </w:r>
    </w:p>
    <w:p w:rsidRPr="000613F4" w:rsidR="000613F4" w:rsidP="000613F4" w:rsidRDefault="000613F4" w14:paraId="12579DFD" w14:textId="77777777">
      <w:pPr>
        <w:shd w:val="clear" w:color="auto" w:fill="FFFFFF"/>
        <w:spacing w:after="24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The performance of VZV-specific serology varies widely and is dependent on the type of assay used, the reference standard the assay is being compared to, and the population tested. In a study evaluating three commercial VZV-IgG ELISA (</w:t>
      </w:r>
      <w:proofErr w:type="spellStart"/>
      <w:r w:rsidRPr="000613F4">
        <w:rPr>
          <w:rFonts w:ascii="Helvetica" w:hAnsi="Helvetica" w:cs="Helvetica"/>
          <w:color w:val="222222"/>
          <w:sz w:val="20"/>
          <w:szCs w:val="20"/>
          <w:lang w:eastAsia="en-AU"/>
        </w:rPr>
        <w:t>Enzygnost</w:t>
      </w:r>
      <w:proofErr w:type="spellEnd"/>
      <w:r w:rsidRPr="000613F4">
        <w:rPr>
          <w:rFonts w:ascii="Helvetica" w:hAnsi="Helvetica" w:cs="Helvetica"/>
          <w:color w:val="222222"/>
          <w:sz w:val="20"/>
          <w:szCs w:val="20"/>
          <w:lang w:eastAsia="en-AU"/>
        </w:rPr>
        <w:t xml:space="preserve"> anti-VZV/IgG, </w:t>
      </w:r>
      <w:proofErr w:type="spellStart"/>
      <w:r w:rsidRPr="000613F4">
        <w:rPr>
          <w:rFonts w:ascii="Helvetica" w:hAnsi="Helvetica" w:cs="Helvetica"/>
          <w:color w:val="222222"/>
          <w:sz w:val="20"/>
          <w:szCs w:val="20"/>
          <w:lang w:eastAsia="en-AU"/>
        </w:rPr>
        <w:t>Euroimmun</w:t>
      </w:r>
      <w:proofErr w:type="spellEnd"/>
      <w:r w:rsidRPr="000613F4">
        <w:rPr>
          <w:rFonts w:ascii="Helvetica" w:hAnsi="Helvetica" w:cs="Helvetica"/>
          <w:color w:val="222222"/>
          <w:sz w:val="20"/>
          <w:szCs w:val="20"/>
          <w:lang w:eastAsia="en-AU"/>
        </w:rPr>
        <w:t xml:space="preserve"> anti-VZV and </w:t>
      </w:r>
      <w:proofErr w:type="spellStart"/>
      <w:r w:rsidRPr="000613F4">
        <w:rPr>
          <w:rFonts w:ascii="Helvetica" w:hAnsi="Helvetica" w:cs="Helvetica"/>
          <w:color w:val="222222"/>
          <w:sz w:val="20"/>
          <w:szCs w:val="20"/>
          <w:lang w:eastAsia="en-AU"/>
        </w:rPr>
        <w:t>Serion</w:t>
      </w:r>
      <w:proofErr w:type="spellEnd"/>
      <w:r w:rsidRPr="000613F4">
        <w:rPr>
          <w:rFonts w:ascii="Helvetica" w:hAnsi="Helvetica" w:cs="Helvetica"/>
          <w:color w:val="222222"/>
          <w:sz w:val="20"/>
          <w:szCs w:val="20"/>
          <w:lang w:eastAsia="en-AU"/>
        </w:rPr>
        <w:t xml:space="preserve"> Classic VZV IgG) against FAMA, the sensitivity and specificity of the assays ranged from 90.5% - 99.2% and 89.4% - 100%, respectively. A total of 638 sera collected from children, blood donors, VZV vaccine recipients and hematopoietic stem cell transplants were tested. The </w:t>
      </w:r>
      <w:proofErr w:type="spellStart"/>
      <w:r w:rsidRPr="000613F4">
        <w:rPr>
          <w:rFonts w:ascii="Helvetica" w:hAnsi="Helvetica" w:cs="Helvetica"/>
          <w:color w:val="222222"/>
          <w:sz w:val="20"/>
          <w:szCs w:val="20"/>
          <w:lang w:eastAsia="en-AU"/>
        </w:rPr>
        <w:t>Enzygnost</w:t>
      </w:r>
      <w:proofErr w:type="spellEnd"/>
      <w:r w:rsidRPr="000613F4">
        <w:rPr>
          <w:rFonts w:ascii="Helvetica" w:hAnsi="Helvetica" w:cs="Helvetica"/>
          <w:color w:val="222222"/>
          <w:sz w:val="20"/>
          <w:szCs w:val="20"/>
          <w:lang w:eastAsia="en-AU"/>
        </w:rPr>
        <w:t xml:space="preserve"> and </w:t>
      </w:r>
      <w:proofErr w:type="spellStart"/>
      <w:r w:rsidRPr="000613F4">
        <w:rPr>
          <w:rFonts w:ascii="Helvetica" w:hAnsi="Helvetica" w:cs="Helvetica"/>
          <w:color w:val="222222"/>
          <w:sz w:val="20"/>
          <w:szCs w:val="20"/>
          <w:lang w:eastAsia="en-AU"/>
        </w:rPr>
        <w:t>Euroimmun</w:t>
      </w:r>
      <w:proofErr w:type="spellEnd"/>
      <w:r w:rsidRPr="000613F4">
        <w:rPr>
          <w:rFonts w:ascii="Helvetica" w:hAnsi="Helvetica" w:cs="Helvetica"/>
          <w:color w:val="222222"/>
          <w:sz w:val="20"/>
          <w:szCs w:val="20"/>
          <w:lang w:eastAsia="en-AU"/>
        </w:rPr>
        <w:t xml:space="preserve"> assays are based on highly purified viral proteins, but the </w:t>
      </w:r>
      <w:proofErr w:type="spellStart"/>
      <w:r w:rsidRPr="000613F4">
        <w:rPr>
          <w:rFonts w:ascii="Helvetica" w:hAnsi="Helvetica" w:cs="Helvetica"/>
          <w:color w:val="222222"/>
          <w:sz w:val="20"/>
          <w:szCs w:val="20"/>
          <w:lang w:eastAsia="en-AU"/>
        </w:rPr>
        <w:t>Serion</w:t>
      </w:r>
      <w:proofErr w:type="spellEnd"/>
      <w:r w:rsidRPr="000613F4">
        <w:rPr>
          <w:rFonts w:ascii="Helvetica" w:hAnsi="Helvetica" w:cs="Helvetica"/>
          <w:color w:val="222222"/>
          <w:sz w:val="20"/>
          <w:szCs w:val="20"/>
          <w:lang w:eastAsia="en-AU"/>
        </w:rPr>
        <w:t xml:space="preserve"> assay is VZV glycoprotein based</w:t>
      </w:r>
      <w:hyperlink w:history="1" w:anchor="ref12" r:id="rId25">
        <w:r w:rsidRPr="000613F4">
          <w:rPr>
            <w:rFonts w:ascii="Helvetica" w:hAnsi="Helvetica" w:cs="Helvetica"/>
            <w:color w:val="1157AD"/>
            <w:sz w:val="15"/>
            <w:szCs w:val="15"/>
            <w:u w:val="single"/>
            <w:vertAlign w:val="superscript"/>
            <w:lang w:eastAsia="en-AU"/>
          </w:rPr>
          <w:t>12</w:t>
        </w:r>
      </w:hyperlink>
      <w:r w:rsidRPr="000613F4">
        <w:rPr>
          <w:rFonts w:ascii="Helvetica" w:hAnsi="Helvetica" w:cs="Helvetica"/>
          <w:color w:val="222222"/>
          <w:sz w:val="20"/>
          <w:szCs w:val="20"/>
          <w:lang w:eastAsia="en-AU"/>
        </w:rPr>
        <w:t>. In another study detecting VZV-IgG in sera collected from hospital patients, the sensitivity of fifteen commercial ELISAs ranged from 69.6% - 97.4% when compared to time resolved fluorescence immunoassay (TRIFA)</w:t>
      </w:r>
      <w:hyperlink w:history="1" w:anchor="ref13" r:id="rId26">
        <w:r w:rsidRPr="000613F4">
          <w:rPr>
            <w:rFonts w:ascii="Helvetica" w:hAnsi="Helvetica" w:cs="Helvetica"/>
            <w:color w:val="1157AD"/>
            <w:sz w:val="15"/>
            <w:szCs w:val="15"/>
            <w:u w:val="single"/>
            <w:vertAlign w:val="superscript"/>
            <w:lang w:eastAsia="en-AU"/>
          </w:rPr>
          <w:t>13</w:t>
        </w:r>
      </w:hyperlink>
      <w:r w:rsidRPr="000613F4">
        <w:rPr>
          <w:rFonts w:ascii="Helvetica" w:hAnsi="Helvetica" w:cs="Helvetica"/>
          <w:color w:val="222222"/>
          <w:sz w:val="20"/>
          <w:szCs w:val="20"/>
          <w:lang w:eastAsia="en-AU"/>
        </w:rPr>
        <w:t>. The least sensitive assays were however the most specific. Using TRIFA as the reference, one study determined that the sensitivity/specificity for CMIA and ELFA was 67%/100% and 54.5%/97.9% respectively in detecting VZV-IgG in pregnant women without a history of varicella infection</w:t>
      </w:r>
      <w:hyperlink w:history="1" w:anchor="ref14" r:id="rId27">
        <w:r w:rsidRPr="000613F4">
          <w:rPr>
            <w:rFonts w:ascii="Helvetica" w:hAnsi="Helvetica" w:cs="Helvetica"/>
            <w:color w:val="1157AD"/>
            <w:sz w:val="15"/>
            <w:szCs w:val="15"/>
            <w:u w:val="single"/>
            <w:vertAlign w:val="superscript"/>
            <w:lang w:eastAsia="en-AU"/>
          </w:rPr>
          <w:t>14</w:t>
        </w:r>
      </w:hyperlink>
      <w:r w:rsidRPr="000613F4">
        <w:rPr>
          <w:rFonts w:ascii="Helvetica" w:hAnsi="Helvetica" w:cs="Helvetica"/>
          <w:color w:val="222222"/>
          <w:sz w:val="20"/>
          <w:szCs w:val="20"/>
          <w:lang w:eastAsia="en-AU"/>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Look w:val="04A0" w:firstRow="1" w:lastRow="0" w:firstColumn="1" w:lastColumn="0" w:noHBand="0" w:noVBand="1"/>
        <w:tblCaption w:val="Table of test method and perfomance"/>
        <w:tblDescription w:val="Table of test method and perfomance"/>
      </w:tblPr>
      <w:tblGrid>
        <w:gridCol w:w="3020"/>
        <w:gridCol w:w="3020"/>
        <w:gridCol w:w="3020"/>
      </w:tblGrid>
      <w:tr w:rsidRPr="000613F4" w:rsidR="000613F4" w:rsidTr="000613F4" w14:paraId="2C70DBAF" w14:textId="77777777">
        <w:tc>
          <w:tcPr>
            <w:tcW w:w="1650" w:type="pct"/>
            <w:shd w:val="clear" w:color="auto" w:fill="E8F3FA"/>
            <w:tcMar>
              <w:top w:w="150" w:type="dxa"/>
              <w:left w:w="150" w:type="dxa"/>
              <w:bottom w:w="150" w:type="dxa"/>
              <w:right w:w="150" w:type="dxa"/>
            </w:tcMar>
            <w:hideMark/>
          </w:tcPr>
          <w:p w:rsidRPr="000613F4" w:rsidR="000613F4" w:rsidP="000613F4" w:rsidRDefault="000613F4" w14:paraId="4654B539" w14:textId="77777777">
            <w:pPr>
              <w:spacing w:after="300"/>
              <w:jc w:val="center"/>
              <w:rPr>
                <w:rFonts w:ascii="Helvetica" w:hAnsi="Helvetica" w:cs="Helvetica"/>
                <w:b/>
                <w:bCs/>
                <w:color w:val="222222"/>
                <w:sz w:val="20"/>
                <w:szCs w:val="20"/>
                <w:lang w:eastAsia="en-AU"/>
              </w:rPr>
            </w:pPr>
            <w:r w:rsidRPr="000613F4">
              <w:rPr>
                <w:rFonts w:ascii="Helvetica" w:hAnsi="Helvetica" w:cs="Helvetica"/>
                <w:b/>
                <w:bCs/>
                <w:color w:val="222222"/>
                <w:sz w:val="20"/>
                <w:szCs w:val="20"/>
                <w:lang w:eastAsia="en-AU"/>
              </w:rPr>
              <w:lastRenderedPageBreak/>
              <w:t>Test method</w:t>
            </w:r>
          </w:p>
        </w:tc>
        <w:tc>
          <w:tcPr>
            <w:tcW w:w="1650" w:type="pct"/>
            <w:shd w:val="clear" w:color="auto" w:fill="E8F3FA"/>
            <w:tcMar>
              <w:top w:w="150" w:type="dxa"/>
              <w:left w:w="150" w:type="dxa"/>
              <w:bottom w:w="150" w:type="dxa"/>
              <w:right w:w="150" w:type="dxa"/>
            </w:tcMar>
            <w:hideMark/>
          </w:tcPr>
          <w:p w:rsidRPr="000613F4" w:rsidR="000613F4" w:rsidP="000613F4" w:rsidRDefault="000613F4" w14:paraId="3AB91C08" w14:textId="77777777">
            <w:pPr>
              <w:spacing w:after="300"/>
              <w:jc w:val="center"/>
              <w:rPr>
                <w:rFonts w:ascii="Helvetica" w:hAnsi="Helvetica" w:cs="Helvetica"/>
                <w:b/>
                <w:bCs/>
                <w:color w:val="222222"/>
                <w:sz w:val="20"/>
                <w:szCs w:val="20"/>
                <w:lang w:eastAsia="en-AU"/>
              </w:rPr>
            </w:pPr>
            <w:r w:rsidRPr="000613F4">
              <w:rPr>
                <w:rFonts w:ascii="Helvetica" w:hAnsi="Helvetica" w:cs="Helvetica"/>
                <w:b/>
                <w:bCs/>
                <w:color w:val="222222"/>
                <w:sz w:val="20"/>
                <w:szCs w:val="20"/>
                <w:lang w:eastAsia="en-AU"/>
              </w:rPr>
              <w:t>Analytical sensitivity</w:t>
            </w:r>
          </w:p>
        </w:tc>
        <w:tc>
          <w:tcPr>
            <w:tcW w:w="1650" w:type="pct"/>
            <w:shd w:val="clear" w:color="auto" w:fill="E8F3FA"/>
            <w:tcMar>
              <w:top w:w="150" w:type="dxa"/>
              <w:left w:w="150" w:type="dxa"/>
              <w:bottom w:w="150" w:type="dxa"/>
              <w:right w:w="150" w:type="dxa"/>
            </w:tcMar>
            <w:hideMark/>
          </w:tcPr>
          <w:p w:rsidRPr="000613F4" w:rsidR="000613F4" w:rsidP="000613F4" w:rsidRDefault="000613F4" w14:paraId="6A752DF4" w14:textId="77777777">
            <w:pPr>
              <w:spacing w:after="300"/>
              <w:jc w:val="center"/>
              <w:rPr>
                <w:rFonts w:ascii="Helvetica" w:hAnsi="Helvetica" w:cs="Helvetica"/>
                <w:b/>
                <w:bCs/>
                <w:color w:val="222222"/>
                <w:sz w:val="20"/>
                <w:szCs w:val="20"/>
                <w:lang w:eastAsia="en-AU"/>
              </w:rPr>
            </w:pPr>
            <w:r w:rsidRPr="000613F4">
              <w:rPr>
                <w:rFonts w:ascii="Helvetica" w:hAnsi="Helvetica" w:cs="Helvetica"/>
                <w:b/>
                <w:bCs/>
                <w:color w:val="222222"/>
                <w:sz w:val="20"/>
                <w:szCs w:val="20"/>
                <w:lang w:eastAsia="en-AU"/>
              </w:rPr>
              <w:t>Analytical specificity</w:t>
            </w:r>
          </w:p>
        </w:tc>
      </w:tr>
      <w:tr w:rsidRPr="000613F4" w:rsidR="000613F4" w:rsidTr="000613F4" w14:paraId="58DA2AC4" w14:textId="77777777">
        <w:tc>
          <w:tcPr>
            <w:tcW w:w="1650" w:type="pct"/>
            <w:shd w:val="clear" w:color="auto" w:fill="FFFFFF"/>
            <w:tcMar>
              <w:top w:w="150" w:type="dxa"/>
              <w:left w:w="150" w:type="dxa"/>
              <w:bottom w:w="150" w:type="dxa"/>
              <w:right w:w="150" w:type="dxa"/>
            </w:tcMar>
            <w:hideMark/>
          </w:tcPr>
          <w:p w:rsidRPr="000613F4" w:rsidR="000613F4" w:rsidP="000613F4" w:rsidRDefault="000613F4" w14:paraId="00A88D96" w14:textId="77777777">
            <w:pPr>
              <w:spacing w:after="300"/>
              <w:jc w:val="center"/>
              <w:rPr>
                <w:rFonts w:ascii="Helvetica" w:hAnsi="Helvetica" w:cs="Helvetica"/>
                <w:color w:val="222222"/>
                <w:sz w:val="20"/>
                <w:szCs w:val="20"/>
                <w:lang w:eastAsia="en-AU"/>
              </w:rPr>
            </w:pPr>
            <w:r w:rsidRPr="000613F4">
              <w:rPr>
                <w:rFonts w:ascii="Helvetica" w:hAnsi="Helvetica" w:cs="Helvetica"/>
                <w:color w:val="222222"/>
                <w:sz w:val="20"/>
                <w:szCs w:val="20"/>
                <w:lang w:eastAsia="en-AU"/>
              </w:rPr>
              <w:t>ELISA</w:t>
            </w:r>
          </w:p>
        </w:tc>
        <w:tc>
          <w:tcPr>
            <w:tcW w:w="1650" w:type="pct"/>
            <w:shd w:val="clear" w:color="auto" w:fill="FFFFFF"/>
            <w:tcMar>
              <w:top w:w="150" w:type="dxa"/>
              <w:left w:w="150" w:type="dxa"/>
              <w:bottom w:w="150" w:type="dxa"/>
              <w:right w:w="150" w:type="dxa"/>
            </w:tcMar>
            <w:hideMark/>
          </w:tcPr>
          <w:p w:rsidRPr="000613F4" w:rsidR="000613F4" w:rsidP="000613F4" w:rsidRDefault="000613F4" w14:paraId="5D4C7221" w14:textId="77777777">
            <w:pPr>
              <w:spacing w:after="300"/>
              <w:jc w:val="center"/>
              <w:rPr>
                <w:rFonts w:ascii="Helvetica" w:hAnsi="Helvetica" w:cs="Helvetica"/>
                <w:color w:val="222222"/>
                <w:sz w:val="20"/>
                <w:szCs w:val="20"/>
                <w:lang w:eastAsia="en-AU"/>
              </w:rPr>
            </w:pPr>
            <w:r w:rsidRPr="000613F4">
              <w:rPr>
                <w:rFonts w:ascii="Helvetica" w:hAnsi="Helvetica" w:cs="Helvetica"/>
                <w:color w:val="222222"/>
                <w:sz w:val="20"/>
                <w:szCs w:val="20"/>
                <w:lang w:eastAsia="en-AU"/>
              </w:rPr>
              <w:t>69.6% - 99.2%</w:t>
            </w:r>
          </w:p>
        </w:tc>
        <w:tc>
          <w:tcPr>
            <w:tcW w:w="1650" w:type="pct"/>
            <w:shd w:val="clear" w:color="auto" w:fill="FFFFFF"/>
            <w:tcMar>
              <w:top w:w="150" w:type="dxa"/>
              <w:left w:w="150" w:type="dxa"/>
              <w:bottom w:w="150" w:type="dxa"/>
              <w:right w:w="150" w:type="dxa"/>
            </w:tcMar>
            <w:hideMark/>
          </w:tcPr>
          <w:p w:rsidRPr="000613F4" w:rsidR="000613F4" w:rsidP="000613F4" w:rsidRDefault="000613F4" w14:paraId="58C3567F" w14:textId="77777777">
            <w:pPr>
              <w:spacing w:after="300"/>
              <w:jc w:val="center"/>
              <w:rPr>
                <w:rFonts w:ascii="Helvetica" w:hAnsi="Helvetica" w:cs="Helvetica"/>
                <w:color w:val="222222"/>
                <w:sz w:val="20"/>
                <w:szCs w:val="20"/>
                <w:lang w:eastAsia="en-AU"/>
              </w:rPr>
            </w:pPr>
            <w:r w:rsidRPr="000613F4">
              <w:rPr>
                <w:rFonts w:ascii="Helvetica" w:hAnsi="Helvetica" w:cs="Helvetica"/>
                <w:color w:val="222222"/>
                <w:sz w:val="20"/>
                <w:szCs w:val="20"/>
                <w:lang w:eastAsia="en-AU"/>
              </w:rPr>
              <w:t>89.4% - 100%</w:t>
            </w:r>
          </w:p>
        </w:tc>
      </w:tr>
      <w:tr w:rsidRPr="000613F4" w:rsidR="000613F4" w:rsidTr="000613F4" w14:paraId="13FF24F0" w14:textId="77777777">
        <w:tc>
          <w:tcPr>
            <w:tcW w:w="1650" w:type="pct"/>
            <w:shd w:val="clear" w:color="auto" w:fill="FFFFFF"/>
            <w:tcMar>
              <w:top w:w="150" w:type="dxa"/>
              <w:left w:w="150" w:type="dxa"/>
              <w:bottom w:w="150" w:type="dxa"/>
              <w:right w:w="150" w:type="dxa"/>
            </w:tcMar>
            <w:hideMark/>
          </w:tcPr>
          <w:p w:rsidRPr="000613F4" w:rsidR="000613F4" w:rsidP="000613F4" w:rsidRDefault="000613F4" w14:paraId="44A778DF" w14:textId="77777777">
            <w:pPr>
              <w:spacing w:after="300"/>
              <w:jc w:val="center"/>
              <w:rPr>
                <w:rFonts w:ascii="Helvetica" w:hAnsi="Helvetica" w:cs="Helvetica"/>
                <w:color w:val="222222"/>
                <w:sz w:val="20"/>
                <w:szCs w:val="20"/>
                <w:lang w:eastAsia="en-AU"/>
              </w:rPr>
            </w:pPr>
            <w:r w:rsidRPr="000613F4">
              <w:rPr>
                <w:rFonts w:ascii="Helvetica" w:hAnsi="Helvetica" w:cs="Helvetica"/>
                <w:color w:val="222222"/>
                <w:sz w:val="20"/>
                <w:szCs w:val="20"/>
                <w:lang w:eastAsia="en-AU"/>
              </w:rPr>
              <w:t>CMIA</w:t>
            </w:r>
          </w:p>
        </w:tc>
        <w:tc>
          <w:tcPr>
            <w:tcW w:w="1650" w:type="pct"/>
            <w:shd w:val="clear" w:color="auto" w:fill="FFFFFF"/>
            <w:tcMar>
              <w:top w:w="150" w:type="dxa"/>
              <w:left w:w="150" w:type="dxa"/>
              <w:bottom w:w="150" w:type="dxa"/>
              <w:right w:w="150" w:type="dxa"/>
            </w:tcMar>
            <w:hideMark/>
          </w:tcPr>
          <w:p w:rsidRPr="000613F4" w:rsidR="000613F4" w:rsidP="000613F4" w:rsidRDefault="000613F4" w14:paraId="67D4CA6B" w14:textId="77777777">
            <w:pPr>
              <w:spacing w:after="300"/>
              <w:jc w:val="center"/>
              <w:rPr>
                <w:rFonts w:ascii="Helvetica" w:hAnsi="Helvetica" w:cs="Helvetica"/>
                <w:color w:val="222222"/>
                <w:sz w:val="20"/>
                <w:szCs w:val="20"/>
                <w:lang w:eastAsia="en-AU"/>
              </w:rPr>
            </w:pPr>
            <w:r w:rsidRPr="000613F4">
              <w:rPr>
                <w:rFonts w:ascii="Helvetica" w:hAnsi="Helvetica" w:cs="Helvetica"/>
                <w:color w:val="222222"/>
                <w:sz w:val="20"/>
                <w:szCs w:val="20"/>
                <w:lang w:eastAsia="en-AU"/>
              </w:rPr>
              <w:t>67%</w:t>
            </w:r>
          </w:p>
        </w:tc>
        <w:tc>
          <w:tcPr>
            <w:tcW w:w="1650" w:type="pct"/>
            <w:shd w:val="clear" w:color="auto" w:fill="FFFFFF"/>
            <w:tcMar>
              <w:top w:w="150" w:type="dxa"/>
              <w:left w:w="150" w:type="dxa"/>
              <w:bottom w:w="150" w:type="dxa"/>
              <w:right w:w="150" w:type="dxa"/>
            </w:tcMar>
            <w:hideMark/>
          </w:tcPr>
          <w:p w:rsidRPr="000613F4" w:rsidR="000613F4" w:rsidP="000613F4" w:rsidRDefault="000613F4" w14:paraId="696648AE" w14:textId="77777777">
            <w:pPr>
              <w:spacing w:after="300"/>
              <w:jc w:val="center"/>
              <w:rPr>
                <w:rFonts w:ascii="Helvetica" w:hAnsi="Helvetica" w:cs="Helvetica"/>
                <w:color w:val="222222"/>
                <w:sz w:val="20"/>
                <w:szCs w:val="20"/>
                <w:lang w:eastAsia="en-AU"/>
              </w:rPr>
            </w:pPr>
            <w:r w:rsidRPr="000613F4">
              <w:rPr>
                <w:rFonts w:ascii="Helvetica" w:hAnsi="Helvetica" w:cs="Helvetica"/>
                <w:color w:val="222222"/>
                <w:sz w:val="20"/>
                <w:szCs w:val="20"/>
                <w:lang w:eastAsia="en-AU"/>
              </w:rPr>
              <w:t>100%</w:t>
            </w:r>
          </w:p>
        </w:tc>
      </w:tr>
      <w:tr w:rsidRPr="000613F4" w:rsidR="000613F4" w:rsidTr="000613F4" w14:paraId="725F1389" w14:textId="77777777">
        <w:tc>
          <w:tcPr>
            <w:tcW w:w="1650" w:type="pct"/>
            <w:shd w:val="clear" w:color="auto" w:fill="FFFFFF"/>
            <w:tcMar>
              <w:top w:w="150" w:type="dxa"/>
              <w:left w:w="150" w:type="dxa"/>
              <w:bottom w:w="150" w:type="dxa"/>
              <w:right w:w="150" w:type="dxa"/>
            </w:tcMar>
            <w:hideMark/>
          </w:tcPr>
          <w:p w:rsidRPr="000613F4" w:rsidR="000613F4" w:rsidP="000613F4" w:rsidRDefault="000613F4" w14:paraId="3E38C9FA" w14:textId="77777777">
            <w:pPr>
              <w:spacing w:after="300"/>
              <w:jc w:val="center"/>
              <w:rPr>
                <w:rFonts w:ascii="Helvetica" w:hAnsi="Helvetica" w:cs="Helvetica"/>
                <w:color w:val="222222"/>
                <w:sz w:val="20"/>
                <w:szCs w:val="20"/>
                <w:lang w:eastAsia="en-AU"/>
              </w:rPr>
            </w:pPr>
            <w:r w:rsidRPr="000613F4">
              <w:rPr>
                <w:rFonts w:ascii="Helvetica" w:hAnsi="Helvetica" w:cs="Helvetica"/>
                <w:color w:val="222222"/>
                <w:sz w:val="20"/>
                <w:szCs w:val="20"/>
                <w:lang w:eastAsia="en-AU"/>
              </w:rPr>
              <w:t>ELFA</w:t>
            </w:r>
          </w:p>
        </w:tc>
        <w:tc>
          <w:tcPr>
            <w:tcW w:w="1650" w:type="pct"/>
            <w:shd w:val="clear" w:color="auto" w:fill="FFFFFF"/>
            <w:tcMar>
              <w:top w:w="150" w:type="dxa"/>
              <w:left w:w="150" w:type="dxa"/>
              <w:bottom w:w="150" w:type="dxa"/>
              <w:right w:w="150" w:type="dxa"/>
            </w:tcMar>
            <w:hideMark/>
          </w:tcPr>
          <w:p w:rsidRPr="000613F4" w:rsidR="000613F4" w:rsidP="000613F4" w:rsidRDefault="000613F4" w14:paraId="23A95DE7" w14:textId="77777777">
            <w:pPr>
              <w:spacing w:after="300"/>
              <w:jc w:val="center"/>
              <w:rPr>
                <w:rFonts w:ascii="Helvetica" w:hAnsi="Helvetica" w:cs="Helvetica"/>
                <w:color w:val="222222"/>
                <w:sz w:val="20"/>
                <w:szCs w:val="20"/>
                <w:lang w:eastAsia="en-AU"/>
              </w:rPr>
            </w:pPr>
            <w:r w:rsidRPr="000613F4">
              <w:rPr>
                <w:rFonts w:ascii="Helvetica" w:hAnsi="Helvetica" w:cs="Helvetica"/>
                <w:color w:val="222222"/>
                <w:sz w:val="20"/>
                <w:szCs w:val="20"/>
                <w:lang w:eastAsia="en-AU"/>
              </w:rPr>
              <w:t>54.5%</w:t>
            </w:r>
          </w:p>
        </w:tc>
        <w:tc>
          <w:tcPr>
            <w:tcW w:w="1650" w:type="pct"/>
            <w:shd w:val="clear" w:color="auto" w:fill="FFFFFF"/>
            <w:tcMar>
              <w:top w:w="150" w:type="dxa"/>
              <w:left w:w="150" w:type="dxa"/>
              <w:bottom w:w="150" w:type="dxa"/>
              <w:right w:w="150" w:type="dxa"/>
            </w:tcMar>
            <w:hideMark/>
          </w:tcPr>
          <w:p w:rsidRPr="000613F4" w:rsidR="000613F4" w:rsidP="000613F4" w:rsidRDefault="000613F4" w14:paraId="338437D7" w14:textId="77777777">
            <w:pPr>
              <w:spacing w:after="300"/>
              <w:jc w:val="center"/>
              <w:rPr>
                <w:rFonts w:ascii="Helvetica" w:hAnsi="Helvetica" w:cs="Helvetica"/>
                <w:color w:val="222222"/>
                <w:sz w:val="20"/>
                <w:szCs w:val="20"/>
                <w:lang w:eastAsia="en-AU"/>
              </w:rPr>
            </w:pPr>
            <w:r w:rsidRPr="000613F4">
              <w:rPr>
                <w:rFonts w:ascii="Helvetica" w:hAnsi="Helvetica" w:cs="Helvetica"/>
                <w:color w:val="222222"/>
                <w:sz w:val="20"/>
                <w:szCs w:val="20"/>
                <w:lang w:eastAsia="en-AU"/>
              </w:rPr>
              <w:t>97.9%</w:t>
            </w:r>
          </w:p>
        </w:tc>
      </w:tr>
    </w:tbl>
    <w:p w:rsidRPr="000613F4" w:rsidR="000613F4" w:rsidP="000613F4" w:rsidRDefault="000613F4" w14:paraId="447D6635" w14:textId="77777777">
      <w:pPr>
        <w:shd w:val="clear" w:color="auto" w:fill="FFFFFF"/>
        <w:spacing w:before="240" w:after="240" w:line="300" w:lineRule="atLeast"/>
        <w:rPr>
          <w:rFonts w:ascii="Helvetica" w:hAnsi="Helvetica" w:cs="Helvetica"/>
          <w:color w:val="222222"/>
          <w:sz w:val="20"/>
          <w:szCs w:val="20"/>
          <w:lang w:eastAsia="en-AU"/>
        </w:rPr>
      </w:pPr>
      <w:r w:rsidRPr="000613F4">
        <w:rPr>
          <w:rFonts w:ascii="Helvetica" w:hAnsi="Helvetica" w:cs="Helvetica"/>
          <w:color w:val="222222"/>
          <w:sz w:val="15"/>
          <w:szCs w:val="15"/>
          <w:vertAlign w:val="superscript"/>
          <w:lang w:eastAsia="en-AU"/>
        </w:rPr>
        <w:t>*</w:t>
      </w:r>
      <w:r w:rsidRPr="000613F4">
        <w:rPr>
          <w:rFonts w:ascii="Helvetica" w:hAnsi="Helvetica" w:cs="Helvetica"/>
          <w:color w:val="222222"/>
          <w:sz w:val="20"/>
          <w:szCs w:val="20"/>
          <w:lang w:eastAsia="en-AU"/>
        </w:rPr>
        <w:t> equivocal results were considered negative</w:t>
      </w:r>
    </w:p>
    <w:p w:rsidRPr="000613F4" w:rsidR="000613F4" w:rsidP="000613F4" w:rsidRDefault="000613F4" w14:paraId="19C6C76A" w14:textId="77777777">
      <w:pPr>
        <w:shd w:val="clear" w:color="auto" w:fill="FFFFFF"/>
        <w:spacing w:after="120"/>
        <w:outlineLvl w:val="3"/>
        <w:rPr>
          <w:rFonts w:ascii="Open Sans" w:hAnsi="Open Sans" w:cs="Open Sans"/>
          <w:color w:val="000000"/>
          <w:sz w:val="24"/>
          <w:lang w:eastAsia="en-AU"/>
        </w:rPr>
      </w:pPr>
      <w:r w:rsidRPr="000613F4">
        <w:rPr>
          <w:rFonts w:ascii="Open Sans" w:hAnsi="Open Sans" w:cs="Open Sans"/>
          <w:color w:val="000000"/>
          <w:sz w:val="24"/>
          <w:lang w:eastAsia="en-AU"/>
        </w:rPr>
        <w:t>3.3.3 Predictive Value and Relevant Populations</w:t>
      </w:r>
    </w:p>
    <w:p w:rsidRPr="000613F4" w:rsidR="000613F4" w:rsidP="000613F4" w:rsidRDefault="000613F4" w14:paraId="79DCDDE9" w14:textId="77777777">
      <w:pPr>
        <w:shd w:val="clear" w:color="auto" w:fill="FFFFFF"/>
        <w:spacing w:after="24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Relevant populations for testing, apart from clinical indications, include possible screening for prenatal/antenatal care programmes, and determining immunity status in healthcare workers.</w:t>
      </w:r>
    </w:p>
    <w:p w:rsidRPr="000613F4" w:rsidR="000613F4" w:rsidP="000613F4" w:rsidRDefault="000613F4" w14:paraId="293A1A86" w14:textId="77777777">
      <w:pPr>
        <w:shd w:val="clear" w:color="auto" w:fill="FFFFFF"/>
        <w:spacing w:after="120"/>
        <w:outlineLvl w:val="3"/>
        <w:rPr>
          <w:rFonts w:ascii="Open Sans" w:hAnsi="Open Sans" w:cs="Open Sans"/>
          <w:color w:val="000000"/>
          <w:sz w:val="24"/>
          <w:lang w:eastAsia="en-AU"/>
        </w:rPr>
      </w:pPr>
      <w:r w:rsidRPr="000613F4">
        <w:rPr>
          <w:rFonts w:ascii="Open Sans" w:hAnsi="Open Sans" w:cs="Open Sans"/>
          <w:color w:val="000000"/>
          <w:sz w:val="24"/>
          <w:lang w:eastAsia="en-AU"/>
        </w:rPr>
        <w:t>3.3.4 Suitable Reference Controls</w:t>
      </w:r>
    </w:p>
    <w:p w:rsidRPr="000613F4" w:rsidR="000613F4" w:rsidP="000613F4" w:rsidRDefault="000613F4" w14:paraId="3518494B" w14:textId="77777777">
      <w:pPr>
        <w:shd w:val="clear" w:color="auto" w:fill="FFFFFF"/>
        <w:spacing w:after="24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Human serum containing IgG and IgM antibodies to VZV antigens is provided as a reference within commercial kits.</w:t>
      </w:r>
    </w:p>
    <w:p w:rsidRPr="000613F4" w:rsidR="000613F4" w:rsidP="000613F4" w:rsidRDefault="000613F4" w14:paraId="7FC08813" w14:textId="77777777">
      <w:pPr>
        <w:shd w:val="clear" w:color="auto" w:fill="FFFFFF"/>
        <w:spacing w:after="120"/>
        <w:outlineLvl w:val="3"/>
        <w:rPr>
          <w:rFonts w:ascii="Open Sans" w:hAnsi="Open Sans" w:cs="Open Sans"/>
          <w:color w:val="000000"/>
          <w:sz w:val="24"/>
          <w:lang w:eastAsia="en-AU"/>
        </w:rPr>
      </w:pPr>
      <w:r w:rsidRPr="000613F4">
        <w:rPr>
          <w:rFonts w:ascii="Open Sans" w:hAnsi="Open Sans" w:cs="Open Sans"/>
          <w:color w:val="000000"/>
          <w:sz w:val="24"/>
          <w:lang w:eastAsia="en-AU"/>
        </w:rPr>
        <w:t>3.3.5 Suitable External (QAP) Programme(s)</w:t>
      </w:r>
    </w:p>
    <w:p w:rsidRPr="000613F4" w:rsidR="000613F4" w:rsidP="000613F4" w:rsidRDefault="000613F4" w14:paraId="3644E76B" w14:textId="01B4536A">
      <w:pPr>
        <w:shd w:val="clear" w:color="auto" w:fill="FFFFFF"/>
        <w:spacing w:after="24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A QAP for VZV-specific antibody detection is available through the Royal College of Pathologists of Australasia.</w:t>
      </w:r>
    </w:p>
    <w:p w:rsidRPr="000613F4" w:rsidR="000613F4" w:rsidP="000613F4" w:rsidRDefault="000613F4" w14:paraId="0C6EB1C4" w14:textId="77777777">
      <w:pPr>
        <w:shd w:val="clear" w:color="auto" w:fill="FFFFFF"/>
        <w:spacing w:before="240" w:after="120"/>
        <w:outlineLvl w:val="2"/>
        <w:rPr>
          <w:rFonts w:ascii="Open Sans" w:hAnsi="Open Sans" w:cs="Open Sans"/>
          <w:color w:val="000000"/>
          <w:sz w:val="27"/>
          <w:szCs w:val="27"/>
          <w:lang w:eastAsia="en-AU"/>
        </w:rPr>
      </w:pPr>
      <w:r w:rsidRPr="000613F4">
        <w:rPr>
          <w:rFonts w:ascii="Open Sans" w:hAnsi="Open Sans" w:cs="Open Sans"/>
          <w:color w:val="000000"/>
          <w:sz w:val="27"/>
          <w:szCs w:val="27"/>
          <w:lang w:eastAsia="en-AU"/>
        </w:rPr>
        <w:t>3.4 Direct Immunofluorescence Assay</w:t>
      </w:r>
    </w:p>
    <w:p w:rsidRPr="000613F4" w:rsidR="000613F4" w:rsidP="000613F4" w:rsidRDefault="000613F4" w14:paraId="0DA66108" w14:textId="77777777">
      <w:pPr>
        <w:shd w:val="clear" w:color="auto" w:fill="FFFFFF"/>
        <w:spacing w:after="24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 xml:space="preserve">Specific fluorescent-antibody detection of VZV antigen is a rapid, </w:t>
      </w:r>
      <w:proofErr w:type="gramStart"/>
      <w:r w:rsidRPr="000613F4">
        <w:rPr>
          <w:rFonts w:ascii="Helvetica" w:hAnsi="Helvetica" w:cs="Helvetica"/>
          <w:color w:val="222222"/>
          <w:sz w:val="20"/>
          <w:szCs w:val="20"/>
          <w:lang w:eastAsia="en-AU"/>
        </w:rPr>
        <w:t>simple</w:t>
      </w:r>
      <w:proofErr w:type="gramEnd"/>
      <w:r w:rsidRPr="000613F4">
        <w:rPr>
          <w:rFonts w:ascii="Helvetica" w:hAnsi="Helvetica" w:cs="Helvetica"/>
          <w:color w:val="222222"/>
          <w:sz w:val="20"/>
          <w:szCs w:val="20"/>
          <w:lang w:eastAsia="en-AU"/>
        </w:rPr>
        <w:t xml:space="preserve"> and practical method for early diagnosis. Swabs or scrapings from lesions are spread over a 10 mm diameter area in 50 mL of saline on a clean microscope slide and air dried. The slides are fixed in cold acetone for 10 minutes and stained with a fluorescein–labelled conjugate (monoclonal antibody - VZV glycoprotein complex gp98-gp62) containing Evans Blue counterstain (e.g., </w:t>
      </w:r>
      <w:proofErr w:type="spellStart"/>
      <w:r w:rsidRPr="000613F4">
        <w:rPr>
          <w:rFonts w:ascii="Helvetica" w:hAnsi="Helvetica" w:cs="Helvetica"/>
          <w:color w:val="222222"/>
          <w:sz w:val="20"/>
          <w:szCs w:val="20"/>
          <w:lang w:eastAsia="en-AU"/>
        </w:rPr>
        <w:t>MeriFluor</w:t>
      </w:r>
      <w:proofErr w:type="spellEnd"/>
      <w:r w:rsidRPr="000613F4">
        <w:rPr>
          <w:rFonts w:ascii="Helvetica" w:hAnsi="Helvetica" w:cs="Helvetica"/>
          <w:color w:val="222222"/>
          <w:sz w:val="20"/>
          <w:szCs w:val="20"/>
          <w:lang w:eastAsia="en-AU"/>
        </w:rPr>
        <w:t xml:space="preserve"> VZV, Meridian Bioscience, Inc., Cincinnati, USA). Slides are read using fluorescent microscopy. At the time of writing, there is no monoclonal antibody detecting VZV that is registered on the Australian Register of Therapeutic Goods (ARTG</w:t>
      </w:r>
      <w:proofErr w:type="gramStart"/>
      <w:r w:rsidRPr="000613F4">
        <w:rPr>
          <w:rFonts w:ascii="Helvetica" w:hAnsi="Helvetica" w:cs="Helvetica"/>
          <w:color w:val="222222"/>
          <w:sz w:val="20"/>
          <w:szCs w:val="20"/>
          <w:lang w:eastAsia="en-AU"/>
        </w:rPr>
        <w:t>),</w:t>
      </w:r>
      <w:proofErr w:type="gramEnd"/>
      <w:r w:rsidRPr="000613F4">
        <w:rPr>
          <w:rFonts w:ascii="Helvetica" w:hAnsi="Helvetica" w:cs="Helvetica"/>
          <w:color w:val="222222"/>
          <w:sz w:val="20"/>
          <w:szCs w:val="20"/>
          <w:lang w:eastAsia="en-AU"/>
        </w:rPr>
        <w:t xml:space="preserve"> hence it is anticipated that laboratories performing immunofluorescence assays are importing the reagents outside the ARTG.</w:t>
      </w:r>
    </w:p>
    <w:p w:rsidRPr="000613F4" w:rsidR="000613F4" w:rsidP="000613F4" w:rsidRDefault="000613F4" w14:paraId="42E5258E" w14:textId="77777777">
      <w:pPr>
        <w:shd w:val="clear" w:color="auto" w:fill="FFFFFF"/>
        <w:spacing w:after="120"/>
        <w:outlineLvl w:val="3"/>
        <w:rPr>
          <w:rFonts w:ascii="Open Sans" w:hAnsi="Open Sans" w:cs="Open Sans"/>
          <w:color w:val="000000"/>
          <w:sz w:val="24"/>
          <w:lang w:eastAsia="en-AU"/>
        </w:rPr>
      </w:pPr>
      <w:r w:rsidRPr="000613F4">
        <w:rPr>
          <w:rFonts w:ascii="Open Sans" w:hAnsi="Open Sans" w:cs="Open Sans"/>
          <w:color w:val="000000"/>
          <w:sz w:val="24"/>
          <w:lang w:eastAsia="en-AU"/>
        </w:rPr>
        <w:t>3.4.1 Test Sensitivity</w:t>
      </w:r>
    </w:p>
    <w:p w:rsidRPr="000613F4" w:rsidR="000613F4" w:rsidP="000613F4" w:rsidRDefault="000613F4" w14:paraId="6BDE9485" w14:textId="77777777">
      <w:pPr>
        <w:shd w:val="clear" w:color="auto" w:fill="FFFFFF"/>
        <w:spacing w:after="24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The sensitivity and negative predictive value of the DFA is reported in the range of 97-98% when compared to cell culture</w:t>
      </w:r>
      <w:hyperlink w:history="1" w:anchor="ref15" r:id="rId29">
        <w:r w:rsidRPr="000613F4">
          <w:rPr>
            <w:rFonts w:ascii="Helvetica" w:hAnsi="Helvetica" w:cs="Helvetica"/>
            <w:color w:val="1157AD"/>
            <w:sz w:val="15"/>
            <w:szCs w:val="15"/>
            <w:u w:val="single"/>
            <w:vertAlign w:val="superscript"/>
            <w:lang w:eastAsia="en-AU"/>
          </w:rPr>
          <w:t>15</w:t>
        </w:r>
      </w:hyperlink>
      <w:r w:rsidRPr="000613F4">
        <w:rPr>
          <w:rFonts w:ascii="Helvetica" w:hAnsi="Helvetica" w:cs="Helvetica"/>
          <w:color w:val="222222"/>
          <w:sz w:val="20"/>
          <w:szCs w:val="20"/>
          <w:lang w:eastAsia="en-AU"/>
        </w:rPr>
        <w:t>. In another study of 60 samples, VZV was detected in 34 (77%) and 44(100%) using DFA and an in-house developed PCR</w:t>
      </w:r>
      <w:hyperlink w:history="1" w:anchor="ref16" r:id="rId30">
        <w:r w:rsidRPr="000613F4">
          <w:rPr>
            <w:rFonts w:ascii="Helvetica" w:hAnsi="Helvetica" w:cs="Helvetica"/>
            <w:color w:val="1157AD"/>
            <w:sz w:val="15"/>
            <w:szCs w:val="15"/>
            <w:u w:val="single"/>
            <w:vertAlign w:val="superscript"/>
            <w:lang w:eastAsia="en-AU"/>
          </w:rPr>
          <w:t>16</w:t>
        </w:r>
      </w:hyperlink>
      <w:r w:rsidRPr="000613F4">
        <w:rPr>
          <w:rFonts w:ascii="Helvetica" w:hAnsi="Helvetica" w:cs="Helvetica"/>
          <w:color w:val="222222"/>
          <w:sz w:val="20"/>
          <w:szCs w:val="20"/>
          <w:lang w:eastAsia="en-AU"/>
        </w:rPr>
        <w:t>, respectively.</w:t>
      </w:r>
    </w:p>
    <w:p w:rsidRPr="000613F4" w:rsidR="000613F4" w:rsidP="000613F4" w:rsidRDefault="000613F4" w14:paraId="54F4ADA6" w14:textId="77777777">
      <w:pPr>
        <w:keepNext/>
        <w:shd w:val="clear" w:color="auto" w:fill="FFFFFF"/>
        <w:spacing w:after="120"/>
        <w:outlineLvl w:val="3"/>
        <w:rPr>
          <w:rFonts w:ascii="Open Sans" w:hAnsi="Open Sans" w:cs="Open Sans"/>
          <w:color w:val="000000"/>
          <w:sz w:val="24"/>
          <w:lang w:eastAsia="en-AU"/>
        </w:rPr>
      </w:pPr>
      <w:r w:rsidRPr="000613F4">
        <w:rPr>
          <w:rFonts w:ascii="Open Sans" w:hAnsi="Open Sans" w:cs="Open Sans"/>
          <w:color w:val="000000"/>
          <w:sz w:val="24"/>
          <w:lang w:eastAsia="en-AU"/>
        </w:rPr>
        <w:lastRenderedPageBreak/>
        <w:t>3.4.2 Test Specificity</w:t>
      </w:r>
    </w:p>
    <w:p w:rsidRPr="000613F4" w:rsidR="000613F4" w:rsidP="000613F4" w:rsidRDefault="000613F4" w14:paraId="49B6928B" w14:textId="77777777">
      <w:pPr>
        <w:shd w:val="clear" w:color="auto" w:fill="FFFFFF"/>
        <w:spacing w:after="24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When clinical diagnosis is used as the gold standard, DFA is 100% specific for VZV.</w:t>
      </w:r>
    </w:p>
    <w:p w:rsidRPr="000613F4" w:rsidR="000613F4" w:rsidP="000613F4" w:rsidRDefault="000613F4" w14:paraId="7C20C525" w14:textId="77777777">
      <w:pPr>
        <w:shd w:val="clear" w:color="auto" w:fill="FFFFFF"/>
        <w:spacing w:after="120"/>
        <w:outlineLvl w:val="3"/>
        <w:rPr>
          <w:rFonts w:ascii="Open Sans" w:hAnsi="Open Sans" w:cs="Open Sans"/>
          <w:color w:val="000000"/>
          <w:sz w:val="24"/>
          <w:lang w:eastAsia="en-AU"/>
        </w:rPr>
      </w:pPr>
      <w:r w:rsidRPr="000613F4">
        <w:rPr>
          <w:rFonts w:ascii="Open Sans" w:hAnsi="Open Sans" w:cs="Open Sans"/>
          <w:color w:val="000000"/>
          <w:sz w:val="24"/>
          <w:lang w:eastAsia="en-AU"/>
        </w:rPr>
        <w:t>3.4.3 Suitable Test Acceptance Criteria</w:t>
      </w:r>
    </w:p>
    <w:p w:rsidRPr="000613F4" w:rsidR="000613F4" w:rsidP="6CCF24CD" w:rsidRDefault="000613F4" w14:paraId="103816CD" w14:textId="77777777" w14:noSpellErr="1">
      <w:pPr>
        <w:shd w:val="clear" w:color="auto" w:fill="FFFFFF" w:themeFill="background1"/>
        <w:spacing w:after="240" w:line="300" w:lineRule="atLeast"/>
        <w:rPr>
          <w:rFonts w:ascii="Helvetica" w:hAnsi="Helvetica" w:cs="Helvetica"/>
          <w:color w:val="222222"/>
          <w:sz w:val="20"/>
          <w:szCs w:val="20"/>
          <w:lang w:eastAsia="en-AU"/>
        </w:rPr>
      </w:pPr>
      <w:r w:rsidRPr="6CCF24CD" w:rsidR="000613F4">
        <w:rPr>
          <w:rFonts w:ascii="Helvetica" w:hAnsi="Helvetica" w:cs="Helvetica"/>
          <w:color w:val="222222"/>
          <w:sz w:val="20"/>
          <w:szCs w:val="20"/>
          <w:lang w:eastAsia="en-AU"/>
        </w:rPr>
        <w:t>Staining of a second cell smear with a bivalent fluorescein isothiocyanate-conjugated mouse monoclonal antibody specific for both h</w:t>
      </w:r>
      <w:r w:rsidRPr="6CCF24CD" w:rsidR="000613F4">
        <w:rPr>
          <w:rFonts w:ascii="Helvetica" w:hAnsi="Helvetica" w:cs="Helvetica"/>
          <w:i w:val="1"/>
          <w:iCs w:val="1"/>
          <w:color w:val="222222"/>
          <w:sz w:val="20"/>
          <w:szCs w:val="20"/>
          <w:lang w:eastAsia="en-AU"/>
        </w:rPr>
        <w:t>erpes simplex virus</w:t>
      </w:r>
      <w:r w:rsidRPr="6CCF24CD" w:rsidR="000613F4">
        <w:rPr>
          <w:rFonts w:ascii="Helvetica" w:hAnsi="Helvetica" w:cs="Helvetica"/>
          <w:color w:val="222222"/>
          <w:sz w:val="20"/>
          <w:szCs w:val="20"/>
          <w:lang w:eastAsia="en-AU"/>
        </w:rPr>
        <w:t xml:space="preserve"> types 1 and 2 (HSV-1, HSV-2).</w:t>
      </w:r>
    </w:p>
    <w:p w:rsidRPr="000613F4" w:rsidR="000613F4" w:rsidP="000613F4" w:rsidRDefault="000613F4" w14:paraId="52CF81C6" w14:textId="77777777">
      <w:pPr>
        <w:shd w:val="clear" w:color="auto" w:fill="FFFFFF"/>
        <w:spacing w:after="120"/>
        <w:outlineLvl w:val="3"/>
        <w:rPr>
          <w:rFonts w:ascii="Open Sans" w:hAnsi="Open Sans" w:cs="Open Sans"/>
          <w:color w:val="000000"/>
          <w:sz w:val="24"/>
          <w:lang w:eastAsia="en-AU"/>
        </w:rPr>
      </w:pPr>
      <w:r w:rsidRPr="000613F4">
        <w:rPr>
          <w:rFonts w:ascii="Open Sans" w:hAnsi="Open Sans" w:cs="Open Sans"/>
          <w:color w:val="000000"/>
          <w:sz w:val="24"/>
          <w:lang w:eastAsia="en-AU"/>
        </w:rPr>
        <w:t>3.4.4 Suitable Reference Controls</w:t>
      </w:r>
    </w:p>
    <w:p w:rsidRPr="000613F4" w:rsidR="000613F4" w:rsidP="000613F4" w:rsidRDefault="000613F4" w14:paraId="7DB277D2" w14:textId="77777777">
      <w:pPr>
        <w:shd w:val="clear" w:color="auto" w:fill="FFFFFF"/>
        <w:spacing w:after="24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Incorporation of appropriate positive VZV and HSV antigen control slides.</w:t>
      </w:r>
    </w:p>
    <w:p w:rsidRPr="000613F4" w:rsidR="000613F4" w:rsidP="000613F4" w:rsidRDefault="000613F4" w14:paraId="42ABACE6" w14:textId="77777777">
      <w:pPr>
        <w:shd w:val="clear" w:color="auto" w:fill="FFFFFF"/>
        <w:spacing w:after="120"/>
        <w:outlineLvl w:val="2"/>
        <w:rPr>
          <w:rFonts w:ascii="Open Sans" w:hAnsi="Open Sans" w:cs="Open Sans"/>
          <w:color w:val="000000"/>
          <w:sz w:val="27"/>
          <w:szCs w:val="27"/>
          <w:lang w:eastAsia="en-AU"/>
        </w:rPr>
      </w:pPr>
      <w:r w:rsidRPr="000613F4">
        <w:rPr>
          <w:rFonts w:ascii="Open Sans" w:hAnsi="Open Sans" w:cs="Open Sans"/>
          <w:color w:val="000000"/>
          <w:sz w:val="27"/>
          <w:szCs w:val="27"/>
          <w:lang w:eastAsia="en-AU"/>
        </w:rPr>
        <w:t>3.5 Cell Culture</w:t>
      </w:r>
    </w:p>
    <w:p w:rsidRPr="000613F4" w:rsidR="000613F4" w:rsidP="000613F4" w:rsidRDefault="000613F4" w14:paraId="4F14C5E6" w14:textId="77777777">
      <w:pPr>
        <w:shd w:val="clear" w:color="auto" w:fill="FFFFFF"/>
        <w:spacing w:after="24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 xml:space="preserve">Viral isolation in conventional cell culture was previously considered to be the definitive diagnostic test for the detection of VZV, but it no longer performed by </w:t>
      </w:r>
      <w:proofErr w:type="gramStart"/>
      <w:r w:rsidRPr="000613F4">
        <w:rPr>
          <w:rFonts w:ascii="Helvetica" w:hAnsi="Helvetica" w:cs="Helvetica"/>
          <w:color w:val="222222"/>
          <w:sz w:val="20"/>
          <w:szCs w:val="20"/>
          <w:lang w:eastAsia="en-AU"/>
        </w:rPr>
        <w:t>the majority of</w:t>
      </w:r>
      <w:proofErr w:type="gramEnd"/>
      <w:r w:rsidRPr="000613F4">
        <w:rPr>
          <w:rFonts w:ascii="Helvetica" w:hAnsi="Helvetica" w:cs="Helvetica"/>
          <w:color w:val="222222"/>
          <w:sz w:val="20"/>
          <w:szCs w:val="20"/>
          <w:lang w:eastAsia="en-AU"/>
        </w:rPr>
        <w:t xml:space="preserve"> routine diagnostic laboratories. The growth of VZV in culture can be difficult and turnaround times are too slow, hence results are not available in clinically relevant timeframes. Tubes of human diploid lung fibroblasts (e.g., MRC-5; ATCC, Rockville, USA) are inoculated with 0.2 mL of clinical specimen and incubated at 37ºC and examined daily for cytopathic effects (CPE) for the first 7 days and then every other day for 21 days. Shell vial cultures can also be performed, with no compromise in sensitivity of test performance. Direct immunofluorescence is used to confirm suspected VZV isolates. Note comment above about the lack of a monoclonal antibodies for confirmation of VZV on the ARTG.</w:t>
      </w:r>
    </w:p>
    <w:p w:rsidRPr="000613F4" w:rsidR="000613F4" w:rsidP="000613F4" w:rsidRDefault="000613F4" w14:paraId="6AF8FA4B" w14:textId="77777777">
      <w:pPr>
        <w:shd w:val="clear" w:color="auto" w:fill="FFFFFF"/>
        <w:spacing w:after="120"/>
        <w:outlineLvl w:val="3"/>
        <w:rPr>
          <w:rFonts w:ascii="Open Sans" w:hAnsi="Open Sans" w:cs="Open Sans"/>
          <w:color w:val="000000"/>
          <w:sz w:val="24"/>
          <w:lang w:eastAsia="en-AU"/>
        </w:rPr>
      </w:pPr>
      <w:r w:rsidRPr="000613F4">
        <w:rPr>
          <w:rFonts w:ascii="Open Sans" w:hAnsi="Open Sans" w:cs="Open Sans"/>
          <w:color w:val="000000"/>
          <w:sz w:val="24"/>
          <w:lang w:eastAsia="en-AU"/>
        </w:rPr>
        <w:t>3.5.1 Test Sensitivity</w:t>
      </w:r>
    </w:p>
    <w:p w:rsidRPr="000613F4" w:rsidR="000613F4" w:rsidP="000613F4" w:rsidRDefault="000613F4" w14:paraId="6CA7051B" w14:textId="77777777">
      <w:pPr>
        <w:shd w:val="clear" w:color="auto" w:fill="FFFFFF"/>
        <w:spacing w:after="24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Viral culture has a reported sensitivity ranging from 49.4%</w:t>
      </w:r>
      <w:hyperlink w:history="1" w:anchor="ref15" r:id="rId31">
        <w:r w:rsidRPr="000613F4">
          <w:rPr>
            <w:rFonts w:ascii="Helvetica" w:hAnsi="Helvetica" w:cs="Helvetica"/>
            <w:color w:val="1157AD"/>
            <w:sz w:val="15"/>
            <w:szCs w:val="15"/>
            <w:u w:val="single"/>
            <w:vertAlign w:val="superscript"/>
            <w:lang w:eastAsia="en-AU"/>
          </w:rPr>
          <w:t>15</w:t>
        </w:r>
      </w:hyperlink>
      <w:r w:rsidRPr="000613F4">
        <w:rPr>
          <w:rFonts w:ascii="Helvetica" w:hAnsi="Helvetica" w:cs="Helvetica"/>
          <w:color w:val="222222"/>
          <w:sz w:val="20"/>
          <w:szCs w:val="20"/>
          <w:lang w:eastAsia="en-AU"/>
        </w:rPr>
        <w:t> to 65%</w:t>
      </w:r>
      <w:hyperlink w:history="1" w:anchor="ref17" r:id="rId32">
        <w:r w:rsidRPr="000613F4">
          <w:rPr>
            <w:rFonts w:ascii="Helvetica" w:hAnsi="Helvetica" w:cs="Helvetica"/>
            <w:color w:val="1157AD"/>
            <w:sz w:val="15"/>
            <w:szCs w:val="15"/>
            <w:u w:val="single"/>
            <w:vertAlign w:val="superscript"/>
            <w:lang w:eastAsia="en-AU"/>
          </w:rPr>
          <w:t>17</w:t>
        </w:r>
      </w:hyperlink>
      <w:r w:rsidRPr="000613F4">
        <w:rPr>
          <w:rFonts w:ascii="Helvetica" w:hAnsi="Helvetica" w:cs="Helvetica"/>
          <w:color w:val="222222"/>
          <w:sz w:val="20"/>
          <w:szCs w:val="20"/>
          <w:lang w:eastAsia="en-AU"/>
        </w:rPr>
        <w:t>. The sensitivity of VZV culture is also dependant on the speed of processing after specimen collection and the age of the sampling lesion as VZV is labile and difficult to culture from lesions that are over 5 days old</w:t>
      </w:r>
      <w:hyperlink w:history="1" w:anchor="ref18" r:id="rId33">
        <w:r w:rsidRPr="000613F4">
          <w:rPr>
            <w:rFonts w:ascii="Helvetica" w:hAnsi="Helvetica" w:cs="Helvetica"/>
            <w:color w:val="1157AD"/>
            <w:sz w:val="15"/>
            <w:szCs w:val="15"/>
            <w:u w:val="single"/>
            <w:vertAlign w:val="superscript"/>
            <w:lang w:eastAsia="en-AU"/>
          </w:rPr>
          <w:t>18</w:t>
        </w:r>
      </w:hyperlink>
      <w:r w:rsidRPr="000613F4">
        <w:rPr>
          <w:rFonts w:ascii="Helvetica" w:hAnsi="Helvetica" w:cs="Helvetica"/>
          <w:color w:val="222222"/>
          <w:sz w:val="20"/>
          <w:szCs w:val="20"/>
          <w:lang w:eastAsia="en-AU"/>
        </w:rPr>
        <w:t>. Suggestion has been made that the administration of antiviral therapy prior to sampling may slow down the propagation of VZV in culture.</w:t>
      </w:r>
    </w:p>
    <w:p w:rsidRPr="000613F4" w:rsidR="000613F4" w:rsidP="000613F4" w:rsidRDefault="000613F4" w14:paraId="5E7BD25F" w14:textId="77777777">
      <w:pPr>
        <w:shd w:val="clear" w:color="auto" w:fill="FFFFFF"/>
        <w:spacing w:after="120"/>
        <w:outlineLvl w:val="3"/>
        <w:rPr>
          <w:rFonts w:ascii="Open Sans" w:hAnsi="Open Sans" w:cs="Open Sans"/>
          <w:color w:val="000000"/>
          <w:sz w:val="24"/>
          <w:lang w:eastAsia="en-AU"/>
        </w:rPr>
      </w:pPr>
      <w:r w:rsidRPr="000613F4">
        <w:rPr>
          <w:rFonts w:ascii="Open Sans" w:hAnsi="Open Sans" w:cs="Open Sans"/>
          <w:color w:val="000000"/>
          <w:sz w:val="24"/>
          <w:lang w:eastAsia="en-AU"/>
        </w:rPr>
        <w:t>3.5.2 Test Specificity</w:t>
      </w:r>
    </w:p>
    <w:p w:rsidRPr="000613F4" w:rsidR="000613F4" w:rsidP="000613F4" w:rsidRDefault="000613F4" w14:paraId="4F426033" w14:textId="77777777">
      <w:pPr>
        <w:shd w:val="clear" w:color="auto" w:fill="FFFFFF"/>
        <w:spacing w:after="24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VZV culture is a presumptive test based on observation of focal CPE in MRC-5 cells. CPE appears as small groups of swollen, granular, refractile cells progressing linearly along the long axis of the fibroblasts. VZV CPE can then be confirmed with PCR or DFA.</w:t>
      </w:r>
    </w:p>
    <w:p w:rsidRPr="000613F4" w:rsidR="000613F4" w:rsidP="000613F4" w:rsidRDefault="000613F4" w14:paraId="40716EA0" w14:textId="77777777">
      <w:pPr>
        <w:shd w:val="clear" w:color="auto" w:fill="FFFFFF"/>
        <w:spacing w:after="120"/>
        <w:outlineLvl w:val="1"/>
        <w:rPr>
          <w:rFonts w:ascii="Open Sans" w:hAnsi="Open Sans" w:cs="Open Sans"/>
          <w:color w:val="000000"/>
          <w:sz w:val="36"/>
          <w:szCs w:val="36"/>
          <w:lang w:eastAsia="en-AU"/>
        </w:rPr>
      </w:pPr>
      <w:r w:rsidRPr="000613F4">
        <w:rPr>
          <w:rFonts w:ascii="Open Sans" w:hAnsi="Open Sans" w:cs="Open Sans"/>
          <w:color w:val="000000"/>
          <w:sz w:val="36"/>
          <w:szCs w:val="36"/>
          <w:lang w:eastAsia="en-AU"/>
        </w:rPr>
        <w:t>4 Typing &amp; subtyping</w:t>
      </w:r>
    </w:p>
    <w:p w:rsidRPr="000613F4" w:rsidR="000613F4" w:rsidP="000613F4" w:rsidRDefault="000613F4" w14:paraId="5AADD1C1" w14:textId="77777777">
      <w:pPr>
        <w:shd w:val="clear" w:color="auto" w:fill="FFFFFF"/>
        <w:spacing w:before="240" w:after="120"/>
        <w:outlineLvl w:val="2"/>
        <w:rPr>
          <w:rFonts w:ascii="Open Sans" w:hAnsi="Open Sans" w:cs="Open Sans"/>
          <w:color w:val="000000"/>
          <w:sz w:val="27"/>
          <w:szCs w:val="27"/>
          <w:lang w:eastAsia="en-AU"/>
        </w:rPr>
      </w:pPr>
      <w:r w:rsidRPr="000613F4">
        <w:rPr>
          <w:rFonts w:ascii="Open Sans" w:hAnsi="Open Sans" w:cs="Open Sans"/>
          <w:color w:val="000000"/>
          <w:sz w:val="27"/>
          <w:szCs w:val="27"/>
          <w:lang w:eastAsia="en-AU"/>
        </w:rPr>
        <w:t>4.1 Genotyping Methods</w:t>
      </w:r>
    </w:p>
    <w:p w:rsidRPr="000613F4" w:rsidR="000613F4" w:rsidP="000613F4" w:rsidRDefault="000613F4" w14:paraId="5954CCF4" w14:textId="77777777">
      <w:pPr>
        <w:shd w:val="clear" w:color="auto" w:fill="FFFFFF"/>
        <w:spacing w:after="24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 xml:space="preserve">VZV infection caused by wild-type or vaccine strains of the virus can be differentiated by genotyping. Three methods are in current use to geographically distinguish between the </w:t>
      </w:r>
      <w:proofErr w:type="spellStart"/>
      <w:r w:rsidRPr="000613F4">
        <w:rPr>
          <w:rFonts w:ascii="Helvetica" w:hAnsi="Helvetica" w:cs="Helvetica"/>
          <w:color w:val="222222"/>
          <w:sz w:val="20"/>
          <w:szCs w:val="20"/>
          <w:lang w:eastAsia="en-AU"/>
        </w:rPr>
        <w:t>vOka</w:t>
      </w:r>
      <w:proofErr w:type="spellEnd"/>
      <w:r w:rsidRPr="000613F4">
        <w:rPr>
          <w:rFonts w:ascii="Helvetica" w:hAnsi="Helvetica" w:cs="Helvetica"/>
          <w:color w:val="222222"/>
          <w:sz w:val="20"/>
          <w:szCs w:val="20"/>
          <w:lang w:eastAsia="en-AU"/>
        </w:rPr>
        <w:t xml:space="preserve"> and the following VZV wild-type stains: African/Asian (A), European (B), European (C) and Japanese (</w:t>
      </w:r>
      <w:proofErr w:type="spellStart"/>
      <w:r w:rsidRPr="000613F4">
        <w:rPr>
          <w:rFonts w:ascii="Helvetica" w:hAnsi="Helvetica" w:cs="Helvetica"/>
          <w:color w:val="222222"/>
          <w:sz w:val="20"/>
          <w:szCs w:val="20"/>
          <w:lang w:eastAsia="en-AU"/>
        </w:rPr>
        <w:t>pOka</w:t>
      </w:r>
      <w:proofErr w:type="spellEnd"/>
      <w:r w:rsidRPr="000613F4">
        <w:rPr>
          <w:rFonts w:ascii="Helvetica" w:hAnsi="Helvetica" w:cs="Helvetica"/>
          <w:color w:val="222222"/>
          <w:sz w:val="20"/>
          <w:szCs w:val="20"/>
          <w:lang w:eastAsia="en-AU"/>
        </w:rPr>
        <w:t xml:space="preserve">, European) (J). The varicella vaccine strain </w:t>
      </w:r>
      <w:proofErr w:type="spellStart"/>
      <w:r w:rsidRPr="000613F4">
        <w:rPr>
          <w:rFonts w:ascii="Helvetica" w:hAnsi="Helvetica" w:cs="Helvetica"/>
          <w:color w:val="222222"/>
          <w:sz w:val="20"/>
          <w:szCs w:val="20"/>
          <w:lang w:eastAsia="en-AU"/>
        </w:rPr>
        <w:t>vOka</w:t>
      </w:r>
      <w:proofErr w:type="spellEnd"/>
      <w:r w:rsidRPr="000613F4">
        <w:rPr>
          <w:rFonts w:ascii="Helvetica" w:hAnsi="Helvetica" w:cs="Helvetica"/>
          <w:color w:val="222222"/>
          <w:sz w:val="20"/>
          <w:szCs w:val="20"/>
          <w:lang w:eastAsia="en-AU"/>
        </w:rPr>
        <w:t xml:space="preserve"> (</w:t>
      </w:r>
      <w:proofErr w:type="spellStart"/>
      <w:r w:rsidRPr="000613F4">
        <w:rPr>
          <w:rFonts w:ascii="Helvetica" w:hAnsi="Helvetica" w:cs="Helvetica"/>
          <w:color w:val="222222"/>
          <w:sz w:val="20"/>
          <w:szCs w:val="20"/>
          <w:lang w:eastAsia="en-AU"/>
        </w:rPr>
        <w:t>Varivax</w:t>
      </w:r>
      <w:proofErr w:type="spellEnd"/>
      <w:r w:rsidRPr="000613F4">
        <w:rPr>
          <w:rFonts w:ascii="Helvetica" w:hAnsi="Helvetica" w:cs="Helvetica"/>
          <w:color w:val="222222"/>
          <w:sz w:val="15"/>
          <w:szCs w:val="15"/>
          <w:vertAlign w:val="superscript"/>
          <w:lang w:eastAsia="en-AU"/>
        </w:rPr>
        <w:t>®</w:t>
      </w:r>
      <w:r w:rsidRPr="000613F4">
        <w:rPr>
          <w:rFonts w:ascii="Helvetica" w:hAnsi="Helvetica" w:cs="Helvetica"/>
          <w:color w:val="222222"/>
          <w:sz w:val="20"/>
          <w:szCs w:val="20"/>
          <w:lang w:eastAsia="en-AU"/>
        </w:rPr>
        <w:t xml:space="preserve"> and </w:t>
      </w:r>
      <w:proofErr w:type="spellStart"/>
      <w:r w:rsidRPr="000613F4">
        <w:rPr>
          <w:rFonts w:ascii="Helvetica" w:hAnsi="Helvetica" w:cs="Helvetica"/>
          <w:color w:val="222222"/>
          <w:sz w:val="20"/>
          <w:szCs w:val="20"/>
          <w:lang w:eastAsia="en-AU"/>
        </w:rPr>
        <w:t>Varilrix</w:t>
      </w:r>
      <w:proofErr w:type="spellEnd"/>
      <w:r w:rsidRPr="000613F4">
        <w:rPr>
          <w:rFonts w:ascii="Helvetica" w:hAnsi="Helvetica" w:cs="Helvetica"/>
          <w:color w:val="222222"/>
          <w:sz w:val="20"/>
          <w:szCs w:val="20"/>
          <w:lang w:eastAsia="en-AU"/>
        </w:rPr>
        <w:t> </w:t>
      </w:r>
      <w:r w:rsidRPr="000613F4">
        <w:rPr>
          <w:rFonts w:ascii="Helvetica" w:hAnsi="Helvetica" w:cs="Helvetica"/>
          <w:color w:val="222222"/>
          <w:sz w:val="15"/>
          <w:szCs w:val="15"/>
          <w:vertAlign w:val="superscript"/>
          <w:lang w:eastAsia="en-AU"/>
        </w:rPr>
        <w:t>®</w:t>
      </w:r>
      <w:r w:rsidRPr="000613F4">
        <w:rPr>
          <w:rFonts w:ascii="Helvetica" w:hAnsi="Helvetica" w:cs="Helvetica"/>
          <w:color w:val="222222"/>
          <w:sz w:val="20"/>
          <w:szCs w:val="20"/>
          <w:lang w:eastAsia="en-AU"/>
        </w:rPr>
        <w:t xml:space="preserve">) and VZV wild-type strain ‘Dumas’ (NCBI </w:t>
      </w:r>
      <w:proofErr w:type="spellStart"/>
      <w:r w:rsidRPr="000613F4">
        <w:rPr>
          <w:rFonts w:ascii="Helvetica" w:hAnsi="Helvetica" w:cs="Helvetica"/>
          <w:color w:val="222222"/>
          <w:sz w:val="20"/>
          <w:szCs w:val="20"/>
          <w:lang w:eastAsia="en-AU"/>
        </w:rPr>
        <w:t>Genbank</w:t>
      </w:r>
      <w:proofErr w:type="spellEnd"/>
      <w:r w:rsidRPr="000613F4">
        <w:rPr>
          <w:rFonts w:ascii="Helvetica" w:hAnsi="Helvetica" w:cs="Helvetica"/>
          <w:color w:val="222222"/>
          <w:sz w:val="20"/>
          <w:szCs w:val="20"/>
          <w:lang w:eastAsia="en-AU"/>
        </w:rPr>
        <w:t xml:space="preserve"> Accession No. X04370) are used as laboratory reference control strains.</w:t>
      </w:r>
    </w:p>
    <w:p w:rsidRPr="000613F4" w:rsidR="000613F4" w:rsidP="000613F4" w:rsidRDefault="000613F4" w14:paraId="25477F70" w14:textId="77777777">
      <w:pPr>
        <w:shd w:val="clear" w:color="auto" w:fill="FFFFFF"/>
        <w:spacing w:after="120"/>
        <w:outlineLvl w:val="3"/>
        <w:rPr>
          <w:rFonts w:ascii="Open Sans" w:hAnsi="Open Sans" w:cs="Open Sans"/>
          <w:color w:val="000000"/>
          <w:sz w:val="24"/>
          <w:lang w:eastAsia="en-AU"/>
        </w:rPr>
      </w:pPr>
      <w:r w:rsidRPr="000613F4">
        <w:rPr>
          <w:rFonts w:ascii="Open Sans" w:hAnsi="Open Sans" w:cs="Open Sans"/>
          <w:color w:val="000000"/>
          <w:sz w:val="24"/>
          <w:lang w:eastAsia="en-AU"/>
        </w:rPr>
        <w:lastRenderedPageBreak/>
        <w:t>4.1.1 Multi-SNP (Single Nucleotide Polymorphism) genotyping of strains</w:t>
      </w:r>
    </w:p>
    <w:p w:rsidRPr="000613F4" w:rsidR="000613F4" w:rsidP="000613F4" w:rsidRDefault="000613F4" w14:paraId="283010BA" w14:textId="60553A5F">
      <w:pPr>
        <w:shd w:val="clear" w:color="auto" w:fill="FFFFFF"/>
        <w:spacing w:after="24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SNP genotyping of VZV strains is achieved by the detection of gene mutations by allelic discrimination using gene specific probes (dual labelled)</w:t>
      </w:r>
      <w:hyperlink w:history="1" w:anchor="ref19" r:id="rId34">
        <w:r w:rsidRPr="000613F4">
          <w:rPr>
            <w:rFonts w:ascii="Helvetica" w:hAnsi="Helvetica" w:cs="Helvetica"/>
            <w:color w:val="1157AD"/>
            <w:sz w:val="15"/>
            <w:szCs w:val="15"/>
            <w:u w:val="single"/>
            <w:vertAlign w:val="superscript"/>
            <w:lang w:eastAsia="en-AU"/>
          </w:rPr>
          <w:t>19</w:t>
        </w:r>
      </w:hyperlink>
      <w:r w:rsidRPr="000613F4">
        <w:rPr>
          <w:rFonts w:ascii="Helvetica" w:hAnsi="Helvetica" w:cs="Helvetica"/>
          <w:color w:val="222222"/>
          <w:sz w:val="20"/>
          <w:szCs w:val="20"/>
          <w:lang w:eastAsia="en-AU"/>
        </w:rPr>
        <w:t> or the High Resolution Melt (HRM) analysis of a temperature shift in a melt curve detected by a dsDNA saturating fluorescent dye</w:t>
      </w:r>
      <w:hyperlink w:history="1" w:anchor="ref20" r:id="rId35">
        <w:r w:rsidRPr="000613F4">
          <w:rPr>
            <w:rFonts w:ascii="Helvetica" w:hAnsi="Helvetica" w:cs="Helvetica"/>
            <w:color w:val="1157AD"/>
            <w:sz w:val="15"/>
            <w:szCs w:val="15"/>
            <w:u w:val="single"/>
            <w:vertAlign w:val="superscript"/>
            <w:lang w:eastAsia="en-AU"/>
          </w:rPr>
          <w:t>20</w:t>
        </w:r>
      </w:hyperlink>
      <w:r w:rsidRPr="000613F4">
        <w:rPr>
          <w:rFonts w:ascii="Helvetica" w:hAnsi="Helvetica" w:cs="Helvetica"/>
          <w:color w:val="222222"/>
          <w:sz w:val="20"/>
          <w:szCs w:val="20"/>
          <w:lang w:eastAsia="en-AU"/>
        </w:rPr>
        <w:t xml:space="preserve">. The five VZV gene targets, ORF 1, 21 37, 60 and 62 can be used to discriminate </w:t>
      </w:r>
      <w:proofErr w:type="spellStart"/>
      <w:r w:rsidRPr="000613F4">
        <w:rPr>
          <w:rFonts w:ascii="Helvetica" w:hAnsi="Helvetica" w:cs="Helvetica"/>
          <w:color w:val="222222"/>
          <w:sz w:val="20"/>
          <w:szCs w:val="20"/>
          <w:lang w:eastAsia="en-AU"/>
        </w:rPr>
        <w:t>vOka</w:t>
      </w:r>
      <w:proofErr w:type="spellEnd"/>
      <w:r w:rsidRPr="000613F4">
        <w:rPr>
          <w:rFonts w:ascii="Helvetica" w:hAnsi="Helvetica" w:cs="Helvetica"/>
          <w:color w:val="222222"/>
          <w:sz w:val="20"/>
          <w:szCs w:val="20"/>
          <w:lang w:eastAsia="en-AU"/>
        </w:rPr>
        <w:t xml:space="preserve"> from wild-type strains.</w:t>
      </w:r>
    </w:p>
    <w:p w:rsidRPr="000613F4" w:rsidR="000613F4" w:rsidP="000613F4" w:rsidRDefault="000613F4" w14:paraId="56FE80F1" w14:textId="77777777">
      <w:pPr>
        <w:shd w:val="clear" w:color="auto" w:fill="FFFFFF"/>
        <w:spacing w:before="240" w:after="120"/>
        <w:outlineLvl w:val="3"/>
        <w:rPr>
          <w:rFonts w:ascii="Open Sans" w:hAnsi="Open Sans" w:cs="Open Sans"/>
          <w:color w:val="000000"/>
          <w:sz w:val="24"/>
          <w:lang w:eastAsia="en-AU"/>
        </w:rPr>
      </w:pPr>
      <w:r w:rsidRPr="000613F4">
        <w:rPr>
          <w:rFonts w:ascii="Open Sans" w:hAnsi="Open Sans" w:cs="Open Sans"/>
          <w:color w:val="000000"/>
          <w:sz w:val="24"/>
          <w:lang w:eastAsia="en-AU"/>
        </w:rPr>
        <w:t>4.1.2 DNA sequence variation in ORF 22</w:t>
      </w:r>
    </w:p>
    <w:p w:rsidRPr="000613F4" w:rsidR="000613F4" w:rsidP="000613F4" w:rsidRDefault="000613F4" w14:paraId="7CA5816D" w14:textId="77777777">
      <w:pPr>
        <w:shd w:val="clear" w:color="auto" w:fill="FFFFFF"/>
        <w:spacing w:after="24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This genotyping method is based on DNA sequencing of a short region in VZV ORF 22. Four polymorphic positions in a 447-bp fragment of ORF 22</w:t>
      </w:r>
      <w:hyperlink w:history="1" w:anchor="ref21" r:id="rId37">
        <w:r w:rsidRPr="000613F4">
          <w:rPr>
            <w:rFonts w:ascii="Helvetica" w:hAnsi="Helvetica" w:cs="Helvetica"/>
            <w:color w:val="1157AD"/>
            <w:sz w:val="15"/>
            <w:szCs w:val="15"/>
            <w:u w:val="single"/>
            <w:vertAlign w:val="superscript"/>
            <w:lang w:eastAsia="en-AU"/>
          </w:rPr>
          <w:t>21</w:t>
        </w:r>
      </w:hyperlink>
      <w:r w:rsidRPr="000613F4">
        <w:rPr>
          <w:rFonts w:ascii="Helvetica" w:hAnsi="Helvetica" w:cs="Helvetica"/>
          <w:color w:val="222222"/>
          <w:sz w:val="20"/>
          <w:szCs w:val="20"/>
          <w:lang w:eastAsia="en-AU"/>
        </w:rPr>
        <w:t> distinguish European strains from Japanese (J) and mosaic (M1-M4) strains.</w:t>
      </w:r>
    </w:p>
    <w:p w:rsidRPr="000613F4" w:rsidR="000613F4" w:rsidP="000613F4" w:rsidRDefault="000613F4" w14:paraId="746337AB" w14:textId="77777777">
      <w:pPr>
        <w:shd w:val="clear" w:color="auto" w:fill="FFFFFF"/>
        <w:spacing w:after="120"/>
        <w:outlineLvl w:val="3"/>
        <w:rPr>
          <w:rFonts w:ascii="Open Sans" w:hAnsi="Open Sans" w:cs="Open Sans"/>
          <w:color w:val="000000"/>
          <w:sz w:val="24"/>
          <w:lang w:eastAsia="en-AU"/>
        </w:rPr>
      </w:pPr>
      <w:r w:rsidRPr="000613F4">
        <w:rPr>
          <w:rFonts w:ascii="Open Sans" w:hAnsi="Open Sans" w:cs="Open Sans"/>
          <w:color w:val="000000"/>
          <w:sz w:val="24"/>
          <w:lang w:eastAsia="en-AU"/>
        </w:rPr>
        <w:t>4.1.3 PCR-RFLP</w:t>
      </w:r>
    </w:p>
    <w:p w:rsidRPr="000613F4" w:rsidR="000613F4" w:rsidP="000613F4" w:rsidRDefault="000613F4" w14:paraId="1D5B8BBE" w14:textId="77777777">
      <w:pPr>
        <w:shd w:val="clear" w:color="auto" w:fill="FFFFFF"/>
        <w:spacing w:after="24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 xml:space="preserve">PCR followed by restriction fragment length (PCR-RFLP) analysis of two polymorphic loci – a </w:t>
      </w:r>
      <w:proofErr w:type="spellStart"/>
      <w:r w:rsidRPr="000613F4">
        <w:rPr>
          <w:rFonts w:ascii="Helvetica" w:hAnsi="Helvetica" w:cs="Helvetica"/>
          <w:color w:val="222222"/>
          <w:sz w:val="20"/>
          <w:szCs w:val="20"/>
          <w:lang w:eastAsia="en-AU"/>
        </w:rPr>
        <w:t>PstI</w:t>
      </w:r>
      <w:proofErr w:type="spellEnd"/>
      <w:r w:rsidRPr="000613F4">
        <w:rPr>
          <w:rFonts w:ascii="Helvetica" w:hAnsi="Helvetica" w:cs="Helvetica"/>
          <w:color w:val="222222"/>
          <w:sz w:val="20"/>
          <w:szCs w:val="20"/>
          <w:lang w:eastAsia="en-AU"/>
        </w:rPr>
        <w:t xml:space="preserve"> restriction site in ORF 38, and a </w:t>
      </w:r>
      <w:proofErr w:type="spellStart"/>
      <w:r w:rsidRPr="000613F4">
        <w:rPr>
          <w:rFonts w:ascii="Helvetica" w:hAnsi="Helvetica" w:cs="Helvetica"/>
          <w:color w:val="222222"/>
          <w:sz w:val="20"/>
          <w:szCs w:val="20"/>
          <w:lang w:eastAsia="en-AU"/>
        </w:rPr>
        <w:t>BglI</w:t>
      </w:r>
      <w:proofErr w:type="spellEnd"/>
      <w:r w:rsidRPr="000613F4">
        <w:rPr>
          <w:rFonts w:ascii="Helvetica" w:hAnsi="Helvetica" w:cs="Helvetica"/>
          <w:color w:val="222222"/>
          <w:sz w:val="20"/>
          <w:szCs w:val="20"/>
          <w:lang w:eastAsia="en-AU"/>
        </w:rPr>
        <w:t xml:space="preserve"> restriction site in ORF 54</w:t>
      </w:r>
      <w:hyperlink w:history="1" w:anchor="ref22" r:id="rId38">
        <w:r w:rsidRPr="000613F4">
          <w:rPr>
            <w:rFonts w:ascii="Helvetica" w:hAnsi="Helvetica" w:cs="Helvetica"/>
            <w:color w:val="1157AD"/>
            <w:sz w:val="15"/>
            <w:szCs w:val="15"/>
            <w:u w:val="single"/>
            <w:vertAlign w:val="superscript"/>
            <w:lang w:eastAsia="en-AU"/>
          </w:rPr>
          <w:t>22,23</w:t>
        </w:r>
      </w:hyperlink>
      <w:r w:rsidRPr="000613F4">
        <w:rPr>
          <w:rFonts w:ascii="Helvetica" w:hAnsi="Helvetica" w:cs="Helvetica"/>
          <w:color w:val="222222"/>
          <w:sz w:val="20"/>
          <w:szCs w:val="20"/>
          <w:lang w:eastAsia="en-AU"/>
        </w:rPr>
        <w:t xml:space="preserve">. This method separates VZV wild-type isolates from the Oka vaccine strain. The vaccine virus strain is </w:t>
      </w:r>
      <w:proofErr w:type="spellStart"/>
      <w:r w:rsidRPr="000613F4">
        <w:rPr>
          <w:rFonts w:ascii="Helvetica" w:hAnsi="Helvetica" w:cs="Helvetica"/>
          <w:color w:val="222222"/>
          <w:sz w:val="20"/>
          <w:szCs w:val="20"/>
          <w:lang w:eastAsia="en-AU"/>
        </w:rPr>
        <w:t>PstI</w:t>
      </w:r>
      <w:proofErr w:type="spellEnd"/>
      <w:r w:rsidRPr="000613F4">
        <w:rPr>
          <w:rFonts w:ascii="Helvetica" w:hAnsi="Helvetica" w:cs="Helvetica"/>
          <w:color w:val="222222"/>
          <w:sz w:val="20"/>
          <w:szCs w:val="20"/>
          <w:lang w:eastAsia="en-AU"/>
        </w:rPr>
        <w:t xml:space="preserve"> ¯ </w:t>
      </w:r>
      <w:proofErr w:type="spellStart"/>
      <w:r w:rsidRPr="000613F4">
        <w:rPr>
          <w:rFonts w:ascii="Helvetica" w:hAnsi="Helvetica" w:cs="Helvetica"/>
          <w:color w:val="222222"/>
          <w:sz w:val="20"/>
          <w:szCs w:val="20"/>
          <w:lang w:eastAsia="en-AU"/>
        </w:rPr>
        <w:t>BglII</w:t>
      </w:r>
      <w:proofErr w:type="spellEnd"/>
      <w:r w:rsidRPr="000613F4">
        <w:rPr>
          <w:rFonts w:ascii="Helvetica" w:hAnsi="Helvetica" w:cs="Helvetica"/>
          <w:color w:val="222222"/>
          <w:sz w:val="20"/>
          <w:szCs w:val="20"/>
          <w:lang w:eastAsia="en-AU"/>
        </w:rPr>
        <w:t>+ at these loci.</w:t>
      </w:r>
    </w:p>
    <w:p w:rsidRPr="000613F4" w:rsidR="000613F4" w:rsidP="000613F4" w:rsidRDefault="000613F4" w14:paraId="5C0CABCC" w14:textId="77777777">
      <w:pPr>
        <w:shd w:val="clear" w:color="auto" w:fill="FFFFFF"/>
        <w:spacing w:after="120"/>
        <w:outlineLvl w:val="3"/>
        <w:rPr>
          <w:rFonts w:ascii="Open Sans" w:hAnsi="Open Sans" w:cs="Open Sans"/>
          <w:color w:val="000000"/>
          <w:sz w:val="24"/>
          <w:lang w:eastAsia="en-AU"/>
        </w:rPr>
      </w:pPr>
      <w:r w:rsidRPr="000613F4">
        <w:rPr>
          <w:rFonts w:ascii="Open Sans" w:hAnsi="Open Sans" w:cs="Open Sans"/>
          <w:color w:val="000000"/>
          <w:sz w:val="24"/>
          <w:lang w:eastAsia="en-AU"/>
        </w:rPr>
        <w:t>4.1.4 Whole genome sequencing</w:t>
      </w:r>
    </w:p>
    <w:p w:rsidRPr="000613F4" w:rsidR="000613F4" w:rsidP="000613F4" w:rsidRDefault="000613F4" w14:paraId="6D279EA7" w14:textId="77777777">
      <w:pPr>
        <w:shd w:val="clear" w:color="auto" w:fill="FFFFFF"/>
        <w:spacing w:after="240" w:line="300" w:lineRule="atLeast"/>
        <w:rPr>
          <w:rFonts w:ascii="Helvetica" w:hAnsi="Helvetica" w:cs="Helvetica"/>
          <w:color w:val="222222"/>
          <w:sz w:val="20"/>
          <w:szCs w:val="20"/>
          <w:lang w:eastAsia="en-AU"/>
        </w:rPr>
      </w:pPr>
      <w:r w:rsidRPr="000613F4">
        <w:rPr>
          <w:rFonts w:ascii="Helvetica" w:hAnsi="Helvetica" w:cs="Helvetica"/>
          <w:color w:val="222222"/>
          <w:sz w:val="20"/>
          <w:szCs w:val="20"/>
          <w:lang w:eastAsia="en-AU"/>
        </w:rPr>
        <w:t>Whole genome sequencing of VZV can be performed, however, is generally limited to reference laboratories. In general, most laboratories that perform genotyping do so using a limited set of targeted SNPs, although such an approach may not accurately discriminate some clades by investigating SNPs that are not clade specific.</w:t>
      </w:r>
    </w:p>
    <w:p w:rsidRPr="000613F4" w:rsidR="000613F4" w:rsidP="000613F4" w:rsidRDefault="000613F4" w14:paraId="23FE5BF0" w14:textId="77777777">
      <w:pPr>
        <w:shd w:val="clear" w:color="auto" w:fill="FFFFFF"/>
        <w:spacing w:after="120"/>
        <w:outlineLvl w:val="1"/>
        <w:rPr>
          <w:rFonts w:ascii="Open Sans" w:hAnsi="Open Sans" w:cs="Open Sans"/>
          <w:color w:val="000000"/>
          <w:sz w:val="36"/>
          <w:szCs w:val="36"/>
          <w:lang w:eastAsia="en-AU"/>
        </w:rPr>
      </w:pPr>
      <w:r w:rsidRPr="000613F4">
        <w:rPr>
          <w:rFonts w:ascii="Open Sans" w:hAnsi="Open Sans" w:cs="Open Sans"/>
          <w:color w:val="000000"/>
          <w:sz w:val="36"/>
          <w:szCs w:val="36"/>
          <w:lang w:eastAsia="en-AU"/>
        </w:rPr>
        <w:t>5 Laboratory Nomenclature for National Database Dictionary</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Look w:val="04A0" w:firstRow="1" w:lastRow="0" w:firstColumn="1" w:lastColumn="0" w:noHBand="0" w:noVBand="1"/>
        <w:tblCaption w:val="Table of Laboratory Nomenclature for National Database Dictionary"/>
        <w:tblDescription w:val="Table of Laboratory Nomenclature for National Database Dictionary"/>
      </w:tblPr>
      <w:tblGrid>
        <w:gridCol w:w="7162"/>
        <w:gridCol w:w="1898"/>
      </w:tblGrid>
      <w:tr w:rsidRPr="000613F4" w:rsidR="000613F4" w:rsidTr="000613F4" w14:paraId="03E83006" w14:textId="77777777">
        <w:trPr>
          <w:tblHeader/>
        </w:trPr>
        <w:tc>
          <w:tcPr>
            <w:tcW w:w="0" w:type="auto"/>
            <w:shd w:val="clear" w:color="auto" w:fill="E8F3FA"/>
            <w:tcMar>
              <w:top w:w="150" w:type="dxa"/>
              <w:left w:w="150" w:type="dxa"/>
              <w:bottom w:w="150" w:type="dxa"/>
              <w:right w:w="150" w:type="dxa"/>
            </w:tcMar>
            <w:hideMark/>
          </w:tcPr>
          <w:p w:rsidRPr="000613F4" w:rsidR="000613F4" w:rsidP="000613F4" w:rsidRDefault="000613F4" w14:paraId="7019D5FC" w14:textId="77777777">
            <w:pPr>
              <w:spacing w:after="300"/>
              <w:jc w:val="center"/>
              <w:rPr>
                <w:rFonts w:ascii="Helvetica" w:hAnsi="Helvetica" w:cs="Helvetica"/>
                <w:b/>
                <w:bCs/>
                <w:color w:val="222222"/>
                <w:sz w:val="20"/>
                <w:szCs w:val="20"/>
                <w:lang w:eastAsia="en-AU"/>
              </w:rPr>
            </w:pPr>
            <w:r w:rsidRPr="000613F4">
              <w:rPr>
                <w:rFonts w:ascii="Helvetica" w:hAnsi="Helvetica" w:cs="Helvetica"/>
                <w:b/>
                <w:bCs/>
                <w:color w:val="222222"/>
                <w:sz w:val="20"/>
                <w:szCs w:val="20"/>
                <w:bdr w:val="none" w:color="auto" w:sz="0" w:space="0" w:frame="1"/>
                <w:lang w:eastAsia="en-AU"/>
              </w:rPr>
              <w:t>SNOMED CT concept</w:t>
            </w:r>
          </w:p>
        </w:tc>
        <w:tc>
          <w:tcPr>
            <w:tcW w:w="0" w:type="auto"/>
            <w:shd w:val="clear" w:color="auto" w:fill="E8F3FA"/>
            <w:tcMar>
              <w:top w:w="150" w:type="dxa"/>
              <w:left w:w="150" w:type="dxa"/>
              <w:bottom w:w="150" w:type="dxa"/>
              <w:right w:w="150" w:type="dxa"/>
            </w:tcMar>
            <w:hideMark/>
          </w:tcPr>
          <w:p w:rsidRPr="000613F4" w:rsidR="000613F4" w:rsidP="000613F4" w:rsidRDefault="000613F4" w14:paraId="2A330F8C" w14:textId="77777777">
            <w:pPr>
              <w:spacing w:after="300"/>
              <w:jc w:val="center"/>
              <w:rPr>
                <w:rFonts w:ascii="Helvetica" w:hAnsi="Helvetica" w:cs="Helvetica"/>
                <w:b/>
                <w:bCs/>
                <w:color w:val="222222"/>
                <w:sz w:val="20"/>
                <w:szCs w:val="20"/>
                <w:lang w:eastAsia="en-AU"/>
              </w:rPr>
            </w:pPr>
            <w:r w:rsidRPr="000613F4">
              <w:rPr>
                <w:rFonts w:ascii="Helvetica" w:hAnsi="Helvetica" w:cs="Helvetica"/>
                <w:b/>
                <w:bCs/>
                <w:color w:val="222222"/>
                <w:sz w:val="20"/>
                <w:szCs w:val="20"/>
                <w:bdr w:val="none" w:color="auto" w:sz="0" w:space="0" w:frame="1"/>
                <w:lang w:eastAsia="en-AU"/>
              </w:rPr>
              <w:t>Code</w:t>
            </w:r>
          </w:p>
        </w:tc>
      </w:tr>
      <w:tr w:rsidRPr="000613F4" w:rsidR="000613F4" w:rsidTr="000613F4" w14:paraId="4C107A19" w14:textId="77777777">
        <w:trPr>
          <w:trHeight w:val="216"/>
        </w:trPr>
        <w:tc>
          <w:tcPr>
            <w:tcW w:w="0" w:type="auto"/>
            <w:shd w:val="clear" w:color="auto" w:fill="FFFFFF"/>
            <w:tcMar>
              <w:top w:w="150" w:type="dxa"/>
              <w:left w:w="150" w:type="dxa"/>
              <w:bottom w:w="150" w:type="dxa"/>
              <w:right w:w="150" w:type="dxa"/>
            </w:tcMar>
            <w:hideMark/>
          </w:tcPr>
          <w:p w:rsidRPr="000613F4" w:rsidR="000613F4" w:rsidP="000613F4" w:rsidRDefault="000613F4" w14:paraId="7D871890" w14:textId="77777777">
            <w:pPr>
              <w:spacing w:after="300"/>
              <w:jc w:val="center"/>
              <w:rPr>
                <w:rFonts w:ascii="Helvetica" w:hAnsi="Helvetica" w:cs="Helvetica"/>
                <w:color w:val="222222"/>
                <w:sz w:val="20"/>
                <w:szCs w:val="20"/>
                <w:lang w:eastAsia="en-AU"/>
              </w:rPr>
            </w:pPr>
            <w:r w:rsidRPr="000613F4">
              <w:rPr>
                <w:rFonts w:ascii="Helvetica" w:hAnsi="Helvetica" w:cs="Helvetica"/>
                <w:color w:val="222222"/>
                <w:sz w:val="20"/>
                <w:szCs w:val="20"/>
                <w:lang w:eastAsia="en-AU"/>
              </w:rPr>
              <w:t>Varicella zoster virus infection (disorder)</w:t>
            </w:r>
          </w:p>
        </w:tc>
        <w:tc>
          <w:tcPr>
            <w:tcW w:w="0" w:type="auto"/>
            <w:shd w:val="clear" w:color="auto" w:fill="FFFFFF"/>
            <w:tcMar>
              <w:top w:w="150" w:type="dxa"/>
              <w:left w:w="150" w:type="dxa"/>
              <w:bottom w:w="150" w:type="dxa"/>
              <w:right w:w="150" w:type="dxa"/>
            </w:tcMar>
            <w:hideMark/>
          </w:tcPr>
          <w:p w:rsidRPr="000613F4" w:rsidR="000613F4" w:rsidP="000613F4" w:rsidRDefault="000613F4" w14:paraId="42C649F8" w14:textId="77777777">
            <w:pPr>
              <w:spacing w:after="300"/>
              <w:jc w:val="center"/>
              <w:rPr>
                <w:rFonts w:ascii="Helvetica" w:hAnsi="Helvetica" w:cs="Helvetica"/>
                <w:color w:val="222222"/>
                <w:sz w:val="20"/>
                <w:szCs w:val="20"/>
                <w:lang w:eastAsia="en-AU"/>
              </w:rPr>
            </w:pPr>
            <w:r w:rsidRPr="000613F4">
              <w:rPr>
                <w:rFonts w:ascii="Helvetica" w:hAnsi="Helvetica" w:cs="Helvetica"/>
                <w:color w:val="222222"/>
                <w:sz w:val="20"/>
                <w:szCs w:val="20"/>
                <w:lang w:eastAsia="en-AU"/>
              </w:rPr>
              <w:t>309465005</w:t>
            </w:r>
          </w:p>
        </w:tc>
      </w:tr>
      <w:tr w:rsidRPr="000613F4" w:rsidR="000613F4" w:rsidTr="000613F4" w14:paraId="4171981F" w14:textId="77777777">
        <w:tc>
          <w:tcPr>
            <w:tcW w:w="0" w:type="auto"/>
            <w:shd w:val="clear" w:color="auto" w:fill="FFFFFF"/>
            <w:tcMar>
              <w:top w:w="150" w:type="dxa"/>
              <w:left w:w="150" w:type="dxa"/>
              <w:bottom w:w="150" w:type="dxa"/>
              <w:right w:w="150" w:type="dxa"/>
            </w:tcMar>
            <w:hideMark/>
          </w:tcPr>
          <w:p w:rsidRPr="000613F4" w:rsidR="000613F4" w:rsidP="000613F4" w:rsidRDefault="000613F4" w14:paraId="2F28E41B" w14:textId="77777777">
            <w:pPr>
              <w:spacing w:after="300"/>
              <w:jc w:val="center"/>
              <w:rPr>
                <w:rFonts w:ascii="Helvetica" w:hAnsi="Helvetica" w:cs="Helvetica"/>
                <w:color w:val="222222"/>
                <w:sz w:val="20"/>
                <w:szCs w:val="20"/>
                <w:lang w:eastAsia="en-AU"/>
              </w:rPr>
            </w:pPr>
            <w:r w:rsidRPr="000613F4">
              <w:rPr>
                <w:rFonts w:ascii="Helvetica" w:hAnsi="Helvetica" w:cs="Helvetica"/>
                <w:color w:val="222222"/>
                <w:sz w:val="20"/>
                <w:szCs w:val="20"/>
                <w:lang w:eastAsia="en-AU"/>
              </w:rPr>
              <w:t>Varicella zoster virus (organism)</w:t>
            </w:r>
          </w:p>
        </w:tc>
        <w:tc>
          <w:tcPr>
            <w:tcW w:w="0" w:type="auto"/>
            <w:shd w:val="clear" w:color="auto" w:fill="FFFFFF"/>
            <w:tcMar>
              <w:top w:w="150" w:type="dxa"/>
              <w:left w:w="150" w:type="dxa"/>
              <w:bottom w:w="150" w:type="dxa"/>
              <w:right w:w="150" w:type="dxa"/>
            </w:tcMar>
            <w:hideMark/>
          </w:tcPr>
          <w:p w:rsidRPr="000613F4" w:rsidR="000613F4" w:rsidP="000613F4" w:rsidRDefault="000613F4" w14:paraId="4EC39D2D" w14:textId="77777777">
            <w:pPr>
              <w:spacing w:after="300"/>
              <w:jc w:val="center"/>
              <w:rPr>
                <w:rFonts w:ascii="Helvetica" w:hAnsi="Helvetica" w:cs="Helvetica"/>
                <w:color w:val="222222"/>
                <w:sz w:val="20"/>
                <w:szCs w:val="20"/>
                <w:lang w:eastAsia="en-AU"/>
              </w:rPr>
            </w:pPr>
            <w:r w:rsidRPr="000613F4">
              <w:rPr>
                <w:rFonts w:ascii="Helvetica" w:hAnsi="Helvetica" w:cs="Helvetica"/>
                <w:color w:val="222222"/>
                <w:sz w:val="20"/>
                <w:szCs w:val="20"/>
                <w:lang w:eastAsia="en-AU"/>
              </w:rPr>
              <w:t>19551004</w:t>
            </w:r>
          </w:p>
        </w:tc>
      </w:tr>
      <w:tr w:rsidRPr="000613F4" w:rsidR="000613F4" w:rsidTr="000613F4" w14:paraId="6ED0F900" w14:textId="77777777">
        <w:tc>
          <w:tcPr>
            <w:tcW w:w="0" w:type="auto"/>
            <w:shd w:val="clear" w:color="auto" w:fill="FFFFFF"/>
            <w:tcMar>
              <w:top w:w="150" w:type="dxa"/>
              <w:left w:w="150" w:type="dxa"/>
              <w:bottom w:w="150" w:type="dxa"/>
              <w:right w:w="150" w:type="dxa"/>
            </w:tcMar>
            <w:hideMark/>
          </w:tcPr>
          <w:p w:rsidRPr="000613F4" w:rsidR="000613F4" w:rsidP="000613F4" w:rsidRDefault="000613F4" w14:paraId="3DE5AFC2" w14:textId="77777777">
            <w:pPr>
              <w:spacing w:after="300"/>
              <w:jc w:val="center"/>
              <w:rPr>
                <w:rFonts w:ascii="Helvetica" w:hAnsi="Helvetica" w:cs="Helvetica"/>
                <w:color w:val="222222"/>
                <w:sz w:val="20"/>
                <w:szCs w:val="20"/>
                <w:lang w:eastAsia="en-AU"/>
              </w:rPr>
            </w:pPr>
            <w:r w:rsidRPr="000613F4">
              <w:rPr>
                <w:rFonts w:ascii="Helvetica" w:hAnsi="Helvetica" w:cs="Helvetica"/>
                <w:color w:val="222222"/>
                <w:sz w:val="20"/>
                <w:szCs w:val="20"/>
                <w:lang w:eastAsia="en-AU"/>
              </w:rPr>
              <w:t>Varicella zoster virus nucleic acid assay (procedure)</w:t>
            </w:r>
          </w:p>
        </w:tc>
        <w:tc>
          <w:tcPr>
            <w:tcW w:w="0" w:type="auto"/>
            <w:shd w:val="clear" w:color="auto" w:fill="FFFFFF"/>
            <w:tcMar>
              <w:top w:w="150" w:type="dxa"/>
              <w:left w:w="150" w:type="dxa"/>
              <w:bottom w:w="150" w:type="dxa"/>
              <w:right w:w="150" w:type="dxa"/>
            </w:tcMar>
            <w:hideMark/>
          </w:tcPr>
          <w:p w:rsidRPr="000613F4" w:rsidR="000613F4" w:rsidP="000613F4" w:rsidRDefault="000613F4" w14:paraId="2F947ECB" w14:textId="77777777">
            <w:pPr>
              <w:spacing w:after="300"/>
              <w:jc w:val="center"/>
              <w:rPr>
                <w:rFonts w:ascii="Helvetica" w:hAnsi="Helvetica" w:cs="Helvetica"/>
                <w:color w:val="222222"/>
                <w:sz w:val="20"/>
                <w:szCs w:val="20"/>
                <w:lang w:eastAsia="en-AU"/>
              </w:rPr>
            </w:pPr>
            <w:r w:rsidRPr="000613F4">
              <w:rPr>
                <w:rFonts w:ascii="Helvetica" w:hAnsi="Helvetica" w:cs="Helvetica"/>
                <w:color w:val="222222"/>
                <w:sz w:val="20"/>
                <w:szCs w:val="20"/>
                <w:lang w:eastAsia="en-AU"/>
              </w:rPr>
              <w:t>398503008</w:t>
            </w:r>
          </w:p>
        </w:tc>
      </w:tr>
      <w:tr w:rsidRPr="000613F4" w:rsidR="000613F4" w:rsidTr="000613F4" w14:paraId="3409B2FC" w14:textId="77777777">
        <w:tc>
          <w:tcPr>
            <w:tcW w:w="0" w:type="auto"/>
            <w:shd w:val="clear" w:color="auto" w:fill="FFFFFF"/>
            <w:tcMar>
              <w:top w:w="150" w:type="dxa"/>
              <w:left w:w="150" w:type="dxa"/>
              <w:bottom w:w="150" w:type="dxa"/>
              <w:right w:w="150" w:type="dxa"/>
            </w:tcMar>
            <w:hideMark/>
          </w:tcPr>
          <w:p w:rsidRPr="000613F4" w:rsidR="000613F4" w:rsidP="000613F4" w:rsidRDefault="000613F4" w14:paraId="61ED6B3C" w14:textId="77777777">
            <w:pPr>
              <w:spacing w:after="300"/>
              <w:jc w:val="center"/>
              <w:rPr>
                <w:rFonts w:ascii="Helvetica" w:hAnsi="Helvetica" w:cs="Helvetica"/>
                <w:color w:val="222222"/>
                <w:sz w:val="20"/>
                <w:szCs w:val="20"/>
                <w:lang w:eastAsia="en-AU"/>
              </w:rPr>
            </w:pPr>
            <w:r w:rsidRPr="000613F4">
              <w:rPr>
                <w:rFonts w:ascii="Helvetica" w:hAnsi="Helvetica" w:cs="Helvetica"/>
                <w:color w:val="222222"/>
                <w:sz w:val="20"/>
                <w:szCs w:val="20"/>
                <w:lang w:eastAsia="en-AU"/>
              </w:rPr>
              <w:t>Varicella zoster virus antigen (substance)</w:t>
            </w:r>
          </w:p>
        </w:tc>
        <w:tc>
          <w:tcPr>
            <w:tcW w:w="0" w:type="auto"/>
            <w:shd w:val="clear" w:color="auto" w:fill="FFFFFF"/>
            <w:tcMar>
              <w:top w:w="150" w:type="dxa"/>
              <w:left w:w="150" w:type="dxa"/>
              <w:bottom w:w="150" w:type="dxa"/>
              <w:right w:w="150" w:type="dxa"/>
            </w:tcMar>
            <w:hideMark/>
          </w:tcPr>
          <w:p w:rsidRPr="000613F4" w:rsidR="000613F4" w:rsidP="000613F4" w:rsidRDefault="000613F4" w14:paraId="6C37CEE9" w14:textId="77777777">
            <w:pPr>
              <w:spacing w:after="300"/>
              <w:jc w:val="center"/>
              <w:rPr>
                <w:rFonts w:ascii="Helvetica" w:hAnsi="Helvetica" w:cs="Helvetica"/>
                <w:color w:val="222222"/>
                <w:sz w:val="20"/>
                <w:szCs w:val="20"/>
                <w:lang w:eastAsia="en-AU"/>
              </w:rPr>
            </w:pPr>
            <w:r w:rsidRPr="000613F4">
              <w:rPr>
                <w:rFonts w:ascii="Helvetica" w:hAnsi="Helvetica" w:cs="Helvetica"/>
                <w:color w:val="222222"/>
                <w:sz w:val="20"/>
                <w:szCs w:val="20"/>
                <w:lang w:eastAsia="en-AU"/>
              </w:rPr>
              <w:t>260214004</w:t>
            </w:r>
          </w:p>
        </w:tc>
      </w:tr>
      <w:tr w:rsidRPr="000613F4" w:rsidR="000613F4" w:rsidTr="000613F4" w14:paraId="12496643" w14:textId="77777777">
        <w:tc>
          <w:tcPr>
            <w:tcW w:w="0" w:type="auto"/>
            <w:shd w:val="clear" w:color="auto" w:fill="FFFFFF"/>
            <w:tcMar>
              <w:top w:w="150" w:type="dxa"/>
              <w:left w:w="150" w:type="dxa"/>
              <w:bottom w:w="150" w:type="dxa"/>
              <w:right w:w="150" w:type="dxa"/>
            </w:tcMar>
            <w:hideMark/>
          </w:tcPr>
          <w:p w:rsidRPr="000613F4" w:rsidR="000613F4" w:rsidP="000613F4" w:rsidRDefault="000613F4" w14:paraId="73244E94" w14:textId="77777777">
            <w:pPr>
              <w:spacing w:after="300"/>
              <w:jc w:val="center"/>
              <w:rPr>
                <w:rFonts w:ascii="Helvetica" w:hAnsi="Helvetica" w:cs="Helvetica"/>
                <w:color w:val="222222"/>
                <w:sz w:val="20"/>
                <w:szCs w:val="20"/>
                <w:lang w:eastAsia="en-AU"/>
              </w:rPr>
            </w:pPr>
            <w:r w:rsidRPr="000613F4">
              <w:rPr>
                <w:rFonts w:ascii="Helvetica" w:hAnsi="Helvetica" w:cs="Helvetica"/>
                <w:color w:val="222222"/>
                <w:sz w:val="20"/>
                <w:szCs w:val="20"/>
                <w:lang w:eastAsia="en-AU"/>
              </w:rPr>
              <w:t>Varicella zoster virus IgM antibody (substance)</w:t>
            </w:r>
          </w:p>
        </w:tc>
        <w:tc>
          <w:tcPr>
            <w:tcW w:w="0" w:type="auto"/>
            <w:shd w:val="clear" w:color="auto" w:fill="FFFFFF"/>
            <w:tcMar>
              <w:top w:w="150" w:type="dxa"/>
              <w:left w:w="150" w:type="dxa"/>
              <w:bottom w:w="150" w:type="dxa"/>
              <w:right w:w="150" w:type="dxa"/>
            </w:tcMar>
            <w:hideMark/>
          </w:tcPr>
          <w:p w:rsidRPr="000613F4" w:rsidR="000613F4" w:rsidP="000613F4" w:rsidRDefault="000613F4" w14:paraId="52E76638" w14:textId="77777777">
            <w:pPr>
              <w:spacing w:after="300"/>
              <w:jc w:val="center"/>
              <w:rPr>
                <w:rFonts w:ascii="Helvetica" w:hAnsi="Helvetica" w:cs="Helvetica"/>
                <w:color w:val="222222"/>
                <w:sz w:val="20"/>
                <w:szCs w:val="20"/>
                <w:lang w:eastAsia="en-AU"/>
              </w:rPr>
            </w:pPr>
            <w:r w:rsidRPr="000613F4">
              <w:rPr>
                <w:rFonts w:ascii="Helvetica" w:hAnsi="Helvetica" w:cs="Helvetica"/>
                <w:color w:val="222222"/>
                <w:sz w:val="20"/>
                <w:szCs w:val="20"/>
                <w:lang w:eastAsia="en-AU"/>
              </w:rPr>
              <w:t>710704003</w:t>
            </w:r>
          </w:p>
        </w:tc>
      </w:tr>
      <w:tr w:rsidRPr="000613F4" w:rsidR="000613F4" w:rsidTr="000613F4" w14:paraId="6F9A7714" w14:textId="77777777">
        <w:tc>
          <w:tcPr>
            <w:tcW w:w="0" w:type="auto"/>
            <w:shd w:val="clear" w:color="auto" w:fill="FFFFFF"/>
            <w:tcMar>
              <w:top w:w="150" w:type="dxa"/>
              <w:left w:w="150" w:type="dxa"/>
              <w:bottom w:w="150" w:type="dxa"/>
              <w:right w:w="150" w:type="dxa"/>
            </w:tcMar>
            <w:hideMark/>
          </w:tcPr>
          <w:p w:rsidRPr="000613F4" w:rsidR="000613F4" w:rsidP="000613F4" w:rsidRDefault="000613F4" w14:paraId="24E4CBBE" w14:textId="77777777">
            <w:pPr>
              <w:spacing w:after="300"/>
              <w:jc w:val="center"/>
              <w:rPr>
                <w:rFonts w:ascii="Helvetica" w:hAnsi="Helvetica" w:cs="Helvetica"/>
                <w:color w:val="222222"/>
                <w:sz w:val="20"/>
                <w:szCs w:val="20"/>
                <w:lang w:eastAsia="en-AU"/>
              </w:rPr>
            </w:pPr>
            <w:r w:rsidRPr="000613F4">
              <w:rPr>
                <w:rFonts w:ascii="Helvetica" w:hAnsi="Helvetica" w:cs="Helvetica"/>
                <w:color w:val="222222"/>
                <w:sz w:val="20"/>
                <w:szCs w:val="20"/>
                <w:lang w:eastAsia="en-AU"/>
              </w:rPr>
              <w:lastRenderedPageBreak/>
              <w:t>Varicella zoster virus IgG antibody (substance)</w:t>
            </w:r>
          </w:p>
        </w:tc>
        <w:tc>
          <w:tcPr>
            <w:tcW w:w="0" w:type="auto"/>
            <w:shd w:val="clear" w:color="auto" w:fill="FFFFFF"/>
            <w:tcMar>
              <w:top w:w="150" w:type="dxa"/>
              <w:left w:w="150" w:type="dxa"/>
              <w:bottom w:w="150" w:type="dxa"/>
              <w:right w:w="150" w:type="dxa"/>
            </w:tcMar>
            <w:hideMark/>
          </w:tcPr>
          <w:p w:rsidRPr="000613F4" w:rsidR="000613F4" w:rsidP="000613F4" w:rsidRDefault="000613F4" w14:paraId="786902B9" w14:textId="77777777">
            <w:pPr>
              <w:spacing w:after="300"/>
              <w:jc w:val="center"/>
              <w:rPr>
                <w:rFonts w:ascii="Helvetica" w:hAnsi="Helvetica" w:cs="Helvetica"/>
                <w:color w:val="222222"/>
                <w:sz w:val="20"/>
                <w:szCs w:val="20"/>
                <w:lang w:eastAsia="en-AU"/>
              </w:rPr>
            </w:pPr>
            <w:r w:rsidRPr="000613F4">
              <w:rPr>
                <w:rFonts w:ascii="Helvetica" w:hAnsi="Helvetica" w:cs="Helvetica"/>
                <w:color w:val="222222"/>
                <w:sz w:val="20"/>
                <w:szCs w:val="20"/>
                <w:lang w:eastAsia="en-AU"/>
              </w:rPr>
              <w:t>703486008</w:t>
            </w:r>
          </w:p>
        </w:tc>
      </w:tr>
    </w:tbl>
    <w:p w:rsidRPr="000613F4" w:rsidR="000613F4" w:rsidP="000613F4" w:rsidRDefault="000613F4" w14:paraId="13D72E7C" w14:textId="5A1D5562">
      <w:pPr>
        <w:rPr>
          <w:rFonts w:ascii="Times New Roman" w:hAnsi="Times New Roman"/>
          <w:sz w:val="24"/>
          <w:lang w:eastAsia="en-AU"/>
        </w:rPr>
      </w:pPr>
    </w:p>
    <w:p w:rsidRPr="000613F4" w:rsidR="000613F4" w:rsidP="000613F4" w:rsidRDefault="000613F4" w14:paraId="411EF408" w14:textId="77777777">
      <w:pPr>
        <w:shd w:val="clear" w:color="auto" w:fill="FFFFFF"/>
        <w:spacing w:before="240" w:after="120"/>
        <w:outlineLvl w:val="1"/>
        <w:rPr>
          <w:rFonts w:ascii="Open Sans" w:hAnsi="Open Sans" w:cs="Open Sans"/>
          <w:color w:val="000000"/>
          <w:sz w:val="36"/>
          <w:szCs w:val="36"/>
          <w:lang w:eastAsia="en-AU"/>
        </w:rPr>
      </w:pPr>
      <w:r w:rsidRPr="000613F4">
        <w:rPr>
          <w:rFonts w:ascii="Open Sans" w:hAnsi="Open Sans" w:cs="Open Sans"/>
          <w:color w:val="000000"/>
          <w:sz w:val="36"/>
          <w:szCs w:val="36"/>
          <w:lang w:eastAsia="en-AU"/>
        </w:rPr>
        <w:t>6 References</w:t>
      </w:r>
    </w:p>
    <w:p w:rsidRPr="000613F4" w:rsidR="000613F4" w:rsidP="000613F4" w:rsidRDefault="000613F4" w14:paraId="5B84BE75" w14:textId="77777777">
      <w:pPr>
        <w:numPr>
          <w:ilvl w:val="0"/>
          <w:numId w:val="23"/>
        </w:numPr>
        <w:shd w:val="clear" w:color="auto" w:fill="FFFFFF"/>
        <w:spacing w:after="90" w:line="300" w:lineRule="atLeast"/>
        <w:rPr>
          <w:rFonts w:ascii="Helvetica" w:hAnsi="Helvetica" w:cs="Helvetica"/>
          <w:color w:val="222222"/>
          <w:sz w:val="20"/>
          <w:szCs w:val="20"/>
          <w:lang w:eastAsia="en-AU"/>
        </w:rPr>
      </w:pPr>
      <w:bookmarkStart w:name="01" w:id="0"/>
      <w:bookmarkEnd w:id="0"/>
      <w:r w:rsidRPr="000613F4">
        <w:rPr>
          <w:rFonts w:ascii="Helvetica" w:hAnsi="Helvetica" w:cs="Helvetica"/>
          <w:color w:val="222222"/>
          <w:sz w:val="20"/>
          <w:szCs w:val="20"/>
          <w:lang w:eastAsia="en-AU"/>
        </w:rPr>
        <w:t xml:space="preserve">Whitley RJ. 1990. Varicella-Zoster virus infections, p. 235-263. In R. W. GJ Galasso, TC </w:t>
      </w:r>
      <w:proofErr w:type="spellStart"/>
      <w:r w:rsidRPr="000613F4">
        <w:rPr>
          <w:rFonts w:ascii="Helvetica" w:hAnsi="Helvetica" w:cs="Helvetica"/>
          <w:color w:val="222222"/>
          <w:sz w:val="20"/>
          <w:szCs w:val="20"/>
          <w:lang w:eastAsia="en-AU"/>
        </w:rPr>
        <w:t>Merigan</w:t>
      </w:r>
      <w:proofErr w:type="spellEnd"/>
      <w:r w:rsidRPr="000613F4">
        <w:rPr>
          <w:rFonts w:ascii="Helvetica" w:hAnsi="Helvetica" w:cs="Helvetica"/>
          <w:color w:val="222222"/>
          <w:sz w:val="20"/>
          <w:szCs w:val="20"/>
          <w:lang w:eastAsia="en-AU"/>
        </w:rPr>
        <w:t xml:space="preserve"> (ed.), Antiviral agents and viral diseases of man. Raven Press, New York.</w:t>
      </w:r>
    </w:p>
    <w:p w:rsidRPr="000613F4" w:rsidR="000613F4" w:rsidP="000613F4" w:rsidRDefault="000613F4" w14:paraId="0E8B6965" w14:textId="77777777">
      <w:pPr>
        <w:numPr>
          <w:ilvl w:val="0"/>
          <w:numId w:val="23"/>
        </w:numPr>
        <w:shd w:val="clear" w:color="auto" w:fill="FFFFFF"/>
        <w:spacing w:after="90" w:line="300" w:lineRule="atLeast"/>
        <w:rPr>
          <w:rFonts w:ascii="Helvetica" w:hAnsi="Helvetica" w:cs="Helvetica"/>
          <w:color w:val="222222"/>
          <w:sz w:val="20"/>
          <w:szCs w:val="20"/>
          <w:lang w:eastAsia="en-AU"/>
        </w:rPr>
      </w:pPr>
      <w:bookmarkStart w:name="02" w:id="1"/>
      <w:bookmarkEnd w:id="1"/>
      <w:r w:rsidRPr="000613F4">
        <w:rPr>
          <w:rFonts w:ascii="Helvetica" w:hAnsi="Helvetica" w:cs="Helvetica"/>
          <w:color w:val="222222"/>
          <w:sz w:val="20"/>
          <w:szCs w:val="20"/>
          <w:lang w:eastAsia="en-AU"/>
        </w:rPr>
        <w:t>Australian Government Department of Health 2019. National Immunisation Program Schedule. Available at: (</w:t>
      </w:r>
      <w:proofErr w:type="gramStart"/>
      <w:r w:rsidRPr="000613F4">
        <w:rPr>
          <w:rFonts w:ascii="Helvetica" w:hAnsi="Helvetica" w:cs="Helvetica"/>
          <w:color w:val="222222"/>
          <w:sz w:val="20"/>
          <w:szCs w:val="20"/>
          <w:lang w:eastAsia="en-AU"/>
        </w:rPr>
        <w:t>www.health.gov.au/health-topics/immunisation/immunisation-throughout-life/national-immunisation-program-schedule )</w:t>
      </w:r>
      <w:proofErr w:type="gramEnd"/>
    </w:p>
    <w:p w:rsidRPr="000613F4" w:rsidR="000613F4" w:rsidP="000613F4" w:rsidRDefault="000613F4" w14:paraId="155707D5" w14:textId="77777777">
      <w:pPr>
        <w:numPr>
          <w:ilvl w:val="0"/>
          <w:numId w:val="23"/>
        </w:numPr>
        <w:shd w:val="clear" w:color="auto" w:fill="FFFFFF"/>
        <w:spacing w:after="90" w:line="300" w:lineRule="atLeast"/>
        <w:rPr>
          <w:rFonts w:ascii="Helvetica" w:hAnsi="Helvetica" w:cs="Helvetica"/>
          <w:color w:val="222222"/>
          <w:sz w:val="20"/>
          <w:szCs w:val="20"/>
          <w:lang w:eastAsia="en-AU"/>
        </w:rPr>
      </w:pPr>
      <w:bookmarkStart w:name="03" w:id="2"/>
      <w:bookmarkEnd w:id="2"/>
      <w:r w:rsidRPr="000613F4">
        <w:rPr>
          <w:rFonts w:ascii="Helvetica" w:hAnsi="Helvetica" w:cs="Helvetica"/>
          <w:color w:val="222222"/>
          <w:sz w:val="20"/>
          <w:szCs w:val="20"/>
          <w:lang w:eastAsia="en-AU"/>
        </w:rPr>
        <w:t xml:space="preserve">Lau YL, </w:t>
      </w:r>
      <w:proofErr w:type="spellStart"/>
      <w:r w:rsidRPr="000613F4">
        <w:rPr>
          <w:rFonts w:ascii="Helvetica" w:hAnsi="Helvetica" w:cs="Helvetica"/>
          <w:color w:val="222222"/>
          <w:sz w:val="20"/>
          <w:szCs w:val="20"/>
          <w:lang w:eastAsia="en-AU"/>
        </w:rPr>
        <w:t>Vessey</w:t>
      </w:r>
      <w:proofErr w:type="spellEnd"/>
      <w:r w:rsidRPr="000613F4">
        <w:rPr>
          <w:rFonts w:ascii="Helvetica" w:hAnsi="Helvetica" w:cs="Helvetica"/>
          <w:color w:val="222222"/>
          <w:sz w:val="20"/>
          <w:szCs w:val="20"/>
          <w:lang w:eastAsia="en-AU"/>
        </w:rPr>
        <w:t xml:space="preserve"> SJ, Chan IS, et al. 2002. A comparison of safety, </w:t>
      </w:r>
      <w:proofErr w:type="gramStart"/>
      <w:r w:rsidRPr="000613F4">
        <w:rPr>
          <w:rFonts w:ascii="Helvetica" w:hAnsi="Helvetica" w:cs="Helvetica"/>
          <w:color w:val="222222"/>
          <w:sz w:val="20"/>
          <w:szCs w:val="20"/>
          <w:lang w:eastAsia="en-AU"/>
        </w:rPr>
        <w:t>tolerability</w:t>
      </w:r>
      <w:proofErr w:type="gramEnd"/>
      <w:r w:rsidRPr="000613F4">
        <w:rPr>
          <w:rFonts w:ascii="Helvetica" w:hAnsi="Helvetica" w:cs="Helvetica"/>
          <w:color w:val="222222"/>
          <w:sz w:val="20"/>
          <w:szCs w:val="20"/>
          <w:lang w:eastAsia="en-AU"/>
        </w:rPr>
        <w:t xml:space="preserve"> and immunogenicity of Oka/Merck varicella vaccine and VARILRIX in healthy children. Vaccine 20:2942-9.</w:t>
      </w:r>
    </w:p>
    <w:p w:rsidRPr="000613F4" w:rsidR="000613F4" w:rsidP="000613F4" w:rsidRDefault="000613F4" w14:paraId="46D43C70" w14:textId="77777777">
      <w:pPr>
        <w:numPr>
          <w:ilvl w:val="0"/>
          <w:numId w:val="23"/>
        </w:numPr>
        <w:shd w:val="clear" w:color="auto" w:fill="FFFFFF"/>
        <w:spacing w:after="90" w:line="300" w:lineRule="atLeast"/>
        <w:rPr>
          <w:rFonts w:ascii="Helvetica" w:hAnsi="Helvetica" w:cs="Helvetica"/>
          <w:color w:val="222222"/>
          <w:sz w:val="20"/>
          <w:szCs w:val="20"/>
          <w:lang w:eastAsia="en-AU"/>
        </w:rPr>
      </w:pPr>
      <w:bookmarkStart w:name="04" w:id="3"/>
      <w:bookmarkEnd w:id="3"/>
      <w:r w:rsidRPr="000613F4">
        <w:rPr>
          <w:rFonts w:ascii="Helvetica" w:hAnsi="Helvetica" w:cs="Helvetica"/>
          <w:color w:val="222222"/>
          <w:sz w:val="20"/>
          <w:szCs w:val="20"/>
          <w:lang w:eastAsia="en-AU"/>
        </w:rPr>
        <w:t xml:space="preserve">Seward JF, Zhang, JX, Maupin TJ, </w:t>
      </w:r>
      <w:proofErr w:type="spellStart"/>
      <w:r w:rsidRPr="000613F4">
        <w:rPr>
          <w:rFonts w:ascii="Helvetica" w:hAnsi="Helvetica" w:cs="Helvetica"/>
          <w:color w:val="222222"/>
          <w:sz w:val="20"/>
          <w:szCs w:val="20"/>
          <w:lang w:eastAsia="en-AU"/>
        </w:rPr>
        <w:t>Mascola</w:t>
      </w:r>
      <w:proofErr w:type="spellEnd"/>
      <w:r w:rsidRPr="000613F4">
        <w:rPr>
          <w:rFonts w:ascii="Helvetica" w:hAnsi="Helvetica" w:cs="Helvetica"/>
          <w:color w:val="222222"/>
          <w:sz w:val="20"/>
          <w:szCs w:val="20"/>
          <w:lang w:eastAsia="en-AU"/>
        </w:rPr>
        <w:t xml:space="preserve"> L, </w:t>
      </w:r>
      <w:proofErr w:type="spellStart"/>
      <w:r w:rsidRPr="000613F4">
        <w:rPr>
          <w:rFonts w:ascii="Helvetica" w:hAnsi="Helvetica" w:cs="Helvetica"/>
          <w:color w:val="222222"/>
          <w:sz w:val="20"/>
          <w:szCs w:val="20"/>
          <w:lang w:eastAsia="en-AU"/>
        </w:rPr>
        <w:t>Jumaan</w:t>
      </w:r>
      <w:proofErr w:type="spellEnd"/>
      <w:r w:rsidRPr="000613F4">
        <w:rPr>
          <w:rFonts w:ascii="Helvetica" w:hAnsi="Helvetica" w:cs="Helvetica"/>
          <w:color w:val="222222"/>
          <w:sz w:val="20"/>
          <w:szCs w:val="20"/>
          <w:lang w:eastAsia="en-AU"/>
        </w:rPr>
        <w:t xml:space="preserve"> AO. 2004. Contagiousness of varicella in vaccinated cases: a household contact study. JAMA 292:704-8.</w:t>
      </w:r>
    </w:p>
    <w:p w:rsidRPr="000613F4" w:rsidR="000613F4" w:rsidP="000613F4" w:rsidRDefault="000613F4" w14:paraId="571F6828" w14:textId="77777777">
      <w:pPr>
        <w:numPr>
          <w:ilvl w:val="0"/>
          <w:numId w:val="23"/>
        </w:numPr>
        <w:shd w:val="clear" w:color="auto" w:fill="FFFFFF"/>
        <w:spacing w:after="90" w:line="300" w:lineRule="atLeast"/>
        <w:rPr>
          <w:rFonts w:ascii="Helvetica" w:hAnsi="Helvetica" w:cs="Helvetica"/>
          <w:color w:val="222222"/>
          <w:sz w:val="20"/>
          <w:szCs w:val="20"/>
          <w:lang w:eastAsia="en-AU"/>
        </w:rPr>
      </w:pPr>
      <w:bookmarkStart w:name="05" w:id="4"/>
      <w:bookmarkEnd w:id="4"/>
      <w:proofErr w:type="spellStart"/>
      <w:r w:rsidRPr="000613F4">
        <w:rPr>
          <w:rFonts w:ascii="Helvetica" w:hAnsi="Helvetica" w:cs="Helvetica"/>
          <w:color w:val="222222"/>
          <w:sz w:val="20"/>
          <w:szCs w:val="20"/>
          <w:lang w:eastAsia="en-AU"/>
        </w:rPr>
        <w:t>Hawrami</w:t>
      </w:r>
      <w:proofErr w:type="spellEnd"/>
      <w:r w:rsidRPr="000613F4">
        <w:rPr>
          <w:rFonts w:ascii="Helvetica" w:hAnsi="Helvetica" w:cs="Helvetica"/>
          <w:color w:val="222222"/>
          <w:sz w:val="20"/>
          <w:szCs w:val="20"/>
          <w:lang w:eastAsia="en-AU"/>
        </w:rPr>
        <w:t xml:space="preserve"> K, Breuer J. 1999. Development of a fluorogenic polymerase chain reaction assay (TaqMan) for the detection and quantitation of varicella zoster virus. J </w:t>
      </w:r>
      <w:proofErr w:type="spellStart"/>
      <w:r w:rsidRPr="000613F4">
        <w:rPr>
          <w:rFonts w:ascii="Helvetica" w:hAnsi="Helvetica" w:cs="Helvetica"/>
          <w:color w:val="222222"/>
          <w:sz w:val="20"/>
          <w:szCs w:val="20"/>
          <w:lang w:eastAsia="en-AU"/>
        </w:rPr>
        <w:t>Virol</w:t>
      </w:r>
      <w:proofErr w:type="spellEnd"/>
      <w:r w:rsidRPr="000613F4">
        <w:rPr>
          <w:rFonts w:ascii="Helvetica" w:hAnsi="Helvetica" w:cs="Helvetica"/>
          <w:color w:val="222222"/>
          <w:sz w:val="20"/>
          <w:szCs w:val="20"/>
          <w:lang w:eastAsia="en-AU"/>
        </w:rPr>
        <w:t xml:space="preserve"> Methods 79:33-40.</w:t>
      </w:r>
    </w:p>
    <w:p w:rsidRPr="000613F4" w:rsidR="000613F4" w:rsidP="000613F4" w:rsidRDefault="000613F4" w14:paraId="6AEBADB5" w14:textId="77777777">
      <w:pPr>
        <w:numPr>
          <w:ilvl w:val="0"/>
          <w:numId w:val="23"/>
        </w:numPr>
        <w:shd w:val="clear" w:color="auto" w:fill="FFFFFF"/>
        <w:spacing w:after="90" w:line="300" w:lineRule="atLeast"/>
        <w:rPr>
          <w:rFonts w:ascii="Helvetica" w:hAnsi="Helvetica" w:cs="Helvetica"/>
          <w:color w:val="222222"/>
          <w:sz w:val="20"/>
          <w:szCs w:val="20"/>
          <w:lang w:eastAsia="en-AU"/>
        </w:rPr>
      </w:pPr>
      <w:bookmarkStart w:name="06" w:id="5"/>
      <w:bookmarkEnd w:id="5"/>
      <w:r w:rsidRPr="000613F4">
        <w:rPr>
          <w:rFonts w:ascii="Helvetica" w:hAnsi="Helvetica" w:cs="Helvetica"/>
          <w:color w:val="222222"/>
          <w:sz w:val="20"/>
          <w:szCs w:val="20"/>
          <w:lang w:eastAsia="en-AU"/>
        </w:rPr>
        <w:t xml:space="preserve">de Jong MD, </w:t>
      </w:r>
      <w:proofErr w:type="spellStart"/>
      <w:r w:rsidRPr="000613F4">
        <w:rPr>
          <w:rFonts w:ascii="Helvetica" w:hAnsi="Helvetica" w:cs="Helvetica"/>
          <w:color w:val="222222"/>
          <w:sz w:val="20"/>
          <w:szCs w:val="20"/>
          <w:lang w:eastAsia="en-AU"/>
        </w:rPr>
        <w:t>Weel</w:t>
      </w:r>
      <w:proofErr w:type="spellEnd"/>
      <w:r w:rsidRPr="000613F4">
        <w:rPr>
          <w:rFonts w:ascii="Helvetica" w:hAnsi="Helvetica" w:cs="Helvetica"/>
          <w:color w:val="222222"/>
          <w:sz w:val="20"/>
          <w:szCs w:val="20"/>
          <w:lang w:eastAsia="en-AU"/>
        </w:rPr>
        <w:t xml:space="preserve"> JF, Schuurman T, Wertheim-van </w:t>
      </w:r>
      <w:proofErr w:type="spellStart"/>
      <w:r w:rsidRPr="000613F4">
        <w:rPr>
          <w:rFonts w:ascii="Helvetica" w:hAnsi="Helvetica" w:cs="Helvetica"/>
          <w:color w:val="222222"/>
          <w:sz w:val="20"/>
          <w:szCs w:val="20"/>
          <w:lang w:eastAsia="en-AU"/>
        </w:rPr>
        <w:t>Dillen</w:t>
      </w:r>
      <w:proofErr w:type="spellEnd"/>
      <w:r w:rsidRPr="000613F4">
        <w:rPr>
          <w:rFonts w:ascii="Helvetica" w:hAnsi="Helvetica" w:cs="Helvetica"/>
          <w:color w:val="222222"/>
          <w:sz w:val="20"/>
          <w:szCs w:val="20"/>
          <w:lang w:eastAsia="en-AU"/>
        </w:rPr>
        <w:t xml:space="preserve"> PM, Boom R. 2000. Quantitation of varicella-zoster virus DNA in whole blood, plasma, and serum by PCR and electrochemiluminescence. J Clin Microbiol 38:2568-73.</w:t>
      </w:r>
    </w:p>
    <w:p w:rsidRPr="000613F4" w:rsidR="000613F4" w:rsidP="000613F4" w:rsidRDefault="000613F4" w14:paraId="6E73D729" w14:textId="77777777">
      <w:pPr>
        <w:numPr>
          <w:ilvl w:val="0"/>
          <w:numId w:val="23"/>
        </w:numPr>
        <w:shd w:val="clear" w:color="auto" w:fill="FFFFFF"/>
        <w:spacing w:after="90" w:line="300" w:lineRule="atLeast"/>
        <w:rPr>
          <w:rFonts w:ascii="Helvetica" w:hAnsi="Helvetica" w:cs="Helvetica"/>
          <w:color w:val="222222"/>
          <w:sz w:val="20"/>
          <w:szCs w:val="20"/>
          <w:lang w:eastAsia="en-AU"/>
        </w:rPr>
      </w:pPr>
      <w:bookmarkStart w:name="07" w:id="6"/>
      <w:bookmarkEnd w:id="6"/>
      <w:r w:rsidRPr="000613F4">
        <w:rPr>
          <w:rFonts w:ascii="Helvetica" w:hAnsi="Helvetica" w:cs="Helvetica"/>
          <w:color w:val="222222"/>
          <w:sz w:val="20"/>
          <w:szCs w:val="20"/>
          <w:lang w:eastAsia="en-AU"/>
        </w:rPr>
        <w:t xml:space="preserve">Engelmann I, </w:t>
      </w:r>
      <w:proofErr w:type="spellStart"/>
      <w:r w:rsidRPr="000613F4">
        <w:rPr>
          <w:rFonts w:ascii="Helvetica" w:hAnsi="Helvetica" w:cs="Helvetica"/>
          <w:color w:val="222222"/>
          <w:sz w:val="20"/>
          <w:szCs w:val="20"/>
          <w:lang w:eastAsia="en-AU"/>
        </w:rPr>
        <w:t>Petzold</w:t>
      </w:r>
      <w:proofErr w:type="spellEnd"/>
      <w:r w:rsidRPr="000613F4">
        <w:rPr>
          <w:rFonts w:ascii="Helvetica" w:hAnsi="Helvetica" w:cs="Helvetica"/>
          <w:color w:val="222222"/>
          <w:sz w:val="20"/>
          <w:szCs w:val="20"/>
          <w:lang w:eastAsia="en-AU"/>
        </w:rPr>
        <w:t xml:space="preserve"> DR, </w:t>
      </w:r>
      <w:proofErr w:type="spellStart"/>
      <w:r w:rsidRPr="000613F4">
        <w:rPr>
          <w:rFonts w:ascii="Helvetica" w:hAnsi="Helvetica" w:cs="Helvetica"/>
          <w:color w:val="222222"/>
          <w:sz w:val="20"/>
          <w:szCs w:val="20"/>
          <w:lang w:eastAsia="en-AU"/>
        </w:rPr>
        <w:t>Kosinska</w:t>
      </w:r>
      <w:proofErr w:type="spellEnd"/>
      <w:r w:rsidRPr="000613F4">
        <w:rPr>
          <w:rFonts w:ascii="Helvetica" w:hAnsi="Helvetica" w:cs="Helvetica"/>
          <w:color w:val="222222"/>
          <w:sz w:val="20"/>
          <w:szCs w:val="20"/>
          <w:lang w:eastAsia="en-AU"/>
        </w:rPr>
        <w:t xml:space="preserve"> A, </w:t>
      </w:r>
      <w:proofErr w:type="spellStart"/>
      <w:r w:rsidRPr="000613F4">
        <w:rPr>
          <w:rFonts w:ascii="Helvetica" w:hAnsi="Helvetica" w:cs="Helvetica"/>
          <w:color w:val="222222"/>
          <w:sz w:val="20"/>
          <w:szCs w:val="20"/>
          <w:lang w:eastAsia="en-AU"/>
        </w:rPr>
        <w:t>Hepkema</w:t>
      </w:r>
      <w:proofErr w:type="spellEnd"/>
      <w:r w:rsidRPr="000613F4">
        <w:rPr>
          <w:rFonts w:ascii="Helvetica" w:hAnsi="Helvetica" w:cs="Helvetica"/>
          <w:color w:val="222222"/>
          <w:sz w:val="20"/>
          <w:szCs w:val="20"/>
          <w:lang w:eastAsia="en-AU"/>
        </w:rPr>
        <w:t xml:space="preserve"> BG, Schulz TF, Heim A. 2008. Rapid quantitative PCR assays for the simultaneous detection of herpes simplex virus, varicella zoster virus, cytomegalovirus, Epstein-Barr virus, and human herpesvirus 6 DNA in blood and other clinical specimens. J Med </w:t>
      </w:r>
      <w:proofErr w:type="spellStart"/>
      <w:r w:rsidRPr="000613F4">
        <w:rPr>
          <w:rFonts w:ascii="Helvetica" w:hAnsi="Helvetica" w:cs="Helvetica"/>
          <w:color w:val="222222"/>
          <w:sz w:val="20"/>
          <w:szCs w:val="20"/>
          <w:lang w:eastAsia="en-AU"/>
        </w:rPr>
        <w:t>Virol</w:t>
      </w:r>
      <w:proofErr w:type="spellEnd"/>
      <w:r w:rsidRPr="000613F4">
        <w:rPr>
          <w:rFonts w:ascii="Helvetica" w:hAnsi="Helvetica" w:cs="Helvetica"/>
          <w:color w:val="222222"/>
          <w:sz w:val="20"/>
          <w:szCs w:val="20"/>
          <w:lang w:eastAsia="en-AU"/>
        </w:rPr>
        <w:t xml:space="preserve"> 80:467-77.</w:t>
      </w:r>
    </w:p>
    <w:p w:rsidRPr="000613F4" w:rsidR="000613F4" w:rsidP="000613F4" w:rsidRDefault="000613F4" w14:paraId="6D123B00" w14:textId="77777777">
      <w:pPr>
        <w:numPr>
          <w:ilvl w:val="0"/>
          <w:numId w:val="23"/>
        </w:numPr>
        <w:shd w:val="clear" w:color="auto" w:fill="FFFFFF"/>
        <w:spacing w:after="90" w:line="300" w:lineRule="atLeast"/>
        <w:rPr>
          <w:rFonts w:ascii="Helvetica" w:hAnsi="Helvetica" w:cs="Helvetica"/>
          <w:color w:val="222222"/>
          <w:sz w:val="20"/>
          <w:szCs w:val="20"/>
          <w:lang w:eastAsia="en-AU"/>
        </w:rPr>
      </w:pPr>
      <w:bookmarkStart w:name="08" w:id="7"/>
      <w:bookmarkEnd w:id="7"/>
      <w:r w:rsidRPr="000613F4">
        <w:rPr>
          <w:rFonts w:ascii="Helvetica" w:hAnsi="Helvetica" w:cs="Helvetica"/>
          <w:color w:val="222222"/>
          <w:sz w:val="20"/>
          <w:szCs w:val="20"/>
          <w:lang w:eastAsia="en-AU"/>
        </w:rPr>
        <w:t xml:space="preserve">Kimura H, Kido S, Ozaki T, Tanaka N, Ito Y, Williams RK, and </w:t>
      </w:r>
      <w:proofErr w:type="spellStart"/>
      <w:r w:rsidRPr="000613F4">
        <w:rPr>
          <w:rFonts w:ascii="Helvetica" w:hAnsi="Helvetica" w:cs="Helvetica"/>
          <w:color w:val="222222"/>
          <w:sz w:val="20"/>
          <w:szCs w:val="20"/>
          <w:lang w:eastAsia="en-AU"/>
        </w:rPr>
        <w:t>Morishima</w:t>
      </w:r>
      <w:proofErr w:type="spellEnd"/>
      <w:r w:rsidRPr="000613F4">
        <w:rPr>
          <w:rFonts w:ascii="Helvetica" w:hAnsi="Helvetica" w:cs="Helvetica"/>
          <w:color w:val="222222"/>
          <w:sz w:val="20"/>
          <w:szCs w:val="20"/>
          <w:lang w:eastAsia="en-AU"/>
        </w:rPr>
        <w:t xml:space="preserve"> T. 2000. Comparison of </w:t>
      </w:r>
      <w:proofErr w:type="spellStart"/>
      <w:r w:rsidRPr="000613F4">
        <w:rPr>
          <w:rFonts w:ascii="Helvetica" w:hAnsi="Helvetica" w:cs="Helvetica"/>
          <w:color w:val="222222"/>
          <w:sz w:val="20"/>
          <w:szCs w:val="20"/>
          <w:lang w:eastAsia="en-AU"/>
        </w:rPr>
        <w:t>quantitations</w:t>
      </w:r>
      <w:proofErr w:type="spellEnd"/>
      <w:r w:rsidRPr="000613F4">
        <w:rPr>
          <w:rFonts w:ascii="Helvetica" w:hAnsi="Helvetica" w:cs="Helvetica"/>
          <w:color w:val="222222"/>
          <w:sz w:val="20"/>
          <w:szCs w:val="20"/>
          <w:lang w:eastAsia="en-AU"/>
        </w:rPr>
        <w:t xml:space="preserve"> of viral load in varicella and zoster. J Clin Microbiol 38:2447-9.</w:t>
      </w:r>
    </w:p>
    <w:p w:rsidRPr="000613F4" w:rsidR="000613F4" w:rsidP="000613F4" w:rsidRDefault="000613F4" w14:paraId="6F6E599F" w14:textId="77777777">
      <w:pPr>
        <w:numPr>
          <w:ilvl w:val="0"/>
          <w:numId w:val="23"/>
        </w:numPr>
        <w:shd w:val="clear" w:color="auto" w:fill="FFFFFF"/>
        <w:spacing w:after="90" w:line="300" w:lineRule="atLeast"/>
        <w:rPr>
          <w:rFonts w:ascii="Helvetica" w:hAnsi="Helvetica" w:cs="Helvetica"/>
          <w:color w:val="222222"/>
          <w:sz w:val="20"/>
          <w:szCs w:val="20"/>
          <w:lang w:eastAsia="en-AU"/>
        </w:rPr>
      </w:pPr>
      <w:bookmarkStart w:name="09" w:id="8"/>
      <w:bookmarkEnd w:id="8"/>
      <w:proofErr w:type="spellStart"/>
      <w:r w:rsidRPr="000613F4">
        <w:rPr>
          <w:rFonts w:ascii="Helvetica" w:hAnsi="Helvetica" w:cs="Helvetica"/>
          <w:color w:val="222222"/>
          <w:sz w:val="20"/>
          <w:szCs w:val="20"/>
          <w:lang w:eastAsia="en-AU"/>
        </w:rPr>
        <w:t>Quinlivan</w:t>
      </w:r>
      <w:proofErr w:type="spellEnd"/>
      <w:r w:rsidRPr="000613F4">
        <w:rPr>
          <w:rFonts w:ascii="Helvetica" w:hAnsi="Helvetica" w:cs="Helvetica"/>
          <w:color w:val="222222"/>
          <w:sz w:val="20"/>
          <w:szCs w:val="20"/>
          <w:lang w:eastAsia="en-AU"/>
        </w:rPr>
        <w:t xml:space="preserve"> ML, Ayres K, Ran H, et al. 2007. Effect of viral load on the outcome of herpes zoster. J Clin Microbiol 45:3909-14.</w:t>
      </w:r>
    </w:p>
    <w:p w:rsidRPr="000613F4" w:rsidR="000613F4" w:rsidP="000613F4" w:rsidRDefault="000613F4" w14:paraId="777114E1" w14:textId="77777777">
      <w:pPr>
        <w:numPr>
          <w:ilvl w:val="0"/>
          <w:numId w:val="23"/>
        </w:numPr>
        <w:shd w:val="clear" w:color="auto" w:fill="FFFFFF"/>
        <w:spacing w:after="90" w:line="300" w:lineRule="atLeast"/>
        <w:rPr>
          <w:rFonts w:ascii="Helvetica" w:hAnsi="Helvetica" w:cs="Helvetica"/>
          <w:color w:val="222222"/>
          <w:sz w:val="20"/>
          <w:szCs w:val="20"/>
          <w:lang w:eastAsia="en-AU"/>
        </w:rPr>
      </w:pPr>
      <w:bookmarkStart w:name="10" w:id="9"/>
      <w:bookmarkEnd w:id="9"/>
      <w:proofErr w:type="spellStart"/>
      <w:r w:rsidRPr="000613F4">
        <w:rPr>
          <w:rFonts w:ascii="Helvetica" w:hAnsi="Helvetica" w:cs="Helvetica"/>
          <w:color w:val="222222"/>
          <w:sz w:val="20"/>
          <w:szCs w:val="20"/>
          <w:lang w:eastAsia="en-AU"/>
        </w:rPr>
        <w:t>Michalik</w:t>
      </w:r>
      <w:proofErr w:type="spellEnd"/>
      <w:r w:rsidRPr="000613F4">
        <w:rPr>
          <w:rFonts w:ascii="Helvetica" w:hAnsi="Helvetica" w:cs="Helvetica"/>
          <w:color w:val="222222"/>
          <w:sz w:val="20"/>
          <w:szCs w:val="20"/>
          <w:lang w:eastAsia="en-AU"/>
        </w:rPr>
        <w:t xml:space="preserve"> DE, Steinberg SP, </w:t>
      </w:r>
      <w:proofErr w:type="spellStart"/>
      <w:r w:rsidRPr="000613F4">
        <w:rPr>
          <w:rFonts w:ascii="Helvetica" w:hAnsi="Helvetica" w:cs="Helvetica"/>
          <w:color w:val="222222"/>
          <w:sz w:val="20"/>
          <w:szCs w:val="20"/>
          <w:lang w:eastAsia="en-AU"/>
        </w:rPr>
        <w:t>LaRussa</w:t>
      </w:r>
      <w:proofErr w:type="spellEnd"/>
      <w:r w:rsidRPr="000613F4">
        <w:rPr>
          <w:rFonts w:ascii="Helvetica" w:hAnsi="Helvetica" w:cs="Helvetica"/>
          <w:color w:val="222222"/>
          <w:sz w:val="20"/>
          <w:szCs w:val="20"/>
          <w:lang w:eastAsia="en-AU"/>
        </w:rPr>
        <w:t xml:space="preserve"> PS, et al. 2008. Primary vaccine failure after 1 dose of varicella vaccine in healthy children. J Infect Dis 197:944-949.</w:t>
      </w:r>
    </w:p>
    <w:p w:rsidRPr="000613F4" w:rsidR="000613F4" w:rsidP="000613F4" w:rsidRDefault="000613F4" w14:paraId="483B0023" w14:textId="77777777">
      <w:pPr>
        <w:numPr>
          <w:ilvl w:val="0"/>
          <w:numId w:val="23"/>
        </w:numPr>
        <w:shd w:val="clear" w:color="auto" w:fill="FFFFFF"/>
        <w:spacing w:after="90" w:line="300" w:lineRule="atLeast"/>
        <w:rPr>
          <w:rFonts w:ascii="Helvetica" w:hAnsi="Helvetica" w:cs="Helvetica"/>
          <w:color w:val="222222"/>
          <w:sz w:val="20"/>
          <w:szCs w:val="20"/>
          <w:lang w:eastAsia="en-AU"/>
        </w:rPr>
      </w:pPr>
      <w:bookmarkStart w:name="11" w:id="10"/>
      <w:bookmarkEnd w:id="10"/>
      <w:proofErr w:type="spellStart"/>
      <w:r w:rsidRPr="000613F4">
        <w:rPr>
          <w:rFonts w:ascii="Helvetica" w:hAnsi="Helvetica" w:cs="Helvetica"/>
          <w:color w:val="222222"/>
          <w:sz w:val="20"/>
          <w:szCs w:val="20"/>
          <w:lang w:eastAsia="en-AU"/>
        </w:rPr>
        <w:t>Saiman</w:t>
      </w:r>
      <w:proofErr w:type="spellEnd"/>
      <w:r w:rsidRPr="000613F4">
        <w:rPr>
          <w:rFonts w:ascii="Helvetica" w:hAnsi="Helvetica" w:cs="Helvetica"/>
          <w:color w:val="222222"/>
          <w:sz w:val="20"/>
          <w:szCs w:val="20"/>
          <w:lang w:eastAsia="en-AU"/>
        </w:rPr>
        <w:t xml:space="preserve"> L, </w:t>
      </w:r>
      <w:proofErr w:type="spellStart"/>
      <w:r w:rsidRPr="000613F4">
        <w:rPr>
          <w:rFonts w:ascii="Helvetica" w:hAnsi="Helvetica" w:cs="Helvetica"/>
          <w:color w:val="222222"/>
          <w:sz w:val="20"/>
          <w:szCs w:val="20"/>
          <w:lang w:eastAsia="en-AU"/>
        </w:rPr>
        <w:t>LaRussa</w:t>
      </w:r>
      <w:proofErr w:type="spellEnd"/>
      <w:r w:rsidRPr="000613F4">
        <w:rPr>
          <w:rFonts w:ascii="Helvetica" w:hAnsi="Helvetica" w:cs="Helvetica"/>
          <w:color w:val="222222"/>
          <w:sz w:val="20"/>
          <w:szCs w:val="20"/>
          <w:lang w:eastAsia="en-AU"/>
        </w:rPr>
        <w:t xml:space="preserve"> P, Steinberg S, et al. 2001. Persistence of immunity to varicella-zoster virus vaccination among health care workers. Infect Control Hosp Epidemiol 22:279-283.</w:t>
      </w:r>
    </w:p>
    <w:p w:rsidRPr="000613F4" w:rsidR="000613F4" w:rsidP="000613F4" w:rsidRDefault="000613F4" w14:paraId="1A81170F" w14:textId="77777777">
      <w:pPr>
        <w:numPr>
          <w:ilvl w:val="0"/>
          <w:numId w:val="23"/>
        </w:numPr>
        <w:shd w:val="clear" w:color="auto" w:fill="FFFFFF"/>
        <w:spacing w:after="90" w:line="300" w:lineRule="atLeast"/>
        <w:rPr>
          <w:rFonts w:ascii="Helvetica" w:hAnsi="Helvetica" w:cs="Helvetica"/>
          <w:color w:val="222222"/>
          <w:sz w:val="20"/>
          <w:szCs w:val="20"/>
          <w:lang w:eastAsia="en-AU"/>
        </w:rPr>
      </w:pPr>
      <w:bookmarkStart w:name="12" w:id="11"/>
      <w:bookmarkEnd w:id="11"/>
      <w:proofErr w:type="spellStart"/>
      <w:r w:rsidRPr="000613F4">
        <w:rPr>
          <w:rFonts w:ascii="Helvetica" w:hAnsi="Helvetica" w:cs="Helvetica"/>
          <w:color w:val="222222"/>
          <w:sz w:val="20"/>
          <w:szCs w:val="20"/>
          <w:lang w:eastAsia="en-AU"/>
        </w:rPr>
        <w:t>Sauerbrei</w:t>
      </w:r>
      <w:proofErr w:type="spellEnd"/>
      <w:r w:rsidRPr="000613F4">
        <w:rPr>
          <w:rFonts w:ascii="Helvetica" w:hAnsi="Helvetica" w:cs="Helvetica"/>
          <w:color w:val="222222"/>
          <w:sz w:val="20"/>
          <w:szCs w:val="20"/>
          <w:lang w:eastAsia="en-AU"/>
        </w:rPr>
        <w:t xml:space="preserve"> A, </w:t>
      </w:r>
      <w:proofErr w:type="spellStart"/>
      <w:r w:rsidRPr="000613F4">
        <w:rPr>
          <w:rFonts w:ascii="Helvetica" w:hAnsi="Helvetica" w:cs="Helvetica"/>
          <w:color w:val="222222"/>
          <w:sz w:val="20"/>
          <w:szCs w:val="20"/>
          <w:lang w:eastAsia="en-AU"/>
        </w:rPr>
        <w:t>Schäfler</w:t>
      </w:r>
      <w:proofErr w:type="spellEnd"/>
      <w:r w:rsidRPr="000613F4">
        <w:rPr>
          <w:rFonts w:ascii="Helvetica" w:hAnsi="Helvetica" w:cs="Helvetica"/>
          <w:color w:val="222222"/>
          <w:sz w:val="20"/>
          <w:szCs w:val="20"/>
          <w:lang w:eastAsia="en-AU"/>
        </w:rPr>
        <w:t xml:space="preserve"> A, Hofmann J, </w:t>
      </w:r>
      <w:proofErr w:type="spellStart"/>
      <w:r w:rsidRPr="000613F4">
        <w:rPr>
          <w:rFonts w:ascii="Helvetica" w:hAnsi="Helvetica" w:cs="Helvetica"/>
          <w:color w:val="222222"/>
          <w:sz w:val="20"/>
          <w:szCs w:val="20"/>
          <w:lang w:eastAsia="en-AU"/>
        </w:rPr>
        <w:t>Schacke</w:t>
      </w:r>
      <w:proofErr w:type="spellEnd"/>
      <w:r w:rsidRPr="000613F4">
        <w:rPr>
          <w:rFonts w:ascii="Helvetica" w:hAnsi="Helvetica" w:cs="Helvetica"/>
          <w:color w:val="222222"/>
          <w:sz w:val="20"/>
          <w:szCs w:val="20"/>
          <w:lang w:eastAsia="en-AU"/>
        </w:rPr>
        <w:t xml:space="preserve"> M, </w:t>
      </w:r>
      <w:proofErr w:type="spellStart"/>
      <w:r w:rsidRPr="000613F4">
        <w:rPr>
          <w:rFonts w:ascii="Helvetica" w:hAnsi="Helvetica" w:cs="Helvetica"/>
          <w:color w:val="222222"/>
          <w:sz w:val="20"/>
          <w:szCs w:val="20"/>
          <w:lang w:eastAsia="en-AU"/>
        </w:rPr>
        <w:t>Gruhn</w:t>
      </w:r>
      <w:proofErr w:type="spellEnd"/>
      <w:r w:rsidRPr="000613F4">
        <w:rPr>
          <w:rFonts w:ascii="Helvetica" w:hAnsi="Helvetica" w:cs="Helvetica"/>
          <w:color w:val="222222"/>
          <w:sz w:val="20"/>
          <w:szCs w:val="20"/>
          <w:lang w:eastAsia="en-AU"/>
        </w:rPr>
        <w:t xml:space="preserve"> B, </w:t>
      </w:r>
      <w:proofErr w:type="spellStart"/>
      <w:r w:rsidRPr="000613F4">
        <w:rPr>
          <w:rFonts w:ascii="Helvetica" w:hAnsi="Helvetica" w:cs="Helvetica"/>
          <w:color w:val="222222"/>
          <w:sz w:val="20"/>
          <w:szCs w:val="20"/>
          <w:lang w:eastAsia="en-AU"/>
        </w:rPr>
        <w:t>Wutzier</w:t>
      </w:r>
      <w:proofErr w:type="spellEnd"/>
      <w:r w:rsidRPr="000613F4">
        <w:rPr>
          <w:rFonts w:ascii="Helvetica" w:hAnsi="Helvetica" w:cs="Helvetica"/>
          <w:color w:val="222222"/>
          <w:sz w:val="20"/>
          <w:szCs w:val="20"/>
          <w:lang w:eastAsia="en-AU"/>
        </w:rPr>
        <w:t xml:space="preserve"> P. Evaluation of three commercial varicella-zoster virus IgG enzyme-linked immunosorbent assays in comparison to the fluorescent-antibody-to-membrane-antigen test. 2012. Clin Vaccine Immunol 19:1261-1268.</w:t>
      </w:r>
    </w:p>
    <w:p w:rsidRPr="000613F4" w:rsidR="000613F4" w:rsidP="000613F4" w:rsidRDefault="000613F4" w14:paraId="655E53D8" w14:textId="77777777">
      <w:pPr>
        <w:numPr>
          <w:ilvl w:val="0"/>
          <w:numId w:val="23"/>
        </w:numPr>
        <w:shd w:val="clear" w:color="auto" w:fill="FFFFFF"/>
        <w:spacing w:after="90" w:line="300" w:lineRule="atLeast"/>
        <w:rPr>
          <w:rFonts w:ascii="Helvetica" w:hAnsi="Helvetica" w:cs="Helvetica"/>
          <w:color w:val="222222"/>
          <w:sz w:val="20"/>
          <w:szCs w:val="20"/>
          <w:lang w:eastAsia="en-AU"/>
        </w:rPr>
      </w:pPr>
      <w:bookmarkStart w:name="13" w:id="12"/>
      <w:bookmarkEnd w:id="12"/>
      <w:r w:rsidRPr="000613F4">
        <w:rPr>
          <w:rFonts w:ascii="Helvetica" w:hAnsi="Helvetica" w:cs="Helvetica"/>
          <w:color w:val="222222"/>
          <w:sz w:val="20"/>
          <w:szCs w:val="20"/>
          <w:lang w:eastAsia="en-AU"/>
        </w:rPr>
        <w:lastRenderedPageBreak/>
        <w:t xml:space="preserve">Maple PA, Gunn A, </w:t>
      </w:r>
      <w:proofErr w:type="spellStart"/>
      <w:r w:rsidRPr="000613F4">
        <w:rPr>
          <w:rFonts w:ascii="Helvetica" w:hAnsi="Helvetica" w:cs="Helvetica"/>
          <w:color w:val="222222"/>
          <w:sz w:val="20"/>
          <w:szCs w:val="20"/>
          <w:lang w:eastAsia="en-AU"/>
        </w:rPr>
        <w:t>Sellwood</w:t>
      </w:r>
      <w:proofErr w:type="spellEnd"/>
      <w:r w:rsidRPr="000613F4">
        <w:rPr>
          <w:rFonts w:ascii="Helvetica" w:hAnsi="Helvetica" w:cs="Helvetica"/>
          <w:color w:val="222222"/>
          <w:sz w:val="20"/>
          <w:szCs w:val="20"/>
          <w:lang w:eastAsia="en-AU"/>
        </w:rPr>
        <w:t xml:space="preserve"> J, Brown DW, Gray JJ. 2009. Comparison of fifteen commercial assays for detecting Varicella Zoster virus IgG with reference to a time resolved fluorescence immunoassay (TRIFA) and the performance of two commercial assays for screening sera from immunocompromised individuals. J </w:t>
      </w:r>
      <w:proofErr w:type="spellStart"/>
      <w:r w:rsidRPr="000613F4">
        <w:rPr>
          <w:rFonts w:ascii="Helvetica" w:hAnsi="Helvetica" w:cs="Helvetica"/>
          <w:color w:val="222222"/>
          <w:sz w:val="20"/>
          <w:szCs w:val="20"/>
          <w:lang w:eastAsia="en-AU"/>
        </w:rPr>
        <w:t>Virol</w:t>
      </w:r>
      <w:proofErr w:type="spellEnd"/>
      <w:r w:rsidRPr="000613F4">
        <w:rPr>
          <w:rFonts w:ascii="Helvetica" w:hAnsi="Helvetica" w:cs="Helvetica"/>
          <w:color w:val="222222"/>
          <w:sz w:val="20"/>
          <w:szCs w:val="20"/>
          <w:lang w:eastAsia="en-AU"/>
        </w:rPr>
        <w:t xml:space="preserve"> Methods 155:143-149.</w:t>
      </w:r>
    </w:p>
    <w:p w:rsidRPr="000613F4" w:rsidR="000613F4" w:rsidP="000613F4" w:rsidRDefault="000613F4" w14:paraId="6EC3648D" w14:textId="77777777">
      <w:pPr>
        <w:numPr>
          <w:ilvl w:val="0"/>
          <w:numId w:val="23"/>
        </w:numPr>
        <w:shd w:val="clear" w:color="auto" w:fill="FFFFFF"/>
        <w:spacing w:after="90" w:line="300" w:lineRule="atLeast"/>
        <w:rPr>
          <w:rFonts w:ascii="Helvetica" w:hAnsi="Helvetica" w:cs="Helvetica"/>
          <w:color w:val="222222"/>
          <w:sz w:val="20"/>
          <w:szCs w:val="20"/>
          <w:lang w:eastAsia="en-AU"/>
        </w:rPr>
      </w:pPr>
      <w:bookmarkStart w:name="14" w:id="13"/>
      <w:bookmarkEnd w:id="13"/>
      <w:r w:rsidRPr="000613F4">
        <w:rPr>
          <w:rFonts w:ascii="Helvetica" w:hAnsi="Helvetica" w:cs="Helvetica"/>
          <w:color w:val="222222"/>
          <w:sz w:val="20"/>
          <w:szCs w:val="20"/>
          <w:lang w:eastAsia="en-AU"/>
        </w:rPr>
        <w:t xml:space="preserve">Maple PA, Rathod P, Smit E, Gray J, Brown D, Boxall EH. Comparison of the performance of the LIAISON VZV-IgG and VIDAS automated enzyme linked fluorescent immunoassays with reference to a VZV-IgG time-resolved fluorescence immunoassay and implications of choice of cut-off for LIAISON assay. 2009, J Clin </w:t>
      </w:r>
      <w:proofErr w:type="spellStart"/>
      <w:r w:rsidRPr="000613F4">
        <w:rPr>
          <w:rFonts w:ascii="Helvetica" w:hAnsi="Helvetica" w:cs="Helvetica"/>
          <w:color w:val="222222"/>
          <w:sz w:val="20"/>
          <w:szCs w:val="20"/>
          <w:lang w:eastAsia="en-AU"/>
        </w:rPr>
        <w:t>Virol</w:t>
      </w:r>
      <w:proofErr w:type="spellEnd"/>
      <w:r w:rsidRPr="000613F4">
        <w:rPr>
          <w:rFonts w:ascii="Helvetica" w:hAnsi="Helvetica" w:cs="Helvetica"/>
          <w:color w:val="222222"/>
          <w:sz w:val="20"/>
          <w:szCs w:val="20"/>
          <w:lang w:eastAsia="en-AU"/>
        </w:rPr>
        <w:t xml:space="preserve"> 44:9-14.</w:t>
      </w:r>
    </w:p>
    <w:p w:rsidRPr="000613F4" w:rsidR="000613F4" w:rsidP="000613F4" w:rsidRDefault="000613F4" w14:paraId="58F56251" w14:textId="77777777">
      <w:pPr>
        <w:numPr>
          <w:ilvl w:val="0"/>
          <w:numId w:val="23"/>
        </w:numPr>
        <w:shd w:val="clear" w:color="auto" w:fill="FFFFFF"/>
        <w:spacing w:after="90" w:line="300" w:lineRule="atLeast"/>
        <w:rPr>
          <w:rFonts w:ascii="Helvetica" w:hAnsi="Helvetica" w:cs="Helvetica"/>
          <w:color w:val="222222"/>
          <w:sz w:val="20"/>
          <w:szCs w:val="20"/>
          <w:lang w:eastAsia="en-AU"/>
        </w:rPr>
      </w:pPr>
      <w:bookmarkStart w:name="15" w:id="14"/>
      <w:bookmarkEnd w:id="14"/>
      <w:r w:rsidRPr="000613F4">
        <w:rPr>
          <w:rFonts w:ascii="Helvetica" w:hAnsi="Helvetica" w:cs="Helvetica"/>
          <w:color w:val="222222"/>
          <w:sz w:val="20"/>
          <w:szCs w:val="20"/>
          <w:lang w:eastAsia="en-AU"/>
        </w:rPr>
        <w:t xml:space="preserve">Coffin SE, </w:t>
      </w:r>
      <w:proofErr w:type="spellStart"/>
      <w:r w:rsidRPr="000613F4">
        <w:rPr>
          <w:rFonts w:ascii="Helvetica" w:hAnsi="Helvetica" w:cs="Helvetica"/>
          <w:color w:val="222222"/>
          <w:sz w:val="20"/>
          <w:szCs w:val="20"/>
          <w:lang w:eastAsia="en-AU"/>
        </w:rPr>
        <w:t>Hodinka</w:t>
      </w:r>
      <w:proofErr w:type="spellEnd"/>
      <w:r w:rsidRPr="000613F4">
        <w:rPr>
          <w:rFonts w:ascii="Helvetica" w:hAnsi="Helvetica" w:cs="Helvetica"/>
          <w:color w:val="222222"/>
          <w:sz w:val="20"/>
          <w:szCs w:val="20"/>
          <w:lang w:eastAsia="en-AU"/>
        </w:rPr>
        <w:t xml:space="preserve"> RL. 1995. Utility of direct immunofluorescence and virus culture for detection of varicella-zoster virus in skin lesions. J Clin Microbiol 33:2792-5.</w:t>
      </w:r>
    </w:p>
    <w:p w:rsidRPr="000613F4" w:rsidR="000613F4" w:rsidP="000613F4" w:rsidRDefault="000613F4" w14:paraId="58C9A93F" w14:textId="77777777">
      <w:pPr>
        <w:numPr>
          <w:ilvl w:val="0"/>
          <w:numId w:val="23"/>
        </w:numPr>
        <w:shd w:val="clear" w:color="auto" w:fill="FFFFFF"/>
        <w:spacing w:after="90" w:line="300" w:lineRule="atLeast"/>
        <w:rPr>
          <w:rFonts w:ascii="Helvetica" w:hAnsi="Helvetica" w:cs="Helvetica"/>
          <w:color w:val="222222"/>
          <w:sz w:val="20"/>
          <w:szCs w:val="20"/>
          <w:lang w:eastAsia="en-AU"/>
        </w:rPr>
      </w:pPr>
      <w:bookmarkStart w:name="16" w:id="15"/>
      <w:bookmarkEnd w:id="15"/>
      <w:proofErr w:type="spellStart"/>
      <w:r w:rsidRPr="000613F4">
        <w:rPr>
          <w:rFonts w:ascii="Helvetica" w:hAnsi="Helvetica" w:cs="Helvetica"/>
          <w:color w:val="222222"/>
          <w:sz w:val="20"/>
          <w:szCs w:val="20"/>
          <w:lang w:eastAsia="en-AU"/>
        </w:rPr>
        <w:t>Bezold</w:t>
      </w:r>
      <w:proofErr w:type="spellEnd"/>
      <w:r w:rsidRPr="000613F4">
        <w:rPr>
          <w:rFonts w:ascii="Helvetica" w:hAnsi="Helvetica" w:cs="Helvetica"/>
          <w:color w:val="222222"/>
          <w:sz w:val="20"/>
          <w:szCs w:val="20"/>
          <w:lang w:eastAsia="en-AU"/>
        </w:rPr>
        <w:t xml:space="preserve"> GD, Lange ME, Gall H, Peter RU. 2001. Detection of cutaneous varicella zoster virus infections by immunofluorescence versus PCR. Eur J Dermatol 11:108-11.</w:t>
      </w:r>
    </w:p>
    <w:p w:rsidRPr="000613F4" w:rsidR="000613F4" w:rsidP="000613F4" w:rsidRDefault="000613F4" w14:paraId="4B6EBE56" w14:textId="77777777">
      <w:pPr>
        <w:numPr>
          <w:ilvl w:val="0"/>
          <w:numId w:val="23"/>
        </w:numPr>
        <w:shd w:val="clear" w:color="auto" w:fill="FFFFFF"/>
        <w:spacing w:after="90" w:line="300" w:lineRule="atLeast"/>
        <w:rPr>
          <w:rFonts w:ascii="Helvetica" w:hAnsi="Helvetica" w:cs="Helvetica"/>
          <w:color w:val="222222"/>
          <w:sz w:val="20"/>
          <w:szCs w:val="20"/>
          <w:lang w:eastAsia="en-AU"/>
        </w:rPr>
      </w:pPr>
      <w:bookmarkStart w:name="17" w:id="16"/>
      <w:bookmarkEnd w:id="16"/>
      <w:r w:rsidRPr="000613F4">
        <w:rPr>
          <w:rFonts w:ascii="Helvetica" w:hAnsi="Helvetica" w:cs="Helvetica"/>
          <w:color w:val="222222"/>
          <w:sz w:val="20"/>
          <w:szCs w:val="20"/>
          <w:lang w:eastAsia="en-AU"/>
        </w:rPr>
        <w:t xml:space="preserve">Dahl H, </w:t>
      </w:r>
      <w:proofErr w:type="spellStart"/>
      <w:r w:rsidRPr="000613F4">
        <w:rPr>
          <w:rFonts w:ascii="Helvetica" w:hAnsi="Helvetica" w:cs="Helvetica"/>
          <w:color w:val="222222"/>
          <w:sz w:val="20"/>
          <w:szCs w:val="20"/>
          <w:lang w:eastAsia="en-AU"/>
        </w:rPr>
        <w:t>Marcoccia</w:t>
      </w:r>
      <w:proofErr w:type="spellEnd"/>
      <w:r w:rsidRPr="000613F4">
        <w:rPr>
          <w:rFonts w:ascii="Helvetica" w:hAnsi="Helvetica" w:cs="Helvetica"/>
          <w:color w:val="222222"/>
          <w:sz w:val="20"/>
          <w:szCs w:val="20"/>
          <w:lang w:eastAsia="en-AU"/>
        </w:rPr>
        <w:t xml:space="preserve"> J, Linde A. 1997. Antigen detection: the method of choice in comparison with virus isolation and serology for laboratory diagnosis of herpes zoster in human immunodeficiency virus-infected patients. J Clin Microbiol 35:347-9.</w:t>
      </w:r>
    </w:p>
    <w:p w:rsidRPr="000613F4" w:rsidR="000613F4" w:rsidP="000613F4" w:rsidRDefault="000613F4" w14:paraId="7288CB05" w14:textId="77777777">
      <w:pPr>
        <w:numPr>
          <w:ilvl w:val="0"/>
          <w:numId w:val="23"/>
        </w:numPr>
        <w:shd w:val="clear" w:color="auto" w:fill="FFFFFF"/>
        <w:spacing w:after="90" w:line="300" w:lineRule="atLeast"/>
        <w:rPr>
          <w:rFonts w:ascii="Helvetica" w:hAnsi="Helvetica" w:cs="Helvetica"/>
          <w:color w:val="222222"/>
          <w:sz w:val="20"/>
          <w:szCs w:val="20"/>
          <w:lang w:eastAsia="en-AU"/>
        </w:rPr>
      </w:pPr>
      <w:bookmarkStart w:name="18" w:id="17"/>
      <w:bookmarkEnd w:id="17"/>
      <w:r w:rsidRPr="000613F4">
        <w:rPr>
          <w:rFonts w:ascii="Helvetica" w:hAnsi="Helvetica" w:cs="Helvetica"/>
          <w:color w:val="222222"/>
          <w:sz w:val="20"/>
          <w:szCs w:val="20"/>
          <w:lang w:eastAsia="en-AU"/>
        </w:rPr>
        <w:t>Schmidt NJ, Gallo D, Devlin V, Woodie JD, Emmons RW. 1980. Direct immunofluorescence staining for detection of herpes simplex and varicella-zoster virus antigens in vesicular lesions and certain tissue specimens. J Clin Microbiol 12:651-5.</w:t>
      </w:r>
    </w:p>
    <w:p w:rsidRPr="000613F4" w:rsidR="000613F4" w:rsidP="000613F4" w:rsidRDefault="000613F4" w14:paraId="04E18099" w14:textId="77777777">
      <w:pPr>
        <w:numPr>
          <w:ilvl w:val="0"/>
          <w:numId w:val="23"/>
        </w:numPr>
        <w:shd w:val="clear" w:color="auto" w:fill="FFFFFF"/>
        <w:spacing w:after="90" w:line="300" w:lineRule="atLeast"/>
        <w:rPr>
          <w:rFonts w:ascii="Helvetica" w:hAnsi="Helvetica" w:cs="Helvetica"/>
          <w:color w:val="222222"/>
          <w:sz w:val="20"/>
          <w:szCs w:val="20"/>
          <w:lang w:eastAsia="en-AU"/>
        </w:rPr>
      </w:pPr>
      <w:bookmarkStart w:name="19" w:id="18"/>
      <w:bookmarkEnd w:id="18"/>
      <w:r w:rsidRPr="000613F4">
        <w:rPr>
          <w:rFonts w:ascii="Helvetica" w:hAnsi="Helvetica" w:cs="Helvetica"/>
          <w:color w:val="222222"/>
          <w:sz w:val="20"/>
          <w:szCs w:val="20"/>
          <w:lang w:eastAsia="en-AU"/>
        </w:rPr>
        <w:t xml:space="preserve">Parker SP, </w:t>
      </w:r>
      <w:proofErr w:type="spellStart"/>
      <w:r w:rsidRPr="000613F4">
        <w:rPr>
          <w:rFonts w:ascii="Helvetica" w:hAnsi="Helvetica" w:cs="Helvetica"/>
          <w:color w:val="222222"/>
          <w:sz w:val="20"/>
          <w:szCs w:val="20"/>
          <w:lang w:eastAsia="en-AU"/>
        </w:rPr>
        <w:t>Quinlivan</w:t>
      </w:r>
      <w:proofErr w:type="spellEnd"/>
      <w:r w:rsidRPr="000613F4">
        <w:rPr>
          <w:rFonts w:ascii="Helvetica" w:hAnsi="Helvetica" w:cs="Helvetica"/>
          <w:color w:val="222222"/>
          <w:sz w:val="20"/>
          <w:szCs w:val="20"/>
          <w:lang w:eastAsia="en-AU"/>
        </w:rPr>
        <w:t xml:space="preserve"> M, Taha Y, Breuer J. 2006. Genotyping of varicella-zoster virus and the discrimination of Oka vaccine strains by TaqMan real-time PCR. J Clin Microbiol 44:3911-4.</w:t>
      </w:r>
    </w:p>
    <w:p w:rsidRPr="000613F4" w:rsidR="000613F4" w:rsidP="000613F4" w:rsidRDefault="000613F4" w14:paraId="5A0F11C5" w14:textId="77777777">
      <w:pPr>
        <w:numPr>
          <w:ilvl w:val="0"/>
          <w:numId w:val="23"/>
        </w:numPr>
        <w:shd w:val="clear" w:color="auto" w:fill="FFFFFF"/>
        <w:spacing w:after="90" w:line="300" w:lineRule="atLeast"/>
        <w:rPr>
          <w:rFonts w:ascii="Helvetica" w:hAnsi="Helvetica" w:cs="Helvetica"/>
          <w:color w:val="222222"/>
          <w:sz w:val="20"/>
          <w:szCs w:val="20"/>
          <w:lang w:eastAsia="en-AU"/>
        </w:rPr>
      </w:pPr>
      <w:bookmarkStart w:name="20" w:id="19"/>
      <w:bookmarkEnd w:id="19"/>
      <w:r w:rsidRPr="000613F4">
        <w:rPr>
          <w:rFonts w:ascii="Helvetica" w:hAnsi="Helvetica" w:cs="Helvetica"/>
          <w:color w:val="222222"/>
          <w:sz w:val="20"/>
          <w:szCs w:val="20"/>
          <w:lang w:eastAsia="en-AU"/>
        </w:rPr>
        <w:t xml:space="preserve">Toi CS, Dwyer DE. 2008. Differentiation between vaccine and wild-type varicella-zoster virus genotypes by high-resolution melt analysis of single nucleotide polymorphisms. J Clin </w:t>
      </w:r>
      <w:proofErr w:type="spellStart"/>
      <w:r w:rsidRPr="000613F4">
        <w:rPr>
          <w:rFonts w:ascii="Helvetica" w:hAnsi="Helvetica" w:cs="Helvetica"/>
          <w:color w:val="222222"/>
          <w:sz w:val="20"/>
          <w:szCs w:val="20"/>
          <w:lang w:eastAsia="en-AU"/>
        </w:rPr>
        <w:t>Virol</w:t>
      </w:r>
      <w:proofErr w:type="spellEnd"/>
      <w:r w:rsidRPr="000613F4">
        <w:rPr>
          <w:rFonts w:ascii="Helvetica" w:hAnsi="Helvetica" w:cs="Helvetica"/>
          <w:color w:val="222222"/>
          <w:sz w:val="20"/>
          <w:szCs w:val="20"/>
          <w:lang w:eastAsia="en-AU"/>
        </w:rPr>
        <w:t xml:space="preserve"> 43:18-24.</w:t>
      </w:r>
    </w:p>
    <w:p w:rsidRPr="000613F4" w:rsidR="000613F4" w:rsidP="000613F4" w:rsidRDefault="000613F4" w14:paraId="0F29A882" w14:textId="77777777">
      <w:pPr>
        <w:numPr>
          <w:ilvl w:val="0"/>
          <w:numId w:val="23"/>
        </w:numPr>
        <w:shd w:val="clear" w:color="auto" w:fill="FFFFFF"/>
        <w:spacing w:after="90" w:line="300" w:lineRule="atLeast"/>
        <w:rPr>
          <w:rFonts w:ascii="Helvetica" w:hAnsi="Helvetica" w:cs="Helvetica"/>
          <w:color w:val="222222"/>
          <w:sz w:val="20"/>
          <w:szCs w:val="20"/>
          <w:lang w:eastAsia="en-AU"/>
        </w:rPr>
      </w:pPr>
      <w:bookmarkStart w:name="21" w:id="20"/>
      <w:bookmarkEnd w:id="20"/>
      <w:proofErr w:type="spellStart"/>
      <w:r w:rsidRPr="000613F4">
        <w:rPr>
          <w:rFonts w:ascii="Helvetica" w:hAnsi="Helvetica" w:cs="Helvetica"/>
          <w:color w:val="222222"/>
          <w:sz w:val="20"/>
          <w:szCs w:val="20"/>
          <w:lang w:eastAsia="en-AU"/>
        </w:rPr>
        <w:t>Loparev</w:t>
      </w:r>
      <w:proofErr w:type="spellEnd"/>
      <w:r w:rsidRPr="000613F4">
        <w:rPr>
          <w:rFonts w:ascii="Helvetica" w:hAnsi="Helvetica" w:cs="Helvetica"/>
          <w:color w:val="222222"/>
          <w:sz w:val="20"/>
          <w:szCs w:val="20"/>
          <w:lang w:eastAsia="en-AU"/>
        </w:rPr>
        <w:t xml:space="preserve"> VN, </w:t>
      </w:r>
      <w:proofErr w:type="spellStart"/>
      <w:r w:rsidRPr="000613F4">
        <w:rPr>
          <w:rFonts w:ascii="Helvetica" w:hAnsi="Helvetica" w:cs="Helvetica"/>
          <w:color w:val="222222"/>
          <w:sz w:val="20"/>
          <w:szCs w:val="20"/>
          <w:lang w:eastAsia="en-AU"/>
        </w:rPr>
        <w:t>Rubtcova</w:t>
      </w:r>
      <w:proofErr w:type="spellEnd"/>
      <w:r w:rsidRPr="000613F4">
        <w:rPr>
          <w:rFonts w:ascii="Helvetica" w:hAnsi="Helvetica" w:cs="Helvetica"/>
          <w:color w:val="222222"/>
          <w:sz w:val="20"/>
          <w:szCs w:val="20"/>
          <w:lang w:eastAsia="en-AU"/>
        </w:rPr>
        <w:t xml:space="preserve"> EN, Bostik V, et al. 2007. Identification of five major and two minor genotypes of varicella-zoster virus strains: a practical two-amplicon approach used to genotype clinical isolates in Australia and New Zealand. J </w:t>
      </w:r>
      <w:proofErr w:type="spellStart"/>
      <w:r w:rsidRPr="000613F4">
        <w:rPr>
          <w:rFonts w:ascii="Helvetica" w:hAnsi="Helvetica" w:cs="Helvetica"/>
          <w:color w:val="222222"/>
          <w:sz w:val="20"/>
          <w:szCs w:val="20"/>
          <w:lang w:eastAsia="en-AU"/>
        </w:rPr>
        <w:t>Virol</w:t>
      </w:r>
      <w:proofErr w:type="spellEnd"/>
      <w:r w:rsidRPr="000613F4">
        <w:rPr>
          <w:rFonts w:ascii="Helvetica" w:hAnsi="Helvetica" w:cs="Helvetica"/>
          <w:color w:val="222222"/>
          <w:sz w:val="20"/>
          <w:szCs w:val="20"/>
          <w:lang w:eastAsia="en-AU"/>
        </w:rPr>
        <w:t xml:space="preserve"> 81:12758-65.</w:t>
      </w:r>
    </w:p>
    <w:p w:rsidRPr="000613F4" w:rsidR="000613F4" w:rsidP="000613F4" w:rsidRDefault="000613F4" w14:paraId="4C3232F5" w14:textId="77777777">
      <w:pPr>
        <w:numPr>
          <w:ilvl w:val="0"/>
          <w:numId w:val="23"/>
        </w:numPr>
        <w:shd w:val="clear" w:color="auto" w:fill="FFFFFF"/>
        <w:spacing w:after="90" w:line="300" w:lineRule="atLeast"/>
        <w:rPr>
          <w:rFonts w:ascii="Helvetica" w:hAnsi="Helvetica" w:cs="Helvetica"/>
          <w:color w:val="222222"/>
          <w:sz w:val="20"/>
          <w:szCs w:val="20"/>
          <w:lang w:eastAsia="en-AU"/>
        </w:rPr>
      </w:pPr>
      <w:bookmarkStart w:name="22" w:id="21"/>
      <w:bookmarkEnd w:id="21"/>
      <w:proofErr w:type="spellStart"/>
      <w:r w:rsidRPr="000613F4">
        <w:rPr>
          <w:rFonts w:ascii="Helvetica" w:hAnsi="Helvetica" w:cs="Helvetica"/>
          <w:color w:val="222222"/>
          <w:sz w:val="20"/>
          <w:szCs w:val="20"/>
          <w:lang w:eastAsia="en-AU"/>
        </w:rPr>
        <w:t>LaRussa</w:t>
      </w:r>
      <w:proofErr w:type="spellEnd"/>
      <w:r w:rsidRPr="000613F4">
        <w:rPr>
          <w:rFonts w:ascii="Helvetica" w:hAnsi="Helvetica" w:cs="Helvetica"/>
          <w:color w:val="222222"/>
          <w:sz w:val="20"/>
          <w:szCs w:val="20"/>
          <w:lang w:eastAsia="en-AU"/>
        </w:rPr>
        <w:t xml:space="preserve"> P, Lungu O, Hardy I, Gershon A, Steinberg SP, Silverstein S. 1992. Restriction fragment length polymorphism of polymerase chain reaction products from vaccine and wild-type varicella-zoster virus isolates. J </w:t>
      </w:r>
      <w:proofErr w:type="spellStart"/>
      <w:r w:rsidRPr="000613F4">
        <w:rPr>
          <w:rFonts w:ascii="Helvetica" w:hAnsi="Helvetica" w:cs="Helvetica"/>
          <w:color w:val="222222"/>
          <w:sz w:val="20"/>
          <w:szCs w:val="20"/>
          <w:lang w:eastAsia="en-AU"/>
        </w:rPr>
        <w:t>Virol</w:t>
      </w:r>
      <w:proofErr w:type="spellEnd"/>
      <w:r w:rsidRPr="000613F4">
        <w:rPr>
          <w:rFonts w:ascii="Helvetica" w:hAnsi="Helvetica" w:cs="Helvetica"/>
          <w:color w:val="222222"/>
          <w:sz w:val="20"/>
          <w:szCs w:val="20"/>
          <w:lang w:eastAsia="en-AU"/>
        </w:rPr>
        <w:t xml:space="preserve"> 66:1016-20.</w:t>
      </w:r>
    </w:p>
    <w:p w:rsidRPr="000613F4" w:rsidR="009E0B84" w:rsidP="00F42019" w:rsidRDefault="000613F4" w14:paraId="50254563" w14:textId="290B6D16">
      <w:pPr>
        <w:numPr>
          <w:ilvl w:val="0"/>
          <w:numId w:val="23"/>
        </w:numPr>
        <w:shd w:val="clear" w:color="auto" w:fill="FFFFFF"/>
        <w:spacing w:after="90" w:line="300" w:lineRule="atLeast"/>
        <w:rPr>
          <w:rFonts w:ascii="Helvetica" w:hAnsi="Helvetica" w:cs="Helvetica"/>
          <w:color w:val="222222"/>
          <w:sz w:val="20"/>
          <w:szCs w:val="20"/>
          <w:lang w:eastAsia="en-AU"/>
        </w:rPr>
      </w:pPr>
      <w:bookmarkStart w:name="23" w:id="22"/>
      <w:bookmarkEnd w:id="22"/>
      <w:r w:rsidRPr="000613F4">
        <w:rPr>
          <w:rFonts w:ascii="Helvetica" w:hAnsi="Helvetica" w:cs="Helvetica"/>
          <w:color w:val="222222"/>
          <w:sz w:val="20"/>
          <w:szCs w:val="20"/>
          <w:lang w:eastAsia="en-AU"/>
        </w:rPr>
        <w:t xml:space="preserve">Takada M, </w:t>
      </w:r>
      <w:proofErr w:type="spellStart"/>
      <w:r w:rsidRPr="000613F4">
        <w:rPr>
          <w:rFonts w:ascii="Helvetica" w:hAnsi="Helvetica" w:cs="Helvetica"/>
          <w:color w:val="222222"/>
          <w:sz w:val="20"/>
          <w:szCs w:val="20"/>
          <w:lang w:eastAsia="en-AU"/>
        </w:rPr>
        <w:t>Suzutani</w:t>
      </w:r>
      <w:proofErr w:type="spellEnd"/>
      <w:r w:rsidRPr="000613F4">
        <w:rPr>
          <w:rFonts w:ascii="Helvetica" w:hAnsi="Helvetica" w:cs="Helvetica"/>
          <w:color w:val="222222"/>
          <w:sz w:val="20"/>
          <w:szCs w:val="20"/>
          <w:lang w:eastAsia="en-AU"/>
        </w:rPr>
        <w:t xml:space="preserve"> T, Yoshida I, </w:t>
      </w:r>
      <w:proofErr w:type="spellStart"/>
      <w:r w:rsidRPr="000613F4">
        <w:rPr>
          <w:rFonts w:ascii="Helvetica" w:hAnsi="Helvetica" w:cs="Helvetica"/>
          <w:color w:val="222222"/>
          <w:sz w:val="20"/>
          <w:szCs w:val="20"/>
          <w:lang w:eastAsia="en-AU"/>
        </w:rPr>
        <w:t>Matoba</w:t>
      </w:r>
      <w:proofErr w:type="spellEnd"/>
      <w:r w:rsidRPr="000613F4">
        <w:rPr>
          <w:rFonts w:ascii="Helvetica" w:hAnsi="Helvetica" w:cs="Helvetica"/>
          <w:color w:val="222222"/>
          <w:sz w:val="20"/>
          <w:szCs w:val="20"/>
          <w:lang w:eastAsia="en-AU"/>
        </w:rPr>
        <w:t xml:space="preserve"> M, Azuma M. 1995. Identification of varicella-zoster virus strains by PCR analysis of three repeat elements and a </w:t>
      </w:r>
      <w:proofErr w:type="spellStart"/>
      <w:r w:rsidRPr="000613F4">
        <w:rPr>
          <w:rFonts w:ascii="Helvetica" w:hAnsi="Helvetica" w:cs="Helvetica"/>
          <w:color w:val="222222"/>
          <w:sz w:val="20"/>
          <w:szCs w:val="20"/>
          <w:lang w:eastAsia="en-AU"/>
        </w:rPr>
        <w:t>PstI</w:t>
      </w:r>
      <w:proofErr w:type="spellEnd"/>
      <w:r w:rsidRPr="000613F4">
        <w:rPr>
          <w:rFonts w:ascii="Helvetica" w:hAnsi="Helvetica" w:cs="Helvetica"/>
          <w:color w:val="222222"/>
          <w:sz w:val="20"/>
          <w:szCs w:val="20"/>
          <w:lang w:eastAsia="en-AU"/>
        </w:rPr>
        <w:t>-site-less region. J Clin Microbiol 33:658-60.</w:t>
      </w:r>
    </w:p>
    <w:sectPr w:rsidRPr="000613F4" w:rsidR="009E0B84" w:rsidSect="00F42019">
      <w:headerReference w:type="default" r:id="rId40"/>
      <w:footerReference w:type="default" r:id="rId41"/>
      <w:headerReference w:type="first" r:id="rId42"/>
      <w:footerReference w:type="first" r:id="rId43"/>
      <w:type w:val="continuous"/>
      <w:pgSz w:w="11906" w:h="16838" w:orient="portrait"/>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613F4" w:rsidP="006B56BB" w:rsidRDefault="000613F4" w14:paraId="38C3C6EE" w14:textId="77777777">
      <w:r>
        <w:separator/>
      </w:r>
    </w:p>
    <w:p w:rsidR="000613F4" w:rsidRDefault="000613F4" w14:paraId="49B36BC8" w14:textId="77777777"/>
  </w:endnote>
  <w:endnote w:type="continuationSeparator" w:id="0">
    <w:p w:rsidR="000613F4" w:rsidP="006B56BB" w:rsidRDefault="000613F4" w14:paraId="7DA127D7" w14:textId="77777777">
      <w:r>
        <w:continuationSeparator/>
      </w:r>
    </w:p>
    <w:p w:rsidR="000613F4" w:rsidRDefault="000613F4" w14:paraId="2A825D78" w14:textId="77777777"/>
  </w:endnote>
  <w:endnote w:type="continuationNotice" w:id="1">
    <w:p w:rsidR="000613F4" w:rsidRDefault="000613F4" w14:paraId="06750DB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rsidR="00CD407A" w:rsidRDefault="000613F4" w14:paraId="21999B31" w14:textId="3DB5AE43">
            <w:pPr>
              <w:pStyle w:val="Footer"/>
              <w:jc w:val="right"/>
            </w:pPr>
            <w:r w:rsidRPr="000613F4">
              <w:t>Varicella zoster virus</w:t>
            </w:r>
            <w:r>
              <w:t xml:space="preserve"> </w:t>
            </w:r>
            <w:r w:rsidR="00076AD6">
              <w:t xml:space="preserve">– Laboratory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p w:rsidR="00CD407A" w:rsidRDefault="00CD407A" w14:paraId="1CE3737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40AE" w:rsidP="005E40AE" w:rsidRDefault="000613F4" w14:paraId="76BE3FA4" w14:textId="38651841">
    <w:pPr>
      <w:pStyle w:val="Footer"/>
      <w:jc w:val="right"/>
    </w:pPr>
    <w:r w:rsidRPr="000613F4">
      <w:t>Varicella zoster virus</w:t>
    </w:r>
    <w:r>
      <w:t xml:space="preserve"> </w:t>
    </w:r>
    <w:r w:rsidR="005E40AE">
      <w:t xml:space="preserve">– Laboratory case definition </w:t>
    </w:r>
    <w:r w:rsidR="005E40AE">
      <w:tab/>
    </w:r>
    <w:r w:rsidR="005E40AE">
      <w:tab/>
    </w:r>
    <w:r w:rsidR="005E40AE">
      <w:t xml:space="preserve">Page </w:t>
    </w:r>
    <w:r w:rsidR="005E40AE">
      <w:rPr>
        <w:b/>
        <w:bCs/>
        <w:sz w:val="24"/>
      </w:rPr>
      <w:fldChar w:fldCharType="begin"/>
    </w:r>
    <w:r w:rsidR="005E40AE">
      <w:rPr>
        <w:b/>
        <w:bCs/>
      </w:rPr>
      <w:instrText xml:space="preserve"> PAGE </w:instrText>
    </w:r>
    <w:r w:rsidR="005E40AE">
      <w:rPr>
        <w:b/>
        <w:bCs/>
        <w:sz w:val="24"/>
      </w:rPr>
      <w:fldChar w:fldCharType="separate"/>
    </w:r>
    <w:r w:rsidR="005E40AE">
      <w:rPr>
        <w:b/>
        <w:bCs/>
        <w:sz w:val="24"/>
      </w:rPr>
      <w:t>2</w:t>
    </w:r>
    <w:r w:rsidR="005E40AE">
      <w:rPr>
        <w:b/>
        <w:bCs/>
        <w:sz w:val="24"/>
      </w:rPr>
      <w:fldChar w:fldCharType="end"/>
    </w:r>
    <w:r w:rsidR="005E40AE">
      <w:t xml:space="preserve"> of </w:t>
    </w:r>
    <w:r w:rsidR="005E40AE">
      <w:rPr>
        <w:b/>
        <w:bCs/>
        <w:sz w:val="24"/>
      </w:rPr>
      <w:fldChar w:fldCharType="begin"/>
    </w:r>
    <w:r w:rsidR="005E40AE">
      <w:rPr>
        <w:b/>
        <w:bCs/>
      </w:rPr>
      <w:instrText xml:space="preserve"> NUMPAGES  </w:instrText>
    </w:r>
    <w:r w:rsidR="005E40AE">
      <w:rPr>
        <w:b/>
        <w:bCs/>
        <w:sz w:val="24"/>
      </w:rPr>
      <w:fldChar w:fldCharType="separate"/>
    </w:r>
    <w:r w:rsidR="005E40AE">
      <w:rPr>
        <w:b/>
        <w:bCs/>
        <w:sz w:val="24"/>
      </w:rPr>
      <w:t>2</w:t>
    </w:r>
    <w:r w:rsidR="005E40AE">
      <w:rPr>
        <w:b/>
        <w:bCs/>
        <w:sz w:val="24"/>
      </w:rPr>
      <w:fldChar w:fldCharType="end"/>
    </w:r>
  </w:p>
  <w:p w:rsidR="005E40AE" w:rsidRDefault="005E40AE" w14:paraId="7B9C7D4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613F4" w:rsidP="006B56BB" w:rsidRDefault="000613F4" w14:paraId="0FD045BE" w14:textId="77777777">
      <w:r>
        <w:separator/>
      </w:r>
    </w:p>
    <w:p w:rsidR="000613F4" w:rsidRDefault="000613F4" w14:paraId="441049A3" w14:textId="77777777"/>
  </w:footnote>
  <w:footnote w:type="continuationSeparator" w:id="0">
    <w:p w:rsidR="000613F4" w:rsidP="006B56BB" w:rsidRDefault="000613F4" w14:paraId="6F0B58A9" w14:textId="77777777">
      <w:r>
        <w:continuationSeparator/>
      </w:r>
    </w:p>
    <w:p w:rsidR="000613F4" w:rsidRDefault="000613F4" w14:paraId="21552FF3" w14:textId="77777777"/>
  </w:footnote>
  <w:footnote w:type="continuationNotice" w:id="1">
    <w:p w:rsidR="000613F4" w:rsidRDefault="000613F4" w14:paraId="6B4AFB1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0C77" w:rsidP="008E0C77" w:rsidRDefault="008E0C77" w14:paraId="339EBAAA" w14:textId="777777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F42019" w:rsidRDefault="00F42019" w14:paraId="5860D4E2" w14:textId="77777777">
    <w:pPr>
      <w:pStyle w:val="Header"/>
    </w:pPr>
    <w:r>
      <w:rPr>
        <w:noProof/>
      </w:rPr>
      <w:drawing>
        <wp:inline distT="0" distB="0" distL="0" distR="0" wp14:anchorId="3F5EC2CD" wp14:editId="3163FB61">
          <wp:extent cx="2943580" cy="1200150"/>
          <wp:effectExtent l="0" t="0" r="9525" b="0"/>
          <wp:docPr id="2" name="Picture 2" descr="Public Health Laborator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blic Health Laboratory Network logo"/>
                  <pic:cNvPicPr/>
                </pic:nvPicPr>
                <pic:blipFill>
                  <a:blip r:embed="rId1">
                    <a:extLst>
                      <a:ext uri="{28A0092B-C50C-407E-A947-70E740481C1C}">
                        <a14:useLocalDpi xmlns:a14="http://schemas.microsoft.com/office/drawing/2010/main" val="0"/>
                      </a:ext>
                    </a:extLst>
                  </a:blip>
                  <a:stretch>
                    <a:fillRect/>
                  </a:stretch>
                </pic:blipFill>
                <pic:spPr>
                  <a:xfrm>
                    <a:off x="0" y="0"/>
                    <a:ext cx="2997886" cy="1222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hint="default" w:ascii="Calibri" w:hAnsi="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13363506"/>
    <w:multiLevelType w:val="hybridMultilevel"/>
    <w:tmpl w:val="C55CFE62"/>
    <w:lvl w:ilvl="0" w:tplc="B722292C">
      <w:start w:val="1"/>
      <w:numFmt w:val="bullet"/>
      <w:pStyle w:val="ListBullet"/>
      <w:lvlText w:val=""/>
      <w:lvlJc w:val="left"/>
      <w:pPr>
        <w:ind w:left="360" w:hanging="360"/>
      </w:pPr>
      <w:rPr>
        <w:rFonts w:hint="default" w:ascii="Symbol" w:hAnsi="Symbol"/>
        <w:color w:val="000000" w:themeColor="tex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1FAB2625"/>
    <w:multiLevelType w:val="multilevel"/>
    <w:tmpl w:val="2CF65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F24FB3"/>
    <w:multiLevelType w:val="multilevel"/>
    <w:tmpl w:val="86EA42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4CD50FD"/>
    <w:multiLevelType w:val="hybridMultilevel"/>
    <w:tmpl w:val="B3569960"/>
    <w:lvl w:ilvl="0" w:tplc="98DA49D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5" w15:restartNumberingAfterBreak="0">
    <w:nsid w:val="4009611E"/>
    <w:multiLevelType w:val="multilevel"/>
    <w:tmpl w:val="18560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hint="default" w:ascii="Calibri" w:hAnsi="Calibri"/>
      </w:rPr>
    </w:lvl>
    <w:lvl w:ilvl="1" w:tplc="B770D50E">
      <w:start w:val="1"/>
      <w:numFmt w:val="bullet"/>
      <w:lvlText w:val="•"/>
      <w:lvlJc w:val="left"/>
      <w:pPr>
        <w:tabs>
          <w:tab w:val="num" w:pos="1440"/>
        </w:tabs>
        <w:ind w:left="1440" w:hanging="360"/>
      </w:pPr>
      <w:rPr>
        <w:rFonts w:hint="default" w:ascii="Calibri" w:hAnsi="Calibri"/>
      </w:rPr>
    </w:lvl>
    <w:lvl w:ilvl="2" w:tplc="D1AC3FE6">
      <w:start w:val="1"/>
      <w:numFmt w:val="bullet"/>
      <w:lvlText w:val=""/>
      <w:lvlJc w:val="left"/>
      <w:pPr>
        <w:tabs>
          <w:tab w:val="num" w:pos="2084"/>
        </w:tabs>
        <w:ind w:left="2084" w:hanging="284"/>
      </w:pPr>
      <w:rPr>
        <w:rFonts w:hint="default" w:ascii="Symbol" w:hAnsi="Symbol"/>
      </w:rPr>
    </w:lvl>
    <w:lvl w:ilvl="3" w:tplc="2E722BD4">
      <w:start w:val="1"/>
      <w:numFmt w:val="bullet"/>
      <w:lvlText w:val="•"/>
      <w:lvlJc w:val="left"/>
      <w:pPr>
        <w:tabs>
          <w:tab w:val="num" w:pos="2880"/>
        </w:tabs>
        <w:ind w:left="2880" w:hanging="360"/>
      </w:pPr>
      <w:rPr>
        <w:rFonts w:hint="default" w:ascii="Calibri" w:hAnsi="Calibri"/>
      </w:rPr>
    </w:lvl>
    <w:lvl w:ilvl="4" w:tplc="CDB2B8BC" w:tentative="1">
      <w:start w:val="1"/>
      <w:numFmt w:val="bullet"/>
      <w:lvlText w:val="•"/>
      <w:lvlJc w:val="left"/>
      <w:pPr>
        <w:tabs>
          <w:tab w:val="num" w:pos="3600"/>
        </w:tabs>
        <w:ind w:left="3600" w:hanging="360"/>
      </w:pPr>
      <w:rPr>
        <w:rFonts w:hint="default" w:ascii="Calibri" w:hAnsi="Calibri"/>
      </w:rPr>
    </w:lvl>
    <w:lvl w:ilvl="5" w:tplc="7D8CFA76" w:tentative="1">
      <w:start w:val="1"/>
      <w:numFmt w:val="bullet"/>
      <w:lvlText w:val="•"/>
      <w:lvlJc w:val="left"/>
      <w:pPr>
        <w:tabs>
          <w:tab w:val="num" w:pos="4320"/>
        </w:tabs>
        <w:ind w:left="4320" w:hanging="360"/>
      </w:pPr>
      <w:rPr>
        <w:rFonts w:hint="default" w:ascii="Calibri" w:hAnsi="Calibri"/>
      </w:rPr>
    </w:lvl>
    <w:lvl w:ilvl="6" w:tplc="349224D0" w:tentative="1">
      <w:start w:val="1"/>
      <w:numFmt w:val="bullet"/>
      <w:lvlText w:val="•"/>
      <w:lvlJc w:val="left"/>
      <w:pPr>
        <w:tabs>
          <w:tab w:val="num" w:pos="5040"/>
        </w:tabs>
        <w:ind w:left="5040" w:hanging="360"/>
      </w:pPr>
      <w:rPr>
        <w:rFonts w:hint="default" w:ascii="Calibri" w:hAnsi="Calibri"/>
      </w:rPr>
    </w:lvl>
    <w:lvl w:ilvl="7" w:tplc="AD2E393C" w:tentative="1">
      <w:start w:val="1"/>
      <w:numFmt w:val="bullet"/>
      <w:lvlText w:val="•"/>
      <w:lvlJc w:val="left"/>
      <w:pPr>
        <w:tabs>
          <w:tab w:val="num" w:pos="5760"/>
        </w:tabs>
        <w:ind w:left="5760" w:hanging="360"/>
      </w:pPr>
      <w:rPr>
        <w:rFonts w:hint="default" w:ascii="Calibri" w:hAnsi="Calibri"/>
      </w:rPr>
    </w:lvl>
    <w:lvl w:ilvl="8" w:tplc="22B27F60" w:tentative="1">
      <w:start w:val="1"/>
      <w:numFmt w:val="bullet"/>
      <w:lvlText w:val="•"/>
      <w:lvlJc w:val="left"/>
      <w:pPr>
        <w:tabs>
          <w:tab w:val="num" w:pos="6480"/>
        </w:tabs>
        <w:ind w:left="6480" w:hanging="360"/>
      </w:pPr>
      <w:rPr>
        <w:rFonts w:hint="default" w:ascii="Calibri" w:hAnsi="Calibri"/>
      </w:rPr>
    </w:lvl>
  </w:abstractNum>
  <w:abstractNum w:abstractNumId="17" w15:restartNumberingAfterBreak="0">
    <w:nsid w:val="4DF16DCC"/>
    <w:multiLevelType w:val="multilevel"/>
    <w:tmpl w:val="CF70B9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FE2A36DA"/>
    <w:lvl w:ilvl="0" w:tplc="B6B6120E">
      <w:start w:val="1"/>
      <w:numFmt w:val="bullet"/>
      <w:pStyle w:val="Table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abstractNumId w:val="7"/>
  </w:num>
  <w:num w:numId="2">
    <w:abstractNumId w:val="18"/>
  </w:num>
  <w:num w:numId="3">
    <w:abstractNumId w:val="20"/>
  </w:num>
  <w:num w:numId="4">
    <w:abstractNumId w:val="8"/>
  </w:num>
  <w:num w:numId="5">
    <w:abstractNumId w:val="8"/>
    <w:lvlOverride w:ilvl="0">
      <w:startOverride w:val="1"/>
    </w:lvlOverride>
  </w:num>
  <w:num w:numId="6">
    <w:abstractNumId w:val="9"/>
  </w:num>
  <w:num w:numId="7">
    <w:abstractNumId w:val="16"/>
  </w:num>
  <w:num w:numId="8">
    <w:abstractNumId w:val="19"/>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1"/>
  </w:num>
  <w:num w:numId="17">
    <w:abstractNumId w:val="10"/>
  </w:num>
  <w:num w:numId="18">
    <w:abstractNumId w:val="11"/>
  </w:num>
  <w:num w:numId="19">
    <w:abstractNumId w:val="14"/>
  </w:num>
  <w:num w:numId="20">
    <w:abstractNumId w:val="17"/>
  </w:num>
  <w:num w:numId="21">
    <w:abstractNumId w:val="13"/>
  </w:num>
  <w:num w:numId="22">
    <w:abstractNumId w:val="15"/>
  </w:num>
  <w:num w:numId="23">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67"/>
  <w:hideSpellingErrors/>
  <w:hideGrammaticalErrors/>
  <w:proofState w:spelling="clean" w:grammar="dirty"/>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3F4"/>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13F4"/>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8564F"/>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32E1B"/>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D75EA"/>
    <w:rsid w:val="005E0A3F"/>
    <w:rsid w:val="005E40AE"/>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B194E"/>
    <w:rsid w:val="007C1FDC"/>
    <w:rsid w:val="007C6D9C"/>
    <w:rsid w:val="007C7DDB"/>
    <w:rsid w:val="007D2CC7"/>
    <w:rsid w:val="007D673D"/>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363C7"/>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A26D0"/>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6A51"/>
    <w:rsid w:val="00B32222"/>
    <w:rsid w:val="00B3618D"/>
    <w:rsid w:val="00B36233"/>
    <w:rsid w:val="00B42851"/>
    <w:rsid w:val="00B45AC7"/>
    <w:rsid w:val="00B5372F"/>
    <w:rsid w:val="00B61129"/>
    <w:rsid w:val="00B67E7F"/>
    <w:rsid w:val="00B839B2"/>
    <w:rsid w:val="00B86E28"/>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2019"/>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 w:val="0A61C174"/>
    <w:rsid w:val="6CCF24CD"/>
    <w:rsid w:val="6FCA20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FCC65"/>
  <w15:docId w15:val="{ECDB1238-17BB-4414-A5DD-12364DE884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uiPriority="9" w:qFormat="1"/>
    <w:lsdException w:name="heading 4" w:uiPriority="9"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link w:val="Heading2Char"/>
    <w:uiPriority w:val="9"/>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link w:val="Heading3Char"/>
    <w:uiPriority w:val="9"/>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link w:val="Heading4Char"/>
    <w:uiPriority w:val="9"/>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text" w:customStyle="1">
    <w:name w:val="Paragraph text"/>
    <w:basedOn w:val="Normal"/>
    <w:qFormat/>
    <w:rsid w:val="001571C7"/>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qFormat/>
    <w:rsid w:val="003100AE"/>
    <w:pPr>
      <w:numPr>
        <w:ilvl w:val="1"/>
      </w:numPr>
      <w:spacing w:before="120" w:after="60"/>
    </w:pPr>
    <w:rPr>
      <w:rFonts w:ascii="Arial" w:hAnsi="Arial" w:eastAsiaTheme="majorEastAsia" w:cstheme="majorBidi"/>
      <w:iCs/>
      <w:color w:val="000000" w:themeColor="text1"/>
      <w:spacing w:val="15"/>
      <w:sz w:val="40"/>
      <w:szCs w:val="24"/>
      <w:lang w:eastAsia="en-US"/>
    </w:rPr>
  </w:style>
  <w:style w:type="character" w:styleId="SubtitleChar" w:customStyle="1">
    <w:name w:val="Subtitle Char"/>
    <w:basedOn w:val="DefaultParagraphFont"/>
    <w:link w:val="Subtitle"/>
    <w:rsid w:val="003100AE"/>
    <w:rPr>
      <w:rFonts w:ascii="Arial" w:hAnsi="Arial" w:eastAsiaTheme="majorEastAsia"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styleId="TitleChar" w:customStyle="1">
    <w:name w:val="Title Char"/>
    <w:basedOn w:val="DefaultParagraphFont"/>
    <w:link w:val="Title"/>
    <w:rsid w:val="00EC5E9A"/>
    <w:rPr>
      <w:rFonts w:ascii="Arial" w:hAnsi="Arial" w:eastAsiaTheme="majorEastAsia" w:cstheme="majorBidi"/>
      <w:b/>
      <w:kern w:val="28"/>
      <w:sz w:val="48"/>
      <w:szCs w:val="52"/>
      <w:lang w:eastAsia="en-US"/>
    </w:rPr>
  </w:style>
  <w:style w:type="paragraph" w:styleId="Boxheading" w:customStyle="1">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styleId="IntenseQuoteChar" w:customStyle="1">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styleId="ImageTitle" w:customStyle="1">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styleId="BodyTextChar" w:customStyle="1">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3A2E4F"/>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 w:customStyle="1">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7263B9"/>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rful3">
    <w:name w:val="Table Colorful 3"/>
    <w:basedOn w:val="TableNormal"/>
    <w:locked/>
    <w:rsid w:val="004F13EE"/>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4F13EE"/>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4F13EE"/>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styleId="HeaderChar" w:customStyle="1">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styleId="FooterChar" w:customStyle="1">
    <w:name w:val="Footer Char"/>
    <w:basedOn w:val="DefaultParagraphFont"/>
    <w:link w:val="Footer"/>
    <w:uiPriority w:val="99"/>
    <w:rsid w:val="00220E5F"/>
    <w:rPr>
      <w:rFonts w:ascii="Arial" w:hAnsi="Arial"/>
      <w:szCs w:val="24"/>
      <w:lang w:eastAsia="en-US"/>
    </w:rPr>
  </w:style>
  <w:style w:type="paragraph" w:styleId="TableHeaderWhite" w:customStyle="1">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912D54"/>
    <w:pPr>
      <w:spacing w:before="60" w:after="60"/>
    </w:pPr>
    <w:rPr>
      <w:rFonts w:cs="Arial"/>
      <w:b/>
      <w:sz w:val="20"/>
    </w:rPr>
  </w:style>
  <w:style w:type="paragraph" w:styleId="FigureTitle" w:customStyle="1">
    <w:name w:val="Figure Title"/>
    <w:basedOn w:val="Normal"/>
    <w:next w:val="Paragraphtext"/>
    <w:qFormat/>
    <w:rsid w:val="00DA3D1D"/>
    <w:pPr>
      <w:spacing w:before="120" w:after="120"/>
    </w:pPr>
    <w:rPr>
      <w:rFonts w:cs="Arial"/>
      <w:b/>
      <w:bCs/>
      <w:iCs/>
      <w:color w:val="000000" w:themeColor="text1"/>
      <w:szCs w:val="22"/>
    </w:rPr>
  </w:style>
  <w:style w:type="paragraph" w:styleId="Headertext" w:customStyle="1">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styleId="PHNGreyTable" w:customStyle="1">
    <w:name w:val="PHN Grey Table"/>
    <w:basedOn w:val="TableNormal"/>
    <w:uiPriority w:val="99"/>
    <w:rsid w:val="00404F8B"/>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listbullet" w:customStyle="1">
    <w:name w:val="Table list bullet"/>
    <w:basedOn w:val="TableText"/>
    <w:qFormat/>
    <w:rsid w:val="00110478"/>
    <w:pPr>
      <w:numPr>
        <w:numId w:val="3"/>
      </w:numPr>
      <w:ind w:left="284" w:hanging="284"/>
    </w:pPr>
    <w:rPr>
      <w:szCs w:val="20"/>
    </w:rPr>
  </w:style>
  <w:style w:type="paragraph" w:styleId="Tablelistnumber" w:customStyle="1">
    <w:name w:val="Table list number"/>
    <w:basedOn w:val="TableText"/>
    <w:qFormat/>
    <w:rsid w:val="00DD2061"/>
    <w:pPr>
      <w:numPr>
        <w:numId w:val="4"/>
      </w:numPr>
    </w:pPr>
    <w:rPr>
      <w:bCs/>
      <w14:numSpacing w14:val="proportional"/>
    </w:rPr>
  </w:style>
  <w:style w:type="paragraph" w:styleId="TableHeader" w:customStyle="1">
    <w:name w:val="Table Header"/>
    <w:basedOn w:val="Normal"/>
    <w:next w:val="TableText"/>
    <w:qFormat/>
    <w:rsid w:val="00B16A51"/>
    <w:pPr>
      <w:spacing w:before="80" w:after="80"/>
    </w:pPr>
    <w:rPr>
      <w:rFonts w:eastAsia="Cambria"/>
      <w:b/>
      <w:color w:val="000000" w:themeColor="text1"/>
      <w:szCs w:val="22"/>
      <w:lang w:val="en-US"/>
    </w:rPr>
  </w:style>
  <w:style w:type="paragraph" w:styleId="SectionHeading" w:customStyle="1">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styleId="FootnoteTextChar" w:customStyle="1">
    <w:name w:val="Footnote Text Char"/>
    <w:basedOn w:val="DefaultParagraphFont"/>
    <w:link w:val="FootnoteText"/>
    <w:rsid w:val="00A24961"/>
    <w:rPr>
      <w:rFonts w:ascii="Arial" w:hAnsi="Arial"/>
      <w:lang w:eastAsia="en-US"/>
    </w:rPr>
  </w:style>
  <w:style w:type="paragraph" w:styleId="VisionBox" w:customStyle="1">
    <w:name w:val="VisionBox"/>
    <w:basedOn w:val="Normal"/>
    <w:qFormat/>
    <w:rsid w:val="00BB5860"/>
    <w:pPr>
      <w:pBdr>
        <w:top w:val="single" w:color="358189" w:sz="4" w:space="15"/>
        <w:bottom w:val="single" w:color="358189" w:sz="4" w:space="10"/>
      </w:pBdr>
      <w:spacing w:before="240" w:after="240" w:line="340" w:lineRule="exact"/>
    </w:pPr>
    <w:rPr>
      <w:rFonts w:eastAsiaTheme="minorHAnsi"/>
      <w:color w:val="358189"/>
    </w:rPr>
  </w:style>
  <w:style w:type="paragraph" w:styleId="Boxtype" w:customStyle="1">
    <w:name w:val="Box type"/>
    <w:next w:val="Normal"/>
    <w:qFormat/>
    <w:rsid w:val="00177AD2"/>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PolicyStatement" w:customStyle="1">
    <w:name w:val="PolicyStatement"/>
    <w:basedOn w:val="Normal"/>
    <w:qFormat/>
    <w:rsid w:val="00177AD2"/>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rPr>
      <w:sz w:val="21"/>
    </w:rPr>
  </w:style>
  <w:style w:type="paragraph" w:styleId="IntroPara" w:customStyle="1">
    <w:name w:val="Intro Para"/>
    <w:basedOn w:val="Title"/>
    <w:qFormat/>
    <w:rsid w:val="00EC5E9A"/>
    <w:pPr>
      <w:spacing w:after="240" w:line="360" w:lineRule="auto"/>
    </w:pPr>
    <w:rPr>
      <w:b w:val="0"/>
      <w:color w:val="000000" w:themeColor="text1"/>
      <w:sz w:val="28"/>
    </w:rPr>
  </w:style>
  <w:style w:type="paragraph" w:styleId="Intropara0" w:customStyle="1">
    <w:name w:val="Intro para"/>
    <w:basedOn w:val="VisionBox"/>
    <w:rsid w:val="008376E2"/>
    <w:pPr>
      <w:pBdr>
        <w:top w:val="none" w:color="auto" w:sz="0" w:space="0"/>
        <w:bottom w:val="none" w:color="auto" w:sz="0" w:space="0"/>
      </w:pBdr>
      <w:spacing w:before="480" w:line="400" w:lineRule="exact"/>
    </w:pPr>
    <w:rPr>
      <w:sz w:val="28"/>
    </w:rPr>
  </w:style>
  <w:style w:type="table" w:styleId="DepartmentofHealthtable" w:customStyle="1">
    <w:name w:val="Department of Health table"/>
    <w:basedOn w:val="TableNormal"/>
    <w:uiPriority w:val="99"/>
    <w:rsid w:val="009040E9"/>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Tabletitle0" w:customStyle="1">
    <w:name w:val="Table title"/>
    <w:basedOn w:val="Normal"/>
    <w:rsid w:val="009040E9"/>
    <w:pPr>
      <w:spacing w:before="120" w:after="120"/>
    </w:pPr>
    <w:rPr>
      <w:b/>
      <w:bCs/>
      <w:color w:val="000000" w:themeColor="text1"/>
      <w:szCs w:val="20"/>
    </w:rPr>
  </w:style>
  <w:style w:type="paragraph" w:styleId="Tableheader0" w:customStyle="1">
    <w:name w:val="Table header"/>
    <w:basedOn w:val="Normal"/>
    <w:rsid w:val="009040E9"/>
    <w:pPr>
      <w:spacing w:before="80" w:after="80"/>
    </w:pPr>
    <w:rPr>
      <w:b/>
      <w:bCs/>
      <w:color w:val="FFFFFF" w:themeColor="background1"/>
      <w:szCs w:val="20"/>
    </w:rPr>
  </w:style>
  <w:style w:type="paragraph" w:styleId="Tabletextleft" w:customStyle="1">
    <w:name w:val="Table text left"/>
    <w:basedOn w:val="Normal"/>
    <w:rsid w:val="009040E9"/>
    <w:pPr>
      <w:spacing w:before="60" w:after="60"/>
    </w:pPr>
    <w:rPr>
      <w:color w:val="000000" w:themeColor="text1"/>
      <w:sz w:val="21"/>
      <w:szCs w:val="20"/>
    </w:rPr>
  </w:style>
  <w:style w:type="paragraph" w:styleId="TabletextRight" w:customStyle="1">
    <w:name w:val="Table text Right"/>
    <w:basedOn w:val="Tabletextleft"/>
    <w:rsid w:val="009040E9"/>
    <w:pPr>
      <w:jc w:val="right"/>
    </w:pPr>
  </w:style>
  <w:style w:type="paragraph" w:styleId="Tabletextright0" w:customStyle="1">
    <w:name w:val="Table text right"/>
    <w:basedOn w:val="Tabletextleft"/>
    <w:rsid w:val="00D01F09"/>
    <w:pPr>
      <w:jc w:val="right"/>
    </w:pPr>
  </w:style>
  <w:style w:type="character" w:styleId="Heading2Char" w:customStyle="1">
    <w:name w:val="Heading 2 Char"/>
    <w:basedOn w:val="DefaultParagraphFont"/>
    <w:link w:val="Heading2"/>
    <w:uiPriority w:val="9"/>
    <w:rsid w:val="000613F4"/>
    <w:rPr>
      <w:rFonts w:ascii="Arial" w:hAnsi="Arial" w:cs="Arial"/>
      <w:bCs/>
      <w:iCs/>
      <w:color w:val="358189"/>
      <w:sz w:val="32"/>
      <w:szCs w:val="28"/>
      <w:lang w:eastAsia="en-US"/>
    </w:rPr>
  </w:style>
  <w:style w:type="character" w:styleId="Heading3Char" w:customStyle="1">
    <w:name w:val="Heading 3 Char"/>
    <w:basedOn w:val="DefaultParagraphFont"/>
    <w:link w:val="Heading3"/>
    <w:uiPriority w:val="9"/>
    <w:rsid w:val="000613F4"/>
    <w:rPr>
      <w:rFonts w:ascii="Arial" w:hAnsi="Arial" w:cs="Arial"/>
      <w:bCs/>
      <w:color w:val="358189"/>
      <w:sz w:val="24"/>
      <w:szCs w:val="26"/>
      <w:lang w:eastAsia="en-US"/>
    </w:rPr>
  </w:style>
  <w:style w:type="character" w:styleId="Heading4Char" w:customStyle="1">
    <w:name w:val="Heading 4 Char"/>
    <w:basedOn w:val="DefaultParagraphFont"/>
    <w:link w:val="Heading4"/>
    <w:uiPriority w:val="9"/>
    <w:rsid w:val="000613F4"/>
    <w:rPr>
      <w:rFonts w:ascii="Arial" w:hAnsi="Arial"/>
      <w:b/>
      <w:bCs/>
      <w:i/>
      <w:color w:val="414141"/>
      <w:sz w:val="24"/>
      <w:szCs w:val="28"/>
      <w:lang w:eastAsia="en-US"/>
    </w:rPr>
  </w:style>
  <w:style w:type="paragraph" w:styleId="NormalWeb">
    <w:name w:val="Normal (Web)"/>
    <w:basedOn w:val="Normal"/>
    <w:uiPriority w:val="99"/>
    <w:semiHidden/>
    <w:unhideWhenUsed/>
    <w:rsid w:val="000613F4"/>
    <w:pPr>
      <w:spacing w:before="100" w:beforeAutospacing="1" w:after="100" w:afterAutospacing="1"/>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947157">
      <w:bodyDiv w:val="1"/>
      <w:marLeft w:val="0"/>
      <w:marRight w:val="0"/>
      <w:marTop w:val="0"/>
      <w:marBottom w:val="0"/>
      <w:divBdr>
        <w:top w:val="none" w:sz="0" w:space="0" w:color="auto"/>
        <w:left w:val="none" w:sz="0" w:space="0" w:color="auto"/>
        <w:bottom w:val="none" w:sz="0" w:space="0" w:color="auto"/>
        <w:right w:val="none" w:sz="0" w:space="0" w:color="auto"/>
      </w:divBdr>
      <w:divsChild>
        <w:div w:id="145438312">
          <w:marLeft w:val="0"/>
          <w:marRight w:val="0"/>
          <w:marTop w:val="0"/>
          <w:marBottom w:val="0"/>
          <w:divBdr>
            <w:top w:val="none" w:sz="0" w:space="0" w:color="C4DEEE"/>
            <w:left w:val="none" w:sz="0" w:space="0" w:color="C4DEEE"/>
            <w:bottom w:val="none" w:sz="0" w:space="0" w:color="C4DEEE"/>
            <w:right w:val="none" w:sz="0" w:space="0" w:color="C4DEEE"/>
          </w:divBdr>
        </w:div>
        <w:div w:id="1105615739">
          <w:marLeft w:val="0"/>
          <w:marRight w:val="0"/>
          <w:marTop w:val="0"/>
          <w:marBottom w:val="0"/>
          <w:divBdr>
            <w:top w:val="none" w:sz="0" w:space="0" w:color="C4DEEE"/>
            <w:left w:val="none" w:sz="0" w:space="0" w:color="C4DEEE"/>
            <w:bottom w:val="none" w:sz="0" w:space="0" w:color="C4DEEE"/>
            <w:right w:val="none" w:sz="0" w:space="0" w:color="C4DEEE"/>
          </w:divBdr>
        </w:div>
        <w:div w:id="276186196">
          <w:marLeft w:val="0"/>
          <w:marRight w:val="0"/>
          <w:marTop w:val="0"/>
          <w:marBottom w:val="0"/>
          <w:divBdr>
            <w:top w:val="none" w:sz="0" w:space="0" w:color="C4DEEE"/>
            <w:left w:val="none" w:sz="0" w:space="0" w:color="C4DEEE"/>
            <w:bottom w:val="none" w:sz="0" w:space="0" w:color="C4DEEE"/>
            <w:right w:val="none" w:sz="0" w:space="0" w:color="C4DEEE"/>
          </w:divBdr>
        </w:div>
        <w:div w:id="2017884410">
          <w:marLeft w:val="0"/>
          <w:marRight w:val="0"/>
          <w:marTop w:val="0"/>
          <w:marBottom w:val="0"/>
          <w:divBdr>
            <w:top w:val="none" w:sz="0" w:space="0" w:color="C4DEEE"/>
            <w:left w:val="none" w:sz="0" w:space="0" w:color="C4DEEE"/>
            <w:bottom w:val="none" w:sz="0" w:space="0" w:color="C4DEEE"/>
            <w:right w:val="none" w:sz="0" w:space="0" w:color="C4DEEE"/>
          </w:divBdr>
        </w:div>
        <w:div w:id="982124032">
          <w:marLeft w:val="0"/>
          <w:marRight w:val="0"/>
          <w:marTop w:val="0"/>
          <w:marBottom w:val="0"/>
          <w:divBdr>
            <w:top w:val="none" w:sz="0" w:space="0" w:color="C4DEEE"/>
            <w:left w:val="none" w:sz="0" w:space="0" w:color="C4DEEE"/>
            <w:bottom w:val="none" w:sz="0" w:space="0" w:color="C4DEEE"/>
            <w:right w:val="none" w:sz="0" w:space="0" w:color="C4DEEE"/>
          </w:divBdr>
        </w:div>
        <w:div w:id="816803287">
          <w:marLeft w:val="0"/>
          <w:marRight w:val="0"/>
          <w:marTop w:val="0"/>
          <w:marBottom w:val="0"/>
          <w:divBdr>
            <w:top w:val="none" w:sz="0" w:space="0" w:color="C4DEEE"/>
            <w:left w:val="none" w:sz="0" w:space="0" w:color="C4DEEE"/>
            <w:bottom w:val="none" w:sz="0" w:space="0" w:color="C4DEEE"/>
            <w:right w:val="none" w:sz="0" w:space="0" w:color="C4DEEE"/>
          </w:divBdr>
        </w:div>
        <w:div w:id="1906137816">
          <w:marLeft w:val="0"/>
          <w:marRight w:val="0"/>
          <w:marTop w:val="0"/>
          <w:marBottom w:val="0"/>
          <w:divBdr>
            <w:top w:val="none" w:sz="0" w:space="0" w:color="C4DEEE"/>
            <w:left w:val="none" w:sz="0" w:space="0" w:color="C4DEEE"/>
            <w:bottom w:val="none" w:sz="0" w:space="0" w:color="C4DEEE"/>
            <w:right w:val="none" w:sz="0" w:space="0" w:color="C4DEEE"/>
          </w:divBdr>
        </w:div>
        <w:div w:id="603806889">
          <w:marLeft w:val="0"/>
          <w:marRight w:val="0"/>
          <w:marTop w:val="0"/>
          <w:marBottom w:val="0"/>
          <w:divBdr>
            <w:top w:val="none" w:sz="0" w:space="0" w:color="C4DEEE"/>
            <w:left w:val="none" w:sz="0" w:space="0" w:color="C4DEEE"/>
            <w:bottom w:val="none" w:sz="0" w:space="0" w:color="C4DEEE"/>
            <w:right w:val="none" w:sz="0" w:space="0" w:color="C4DEEE"/>
          </w:divBdr>
        </w:div>
        <w:div w:id="1427728403">
          <w:marLeft w:val="0"/>
          <w:marRight w:val="0"/>
          <w:marTop w:val="0"/>
          <w:marBottom w:val="0"/>
          <w:divBdr>
            <w:top w:val="none" w:sz="0" w:space="0" w:color="C4DEEE"/>
            <w:left w:val="none" w:sz="0" w:space="0" w:color="C4DEEE"/>
            <w:bottom w:val="none" w:sz="0" w:space="0" w:color="C4DEEE"/>
            <w:right w:val="none" w:sz="0" w:space="0" w:color="C4DEEE"/>
          </w:divBdr>
        </w:div>
        <w:div w:id="1152869008">
          <w:marLeft w:val="0"/>
          <w:marRight w:val="0"/>
          <w:marTop w:val="0"/>
          <w:marBottom w:val="0"/>
          <w:divBdr>
            <w:top w:val="none" w:sz="0" w:space="0" w:color="C4DEEE"/>
            <w:left w:val="none" w:sz="0" w:space="0" w:color="C4DEEE"/>
            <w:bottom w:val="none" w:sz="0" w:space="0" w:color="C4DEEE"/>
            <w:right w:val="none" w:sz="0" w:space="0" w:color="C4DEEE"/>
          </w:divBdr>
        </w:div>
        <w:div w:id="1198196996">
          <w:marLeft w:val="0"/>
          <w:marRight w:val="0"/>
          <w:marTop w:val="0"/>
          <w:marBottom w:val="0"/>
          <w:divBdr>
            <w:top w:val="none" w:sz="0" w:space="0" w:color="C4DEEE"/>
            <w:left w:val="none" w:sz="0" w:space="0" w:color="C4DEEE"/>
            <w:bottom w:val="none" w:sz="0" w:space="0" w:color="C4DEEE"/>
            <w:right w:val="none" w:sz="0" w:space="0" w:color="C4DEEE"/>
          </w:divBdr>
        </w:div>
        <w:div w:id="1545869474">
          <w:marLeft w:val="0"/>
          <w:marRight w:val="0"/>
          <w:marTop w:val="0"/>
          <w:marBottom w:val="0"/>
          <w:divBdr>
            <w:top w:val="none" w:sz="0" w:space="0" w:color="C4DEEE"/>
            <w:left w:val="none" w:sz="0" w:space="0" w:color="C4DEEE"/>
            <w:bottom w:val="none" w:sz="0" w:space="0" w:color="C4DEEE"/>
            <w:right w:val="none" w:sz="0" w:space="0" w:color="C4DEEE"/>
          </w:divBdr>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43153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1.health.gov.au/internet/main/publishing.nsf/Content/cda-phlncd-varicella" TargetMode="External" Id="rId18" /><Relationship Type="http://schemas.openxmlformats.org/officeDocument/2006/relationships/hyperlink" Target="https://www1.health.gov.au/internet/main/publishing.nsf/Content/cda-phlncd-varicella" TargetMode="External" Id="rId26" /><Relationship Type="http://schemas.openxmlformats.org/officeDocument/2006/relationships/customXml" Target="../customXml/item3.xml" Id="rId3" /><Relationship Type="http://schemas.openxmlformats.org/officeDocument/2006/relationships/hyperlink" Target="https://www1.health.gov.au/internet/main/publishing.nsf/Content/cda-phlncd-varicella" TargetMode="External" Id="rId21" /><Relationship Type="http://schemas.openxmlformats.org/officeDocument/2006/relationships/hyperlink" Target="https://www1.health.gov.au/internet/main/publishing.nsf/Content/cda-phlncd-varicella" TargetMode="External" Id="rId34" /><Relationship Type="http://schemas.openxmlformats.org/officeDocument/2006/relationships/header" Target="header2.xml" Id="rId42" /><Relationship Type="http://schemas.openxmlformats.org/officeDocument/2006/relationships/settings" Target="settings.xml" Id="rId7" /><Relationship Type="http://schemas.openxmlformats.org/officeDocument/2006/relationships/hyperlink" Target="https://www1.health.gov.au/internet/main/publishing.nsf/Content/cda-phlncd-varicella" TargetMode="External" Id="rId17" /><Relationship Type="http://schemas.openxmlformats.org/officeDocument/2006/relationships/hyperlink" Target="https://www1.health.gov.au/internet/main/publishing.nsf/Content/cda-phlncd-varicella" TargetMode="External" Id="rId25" /><Relationship Type="http://schemas.openxmlformats.org/officeDocument/2006/relationships/hyperlink" Target="https://www1.health.gov.au/internet/main/publishing.nsf/Content/cda-phlncd-varicella" TargetMode="External" Id="rId33" /><Relationship Type="http://schemas.openxmlformats.org/officeDocument/2006/relationships/hyperlink" Target="https://www1.health.gov.au/internet/main/publishing.nsf/Content/cda-phlncd-varicella" TargetMode="External" Id="rId38" /><Relationship Type="http://schemas.openxmlformats.org/officeDocument/2006/relationships/customXml" Target="../customXml/item2.xml" Id="rId2" /><Relationship Type="http://schemas.openxmlformats.org/officeDocument/2006/relationships/hyperlink" Target="https://www1.health.gov.au/internet/main/publishing.nsf/Content/cda-phlncd-varicella" TargetMode="External" Id="rId16" /><Relationship Type="http://schemas.openxmlformats.org/officeDocument/2006/relationships/hyperlink" Target="https://www1.health.gov.au/internet/main/publishing.nsf/Content/cda-phlncd-varicella" TargetMode="External" Id="rId29" /><Relationship Type="http://schemas.openxmlformats.org/officeDocument/2006/relationships/footer" Target="footer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1.health.gov.au/internet/main/publishing.nsf/Content/cda-phlncd-varicella" TargetMode="External" Id="rId32" /><Relationship Type="http://schemas.openxmlformats.org/officeDocument/2006/relationships/hyperlink" Target="https://www1.health.gov.au/internet/main/publishing.nsf/Content/cda-phlncd-varicella" TargetMode="External" Id="rId37" /><Relationship Type="http://schemas.openxmlformats.org/officeDocument/2006/relationships/header" Target="header1.xml" Id="rId40" /><Relationship Type="http://schemas.openxmlformats.org/officeDocument/2006/relationships/theme" Target="theme/theme1.xml" Id="rId45" /><Relationship Type="http://schemas.openxmlformats.org/officeDocument/2006/relationships/numbering" Target="numbering.xml" Id="rId5" /><Relationship Type="http://schemas.openxmlformats.org/officeDocument/2006/relationships/hyperlink" Target="https://www1.health.gov.au/internet/main/publishing.nsf/Content/cda-phlncd-varicella" TargetMode="External" Id="rId15" /><Relationship Type="http://schemas.openxmlformats.org/officeDocument/2006/relationships/hyperlink" Target="https://www1.health.gov.au/internet/main/publishing.nsf/Content/cda-phlncd-varicella" TargetMode="External" Id="rId23" /><Relationship Type="http://schemas.openxmlformats.org/officeDocument/2006/relationships/endnotes" Target="endnotes.xml" Id="rId10" /><Relationship Type="http://schemas.openxmlformats.org/officeDocument/2006/relationships/hyperlink" Target="https://www1.health.gov.au/internet/main/publishing.nsf/Content/cda-phlncd-varicella" TargetMode="External" Id="rId19" /><Relationship Type="http://schemas.openxmlformats.org/officeDocument/2006/relationships/hyperlink" Target="https://www1.health.gov.au/internet/main/publishing.nsf/Content/cda-phlncd-varicella" TargetMode="External" Id="rId31" /><Relationship Type="http://schemas.openxmlformats.org/officeDocument/2006/relationships/fontTable" Target="fontTable.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1.health.gov.au/internet/main/publishing.nsf/Content/cda-phlncd-varicella" TargetMode="External" Id="rId14" /><Relationship Type="http://schemas.openxmlformats.org/officeDocument/2006/relationships/hyperlink" Target="https://www1.health.gov.au/internet/main/publishing.nsf/Content/cda-phlncd-varicella" TargetMode="External" Id="rId22" /><Relationship Type="http://schemas.openxmlformats.org/officeDocument/2006/relationships/hyperlink" Target="https://www1.health.gov.au/internet/main/publishing.nsf/Content/cda-phlncd-varicella" TargetMode="External" Id="rId27" /><Relationship Type="http://schemas.openxmlformats.org/officeDocument/2006/relationships/hyperlink" Target="https://www1.health.gov.au/internet/main/publishing.nsf/Content/cda-phlncd-varicella" TargetMode="External" Id="rId30" /><Relationship Type="http://schemas.openxmlformats.org/officeDocument/2006/relationships/hyperlink" Target="https://www1.health.gov.au/internet/main/publishing.nsf/Content/cda-phlncd-varicella" TargetMode="External" Id="rId35" /><Relationship Type="http://schemas.openxmlformats.org/officeDocument/2006/relationships/footer" Target="footer2.xml" Id="rId43" /><Relationship Type="http://schemas.openxmlformats.org/officeDocument/2006/relationships/hyperlink" Target="https://www1.health.gov.au/internet/main/publishing.nsf/Content/cda-phlncd-varicella" TargetMode="External" Id="Rbca5e8ab4231425c" /><Relationship Type="http://schemas.openxmlformats.org/officeDocument/2006/relationships/hyperlink" Target="https://www1.health.gov.au/internet/main/publishing.nsf/Content/cda-phlncd-varicella" TargetMode="External" Id="Rf351869ca1584329" /><Relationship Type="http://schemas.openxmlformats.org/officeDocument/2006/relationships/glossaryDocument" Target="glossary/document.xml" Id="R83fdbdd2c57d4f35"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ARNOMA\Documents\Laboratory%20Case%20Definitions\Templates%20and%20Instructions\PHLN%20laboratory%20case%20definition%20template%20v2.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de0c062-8f2c-471b-8837-562a1cff2ba0}"/>
      </w:docPartPr>
      <w:docPartBody>
        <w:p w14:paraId="01C0A741">
          <w:r>
            <w:rPr>
              <w:rStyle w:val="PlaceholderText"/>
            </w:rPr>
            <w:t/>
          </w:r>
        </w:p>
      </w:docPartBody>
    </w:docPart>
  </w:docParts>
</w:glossaryDocument>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DAF61A62-E7A2-4D08-A8C5-BE51D3C51D17}"/>
</file>

<file path=customXml/itemProps3.xml><?xml version="1.0" encoding="utf-8"?>
<ds:datastoreItem xmlns:ds="http://schemas.openxmlformats.org/officeDocument/2006/customXml" ds:itemID="{D20C6417-ADBB-487B-9091-DC3471F064B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36487dd-ec90-4f99-8970-1318e5f29791"/>
    <ds:schemaRef ds:uri="http://purl.org/dc/elements/1.1/"/>
    <ds:schemaRef ds:uri="http://schemas.microsoft.com/office/2006/metadata/properties"/>
    <ds:schemaRef ds:uri="dcf7b372-aaaa-46d8-9da6-ade9aab953df"/>
    <ds:schemaRef ds:uri="http://www.w3.org/XML/1998/namespace"/>
    <ds:schemaRef ds:uri="http://purl.org/dc/dcmitype/"/>
  </ds:schemaRefs>
</ds:datastoreItem>
</file>

<file path=customXml/itemProps4.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PHLN laboratory case definition template v2.dotx</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Varicella zoster virus – Laboratory case definition</dc:title>
  <dc:creator>Public Health Laboratory Network</dc:creator>
  <cp:keywords>Communicable diseases</cp:keywords>
  <dcterms:created xsi:type="dcterms:W3CDTF">2022-06-06T04:27:00Z</dcterms:created>
  <dcterms:modified xsi:type="dcterms:W3CDTF">2022-06-10T01:57:27Z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y fmtid="{D5CDD505-2E9C-101B-9397-08002B2CF9AE}" pid="5" name="MediaServiceImageTags">
    <vt:lpwstr/>
  </property>
</Properties>
</file>