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800DEB" w14:paraId="6FC47006" w14:textId="77777777" w:rsidTr="00800DEB">
        <w:tc>
          <w:tcPr>
            <w:tcW w:w="2547" w:type="dxa"/>
          </w:tcPr>
          <w:p w14:paraId="2BECA995" w14:textId="77777777" w:rsidR="00800DEB" w:rsidRDefault="00800DEB" w:rsidP="00800DEB">
            <w:r>
              <w:rPr>
                <w:noProof/>
              </w:rPr>
              <w:drawing>
                <wp:inline distT="0" distB="0" distL="0" distR="0" wp14:anchorId="240CBB15" wp14:editId="1771DB24">
                  <wp:extent cx="1171575" cy="1714500"/>
                  <wp:effectExtent l="0" t="0" r="9525" b="0"/>
                  <wp:docPr id="2" name="Picture 2" descr="Communicable Diseases Net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unicable Diseases Network Australia logo"/>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inline>
              </w:drawing>
            </w:r>
          </w:p>
        </w:tc>
        <w:tc>
          <w:tcPr>
            <w:tcW w:w="6513" w:type="dxa"/>
          </w:tcPr>
          <w:p w14:paraId="31328914" w14:textId="092A2EB7" w:rsidR="00800DEB" w:rsidRDefault="002F63C1" w:rsidP="00800DEB">
            <w:pPr>
              <w:pStyle w:val="Title"/>
            </w:pPr>
            <w:r w:rsidRPr="002F63C1">
              <w:t>Viral haemorrhagic fever (not elsewhere classified)</w:t>
            </w:r>
          </w:p>
          <w:p w14:paraId="7AC196D5" w14:textId="77777777" w:rsidR="00800DEB" w:rsidRDefault="00800DEB" w:rsidP="00800DEB">
            <w:pPr>
              <w:pStyle w:val="Subtitle"/>
            </w:pPr>
            <w:r w:rsidRPr="00800DEB">
              <w:t>Australian national notifiable diseases case definition</w:t>
            </w:r>
          </w:p>
        </w:tc>
      </w:tr>
    </w:tbl>
    <w:p w14:paraId="5E0A7FC1" w14:textId="0C8E7A04" w:rsidR="004516E8" w:rsidRDefault="00800DEB" w:rsidP="009E0B84">
      <w:pPr>
        <w:pStyle w:val="IntroPara"/>
      </w:pPr>
      <w:r w:rsidRPr="00872414">
        <w:t xml:space="preserve">This document contains the </w:t>
      </w:r>
      <w:r>
        <w:t xml:space="preserve">surveillance </w:t>
      </w:r>
      <w:r w:rsidRPr="00872414">
        <w:t xml:space="preserve">case definition for </w:t>
      </w:r>
      <w:r w:rsidR="001B5929">
        <w:t>v</w:t>
      </w:r>
      <w:r w:rsidR="002F63C1" w:rsidRPr="002F63C1">
        <w:t>iral haemorrhagic fever (not elsewhere classified)</w:t>
      </w:r>
      <w:r w:rsidR="002F63C1">
        <w:t xml:space="preserve">, </w:t>
      </w:r>
      <w:r w:rsidRPr="00872414">
        <w:t xml:space="preserve">which is nationally notifiable within Australia. </w:t>
      </w:r>
      <w:r w:rsidR="004516E8">
        <w:t>State and territory health departments use this definition to decide whether to notify the Australian Government Department of Health</w:t>
      </w:r>
      <w:r w:rsidR="00B14926">
        <w:t xml:space="preserve"> and Aged Care</w:t>
      </w:r>
      <w:r w:rsidR="004516E8">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024"/>
        <w:gridCol w:w="4745"/>
        <w:gridCol w:w="1396"/>
        <w:gridCol w:w="1905"/>
      </w:tblGrid>
      <w:tr w:rsidR="00800DEB" w:rsidRPr="00872414" w14:paraId="6A332659" w14:textId="77777777" w:rsidTr="00650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D3E667" w14:textId="77777777" w:rsidR="00800DEB" w:rsidRPr="00872414" w:rsidRDefault="00800DEB" w:rsidP="00650561">
            <w:pPr>
              <w:pStyle w:val="TableHeader"/>
              <w:rPr>
                <w:color w:val="FFFFFF" w:themeColor="background1"/>
                <w:lang w:eastAsia="en-AU"/>
              </w:rPr>
            </w:pPr>
            <w:r w:rsidRPr="00872414">
              <w:rPr>
                <w:color w:val="FFFFFF" w:themeColor="background1"/>
                <w:lang w:eastAsia="en-AU"/>
              </w:rPr>
              <w:t>Version</w:t>
            </w:r>
          </w:p>
        </w:tc>
        <w:tc>
          <w:tcPr>
            <w:tcW w:w="0" w:type="auto"/>
            <w:hideMark/>
          </w:tcPr>
          <w:p w14:paraId="033AEEB7"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Status</w:t>
            </w:r>
          </w:p>
        </w:tc>
        <w:tc>
          <w:tcPr>
            <w:tcW w:w="0" w:type="auto"/>
            <w:hideMark/>
          </w:tcPr>
          <w:p w14:paraId="06E4882C"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Last reviewed</w:t>
            </w:r>
          </w:p>
        </w:tc>
        <w:tc>
          <w:tcPr>
            <w:tcW w:w="0" w:type="auto"/>
            <w:hideMark/>
          </w:tcPr>
          <w:p w14:paraId="0848C17A" w14:textId="77777777" w:rsidR="00800DEB" w:rsidRPr="00872414" w:rsidRDefault="00800DEB" w:rsidP="00650561">
            <w:pPr>
              <w:pStyle w:val="TableHeader"/>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872414">
              <w:rPr>
                <w:color w:val="FFFFFF" w:themeColor="background1"/>
                <w:lang w:eastAsia="en-AU"/>
              </w:rPr>
              <w:t>Implementation date</w:t>
            </w:r>
          </w:p>
        </w:tc>
      </w:tr>
      <w:tr w:rsidR="00800DEB" w:rsidRPr="00872414" w14:paraId="3331C998"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530864" w14:textId="588EB7D4" w:rsidR="00800DEB" w:rsidRPr="00872414" w:rsidRDefault="002F63C1" w:rsidP="00650561">
            <w:pPr>
              <w:pStyle w:val="TableText"/>
              <w:rPr>
                <w:lang w:eastAsia="en-AU"/>
              </w:rPr>
            </w:pPr>
            <w:r>
              <w:rPr>
                <w:lang w:eastAsia="en-AU"/>
              </w:rPr>
              <w:t>1.2</w:t>
            </w:r>
          </w:p>
        </w:tc>
        <w:tc>
          <w:tcPr>
            <w:tcW w:w="0" w:type="auto"/>
          </w:tcPr>
          <w:p w14:paraId="5775B207" w14:textId="138BE981" w:rsidR="00800DEB" w:rsidRPr="00872414" w:rsidRDefault="002F63C1"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2F63C1">
              <w:rPr>
                <w:lang w:eastAsia="en-AU"/>
              </w:rPr>
              <w:t>Include the Victorian Infectious Diseases Reference Laboratory (VIDRL) as an additional laboratory where laboratory definitive evidence can be confirmed.  Include footnote that the first case in Australia in any given outbreak will also be confirmed by CDC or NIV.</w:t>
            </w:r>
            <w:r w:rsidRPr="002F63C1">
              <w:rPr>
                <w:lang w:eastAsia="en-AU"/>
              </w:rPr>
              <w:tab/>
            </w:r>
          </w:p>
        </w:tc>
        <w:tc>
          <w:tcPr>
            <w:tcW w:w="0" w:type="auto"/>
          </w:tcPr>
          <w:p w14:paraId="593B9E3E" w14:textId="76F62642" w:rsidR="00800DEB" w:rsidRPr="00872414" w:rsidRDefault="002F63C1"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2F63C1">
              <w:rPr>
                <w:lang w:eastAsia="en-AU"/>
              </w:rPr>
              <w:t>CDWG - 31 October 2014</w:t>
            </w:r>
            <w:r w:rsidRPr="002F63C1">
              <w:rPr>
                <w:lang w:eastAsia="en-AU"/>
              </w:rPr>
              <w:tab/>
            </w:r>
          </w:p>
        </w:tc>
        <w:tc>
          <w:tcPr>
            <w:tcW w:w="0" w:type="auto"/>
          </w:tcPr>
          <w:p w14:paraId="5F329959" w14:textId="7FDE035D" w:rsidR="00800DEB" w:rsidRPr="00872414" w:rsidRDefault="002F63C1"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2F63C1">
              <w:rPr>
                <w:lang w:eastAsia="en-AU"/>
              </w:rPr>
              <w:t>6 November 2014</w:t>
            </w:r>
          </w:p>
        </w:tc>
      </w:tr>
      <w:tr w:rsidR="00800DEB" w:rsidRPr="00872414" w14:paraId="2EB53A38" w14:textId="77777777" w:rsidTr="00800D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0F9307" w14:textId="56DE5DD9" w:rsidR="00800DEB" w:rsidRPr="00872414" w:rsidRDefault="002F63C1" w:rsidP="00650561">
            <w:pPr>
              <w:pStyle w:val="TableText"/>
              <w:rPr>
                <w:lang w:eastAsia="en-AU"/>
              </w:rPr>
            </w:pPr>
            <w:r>
              <w:rPr>
                <w:lang w:eastAsia="en-AU"/>
              </w:rPr>
              <w:t>1.1</w:t>
            </w:r>
          </w:p>
        </w:tc>
        <w:tc>
          <w:tcPr>
            <w:tcW w:w="0" w:type="auto"/>
          </w:tcPr>
          <w:p w14:paraId="3DC9EC37" w14:textId="77777777" w:rsidR="002F63C1" w:rsidRDefault="002F63C1" w:rsidP="002F63C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2F63C1">
              <w:rPr>
                <w:b/>
                <w:bCs/>
                <w:lang w:eastAsia="en-AU"/>
              </w:rPr>
              <w:t>Laboratory</w:t>
            </w:r>
            <w:r>
              <w:rPr>
                <w:lang w:eastAsia="en-AU"/>
              </w:rPr>
              <w:t xml:space="preserve"> </w:t>
            </w:r>
            <w:r w:rsidRPr="002F63C1">
              <w:rPr>
                <w:b/>
                <w:bCs/>
                <w:lang w:eastAsia="en-AU"/>
              </w:rPr>
              <w:t>definitive</w:t>
            </w:r>
            <w:r>
              <w:rPr>
                <w:lang w:eastAsia="en-AU"/>
              </w:rPr>
              <w:t xml:space="preserve"> </w:t>
            </w:r>
            <w:r w:rsidRPr="002F63C1">
              <w:rPr>
                <w:b/>
                <w:bCs/>
                <w:lang w:eastAsia="en-AU"/>
              </w:rPr>
              <w:t>evidence</w:t>
            </w:r>
          </w:p>
          <w:p w14:paraId="0677D94B" w14:textId="77777777" w:rsidR="002F63C1" w:rsidRDefault="002F63C1" w:rsidP="002F63C1">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Added “or the Special Pathogens Laboratory, National Institute of Virology (NIV), Johannesburg”.</w:t>
            </w:r>
          </w:p>
          <w:p w14:paraId="3ED7C785" w14:textId="77777777" w:rsidR="002F63C1" w:rsidRDefault="002F63C1" w:rsidP="002F63C1">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Removed “viral haemorrhagic fever” virus.</w:t>
            </w:r>
          </w:p>
          <w:p w14:paraId="770E18C6" w14:textId="77777777" w:rsidR="002F63C1" w:rsidRDefault="002F63C1" w:rsidP="002F63C1">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Added “specific” virus.</w:t>
            </w:r>
          </w:p>
          <w:p w14:paraId="72D94D80" w14:textId="77777777" w:rsidR="002F63C1" w:rsidRDefault="002F63C1" w:rsidP="002F63C1">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Added “or” antigen detection assay.</w:t>
            </w:r>
          </w:p>
          <w:p w14:paraId="28883FF9" w14:textId="157F2528" w:rsidR="00800DEB" w:rsidRPr="00872414" w:rsidRDefault="002F63C1" w:rsidP="002F63C1">
            <w:pPr>
              <w:pStyle w:val="TableText"/>
              <w:cnfStyle w:val="000000010000" w:firstRow="0" w:lastRow="0" w:firstColumn="0" w:lastColumn="0" w:oddVBand="0" w:evenVBand="0" w:oddHBand="0" w:evenHBand="1" w:firstRowFirstColumn="0" w:firstRowLastColumn="0" w:lastRowFirstColumn="0" w:lastRowLastColumn="0"/>
              <w:rPr>
                <w:lang w:eastAsia="en-AU"/>
              </w:rPr>
            </w:pPr>
            <w:r>
              <w:rPr>
                <w:lang w:eastAsia="en-AU"/>
              </w:rPr>
              <w:t>Removed “or electron microscopy”</w:t>
            </w:r>
            <w:r>
              <w:rPr>
                <w:lang w:eastAsia="en-AU"/>
              </w:rPr>
              <w:tab/>
            </w:r>
          </w:p>
        </w:tc>
        <w:tc>
          <w:tcPr>
            <w:tcW w:w="0" w:type="auto"/>
          </w:tcPr>
          <w:p w14:paraId="0E0AF16D" w14:textId="1D2E484C" w:rsidR="00800DEB" w:rsidRPr="00872414" w:rsidRDefault="002F63C1" w:rsidP="0065056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2F63C1">
              <w:rPr>
                <w:lang w:eastAsia="en-AU"/>
              </w:rPr>
              <w:t>CDWG - 12 June 2013</w:t>
            </w:r>
            <w:r w:rsidRPr="002F63C1">
              <w:rPr>
                <w:lang w:eastAsia="en-AU"/>
              </w:rPr>
              <w:tab/>
            </w:r>
          </w:p>
        </w:tc>
        <w:tc>
          <w:tcPr>
            <w:tcW w:w="0" w:type="auto"/>
          </w:tcPr>
          <w:p w14:paraId="54DC9E64" w14:textId="72A4A0A9" w:rsidR="00800DEB" w:rsidRPr="00872414" w:rsidRDefault="002F63C1" w:rsidP="00650561">
            <w:pPr>
              <w:pStyle w:val="TableText"/>
              <w:cnfStyle w:val="000000010000" w:firstRow="0" w:lastRow="0" w:firstColumn="0" w:lastColumn="0" w:oddVBand="0" w:evenVBand="0" w:oddHBand="0" w:evenHBand="1" w:firstRowFirstColumn="0" w:firstRowLastColumn="0" w:lastRowFirstColumn="0" w:lastRowLastColumn="0"/>
              <w:rPr>
                <w:lang w:eastAsia="en-AU"/>
              </w:rPr>
            </w:pPr>
            <w:r w:rsidRPr="002F63C1">
              <w:rPr>
                <w:lang w:eastAsia="en-AU"/>
              </w:rPr>
              <w:t>1 January 2014</w:t>
            </w:r>
          </w:p>
        </w:tc>
      </w:tr>
      <w:tr w:rsidR="002F63C1" w:rsidRPr="00872414" w14:paraId="20A990D5" w14:textId="77777777" w:rsidTr="0080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BFA074" w14:textId="6C50FA7A" w:rsidR="002F63C1" w:rsidRPr="00872414" w:rsidRDefault="002F63C1" w:rsidP="00650561">
            <w:pPr>
              <w:pStyle w:val="TableText"/>
              <w:rPr>
                <w:lang w:eastAsia="en-AU"/>
              </w:rPr>
            </w:pPr>
            <w:r>
              <w:rPr>
                <w:lang w:eastAsia="en-AU"/>
              </w:rPr>
              <w:t>1.0</w:t>
            </w:r>
          </w:p>
        </w:tc>
        <w:tc>
          <w:tcPr>
            <w:tcW w:w="0" w:type="auto"/>
          </w:tcPr>
          <w:p w14:paraId="447B3EE8" w14:textId="585236B9" w:rsidR="002F63C1" w:rsidRPr="00872414" w:rsidRDefault="002F63C1"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sidRPr="002F63C1">
              <w:rPr>
                <w:lang w:eastAsia="en-AU"/>
              </w:rPr>
              <w:t>Initial CDNA case definition</w:t>
            </w:r>
          </w:p>
        </w:tc>
        <w:tc>
          <w:tcPr>
            <w:tcW w:w="0" w:type="auto"/>
          </w:tcPr>
          <w:p w14:paraId="47293009" w14:textId="4BAF10DF" w:rsidR="002F63C1" w:rsidRPr="00872414" w:rsidRDefault="002F63C1"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2004</w:t>
            </w:r>
          </w:p>
        </w:tc>
        <w:tc>
          <w:tcPr>
            <w:tcW w:w="0" w:type="auto"/>
          </w:tcPr>
          <w:p w14:paraId="12249660" w14:textId="0E95A152" w:rsidR="002F63C1" w:rsidRPr="00872414" w:rsidRDefault="002F63C1" w:rsidP="00650561">
            <w:pPr>
              <w:pStyle w:val="TableText"/>
              <w:cnfStyle w:val="000000100000" w:firstRow="0" w:lastRow="0" w:firstColumn="0" w:lastColumn="0" w:oddVBand="0" w:evenVBand="0" w:oddHBand="1" w:evenHBand="0" w:firstRowFirstColumn="0" w:firstRowLastColumn="0" w:lastRowFirstColumn="0" w:lastRowLastColumn="0"/>
              <w:rPr>
                <w:lang w:eastAsia="en-AU"/>
              </w:rPr>
            </w:pPr>
            <w:r>
              <w:rPr>
                <w:lang w:eastAsia="en-AU"/>
              </w:rPr>
              <w:t>2004</w:t>
            </w:r>
          </w:p>
        </w:tc>
      </w:tr>
    </w:tbl>
    <w:p w14:paraId="798752A7" w14:textId="77777777" w:rsidR="009E0B84" w:rsidRDefault="009E0B84" w:rsidP="00800DEB"/>
    <w:p w14:paraId="34FEFA66" w14:textId="77777777" w:rsidR="002F63C1" w:rsidRPr="002F63C1" w:rsidRDefault="002F63C1" w:rsidP="002F63C1">
      <w:pPr>
        <w:shd w:val="clear" w:color="auto" w:fill="FFFFFF"/>
        <w:spacing w:before="240" w:after="120"/>
        <w:outlineLvl w:val="1"/>
        <w:rPr>
          <w:rFonts w:ascii="Open Sans" w:hAnsi="Open Sans" w:cs="Open Sans"/>
          <w:sz w:val="36"/>
          <w:szCs w:val="36"/>
          <w:lang w:eastAsia="en-AU"/>
        </w:rPr>
      </w:pPr>
      <w:r w:rsidRPr="002F63C1">
        <w:rPr>
          <w:rFonts w:ascii="Open Sans" w:hAnsi="Open Sans" w:cs="Open Sans"/>
          <w:sz w:val="36"/>
          <w:szCs w:val="36"/>
          <w:lang w:eastAsia="en-AU"/>
        </w:rPr>
        <w:t>Reporting</w:t>
      </w:r>
    </w:p>
    <w:p w14:paraId="34D8EF93"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Both </w:t>
      </w:r>
      <w:r w:rsidRPr="002F63C1">
        <w:rPr>
          <w:rFonts w:ascii="Helvetica" w:hAnsi="Helvetica" w:cs="Helvetica"/>
          <w:b/>
          <w:bCs/>
          <w:sz w:val="20"/>
          <w:szCs w:val="20"/>
          <w:lang w:eastAsia="en-AU"/>
        </w:rPr>
        <w:t>conﬁrmed cases</w:t>
      </w:r>
      <w:r w:rsidRPr="002F63C1">
        <w:rPr>
          <w:rFonts w:ascii="Helvetica" w:hAnsi="Helvetica" w:cs="Helvetica"/>
          <w:sz w:val="20"/>
          <w:szCs w:val="20"/>
          <w:lang w:eastAsia="en-AU"/>
        </w:rPr>
        <w:t> and </w:t>
      </w:r>
      <w:r w:rsidRPr="002F63C1">
        <w:rPr>
          <w:rFonts w:ascii="Helvetica" w:hAnsi="Helvetica" w:cs="Helvetica"/>
          <w:b/>
          <w:bCs/>
          <w:sz w:val="20"/>
          <w:szCs w:val="20"/>
          <w:lang w:eastAsia="en-AU"/>
        </w:rPr>
        <w:t>probable cases</w:t>
      </w:r>
      <w:r w:rsidRPr="002F63C1">
        <w:rPr>
          <w:rFonts w:ascii="Helvetica" w:hAnsi="Helvetica" w:cs="Helvetica"/>
          <w:sz w:val="20"/>
          <w:szCs w:val="20"/>
          <w:lang w:eastAsia="en-AU"/>
        </w:rPr>
        <w:t> should be notiﬁed.</w:t>
      </w:r>
    </w:p>
    <w:p w14:paraId="016BB00D" w14:textId="77777777" w:rsidR="002F63C1" w:rsidRPr="002F63C1" w:rsidRDefault="002F63C1" w:rsidP="002F63C1">
      <w:pPr>
        <w:shd w:val="clear" w:color="auto" w:fill="FFFFFF"/>
        <w:spacing w:after="120"/>
        <w:outlineLvl w:val="2"/>
        <w:rPr>
          <w:rFonts w:ascii="Open Sans" w:hAnsi="Open Sans" w:cs="Open Sans"/>
          <w:sz w:val="27"/>
          <w:szCs w:val="27"/>
          <w:lang w:eastAsia="en-AU"/>
        </w:rPr>
      </w:pPr>
      <w:r w:rsidRPr="002F63C1">
        <w:rPr>
          <w:rFonts w:ascii="Open Sans" w:hAnsi="Open Sans" w:cs="Open Sans"/>
          <w:sz w:val="27"/>
          <w:szCs w:val="27"/>
          <w:lang w:eastAsia="en-AU"/>
        </w:rPr>
        <w:t>Conﬁrmed case</w:t>
      </w:r>
    </w:p>
    <w:p w14:paraId="1B4D8771"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A conﬁrmed case requires </w:t>
      </w:r>
      <w:r w:rsidRPr="002F63C1">
        <w:rPr>
          <w:rFonts w:ascii="Helvetica" w:hAnsi="Helvetica" w:cs="Helvetica"/>
          <w:b/>
          <w:bCs/>
          <w:sz w:val="20"/>
          <w:szCs w:val="20"/>
          <w:lang w:eastAsia="en-AU"/>
        </w:rPr>
        <w:t>laboratory deﬁnitive evidence</w:t>
      </w:r>
      <w:r w:rsidRPr="002F63C1">
        <w:rPr>
          <w:rFonts w:ascii="Helvetica" w:hAnsi="Helvetica" w:cs="Helvetica"/>
          <w:sz w:val="20"/>
          <w:szCs w:val="20"/>
          <w:lang w:eastAsia="en-AU"/>
        </w:rPr>
        <w:t> only.</w:t>
      </w:r>
    </w:p>
    <w:p w14:paraId="0851ADAE" w14:textId="77777777" w:rsidR="002F63C1" w:rsidRPr="002F63C1" w:rsidRDefault="002F63C1" w:rsidP="002F63C1">
      <w:pPr>
        <w:shd w:val="clear" w:color="auto" w:fill="FFFFFF"/>
        <w:spacing w:after="120"/>
        <w:outlineLvl w:val="3"/>
        <w:rPr>
          <w:rFonts w:ascii="Open Sans" w:hAnsi="Open Sans" w:cs="Open Sans"/>
          <w:sz w:val="24"/>
          <w:lang w:eastAsia="en-AU"/>
        </w:rPr>
      </w:pPr>
      <w:r w:rsidRPr="002F63C1">
        <w:rPr>
          <w:rFonts w:ascii="Open Sans" w:hAnsi="Open Sans" w:cs="Open Sans"/>
          <w:sz w:val="24"/>
          <w:lang w:eastAsia="en-AU"/>
        </w:rPr>
        <w:lastRenderedPageBreak/>
        <w:t>Laboratory deﬁnitive evidence</w:t>
      </w:r>
    </w:p>
    <w:p w14:paraId="4080B0F5" w14:textId="04C55E25"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 xml:space="preserve">Laboratory deﬁnitive evidence requires conﬁrmation by the Victorian Infectious Diseases Reference Laboratory (VIDRL), </w:t>
      </w:r>
      <w:proofErr w:type="gramStart"/>
      <w:r w:rsidRPr="002F63C1">
        <w:rPr>
          <w:rFonts w:ascii="Helvetica" w:hAnsi="Helvetica" w:cs="Helvetica"/>
          <w:sz w:val="20"/>
          <w:szCs w:val="20"/>
          <w:lang w:eastAsia="en-AU"/>
        </w:rPr>
        <w:t>Melbourne,*</w:t>
      </w:r>
      <w:proofErr w:type="gramEnd"/>
      <w:r w:rsidRPr="002F63C1">
        <w:rPr>
          <w:rFonts w:ascii="Helvetica" w:hAnsi="Helvetica" w:cs="Helvetica"/>
          <w:sz w:val="20"/>
          <w:szCs w:val="20"/>
          <w:lang w:eastAsia="en-AU"/>
        </w:rPr>
        <w:t> or the Special Pathogens Laboratory, CDC, Atlanta, or the Special Pathogens Laboratory, National Institute of Virology (NIV), Johannesburg</w:t>
      </w:r>
    </w:p>
    <w:p w14:paraId="241186CD"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Isolation of a specific virus</w:t>
      </w:r>
    </w:p>
    <w:p w14:paraId="4F6D35E5"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OR</w:t>
      </w:r>
    </w:p>
    <w:p w14:paraId="2BB980B6"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Detection of speciﬁc virus by nucleic acid testing or antigen detection assay</w:t>
      </w:r>
    </w:p>
    <w:p w14:paraId="068B9CE3"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OR</w:t>
      </w:r>
    </w:p>
    <w:p w14:paraId="350E70FB"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IgG seroconversion or a significant increase in antibody level or a fourfold or greater rise in titre to specific virus.</w:t>
      </w:r>
    </w:p>
    <w:p w14:paraId="06110FB9" w14:textId="77777777" w:rsidR="002F63C1" w:rsidRPr="002F63C1" w:rsidRDefault="002F63C1" w:rsidP="002F63C1">
      <w:pPr>
        <w:shd w:val="clear" w:color="auto" w:fill="FFFFFF"/>
        <w:spacing w:after="120"/>
        <w:outlineLvl w:val="2"/>
        <w:rPr>
          <w:rFonts w:ascii="Open Sans" w:hAnsi="Open Sans" w:cs="Open Sans"/>
          <w:sz w:val="27"/>
          <w:szCs w:val="27"/>
          <w:lang w:eastAsia="en-AU"/>
        </w:rPr>
      </w:pPr>
      <w:r w:rsidRPr="002F63C1">
        <w:rPr>
          <w:rFonts w:ascii="Open Sans" w:hAnsi="Open Sans" w:cs="Open Sans"/>
          <w:sz w:val="27"/>
          <w:szCs w:val="27"/>
          <w:lang w:eastAsia="en-AU"/>
        </w:rPr>
        <w:t>Probable case</w:t>
      </w:r>
    </w:p>
    <w:p w14:paraId="5794EB12"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A probable case requires </w:t>
      </w:r>
      <w:r w:rsidRPr="002F63C1">
        <w:rPr>
          <w:rFonts w:ascii="Helvetica" w:hAnsi="Helvetica" w:cs="Helvetica"/>
          <w:b/>
          <w:bCs/>
          <w:sz w:val="20"/>
          <w:szCs w:val="20"/>
          <w:lang w:eastAsia="en-AU"/>
        </w:rPr>
        <w:t>laboratory suggestive evidence</w:t>
      </w:r>
      <w:r w:rsidRPr="002F63C1">
        <w:rPr>
          <w:rFonts w:ascii="Helvetica" w:hAnsi="Helvetica" w:cs="Helvetica"/>
          <w:sz w:val="20"/>
          <w:szCs w:val="20"/>
          <w:lang w:eastAsia="en-AU"/>
        </w:rPr>
        <w:t> AND </w:t>
      </w:r>
      <w:r w:rsidRPr="002F63C1">
        <w:rPr>
          <w:rFonts w:ascii="Helvetica" w:hAnsi="Helvetica" w:cs="Helvetica"/>
          <w:b/>
          <w:bCs/>
          <w:sz w:val="20"/>
          <w:szCs w:val="20"/>
          <w:lang w:eastAsia="en-AU"/>
        </w:rPr>
        <w:t>clinical evidence</w:t>
      </w:r>
      <w:r w:rsidRPr="002F63C1">
        <w:rPr>
          <w:rFonts w:ascii="Helvetica" w:hAnsi="Helvetica" w:cs="Helvetica"/>
          <w:sz w:val="20"/>
          <w:szCs w:val="20"/>
          <w:lang w:eastAsia="en-AU"/>
        </w:rPr>
        <w:t> AND </w:t>
      </w:r>
      <w:r w:rsidRPr="002F63C1">
        <w:rPr>
          <w:rFonts w:ascii="Helvetica" w:hAnsi="Helvetica" w:cs="Helvetica"/>
          <w:b/>
          <w:bCs/>
          <w:sz w:val="20"/>
          <w:szCs w:val="20"/>
          <w:lang w:eastAsia="en-AU"/>
        </w:rPr>
        <w:t>epidemiological evidence</w:t>
      </w:r>
      <w:r w:rsidRPr="002F63C1">
        <w:rPr>
          <w:rFonts w:ascii="Helvetica" w:hAnsi="Helvetica" w:cs="Helvetica"/>
          <w:sz w:val="20"/>
          <w:szCs w:val="20"/>
          <w:lang w:eastAsia="en-AU"/>
        </w:rPr>
        <w:t>.</w:t>
      </w:r>
    </w:p>
    <w:p w14:paraId="070AFA98" w14:textId="77777777" w:rsidR="002F63C1" w:rsidRPr="002F63C1" w:rsidRDefault="002F63C1" w:rsidP="002F63C1">
      <w:pPr>
        <w:shd w:val="clear" w:color="auto" w:fill="FFFFFF"/>
        <w:spacing w:after="120"/>
        <w:outlineLvl w:val="3"/>
        <w:rPr>
          <w:rFonts w:ascii="Open Sans" w:hAnsi="Open Sans" w:cs="Open Sans"/>
          <w:sz w:val="24"/>
          <w:lang w:eastAsia="en-AU"/>
        </w:rPr>
      </w:pPr>
      <w:r w:rsidRPr="002F63C1">
        <w:rPr>
          <w:rFonts w:ascii="Open Sans" w:hAnsi="Open Sans" w:cs="Open Sans"/>
          <w:sz w:val="24"/>
          <w:lang w:eastAsia="en-AU"/>
        </w:rPr>
        <w:t>Laboratory suggestive evidence</w:t>
      </w:r>
    </w:p>
    <w:p w14:paraId="4B3C3FA8"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Isolation of virus pending confirmation by VIDRL, Melbourne, or CDC, Atlanta or NIV, Johannesburg</w:t>
      </w:r>
    </w:p>
    <w:p w14:paraId="6162F0D6"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OR</w:t>
      </w:r>
    </w:p>
    <w:p w14:paraId="2BBE35A8"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Detection of specific virus by nucleic acid testing, pending confirmation by VIDRL, Melbourne, or CDC, Atlanta or NIV, Johannesburg</w:t>
      </w:r>
    </w:p>
    <w:p w14:paraId="3B1D47CC"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OR</w:t>
      </w:r>
    </w:p>
    <w:p w14:paraId="6D5827CF"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IgG seroconversion or a significant increase in antibody level or a fourfold or greater rise in titre to specific virus pending confirmation by VIDRL, Melbourne, or CDC, Atlanta or NIV, Johannesburg</w:t>
      </w:r>
    </w:p>
    <w:p w14:paraId="69FC3412"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OR</w:t>
      </w:r>
    </w:p>
    <w:p w14:paraId="0B668AC2"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Detection of IgM to a specific virus.</w:t>
      </w:r>
    </w:p>
    <w:p w14:paraId="77E5DD62" w14:textId="77777777" w:rsidR="002F63C1" w:rsidRPr="002F63C1" w:rsidRDefault="002F63C1" w:rsidP="002F63C1">
      <w:pPr>
        <w:shd w:val="clear" w:color="auto" w:fill="FFFFFF"/>
        <w:spacing w:after="120"/>
        <w:outlineLvl w:val="3"/>
        <w:rPr>
          <w:rFonts w:ascii="Open Sans" w:hAnsi="Open Sans" w:cs="Open Sans"/>
          <w:sz w:val="24"/>
          <w:lang w:eastAsia="en-AU"/>
        </w:rPr>
      </w:pPr>
      <w:r w:rsidRPr="002F63C1">
        <w:rPr>
          <w:rFonts w:ascii="Open Sans" w:hAnsi="Open Sans" w:cs="Open Sans"/>
          <w:sz w:val="24"/>
          <w:lang w:eastAsia="en-AU"/>
        </w:rPr>
        <w:t>Clinical evidence</w:t>
      </w:r>
    </w:p>
    <w:p w14:paraId="486AFF8C"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 xml:space="preserve">A compatible clinical illness as determined by an infectious disease physician. Common presenting complaints are fever myalgia, and prostration, with headache, pharyngitis, conjunctival injection, ﬂushing, gastrointestinal symptoms. This may be complicated by spontaneous bleeding, petechiae, hypotension and perhaps shock, </w:t>
      </w:r>
      <w:proofErr w:type="gramStart"/>
      <w:r w:rsidRPr="002F63C1">
        <w:rPr>
          <w:rFonts w:ascii="Helvetica" w:hAnsi="Helvetica" w:cs="Helvetica"/>
          <w:sz w:val="20"/>
          <w:szCs w:val="20"/>
          <w:lang w:eastAsia="en-AU"/>
        </w:rPr>
        <w:t>oedema</w:t>
      </w:r>
      <w:proofErr w:type="gramEnd"/>
      <w:r w:rsidRPr="002F63C1">
        <w:rPr>
          <w:rFonts w:ascii="Helvetica" w:hAnsi="Helvetica" w:cs="Helvetica"/>
          <w:sz w:val="20"/>
          <w:szCs w:val="20"/>
          <w:lang w:eastAsia="en-AU"/>
        </w:rPr>
        <w:t xml:space="preserve"> and neurologic involvement.</w:t>
      </w:r>
    </w:p>
    <w:p w14:paraId="4BDA7CF1" w14:textId="77777777" w:rsidR="002F63C1" w:rsidRPr="002F63C1" w:rsidRDefault="002F63C1" w:rsidP="002F63C1">
      <w:pPr>
        <w:keepNext/>
        <w:shd w:val="clear" w:color="auto" w:fill="FFFFFF"/>
        <w:spacing w:after="120"/>
        <w:outlineLvl w:val="3"/>
        <w:rPr>
          <w:rFonts w:ascii="Open Sans" w:hAnsi="Open Sans" w:cs="Open Sans"/>
          <w:sz w:val="24"/>
          <w:lang w:eastAsia="en-AU"/>
        </w:rPr>
      </w:pPr>
      <w:r w:rsidRPr="002F63C1">
        <w:rPr>
          <w:rFonts w:ascii="Open Sans" w:hAnsi="Open Sans" w:cs="Open Sans"/>
          <w:sz w:val="24"/>
          <w:lang w:eastAsia="en-AU"/>
        </w:rPr>
        <w:lastRenderedPageBreak/>
        <w:t>Epidemiological evidence</w:t>
      </w:r>
    </w:p>
    <w:p w14:paraId="17F816A6"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 xml:space="preserve">History of travel to an endemic/epidemic area within 9 days (Marburg), 13 days (Crimean Congo) or 21 days (Lassa, Ebola) of illness onset. Filoviruses are endemic in Sub-Saharan Africa, Lassa in Western Africa, Crimean Congo in Africa and the Middle East to West </w:t>
      </w:r>
      <w:proofErr w:type="gramStart"/>
      <w:r w:rsidRPr="002F63C1">
        <w:rPr>
          <w:rFonts w:ascii="Helvetica" w:hAnsi="Helvetica" w:cs="Helvetica"/>
          <w:sz w:val="20"/>
          <w:szCs w:val="20"/>
          <w:lang w:eastAsia="en-AU"/>
        </w:rPr>
        <w:t>China;</w:t>
      </w:r>
      <w:proofErr w:type="gramEnd"/>
    </w:p>
    <w:p w14:paraId="2389A3C4"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OR</w:t>
      </w:r>
    </w:p>
    <w:p w14:paraId="725C584A"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Contact with a confirmed case,</w:t>
      </w:r>
    </w:p>
    <w:p w14:paraId="5BB3F0AA"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OR</w:t>
      </w:r>
    </w:p>
    <w:p w14:paraId="2124853F" w14:textId="77777777" w:rsidR="002F63C1" w:rsidRPr="002F63C1" w:rsidRDefault="002F63C1" w:rsidP="002F63C1">
      <w:pPr>
        <w:shd w:val="clear" w:color="auto" w:fill="FFFFFF"/>
        <w:spacing w:after="240" w:line="300" w:lineRule="atLeast"/>
        <w:rPr>
          <w:rFonts w:ascii="Helvetica" w:hAnsi="Helvetica" w:cs="Helvetica"/>
          <w:sz w:val="20"/>
          <w:szCs w:val="20"/>
          <w:lang w:eastAsia="en-AU"/>
        </w:rPr>
      </w:pPr>
      <w:r w:rsidRPr="002F63C1">
        <w:rPr>
          <w:rFonts w:ascii="Helvetica" w:hAnsi="Helvetica" w:cs="Helvetica"/>
          <w:sz w:val="20"/>
          <w:szCs w:val="20"/>
          <w:lang w:eastAsia="en-AU"/>
        </w:rPr>
        <w:t>Exposure to viral haemorrhagic fever (VHF)-infected blood or tissues.</w:t>
      </w:r>
    </w:p>
    <w:p w14:paraId="11189369" w14:textId="77777777" w:rsidR="002F63C1" w:rsidRPr="002F63C1" w:rsidRDefault="001B5929" w:rsidP="002F63C1">
      <w:pPr>
        <w:spacing w:before="450" w:after="450"/>
        <w:rPr>
          <w:rFonts w:ascii="Times New Roman" w:hAnsi="Times New Roman"/>
          <w:sz w:val="24"/>
          <w:lang w:eastAsia="en-AU"/>
        </w:rPr>
      </w:pPr>
      <w:r>
        <w:rPr>
          <w:rFonts w:ascii="Times New Roman" w:hAnsi="Times New Roman"/>
          <w:sz w:val="24"/>
          <w:lang w:eastAsia="en-AU"/>
        </w:rPr>
        <w:pict w14:anchorId="0DBD5F55">
          <v:rect id="_x0000_i1025" style="width:0;height:1.5pt" o:hralign="center" o:hrstd="t" o:hrnoshade="t" o:hr="t" fillcolor="#222" stroked="f"/>
        </w:pict>
      </w:r>
    </w:p>
    <w:p w14:paraId="76DBEE98" w14:textId="77777777" w:rsidR="002F63C1" w:rsidRPr="002F63C1" w:rsidRDefault="002F63C1" w:rsidP="002F63C1">
      <w:pPr>
        <w:shd w:val="clear" w:color="auto" w:fill="FFFFFF"/>
        <w:spacing w:before="240" w:after="240" w:line="300" w:lineRule="atLeast"/>
        <w:rPr>
          <w:rFonts w:ascii="Helvetica" w:hAnsi="Helvetica" w:cs="Helvetica"/>
          <w:sz w:val="20"/>
          <w:szCs w:val="20"/>
          <w:lang w:eastAsia="en-AU"/>
        </w:rPr>
      </w:pPr>
      <w:bookmarkStart w:id="0" w:name="footnote"/>
      <w:bookmarkEnd w:id="0"/>
      <w:r w:rsidRPr="002F63C1">
        <w:rPr>
          <w:rFonts w:ascii="Helvetica" w:hAnsi="Helvetica" w:cs="Helvetica"/>
          <w:sz w:val="20"/>
          <w:szCs w:val="20"/>
          <w:lang w:eastAsia="en-AU"/>
        </w:rPr>
        <w:t>* The first case in any outbreak in Australia will also be confirmed by CDC, Atlanta or NIV, Johannesburg.</w:t>
      </w:r>
    </w:p>
    <w:p w14:paraId="1C69DB3F" w14:textId="624BB721" w:rsidR="009E0B84" w:rsidRPr="002F63C1" w:rsidRDefault="009E0B84" w:rsidP="002F63C1">
      <w:pPr>
        <w:pStyle w:val="Paragraphtext"/>
        <w:rPr>
          <w:color w:val="auto"/>
        </w:rPr>
      </w:pPr>
    </w:p>
    <w:sectPr w:rsidR="009E0B84" w:rsidRPr="002F63C1" w:rsidSect="00022629">
      <w:footerReference w:type="default" r:id="rId12"/>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7786E" w14:textId="77777777" w:rsidR="002F63C1" w:rsidRDefault="002F63C1" w:rsidP="006B56BB">
      <w:r>
        <w:separator/>
      </w:r>
    </w:p>
    <w:p w14:paraId="7363CEC7" w14:textId="77777777" w:rsidR="002F63C1" w:rsidRDefault="002F63C1"/>
  </w:endnote>
  <w:endnote w:type="continuationSeparator" w:id="0">
    <w:p w14:paraId="4CEE5D19" w14:textId="77777777" w:rsidR="002F63C1" w:rsidRDefault="002F63C1" w:rsidP="006B56BB">
      <w:r>
        <w:continuationSeparator/>
      </w:r>
    </w:p>
    <w:p w14:paraId="6F7654A8" w14:textId="77777777" w:rsidR="002F63C1" w:rsidRDefault="002F63C1"/>
  </w:endnote>
  <w:endnote w:type="continuationNotice" w:id="1">
    <w:p w14:paraId="2C77749A" w14:textId="77777777" w:rsidR="002F63C1" w:rsidRDefault="002F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6CDDFA53" w14:textId="45EF2933" w:rsidR="00CD407A" w:rsidRDefault="002F63C1" w:rsidP="002F63C1">
            <w:pPr>
              <w:pStyle w:val="Footer"/>
              <w:jc w:val="right"/>
            </w:pPr>
            <w:r w:rsidRPr="002F63C1">
              <w:t xml:space="preserve">Viral haemorrhagic fever (not elsewhere classified) </w:t>
            </w:r>
            <w:r w:rsidR="00076AD6">
              <w:t xml:space="preserve">–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0A4A3" w14:textId="77777777" w:rsidR="002F63C1" w:rsidRDefault="002F63C1" w:rsidP="006B56BB">
      <w:r>
        <w:separator/>
      </w:r>
    </w:p>
    <w:p w14:paraId="7BE8A94C" w14:textId="77777777" w:rsidR="002F63C1" w:rsidRDefault="002F63C1"/>
  </w:footnote>
  <w:footnote w:type="continuationSeparator" w:id="0">
    <w:p w14:paraId="3831399E" w14:textId="77777777" w:rsidR="002F63C1" w:rsidRDefault="002F63C1" w:rsidP="006B56BB">
      <w:r>
        <w:continuationSeparator/>
      </w:r>
    </w:p>
    <w:p w14:paraId="537C2BFA" w14:textId="77777777" w:rsidR="002F63C1" w:rsidRDefault="002F63C1"/>
  </w:footnote>
  <w:footnote w:type="continuationNotice" w:id="1">
    <w:p w14:paraId="43AC1F7F" w14:textId="77777777" w:rsidR="002F63C1" w:rsidRDefault="002F63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4"/>
  </w:num>
  <w:num w:numId="3">
    <w:abstractNumId w:val="16"/>
  </w:num>
  <w:num w:numId="4">
    <w:abstractNumId w:val="8"/>
  </w:num>
  <w:num w:numId="5">
    <w:abstractNumId w:val="8"/>
    <w:lvlOverride w:ilvl="0">
      <w:startOverride w:val="1"/>
    </w:lvlOverride>
  </w:num>
  <w:num w:numId="6">
    <w:abstractNumId w:val="9"/>
  </w:num>
  <w:num w:numId="7">
    <w:abstractNumId w:val="13"/>
  </w:num>
  <w:num w:numId="8">
    <w:abstractNumId w:val="15"/>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7"/>
  </w:num>
  <w:num w:numId="17">
    <w:abstractNumId w:val="10"/>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C1"/>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90079"/>
    <w:rsid w:val="0019622E"/>
    <w:rsid w:val="001966A7"/>
    <w:rsid w:val="001A4627"/>
    <w:rsid w:val="001A4979"/>
    <w:rsid w:val="001B15D3"/>
    <w:rsid w:val="001B3443"/>
    <w:rsid w:val="001B5929"/>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2F63C1"/>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96B9F"/>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42AD3"/>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4926"/>
    <w:rsid w:val="00B16A51"/>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7F2327"/>
  <w15:docId w15:val="{251B1333-AA5C-4EDB-85A2-EAD6370E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2Char">
    <w:name w:val="Heading 2 Char"/>
    <w:basedOn w:val="DefaultParagraphFont"/>
    <w:link w:val="Heading2"/>
    <w:uiPriority w:val="9"/>
    <w:rsid w:val="002F63C1"/>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2F63C1"/>
    <w:rPr>
      <w:rFonts w:ascii="Arial" w:hAnsi="Arial" w:cs="Arial"/>
      <w:bCs/>
      <w:color w:val="358189"/>
      <w:sz w:val="24"/>
      <w:szCs w:val="26"/>
      <w:lang w:eastAsia="en-US"/>
    </w:rPr>
  </w:style>
  <w:style w:type="character" w:customStyle="1" w:styleId="Heading4Char">
    <w:name w:val="Heading 4 Char"/>
    <w:basedOn w:val="DefaultParagraphFont"/>
    <w:link w:val="Heading4"/>
    <w:uiPriority w:val="9"/>
    <w:rsid w:val="002F63C1"/>
    <w:rPr>
      <w:rFonts w:ascii="Arial" w:hAnsi="Arial"/>
      <w:b/>
      <w:bCs/>
      <w:i/>
      <w:color w:val="414141"/>
      <w:sz w:val="24"/>
      <w:szCs w:val="28"/>
      <w:lang w:eastAsia="en-US"/>
    </w:rPr>
  </w:style>
  <w:style w:type="paragraph" w:styleId="NormalWeb">
    <w:name w:val="Normal (Web)"/>
    <w:basedOn w:val="Normal"/>
    <w:uiPriority w:val="99"/>
    <w:semiHidden/>
    <w:unhideWhenUsed/>
    <w:rsid w:val="002F63C1"/>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5232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Surveillance%20Case%20Definitions\CDNA%20surveillance%20case%20definition%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3D652909-5503-4FEE-ADFA-6DE4A8432DDB}"/>
</file>

<file path=customXml/itemProps4.xml><?xml version="1.0" encoding="utf-8"?>
<ds:datastoreItem xmlns:ds="http://schemas.openxmlformats.org/officeDocument/2006/customXml" ds:itemID="{D20C6417-ADBB-487B-9091-DC3471F064B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36487dd-ec90-4f99-8970-1318e5f29791"/>
    <ds:schemaRef ds:uri="http://schemas.microsoft.com/office/2006/documentManagement/types"/>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CDNA surveillance case definition template.dotx</Template>
  <TotalTime>4</TotalTime>
  <Pages>3</Pages>
  <Words>471</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Surveillance case definition</vt:lpstr>
    </vt:vector>
  </TitlesOfParts>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Viral haemorrhagic fever (not elsewhere classified) – Surveillance case definition</dc:title>
  <dc:creator>Communicable Diseases Network Australia</dc:creator>
  <cp:keywords>Communicable diseases</cp:keywords>
  <dcterms:created xsi:type="dcterms:W3CDTF">2022-06-08T03:14:00Z</dcterms:created>
  <dcterms:modified xsi:type="dcterms:W3CDTF">2022-06-08T05:18:00Z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