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2.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footer3.xml" ContentType="application/vnd.openxmlformats-officedocument.wordprocessingml.footer+xml"/>
  <Override PartName="/word/header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670" w:type="dxa"/>
        <w:jc w:val="right"/>
        <w:tblLook w:val="04A0" w:firstRow="1" w:lastRow="0" w:firstColumn="1" w:lastColumn="0" w:noHBand="0" w:noVBand="1"/>
      </w:tblPr>
      <w:tblGrid>
        <w:gridCol w:w="5670"/>
      </w:tblGrid>
      <w:tr w:rsidR="009A381D" w:rsidRPr="005822AC" w14:paraId="672A6659" w14:textId="77777777" w:rsidTr="005822AC">
        <w:trPr>
          <w:jc w:val="right"/>
        </w:trPr>
        <w:tc>
          <w:tcPr>
            <w:tcW w:w="9242" w:type="dxa"/>
            <w:shd w:val="clear" w:color="auto" w:fill="auto"/>
          </w:tcPr>
          <w:p w14:paraId="0A37501D" w14:textId="77777777" w:rsidR="009A381D" w:rsidRDefault="009A381D" w:rsidP="00AD29FF">
            <w:pPr>
              <w:pStyle w:val="FrontPagesecondarytitle"/>
            </w:pPr>
          </w:p>
        </w:tc>
      </w:tr>
      <w:tr w:rsidR="009A381D" w:rsidRPr="005822AC" w14:paraId="6C32FBA0" w14:textId="77777777" w:rsidTr="005822AC">
        <w:trPr>
          <w:trHeight w:val="8505"/>
          <w:jc w:val="right"/>
        </w:trPr>
        <w:tc>
          <w:tcPr>
            <w:tcW w:w="9242" w:type="dxa"/>
            <w:shd w:val="clear" w:color="auto" w:fill="auto"/>
          </w:tcPr>
          <w:p w14:paraId="3526115C" w14:textId="46155C6B" w:rsidR="009A381D" w:rsidRPr="005822AC" w:rsidRDefault="00210AC9" w:rsidP="00AD29FF">
            <w:pPr>
              <w:pStyle w:val="Title"/>
            </w:pPr>
            <w:bookmarkStart w:id="0" w:name="_Hlk133406956"/>
            <w:r>
              <w:t xml:space="preserve">Guidance for </w:t>
            </w:r>
            <w:r w:rsidR="00B71FE4">
              <w:t xml:space="preserve">the human </w:t>
            </w:r>
            <w:r>
              <w:t>health risk assessment of volatile chlorinated hydrocarbon vapour intrusion</w:t>
            </w:r>
            <w:r w:rsidDel="00210AC9">
              <w:t xml:space="preserve"> </w:t>
            </w:r>
            <w:bookmarkEnd w:id="0"/>
          </w:p>
        </w:tc>
      </w:tr>
      <w:tr w:rsidR="009A381D" w:rsidRPr="005822AC" w14:paraId="6872AAAA" w14:textId="77777777" w:rsidTr="005822AC">
        <w:trPr>
          <w:cantSplit/>
          <w:trHeight w:val="1985"/>
          <w:jc w:val="right"/>
        </w:trPr>
        <w:tc>
          <w:tcPr>
            <w:tcW w:w="9242" w:type="dxa"/>
            <w:shd w:val="clear" w:color="auto" w:fill="auto"/>
            <w:vAlign w:val="bottom"/>
          </w:tcPr>
          <w:p w14:paraId="5134FE0B" w14:textId="3BC78F3B" w:rsidR="009A381D" w:rsidRPr="005822AC" w:rsidRDefault="00625CC0" w:rsidP="00BA0DB6">
            <w:pPr>
              <w:pStyle w:val="FrontPageSubhead"/>
            </w:pPr>
            <w:r>
              <w:t>Environmental Health Standing Committee (enHealth)</w:t>
            </w:r>
            <w:r w:rsidR="009F653D">
              <w:t xml:space="preserve"> </w:t>
            </w:r>
          </w:p>
        </w:tc>
      </w:tr>
    </w:tbl>
    <w:p w14:paraId="5DAB6C7B" w14:textId="349BFB37" w:rsidR="0071020F" w:rsidRPr="001B6B91" w:rsidRDefault="00692E89" w:rsidP="001B6B91">
      <w:r>
        <w:rPr>
          <w:noProof/>
        </w:rPr>
        <w:drawing>
          <wp:anchor distT="0" distB="0" distL="114300" distR="114300" simplePos="0" relativeHeight="251658240" behindDoc="1" locked="0" layoutInCell="1" allowOverlap="1" wp14:anchorId="1D3BE04C" wp14:editId="0EBF2297">
            <wp:simplePos x="0" y="0"/>
            <wp:positionH relativeFrom="margin">
              <wp:posOffset>-228600</wp:posOffset>
            </wp:positionH>
            <wp:positionV relativeFrom="page">
              <wp:posOffset>412750</wp:posOffset>
            </wp:positionV>
            <wp:extent cx="1231900" cy="304165"/>
            <wp:effectExtent l="0" t="0" r="6350" b="635"/>
            <wp:wrapTight wrapText="bothSides">
              <wp:wrapPolygon edited="0">
                <wp:start x="0" y="0"/>
                <wp:lineTo x="0" y="20292"/>
                <wp:lineTo x="21377" y="20292"/>
                <wp:lineTo x="21377" y="0"/>
                <wp:lineTo x="0" y="0"/>
              </wp:wrapPolygon>
            </wp:wrapTight>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1231900" cy="30416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2EB378F" w14:textId="77777777" w:rsidR="001B6B91" w:rsidRDefault="001B6B91" w:rsidP="001B6B91"/>
    <w:p w14:paraId="6A05A809" w14:textId="07A3DE83" w:rsidR="0071020F" w:rsidRDefault="0071020F" w:rsidP="0071020F">
      <w:pPr>
        <w:sectPr w:rsidR="0071020F" w:rsidSect="009C6E70">
          <w:headerReference w:type="even" r:id="rId12"/>
          <w:headerReference w:type="first" r:id="rId13"/>
          <w:footerReference w:type="first" r:id="rId14"/>
          <w:pgSz w:w="11906" w:h="16838"/>
          <w:pgMar w:top="1440" w:right="1440" w:bottom="1440" w:left="1440" w:header="708" w:footer="708" w:gutter="0"/>
          <w:cols w:space="708"/>
          <w:docGrid w:linePitch="360"/>
        </w:sectPr>
      </w:pPr>
    </w:p>
    <w:p w14:paraId="406425CA" w14:textId="77777777" w:rsidR="00357D6B" w:rsidRDefault="00357D6B" w:rsidP="00BA0DB6">
      <w:pPr>
        <w:pStyle w:val="Heading2"/>
      </w:pPr>
      <w:bookmarkStart w:id="1" w:name="_Toc153277242"/>
      <w:r>
        <w:lastRenderedPageBreak/>
        <w:t>Contents</w:t>
      </w:r>
      <w:bookmarkEnd w:id="1"/>
    </w:p>
    <w:p w14:paraId="5A39BBE3" w14:textId="77777777" w:rsidR="00BA0DB6" w:rsidRPr="00BA0DB6" w:rsidRDefault="00BA0DB6" w:rsidP="00BA0DB6">
      <w:pPr>
        <w:rPr>
          <w:lang w:val="en-US" w:eastAsia="ja-JP"/>
        </w:rPr>
      </w:pPr>
    </w:p>
    <w:p w14:paraId="38A16DB9" w14:textId="2636DB00" w:rsidR="00A3441A" w:rsidRDefault="00357D6B" w:rsidP="00A3441A">
      <w:pPr>
        <w:pStyle w:val="TOC2"/>
        <w:rPr>
          <w:rFonts w:asciiTheme="minorHAnsi" w:eastAsiaTheme="minorEastAsia" w:hAnsiTheme="minorHAnsi" w:cstheme="minorBidi"/>
          <w:noProof/>
          <w:sz w:val="22"/>
          <w:lang w:eastAsia="en-AU"/>
        </w:rPr>
      </w:pPr>
      <w:r>
        <w:fldChar w:fldCharType="begin"/>
      </w:r>
      <w:r>
        <w:instrText xml:space="preserve"> TOC \o "1-3" \h \z \u </w:instrText>
      </w:r>
      <w:r>
        <w:fldChar w:fldCharType="separate"/>
      </w:r>
      <w:hyperlink w:anchor="_Toc153277242" w:history="1">
        <w:r w:rsidR="00A3441A" w:rsidRPr="008C0099">
          <w:rPr>
            <w:rStyle w:val="Hyperlink"/>
            <w:noProof/>
          </w:rPr>
          <w:t>Contents</w:t>
        </w:r>
        <w:r w:rsidR="00A3441A">
          <w:rPr>
            <w:noProof/>
            <w:webHidden/>
          </w:rPr>
          <w:tab/>
        </w:r>
        <w:r w:rsidR="00A3441A">
          <w:rPr>
            <w:noProof/>
            <w:webHidden/>
          </w:rPr>
          <w:fldChar w:fldCharType="begin"/>
        </w:r>
        <w:r w:rsidR="00A3441A">
          <w:rPr>
            <w:noProof/>
            <w:webHidden/>
          </w:rPr>
          <w:instrText xml:space="preserve"> PAGEREF _Toc153277242 \h </w:instrText>
        </w:r>
        <w:r w:rsidR="00A3441A">
          <w:rPr>
            <w:noProof/>
            <w:webHidden/>
          </w:rPr>
        </w:r>
        <w:r w:rsidR="00A3441A">
          <w:rPr>
            <w:noProof/>
            <w:webHidden/>
          </w:rPr>
          <w:fldChar w:fldCharType="separate"/>
        </w:r>
        <w:r w:rsidR="00A3441A">
          <w:rPr>
            <w:noProof/>
            <w:webHidden/>
          </w:rPr>
          <w:t>2</w:t>
        </w:r>
        <w:r w:rsidR="00A3441A">
          <w:rPr>
            <w:noProof/>
            <w:webHidden/>
          </w:rPr>
          <w:fldChar w:fldCharType="end"/>
        </w:r>
      </w:hyperlink>
    </w:p>
    <w:p w14:paraId="23FB314B" w14:textId="39D7F3EC" w:rsidR="00A3441A" w:rsidRDefault="00000000" w:rsidP="00A3441A">
      <w:pPr>
        <w:pStyle w:val="TOC2"/>
        <w:rPr>
          <w:rFonts w:asciiTheme="minorHAnsi" w:eastAsiaTheme="minorEastAsia" w:hAnsiTheme="minorHAnsi" w:cstheme="minorBidi"/>
          <w:noProof/>
          <w:sz w:val="22"/>
          <w:lang w:eastAsia="en-AU"/>
        </w:rPr>
      </w:pPr>
      <w:hyperlink w:anchor="_Toc153277243" w:history="1">
        <w:r w:rsidR="00A3441A" w:rsidRPr="008C0099">
          <w:rPr>
            <w:rStyle w:val="Hyperlink"/>
            <w:noProof/>
          </w:rPr>
          <w:t>Executive Summary</w:t>
        </w:r>
        <w:r w:rsidR="00A3441A">
          <w:rPr>
            <w:noProof/>
            <w:webHidden/>
          </w:rPr>
          <w:tab/>
        </w:r>
        <w:r w:rsidR="00A3441A">
          <w:rPr>
            <w:noProof/>
            <w:webHidden/>
          </w:rPr>
          <w:fldChar w:fldCharType="begin"/>
        </w:r>
        <w:r w:rsidR="00A3441A">
          <w:rPr>
            <w:noProof/>
            <w:webHidden/>
          </w:rPr>
          <w:instrText xml:space="preserve"> PAGEREF _Toc153277243 \h </w:instrText>
        </w:r>
        <w:r w:rsidR="00A3441A">
          <w:rPr>
            <w:noProof/>
            <w:webHidden/>
          </w:rPr>
        </w:r>
        <w:r w:rsidR="00A3441A">
          <w:rPr>
            <w:noProof/>
            <w:webHidden/>
          </w:rPr>
          <w:fldChar w:fldCharType="separate"/>
        </w:r>
        <w:r w:rsidR="00A3441A">
          <w:rPr>
            <w:noProof/>
            <w:webHidden/>
          </w:rPr>
          <w:t>3</w:t>
        </w:r>
        <w:r w:rsidR="00A3441A">
          <w:rPr>
            <w:noProof/>
            <w:webHidden/>
          </w:rPr>
          <w:fldChar w:fldCharType="end"/>
        </w:r>
      </w:hyperlink>
    </w:p>
    <w:p w14:paraId="769ED0FA" w14:textId="46058A45" w:rsidR="00A3441A" w:rsidRDefault="00000000" w:rsidP="00A3441A">
      <w:pPr>
        <w:pStyle w:val="TOC2"/>
        <w:rPr>
          <w:rFonts w:asciiTheme="minorHAnsi" w:eastAsiaTheme="minorEastAsia" w:hAnsiTheme="minorHAnsi" w:cstheme="minorBidi"/>
          <w:noProof/>
          <w:sz w:val="22"/>
          <w:lang w:eastAsia="en-AU"/>
        </w:rPr>
      </w:pPr>
      <w:hyperlink w:anchor="_Toc153277244" w:history="1">
        <w:r w:rsidR="00A3441A" w:rsidRPr="008C0099">
          <w:rPr>
            <w:rStyle w:val="Hyperlink"/>
            <w:noProof/>
          </w:rPr>
          <w:t>Audience</w:t>
        </w:r>
        <w:r w:rsidR="00A3441A">
          <w:rPr>
            <w:noProof/>
            <w:webHidden/>
          </w:rPr>
          <w:tab/>
        </w:r>
        <w:r w:rsidR="00A3441A">
          <w:rPr>
            <w:noProof/>
            <w:webHidden/>
          </w:rPr>
          <w:fldChar w:fldCharType="begin"/>
        </w:r>
        <w:r w:rsidR="00A3441A">
          <w:rPr>
            <w:noProof/>
            <w:webHidden/>
          </w:rPr>
          <w:instrText xml:space="preserve"> PAGEREF _Toc153277244 \h </w:instrText>
        </w:r>
        <w:r w:rsidR="00A3441A">
          <w:rPr>
            <w:noProof/>
            <w:webHidden/>
          </w:rPr>
        </w:r>
        <w:r w:rsidR="00A3441A">
          <w:rPr>
            <w:noProof/>
            <w:webHidden/>
          </w:rPr>
          <w:fldChar w:fldCharType="separate"/>
        </w:r>
        <w:r w:rsidR="00A3441A">
          <w:rPr>
            <w:noProof/>
            <w:webHidden/>
          </w:rPr>
          <w:t>3</w:t>
        </w:r>
        <w:r w:rsidR="00A3441A">
          <w:rPr>
            <w:noProof/>
            <w:webHidden/>
          </w:rPr>
          <w:fldChar w:fldCharType="end"/>
        </w:r>
      </w:hyperlink>
    </w:p>
    <w:p w14:paraId="45C3F2A4" w14:textId="6A33E8BF" w:rsidR="00A3441A" w:rsidRDefault="00000000" w:rsidP="00A3441A">
      <w:pPr>
        <w:pStyle w:val="TOC2"/>
        <w:rPr>
          <w:rFonts w:asciiTheme="minorHAnsi" w:eastAsiaTheme="minorEastAsia" w:hAnsiTheme="minorHAnsi" w:cstheme="minorBidi"/>
          <w:noProof/>
          <w:sz w:val="22"/>
          <w:lang w:eastAsia="en-AU"/>
        </w:rPr>
      </w:pPr>
      <w:hyperlink w:anchor="_Toc153277245" w:history="1">
        <w:r w:rsidR="00A3441A" w:rsidRPr="008C0099">
          <w:rPr>
            <w:rStyle w:val="Hyperlink"/>
            <w:noProof/>
          </w:rPr>
          <w:t>Acknowledgements</w:t>
        </w:r>
        <w:r w:rsidR="00A3441A">
          <w:rPr>
            <w:noProof/>
            <w:webHidden/>
          </w:rPr>
          <w:tab/>
        </w:r>
        <w:r w:rsidR="00A3441A">
          <w:rPr>
            <w:noProof/>
            <w:webHidden/>
          </w:rPr>
          <w:fldChar w:fldCharType="begin"/>
        </w:r>
        <w:r w:rsidR="00A3441A">
          <w:rPr>
            <w:noProof/>
            <w:webHidden/>
          </w:rPr>
          <w:instrText xml:space="preserve"> PAGEREF _Toc153277245 \h </w:instrText>
        </w:r>
        <w:r w:rsidR="00A3441A">
          <w:rPr>
            <w:noProof/>
            <w:webHidden/>
          </w:rPr>
        </w:r>
        <w:r w:rsidR="00A3441A">
          <w:rPr>
            <w:noProof/>
            <w:webHidden/>
          </w:rPr>
          <w:fldChar w:fldCharType="separate"/>
        </w:r>
        <w:r w:rsidR="00A3441A">
          <w:rPr>
            <w:noProof/>
            <w:webHidden/>
          </w:rPr>
          <w:t>4</w:t>
        </w:r>
        <w:r w:rsidR="00A3441A">
          <w:rPr>
            <w:noProof/>
            <w:webHidden/>
          </w:rPr>
          <w:fldChar w:fldCharType="end"/>
        </w:r>
      </w:hyperlink>
    </w:p>
    <w:p w14:paraId="0940661B" w14:textId="6FD4CC57" w:rsidR="00A3441A" w:rsidRDefault="00000000" w:rsidP="00A3441A">
      <w:pPr>
        <w:pStyle w:val="TOC2"/>
        <w:rPr>
          <w:rFonts w:asciiTheme="minorHAnsi" w:eastAsiaTheme="minorEastAsia" w:hAnsiTheme="minorHAnsi" w:cstheme="minorBidi"/>
          <w:noProof/>
          <w:sz w:val="22"/>
          <w:lang w:eastAsia="en-AU"/>
        </w:rPr>
      </w:pPr>
      <w:hyperlink w:anchor="_Toc153277246" w:history="1">
        <w:r w:rsidR="00A3441A" w:rsidRPr="008C0099">
          <w:rPr>
            <w:rStyle w:val="Hyperlink"/>
            <w:noProof/>
          </w:rPr>
          <w:t>Suggested Citation</w:t>
        </w:r>
        <w:r w:rsidR="00A3441A">
          <w:rPr>
            <w:noProof/>
            <w:webHidden/>
          </w:rPr>
          <w:tab/>
        </w:r>
        <w:r w:rsidR="00A3441A">
          <w:rPr>
            <w:noProof/>
            <w:webHidden/>
          </w:rPr>
          <w:fldChar w:fldCharType="begin"/>
        </w:r>
        <w:r w:rsidR="00A3441A">
          <w:rPr>
            <w:noProof/>
            <w:webHidden/>
          </w:rPr>
          <w:instrText xml:space="preserve"> PAGEREF _Toc153277246 \h </w:instrText>
        </w:r>
        <w:r w:rsidR="00A3441A">
          <w:rPr>
            <w:noProof/>
            <w:webHidden/>
          </w:rPr>
        </w:r>
        <w:r w:rsidR="00A3441A">
          <w:rPr>
            <w:noProof/>
            <w:webHidden/>
          </w:rPr>
          <w:fldChar w:fldCharType="separate"/>
        </w:r>
        <w:r w:rsidR="00A3441A">
          <w:rPr>
            <w:noProof/>
            <w:webHidden/>
          </w:rPr>
          <w:t>4</w:t>
        </w:r>
        <w:r w:rsidR="00A3441A">
          <w:rPr>
            <w:noProof/>
            <w:webHidden/>
          </w:rPr>
          <w:fldChar w:fldCharType="end"/>
        </w:r>
      </w:hyperlink>
    </w:p>
    <w:p w14:paraId="0699DC33" w14:textId="6CEF5038" w:rsidR="00A3441A" w:rsidRDefault="00000000" w:rsidP="00A3441A">
      <w:pPr>
        <w:pStyle w:val="TOC2"/>
        <w:rPr>
          <w:rFonts w:asciiTheme="minorHAnsi" w:eastAsiaTheme="minorEastAsia" w:hAnsiTheme="minorHAnsi" w:cstheme="minorBidi"/>
          <w:noProof/>
          <w:sz w:val="22"/>
          <w:lang w:eastAsia="en-AU"/>
        </w:rPr>
      </w:pPr>
      <w:hyperlink w:anchor="_Toc153277247" w:history="1">
        <w:r w:rsidR="00A3441A" w:rsidRPr="008C0099">
          <w:rPr>
            <w:rStyle w:val="Hyperlink"/>
            <w:noProof/>
          </w:rPr>
          <w:t>Introduction</w:t>
        </w:r>
        <w:r w:rsidR="00A3441A">
          <w:rPr>
            <w:noProof/>
            <w:webHidden/>
          </w:rPr>
          <w:tab/>
        </w:r>
        <w:r w:rsidR="00A3441A">
          <w:rPr>
            <w:noProof/>
            <w:webHidden/>
          </w:rPr>
          <w:fldChar w:fldCharType="begin"/>
        </w:r>
        <w:r w:rsidR="00A3441A">
          <w:rPr>
            <w:noProof/>
            <w:webHidden/>
          </w:rPr>
          <w:instrText xml:space="preserve"> PAGEREF _Toc153277247 \h </w:instrText>
        </w:r>
        <w:r w:rsidR="00A3441A">
          <w:rPr>
            <w:noProof/>
            <w:webHidden/>
          </w:rPr>
        </w:r>
        <w:r w:rsidR="00A3441A">
          <w:rPr>
            <w:noProof/>
            <w:webHidden/>
          </w:rPr>
          <w:fldChar w:fldCharType="separate"/>
        </w:r>
        <w:r w:rsidR="00A3441A">
          <w:rPr>
            <w:noProof/>
            <w:webHidden/>
          </w:rPr>
          <w:t>5</w:t>
        </w:r>
        <w:r w:rsidR="00A3441A">
          <w:rPr>
            <w:noProof/>
            <w:webHidden/>
          </w:rPr>
          <w:fldChar w:fldCharType="end"/>
        </w:r>
      </w:hyperlink>
    </w:p>
    <w:p w14:paraId="57A14174" w14:textId="04F70DB6" w:rsidR="00A3441A" w:rsidRDefault="00000000" w:rsidP="00A3441A">
      <w:pPr>
        <w:pStyle w:val="TOC2"/>
        <w:rPr>
          <w:rFonts w:asciiTheme="minorHAnsi" w:eastAsiaTheme="minorEastAsia" w:hAnsiTheme="minorHAnsi" w:cstheme="minorBidi"/>
          <w:noProof/>
          <w:sz w:val="22"/>
          <w:lang w:eastAsia="en-AU"/>
        </w:rPr>
      </w:pPr>
      <w:hyperlink w:anchor="_Toc153277248" w:history="1">
        <w:r w:rsidR="00A3441A" w:rsidRPr="008C0099">
          <w:rPr>
            <w:rStyle w:val="Hyperlink"/>
            <w:noProof/>
          </w:rPr>
          <w:t>Why it is so difficult to assess the vapour intrusion pathway?</w:t>
        </w:r>
        <w:r w:rsidR="00A3441A">
          <w:rPr>
            <w:noProof/>
            <w:webHidden/>
          </w:rPr>
          <w:tab/>
        </w:r>
        <w:r w:rsidR="00A3441A">
          <w:rPr>
            <w:noProof/>
            <w:webHidden/>
          </w:rPr>
          <w:fldChar w:fldCharType="begin"/>
        </w:r>
        <w:r w:rsidR="00A3441A">
          <w:rPr>
            <w:noProof/>
            <w:webHidden/>
          </w:rPr>
          <w:instrText xml:space="preserve"> PAGEREF _Toc153277248 \h </w:instrText>
        </w:r>
        <w:r w:rsidR="00A3441A">
          <w:rPr>
            <w:noProof/>
            <w:webHidden/>
          </w:rPr>
        </w:r>
        <w:r w:rsidR="00A3441A">
          <w:rPr>
            <w:noProof/>
            <w:webHidden/>
          </w:rPr>
          <w:fldChar w:fldCharType="separate"/>
        </w:r>
        <w:r w:rsidR="00A3441A">
          <w:rPr>
            <w:noProof/>
            <w:webHidden/>
          </w:rPr>
          <w:t>5</w:t>
        </w:r>
        <w:r w:rsidR="00A3441A">
          <w:rPr>
            <w:noProof/>
            <w:webHidden/>
          </w:rPr>
          <w:fldChar w:fldCharType="end"/>
        </w:r>
      </w:hyperlink>
    </w:p>
    <w:p w14:paraId="6058F06E" w14:textId="6481EAC7" w:rsidR="00A3441A" w:rsidRDefault="00000000" w:rsidP="00A3441A">
      <w:pPr>
        <w:pStyle w:val="TOC2"/>
        <w:rPr>
          <w:rFonts w:asciiTheme="minorHAnsi" w:eastAsiaTheme="minorEastAsia" w:hAnsiTheme="minorHAnsi" w:cstheme="minorBidi"/>
          <w:noProof/>
          <w:sz w:val="22"/>
          <w:lang w:eastAsia="en-AU"/>
        </w:rPr>
      </w:pPr>
      <w:hyperlink w:anchor="_Toc153277249" w:history="1">
        <w:r w:rsidR="00A3441A" w:rsidRPr="008C0099">
          <w:rPr>
            <w:rStyle w:val="Hyperlink"/>
            <w:noProof/>
          </w:rPr>
          <w:t>Figure 1. Simplified schematic of vapour intrusion (ATSDR, 2016).</w:t>
        </w:r>
        <w:r w:rsidR="00A3441A">
          <w:rPr>
            <w:noProof/>
            <w:webHidden/>
          </w:rPr>
          <w:tab/>
        </w:r>
        <w:r w:rsidR="00A3441A">
          <w:rPr>
            <w:noProof/>
            <w:webHidden/>
          </w:rPr>
          <w:fldChar w:fldCharType="begin"/>
        </w:r>
        <w:r w:rsidR="00A3441A">
          <w:rPr>
            <w:noProof/>
            <w:webHidden/>
          </w:rPr>
          <w:instrText xml:space="preserve"> PAGEREF _Toc153277249 \h </w:instrText>
        </w:r>
        <w:r w:rsidR="00A3441A">
          <w:rPr>
            <w:noProof/>
            <w:webHidden/>
          </w:rPr>
        </w:r>
        <w:r w:rsidR="00A3441A">
          <w:rPr>
            <w:noProof/>
            <w:webHidden/>
          </w:rPr>
          <w:fldChar w:fldCharType="separate"/>
        </w:r>
        <w:r w:rsidR="00A3441A">
          <w:rPr>
            <w:noProof/>
            <w:webHidden/>
          </w:rPr>
          <w:t>7</w:t>
        </w:r>
        <w:r w:rsidR="00A3441A">
          <w:rPr>
            <w:noProof/>
            <w:webHidden/>
          </w:rPr>
          <w:fldChar w:fldCharType="end"/>
        </w:r>
      </w:hyperlink>
    </w:p>
    <w:p w14:paraId="4F0C9E60" w14:textId="533923FB" w:rsidR="00A3441A" w:rsidRDefault="00000000" w:rsidP="00A3441A">
      <w:pPr>
        <w:pStyle w:val="TOC2"/>
        <w:rPr>
          <w:rFonts w:asciiTheme="minorHAnsi" w:eastAsiaTheme="minorEastAsia" w:hAnsiTheme="minorHAnsi" w:cstheme="minorBidi"/>
          <w:noProof/>
          <w:sz w:val="22"/>
          <w:lang w:eastAsia="en-AU"/>
        </w:rPr>
      </w:pPr>
      <w:hyperlink w:anchor="_Toc153277250" w:history="1">
        <w:r w:rsidR="00A3441A" w:rsidRPr="008C0099">
          <w:rPr>
            <w:rStyle w:val="Hyperlink"/>
            <w:noProof/>
          </w:rPr>
          <w:t>Establishing a Basis for Public Health Action</w:t>
        </w:r>
        <w:r w:rsidR="00A3441A">
          <w:rPr>
            <w:noProof/>
            <w:webHidden/>
          </w:rPr>
          <w:tab/>
        </w:r>
        <w:r w:rsidR="00232CB1">
          <w:rPr>
            <w:noProof/>
            <w:webHidden/>
          </w:rPr>
          <w:t>8</w:t>
        </w:r>
      </w:hyperlink>
    </w:p>
    <w:p w14:paraId="3224B0BA" w14:textId="71A0CDF6" w:rsidR="00A3441A" w:rsidRDefault="00000000" w:rsidP="00A3441A">
      <w:pPr>
        <w:pStyle w:val="TOC2"/>
        <w:rPr>
          <w:rFonts w:asciiTheme="minorHAnsi" w:eastAsiaTheme="minorEastAsia" w:hAnsiTheme="minorHAnsi" w:cstheme="minorBidi"/>
          <w:noProof/>
          <w:sz w:val="22"/>
          <w:lang w:eastAsia="en-AU"/>
        </w:rPr>
      </w:pPr>
      <w:hyperlink w:anchor="_Toc153277251" w:history="1">
        <w:r w:rsidR="00A3441A" w:rsidRPr="008C0099">
          <w:rPr>
            <w:rStyle w:val="Hyperlink"/>
            <w:noProof/>
          </w:rPr>
          <w:t>Evaluation of Vapour Intrusion – Public Health Considerations for Environmental Investigations</w:t>
        </w:r>
        <w:r w:rsidR="00A3441A">
          <w:rPr>
            <w:noProof/>
            <w:webHidden/>
          </w:rPr>
          <w:tab/>
        </w:r>
        <w:r w:rsidR="00C0770E">
          <w:rPr>
            <w:noProof/>
            <w:webHidden/>
          </w:rPr>
          <w:t>9</w:t>
        </w:r>
      </w:hyperlink>
    </w:p>
    <w:p w14:paraId="449C9FF8" w14:textId="4493D19E" w:rsidR="00A3441A" w:rsidRDefault="00000000" w:rsidP="00A3441A">
      <w:pPr>
        <w:pStyle w:val="TOC2"/>
        <w:rPr>
          <w:rFonts w:asciiTheme="minorHAnsi" w:eastAsiaTheme="minorEastAsia" w:hAnsiTheme="minorHAnsi" w:cstheme="minorBidi"/>
          <w:noProof/>
          <w:sz w:val="22"/>
          <w:lang w:eastAsia="en-AU"/>
        </w:rPr>
      </w:pPr>
      <w:hyperlink w:anchor="_Toc153277252" w:history="1">
        <w:r w:rsidR="00A3441A" w:rsidRPr="008C0099">
          <w:rPr>
            <w:rStyle w:val="Hyperlink"/>
            <w:noProof/>
          </w:rPr>
          <w:t>Evaluation of the vapour intrusion pathway</w:t>
        </w:r>
        <w:r w:rsidR="00A3441A">
          <w:rPr>
            <w:noProof/>
            <w:webHidden/>
          </w:rPr>
          <w:tab/>
        </w:r>
        <w:r w:rsidR="00C0770E">
          <w:rPr>
            <w:noProof/>
            <w:webHidden/>
          </w:rPr>
          <w:t>9</w:t>
        </w:r>
      </w:hyperlink>
    </w:p>
    <w:p w14:paraId="47B1C31C" w14:textId="4A42CB08" w:rsidR="00A3441A" w:rsidRDefault="00000000" w:rsidP="00A3441A">
      <w:pPr>
        <w:pStyle w:val="TOC2"/>
        <w:rPr>
          <w:rFonts w:asciiTheme="minorHAnsi" w:eastAsiaTheme="minorEastAsia" w:hAnsiTheme="minorHAnsi" w:cstheme="minorBidi"/>
          <w:noProof/>
          <w:sz w:val="22"/>
          <w:lang w:eastAsia="en-AU"/>
        </w:rPr>
      </w:pPr>
      <w:hyperlink w:anchor="_Toc153277253" w:history="1">
        <w:r w:rsidR="00A3441A" w:rsidRPr="008C0099">
          <w:rPr>
            <w:rStyle w:val="Hyperlink"/>
            <w:noProof/>
          </w:rPr>
          <w:t>Modelling vapour intrusion</w:t>
        </w:r>
        <w:r w:rsidR="00A3441A">
          <w:rPr>
            <w:noProof/>
            <w:webHidden/>
          </w:rPr>
          <w:tab/>
        </w:r>
        <w:r w:rsidR="00C0770E">
          <w:rPr>
            <w:noProof/>
            <w:webHidden/>
          </w:rPr>
          <w:t>9</w:t>
        </w:r>
      </w:hyperlink>
    </w:p>
    <w:p w14:paraId="0996F718" w14:textId="19F45DB2" w:rsidR="00A3441A" w:rsidRDefault="00000000" w:rsidP="00A3441A">
      <w:pPr>
        <w:pStyle w:val="TOC2"/>
        <w:rPr>
          <w:rFonts w:asciiTheme="minorHAnsi" w:eastAsiaTheme="minorEastAsia" w:hAnsiTheme="minorHAnsi" w:cstheme="minorBidi"/>
          <w:noProof/>
          <w:sz w:val="22"/>
          <w:lang w:eastAsia="en-AU"/>
        </w:rPr>
      </w:pPr>
      <w:hyperlink w:anchor="_Toc153277254" w:history="1">
        <w:r w:rsidR="00A3441A" w:rsidRPr="008C0099">
          <w:rPr>
            <w:rStyle w:val="Hyperlink"/>
            <w:noProof/>
          </w:rPr>
          <w:t>Attenuation Factors for Predicting Vapour Intrusion</w:t>
        </w:r>
        <w:r w:rsidR="00A3441A">
          <w:rPr>
            <w:noProof/>
            <w:webHidden/>
          </w:rPr>
          <w:tab/>
        </w:r>
        <w:r w:rsidR="00C0770E">
          <w:rPr>
            <w:noProof/>
            <w:webHidden/>
          </w:rPr>
          <w:t>9</w:t>
        </w:r>
      </w:hyperlink>
    </w:p>
    <w:p w14:paraId="7F921919" w14:textId="16ACAAEC" w:rsidR="00A3441A" w:rsidRDefault="00000000" w:rsidP="00A3441A">
      <w:pPr>
        <w:pStyle w:val="TOC2"/>
        <w:rPr>
          <w:rFonts w:asciiTheme="minorHAnsi" w:eastAsiaTheme="minorEastAsia" w:hAnsiTheme="minorHAnsi" w:cstheme="minorBidi"/>
          <w:noProof/>
          <w:sz w:val="22"/>
          <w:lang w:eastAsia="en-AU"/>
        </w:rPr>
      </w:pPr>
      <w:hyperlink w:anchor="_Toc153277255" w:history="1">
        <w:r w:rsidR="00A3441A" w:rsidRPr="008C0099">
          <w:rPr>
            <w:rStyle w:val="Hyperlink"/>
            <w:noProof/>
          </w:rPr>
          <w:t>Public health evaluation</w:t>
        </w:r>
        <w:r w:rsidR="00A3441A">
          <w:rPr>
            <w:noProof/>
            <w:webHidden/>
          </w:rPr>
          <w:tab/>
        </w:r>
        <w:r w:rsidR="007E088B">
          <w:rPr>
            <w:noProof/>
            <w:webHidden/>
          </w:rPr>
          <w:t>10</w:t>
        </w:r>
      </w:hyperlink>
    </w:p>
    <w:p w14:paraId="22D9DBEE" w14:textId="33FA1C45" w:rsidR="00A3441A" w:rsidRDefault="00000000" w:rsidP="00A3441A">
      <w:pPr>
        <w:pStyle w:val="TOC2"/>
        <w:rPr>
          <w:rFonts w:asciiTheme="minorHAnsi" w:eastAsiaTheme="minorEastAsia" w:hAnsiTheme="minorHAnsi" w:cstheme="minorBidi"/>
          <w:noProof/>
          <w:sz w:val="22"/>
          <w:lang w:eastAsia="en-AU"/>
        </w:rPr>
      </w:pPr>
      <w:hyperlink w:anchor="_Toc153277256" w:history="1">
        <w:r w:rsidR="00A3441A" w:rsidRPr="008C0099">
          <w:rPr>
            <w:rStyle w:val="Hyperlink"/>
            <w:noProof/>
          </w:rPr>
          <w:t>Attachments</w:t>
        </w:r>
        <w:r w:rsidR="00A3441A">
          <w:rPr>
            <w:noProof/>
            <w:webHidden/>
          </w:rPr>
          <w:tab/>
        </w:r>
        <w:r w:rsidR="007E088B">
          <w:rPr>
            <w:noProof/>
            <w:webHidden/>
          </w:rPr>
          <w:t>12</w:t>
        </w:r>
      </w:hyperlink>
    </w:p>
    <w:p w14:paraId="1AD6F914" w14:textId="74136D6B" w:rsidR="00A3441A" w:rsidRDefault="00000000">
      <w:pPr>
        <w:pStyle w:val="TOC3"/>
        <w:tabs>
          <w:tab w:val="left" w:pos="880"/>
          <w:tab w:val="right" w:leader="dot" w:pos="9016"/>
        </w:tabs>
        <w:rPr>
          <w:rFonts w:asciiTheme="minorHAnsi" w:eastAsiaTheme="minorEastAsia" w:hAnsiTheme="minorHAnsi" w:cstheme="minorBidi"/>
          <w:noProof/>
          <w:sz w:val="22"/>
          <w:lang w:eastAsia="en-AU"/>
        </w:rPr>
      </w:pPr>
      <w:hyperlink w:anchor="_Toc153277257" w:history="1">
        <w:r w:rsidR="00A3441A" w:rsidRPr="008C0099">
          <w:rPr>
            <w:rStyle w:val="Hyperlink"/>
            <w:noProof/>
          </w:rPr>
          <w:t>1.</w:t>
        </w:r>
        <w:r w:rsidR="00A3441A">
          <w:rPr>
            <w:rFonts w:asciiTheme="minorHAnsi" w:eastAsiaTheme="minorEastAsia" w:hAnsiTheme="minorHAnsi" w:cstheme="minorBidi"/>
            <w:noProof/>
            <w:sz w:val="22"/>
            <w:lang w:eastAsia="en-AU"/>
          </w:rPr>
          <w:tab/>
        </w:r>
        <w:r w:rsidR="00A3441A" w:rsidRPr="008C0099">
          <w:rPr>
            <w:rStyle w:val="Hyperlink"/>
            <w:noProof/>
          </w:rPr>
          <w:t>Qualitative Descriptors of Health Risk Used to Establish Action and Screening Levels – Carcinogen (example)</w:t>
        </w:r>
        <w:r w:rsidR="00A3441A">
          <w:rPr>
            <w:noProof/>
            <w:webHidden/>
          </w:rPr>
          <w:tab/>
        </w:r>
        <w:r w:rsidR="007E088B">
          <w:rPr>
            <w:noProof/>
            <w:webHidden/>
          </w:rPr>
          <w:t>13</w:t>
        </w:r>
      </w:hyperlink>
    </w:p>
    <w:p w14:paraId="441E2FE9" w14:textId="4ACCD792" w:rsidR="00A3441A" w:rsidRDefault="00000000">
      <w:pPr>
        <w:pStyle w:val="TOC3"/>
        <w:tabs>
          <w:tab w:val="left" w:pos="880"/>
          <w:tab w:val="right" w:leader="dot" w:pos="9016"/>
        </w:tabs>
        <w:rPr>
          <w:rFonts w:asciiTheme="minorHAnsi" w:eastAsiaTheme="minorEastAsia" w:hAnsiTheme="minorHAnsi" w:cstheme="minorBidi"/>
          <w:noProof/>
          <w:sz w:val="22"/>
          <w:lang w:eastAsia="en-AU"/>
        </w:rPr>
      </w:pPr>
      <w:hyperlink w:anchor="_Toc153277258" w:history="1">
        <w:r w:rsidR="00A3441A" w:rsidRPr="008C0099">
          <w:rPr>
            <w:rStyle w:val="Hyperlink"/>
            <w:noProof/>
          </w:rPr>
          <w:t>2.</w:t>
        </w:r>
        <w:r w:rsidR="00A3441A">
          <w:rPr>
            <w:rFonts w:asciiTheme="minorHAnsi" w:eastAsiaTheme="minorEastAsia" w:hAnsiTheme="minorHAnsi" w:cstheme="minorBidi"/>
            <w:noProof/>
            <w:sz w:val="22"/>
            <w:lang w:eastAsia="en-AU"/>
          </w:rPr>
          <w:tab/>
        </w:r>
        <w:r w:rsidR="00A3441A" w:rsidRPr="008C0099">
          <w:rPr>
            <w:rStyle w:val="Hyperlink"/>
            <w:noProof/>
          </w:rPr>
          <w:t>Qualitative Descriptors of Health Risk Used to Establish Action and Screening Levels – Non-carcinogen (example)</w:t>
        </w:r>
        <w:r w:rsidR="00A3441A">
          <w:rPr>
            <w:noProof/>
            <w:webHidden/>
          </w:rPr>
          <w:tab/>
        </w:r>
        <w:r w:rsidR="007E088B">
          <w:rPr>
            <w:noProof/>
            <w:webHidden/>
          </w:rPr>
          <w:t>14</w:t>
        </w:r>
      </w:hyperlink>
    </w:p>
    <w:p w14:paraId="5520C799" w14:textId="41BBCB2A" w:rsidR="00A3441A" w:rsidRDefault="00000000">
      <w:pPr>
        <w:pStyle w:val="TOC3"/>
        <w:tabs>
          <w:tab w:val="left" w:pos="880"/>
          <w:tab w:val="right" w:leader="dot" w:pos="9016"/>
        </w:tabs>
        <w:rPr>
          <w:rFonts w:asciiTheme="minorHAnsi" w:eastAsiaTheme="minorEastAsia" w:hAnsiTheme="minorHAnsi" w:cstheme="minorBidi"/>
          <w:noProof/>
          <w:sz w:val="22"/>
          <w:lang w:eastAsia="en-AU"/>
        </w:rPr>
      </w:pPr>
      <w:hyperlink w:anchor="_Toc153277259" w:history="1">
        <w:r w:rsidR="00A3441A" w:rsidRPr="008C0099">
          <w:rPr>
            <w:rStyle w:val="Hyperlink"/>
            <w:noProof/>
          </w:rPr>
          <w:t>3.</w:t>
        </w:r>
        <w:r w:rsidR="00A3441A">
          <w:rPr>
            <w:rFonts w:asciiTheme="minorHAnsi" w:eastAsiaTheme="minorEastAsia" w:hAnsiTheme="minorHAnsi" w:cstheme="minorBidi"/>
            <w:noProof/>
            <w:sz w:val="22"/>
            <w:lang w:eastAsia="en-AU"/>
          </w:rPr>
          <w:tab/>
        </w:r>
        <w:r w:rsidR="00A3441A" w:rsidRPr="008C0099">
          <w:rPr>
            <w:rStyle w:val="Hyperlink"/>
            <w:noProof/>
          </w:rPr>
          <w:t>Indoor Air Levels Action Framework – Carcinogen (example)</w:t>
        </w:r>
        <w:r w:rsidR="00A3441A">
          <w:rPr>
            <w:noProof/>
            <w:webHidden/>
          </w:rPr>
          <w:tab/>
        </w:r>
        <w:r w:rsidR="007E088B">
          <w:rPr>
            <w:noProof/>
            <w:webHidden/>
          </w:rPr>
          <w:t>16</w:t>
        </w:r>
      </w:hyperlink>
    </w:p>
    <w:p w14:paraId="65961D22" w14:textId="34CCC22F" w:rsidR="00A3441A" w:rsidRDefault="00000000">
      <w:pPr>
        <w:pStyle w:val="TOC3"/>
        <w:tabs>
          <w:tab w:val="left" w:pos="880"/>
          <w:tab w:val="right" w:leader="dot" w:pos="9016"/>
        </w:tabs>
        <w:rPr>
          <w:rFonts w:asciiTheme="minorHAnsi" w:eastAsiaTheme="minorEastAsia" w:hAnsiTheme="minorHAnsi" w:cstheme="minorBidi"/>
          <w:noProof/>
          <w:sz w:val="22"/>
          <w:lang w:eastAsia="en-AU"/>
        </w:rPr>
      </w:pPr>
      <w:hyperlink w:anchor="_Toc153277260" w:history="1">
        <w:r w:rsidR="00A3441A" w:rsidRPr="008C0099">
          <w:rPr>
            <w:rStyle w:val="Hyperlink"/>
            <w:noProof/>
          </w:rPr>
          <w:t>4.</w:t>
        </w:r>
        <w:r w:rsidR="00A3441A">
          <w:rPr>
            <w:rFonts w:asciiTheme="minorHAnsi" w:eastAsiaTheme="minorEastAsia" w:hAnsiTheme="minorHAnsi" w:cstheme="minorBidi"/>
            <w:noProof/>
            <w:sz w:val="22"/>
            <w:lang w:eastAsia="en-AU"/>
          </w:rPr>
          <w:tab/>
        </w:r>
        <w:r w:rsidR="00A3441A" w:rsidRPr="008C0099">
          <w:rPr>
            <w:rStyle w:val="Hyperlink"/>
            <w:noProof/>
          </w:rPr>
          <w:t>Indoor Air Levels Action Framework – Non-carcinogen (example)</w:t>
        </w:r>
        <w:r w:rsidR="00A3441A">
          <w:rPr>
            <w:noProof/>
            <w:webHidden/>
          </w:rPr>
          <w:tab/>
        </w:r>
        <w:r w:rsidR="007E088B">
          <w:rPr>
            <w:noProof/>
            <w:webHidden/>
          </w:rPr>
          <w:t>17</w:t>
        </w:r>
      </w:hyperlink>
    </w:p>
    <w:p w14:paraId="4AE8986A" w14:textId="2C36AF0E" w:rsidR="00A3441A" w:rsidRDefault="00000000">
      <w:pPr>
        <w:pStyle w:val="TOC3"/>
        <w:tabs>
          <w:tab w:val="left" w:pos="880"/>
          <w:tab w:val="right" w:leader="dot" w:pos="9016"/>
        </w:tabs>
        <w:rPr>
          <w:rFonts w:asciiTheme="minorHAnsi" w:eastAsiaTheme="minorEastAsia" w:hAnsiTheme="minorHAnsi" w:cstheme="minorBidi"/>
          <w:noProof/>
          <w:sz w:val="22"/>
          <w:lang w:eastAsia="en-AU"/>
        </w:rPr>
      </w:pPr>
      <w:hyperlink w:anchor="_Toc153277261" w:history="1">
        <w:r w:rsidR="00A3441A" w:rsidRPr="008C0099">
          <w:rPr>
            <w:rStyle w:val="Hyperlink"/>
            <w:noProof/>
          </w:rPr>
          <w:t>5.</w:t>
        </w:r>
        <w:r w:rsidR="00A3441A">
          <w:rPr>
            <w:rFonts w:asciiTheme="minorHAnsi" w:eastAsiaTheme="minorEastAsia" w:hAnsiTheme="minorHAnsi" w:cstheme="minorBidi"/>
            <w:noProof/>
            <w:sz w:val="22"/>
            <w:lang w:eastAsia="en-AU"/>
          </w:rPr>
          <w:tab/>
        </w:r>
        <w:r w:rsidR="00A3441A" w:rsidRPr="008C0099">
          <w:rPr>
            <w:rStyle w:val="Hyperlink"/>
            <w:noProof/>
          </w:rPr>
          <w:t>Calculating Indicative Groundwater and Soil Gas Levels using generic attenuation factors for a given toxicity reference value (example)</w:t>
        </w:r>
        <w:r w:rsidR="00A3441A">
          <w:rPr>
            <w:noProof/>
            <w:webHidden/>
          </w:rPr>
          <w:tab/>
        </w:r>
        <w:r w:rsidR="007E088B">
          <w:rPr>
            <w:noProof/>
            <w:webHidden/>
          </w:rPr>
          <w:t>18</w:t>
        </w:r>
      </w:hyperlink>
    </w:p>
    <w:p w14:paraId="582BE609" w14:textId="5AA4B2CF" w:rsidR="00A3441A" w:rsidRDefault="00000000">
      <w:pPr>
        <w:pStyle w:val="TOC3"/>
        <w:tabs>
          <w:tab w:val="right" w:leader="dot" w:pos="9016"/>
        </w:tabs>
        <w:rPr>
          <w:rFonts w:asciiTheme="minorHAnsi" w:eastAsiaTheme="minorEastAsia" w:hAnsiTheme="minorHAnsi" w:cstheme="minorBidi"/>
          <w:noProof/>
          <w:sz w:val="22"/>
          <w:lang w:eastAsia="en-AU"/>
        </w:rPr>
      </w:pPr>
      <w:hyperlink w:anchor="_Toc153277262" w:history="1">
        <w:r w:rsidR="00A3441A" w:rsidRPr="008C0099">
          <w:rPr>
            <w:rStyle w:val="Hyperlink"/>
            <w:noProof/>
          </w:rPr>
          <w:t>References</w:t>
        </w:r>
        <w:r w:rsidR="00A3441A">
          <w:rPr>
            <w:noProof/>
            <w:webHidden/>
          </w:rPr>
          <w:tab/>
        </w:r>
        <w:r w:rsidR="007E088B">
          <w:rPr>
            <w:noProof/>
            <w:webHidden/>
          </w:rPr>
          <w:t>20</w:t>
        </w:r>
      </w:hyperlink>
    </w:p>
    <w:p w14:paraId="41C8F396" w14:textId="77777777" w:rsidR="00357D6B" w:rsidRDefault="00357D6B">
      <w:pPr>
        <w:rPr>
          <w:b/>
          <w:bCs/>
          <w:noProof/>
        </w:rPr>
      </w:pPr>
      <w:r>
        <w:rPr>
          <w:b/>
          <w:bCs/>
          <w:noProof/>
        </w:rPr>
        <w:fldChar w:fldCharType="end"/>
      </w:r>
    </w:p>
    <w:p w14:paraId="46F7A1A7" w14:textId="61E73279" w:rsidR="00192ECA" w:rsidRDefault="00357D6B" w:rsidP="007B2597">
      <w:pPr>
        <w:pStyle w:val="Heading2"/>
        <w:rPr>
          <w:b w:val="0"/>
          <w:bCs w:val="0"/>
          <w:noProof/>
        </w:rPr>
      </w:pPr>
      <w:r>
        <w:rPr>
          <w:b w:val="0"/>
          <w:bCs w:val="0"/>
          <w:noProof/>
        </w:rPr>
        <w:br w:type="page"/>
      </w:r>
    </w:p>
    <w:p w14:paraId="3A8BA2FF" w14:textId="31532E53" w:rsidR="009A2FA9" w:rsidRDefault="009A2FA9" w:rsidP="009A2FA9">
      <w:pPr>
        <w:pStyle w:val="Heading2"/>
      </w:pPr>
      <w:bookmarkStart w:id="2" w:name="_Toc153277243"/>
      <w:r>
        <w:lastRenderedPageBreak/>
        <w:t>Executive Summary</w:t>
      </w:r>
      <w:bookmarkEnd w:id="2"/>
    </w:p>
    <w:p w14:paraId="19F8F3C5" w14:textId="77777777" w:rsidR="009A2FA9" w:rsidRDefault="009A2FA9" w:rsidP="009A2FA9">
      <w:r>
        <w:t xml:space="preserve">Vapour intrusion is the migration of volatile chemical vapours and gases from sub-surface sources through soils and into the indoor air spaces of overlying or nearby buildings.  These vapours and gases may pose acute hazards in terms of fire and explosion while also presenting potential health risks to occupants of affected buildings, both on the basis of short-term and long-term exposure. </w:t>
      </w:r>
    </w:p>
    <w:p w14:paraId="7EAC8BF4" w14:textId="77777777" w:rsidR="009A2FA9" w:rsidRDefault="009A2FA9" w:rsidP="009A2FA9">
      <w:r>
        <w:t xml:space="preserve">The Assessment of Site Contamination National Environment Protection Measure 1999 Variation 2013 (NEPM 1999) has limited information with respect to the public health risk assessment and management of vapour intrusion.  There are significant gaps in current Australian technical guidance on public health assessment and management of exposures arising from volatile chlorinated hydrocarbon vapour intrusion across residential areas. </w:t>
      </w:r>
    </w:p>
    <w:p w14:paraId="3C82031B" w14:textId="77777777" w:rsidR="009A2FA9" w:rsidRPr="009A2FA9" w:rsidRDefault="009A2FA9" w:rsidP="009A2FA9">
      <w:r w:rsidRPr="009A2FA9">
        <w:t xml:space="preserve">From time-to-time environment regulators have engaged with health departments particularly when pronounced vapour intrusion events have been investigated to occur in residential areas. This guidance provides options for the assessment and management of vapour intrusion as it applies to communities impacted by contaminated groundwater, </w:t>
      </w:r>
      <w:proofErr w:type="gramStart"/>
      <w:r w:rsidRPr="009A2FA9">
        <w:t>soil</w:t>
      </w:r>
      <w:proofErr w:type="gramEnd"/>
      <w:r w:rsidRPr="009A2FA9">
        <w:t xml:space="preserve"> and soil vapour.  The guidance should be read in conjunction with the “Environmental Health Risk Assessment: Guidelines for assessing risk from environmental hazards” (enHealth, 2012) while noting jurisdiction specific requirements or practices for the assessment of vulnerable populations.  </w:t>
      </w:r>
    </w:p>
    <w:p w14:paraId="62BDF933" w14:textId="77777777" w:rsidR="009A2FA9" w:rsidRPr="009A2FA9" w:rsidRDefault="009A2FA9" w:rsidP="009A2FA9">
      <w:r w:rsidRPr="009A2FA9">
        <w:t>The development of jurisdiction-specific indoor air action frameworks based on the templates present in Attachments 3 and 4 should be made in consultation with an expert toxicologist and jurisdictional decision-makers that have an in-depth knowledge of the risk tolerance of the jurisdiction to involuntary exposures from environmental contaminants.</w:t>
      </w:r>
    </w:p>
    <w:p w14:paraId="2D0E03ED" w14:textId="585D9394" w:rsidR="009A2FA9" w:rsidRDefault="009A2FA9" w:rsidP="009A2FA9">
      <w:pPr>
        <w:pStyle w:val="Heading2"/>
      </w:pPr>
      <w:bookmarkStart w:id="3" w:name="_Toc153277244"/>
      <w:r>
        <w:t>Audience</w:t>
      </w:r>
      <w:bookmarkEnd w:id="3"/>
    </w:p>
    <w:p w14:paraId="0DB9723E" w14:textId="77777777" w:rsidR="009A2FA9" w:rsidRPr="009A2FA9" w:rsidRDefault="009A2FA9" w:rsidP="009A2FA9">
      <w:r w:rsidRPr="009A2FA9">
        <w:t>This guidance targets three main audiences and it aims to achieve the following objectives for each of these audiences:</w:t>
      </w:r>
    </w:p>
    <w:p w14:paraId="1E607184" w14:textId="77777777" w:rsidR="009A2FA9" w:rsidRPr="009A2FA9" w:rsidRDefault="009A2FA9" w:rsidP="00270C52">
      <w:pPr>
        <w:pStyle w:val="ListParagraph"/>
        <w:numPr>
          <w:ilvl w:val="0"/>
          <w:numId w:val="31"/>
        </w:numPr>
      </w:pPr>
      <w:r w:rsidRPr="009A2FA9">
        <w:t>Risk assessment practitioners – Providing clear guidance for risk assessors, environmental health practitioners and toxicologists to assess and manage vapour intrusion as it applies to communities impacted by vapour intrusion.</w:t>
      </w:r>
    </w:p>
    <w:p w14:paraId="74EFA93F" w14:textId="77777777" w:rsidR="009A2FA9" w:rsidRPr="009A2FA9" w:rsidRDefault="009A2FA9" w:rsidP="00270C52">
      <w:pPr>
        <w:pStyle w:val="ListParagraph"/>
        <w:numPr>
          <w:ilvl w:val="0"/>
          <w:numId w:val="31"/>
        </w:numPr>
      </w:pPr>
      <w:r w:rsidRPr="009A2FA9">
        <w:t>The community – Allowing communities impacted by vapour intrusion to understand the decision-making processes and the timeframe to deliver outcomes (for example, aiming to achieve a uniform health objective for all) as it applies to mitigation and or remediation.</w:t>
      </w:r>
    </w:p>
    <w:p w14:paraId="293CBCFD" w14:textId="3D61BA95" w:rsidR="009A2FA9" w:rsidRDefault="009A2FA9" w:rsidP="00270C52">
      <w:pPr>
        <w:pStyle w:val="ListParagraph"/>
        <w:numPr>
          <w:ilvl w:val="0"/>
          <w:numId w:val="31"/>
        </w:numPr>
      </w:pPr>
      <w:r w:rsidRPr="009A2FA9">
        <w:t xml:space="preserve">Decision-makers and staff of the jurisdiction – Establishing a clear framework through which the jurisdiction can assess, </w:t>
      </w:r>
      <w:proofErr w:type="gramStart"/>
      <w:r w:rsidRPr="009A2FA9">
        <w:t>manage</w:t>
      </w:r>
      <w:proofErr w:type="gramEnd"/>
      <w:r w:rsidRPr="009A2FA9">
        <w:t xml:space="preserve"> and articulate risk posed by the vapour intrusion pathway to impacted communities.</w:t>
      </w:r>
    </w:p>
    <w:p w14:paraId="4665E2A3" w14:textId="62EE6526" w:rsidR="009A2FA9" w:rsidRPr="009A2FA9" w:rsidRDefault="009A2FA9" w:rsidP="00784E5C">
      <w:pPr>
        <w:spacing w:after="0" w:line="240" w:lineRule="auto"/>
      </w:pPr>
      <w:r>
        <w:br w:type="page"/>
      </w:r>
    </w:p>
    <w:p w14:paraId="1A2B0D5B" w14:textId="2B1A684C" w:rsidR="009A2FA9" w:rsidRDefault="009A2FA9" w:rsidP="009A2FA9">
      <w:pPr>
        <w:pStyle w:val="Heading2"/>
      </w:pPr>
      <w:bookmarkStart w:id="4" w:name="_Toc153277245"/>
      <w:r>
        <w:lastRenderedPageBreak/>
        <w:t>Acknowledgements</w:t>
      </w:r>
      <w:bookmarkEnd w:id="4"/>
    </w:p>
    <w:p w14:paraId="00AC0E91" w14:textId="77777777" w:rsidR="009A2FA9" w:rsidRDefault="009A2FA9" w:rsidP="009A2FA9">
      <w:r>
        <w:t xml:space="preserve">This guidance was prepared by Dr Ian Delaere and Dr Chris Lease, South Australia Department of </w:t>
      </w:r>
      <w:proofErr w:type="gramStart"/>
      <w:r>
        <w:t>Health</w:t>
      </w:r>
      <w:proofErr w:type="gramEnd"/>
      <w:r>
        <w:t xml:space="preserve"> and Wellbeing for the Environmental Health Standing Committee (enHealth), a standing committee of the Australian Health Protection Principal Committee (AHPPC).  </w:t>
      </w:r>
    </w:p>
    <w:p w14:paraId="63B76E1F" w14:textId="77777777" w:rsidR="009A2FA9" w:rsidRDefault="009A2FA9" w:rsidP="009A2FA9">
      <w:r>
        <w:t>The review and contributions from the enHealth Expert Reference Panel on Environmental Health members from each jurisdiction are acknowledged.</w:t>
      </w:r>
    </w:p>
    <w:p w14:paraId="0F0883DE" w14:textId="7E9CEC79" w:rsidR="009A2FA9" w:rsidRDefault="009A2FA9" w:rsidP="009A2FA9">
      <w:pPr>
        <w:pStyle w:val="Heading2"/>
      </w:pPr>
      <w:bookmarkStart w:id="5" w:name="_Toc153277246"/>
      <w:r>
        <w:t>Suggested Citation</w:t>
      </w:r>
      <w:bookmarkEnd w:id="5"/>
    </w:p>
    <w:p w14:paraId="54B78A1A" w14:textId="77777777" w:rsidR="009A2FA9" w:rsidRDefault="009A2FA9" w:rsidP="009A2FA9">
      <w:r>
        <w:t xml:space="preserve">enHealth (2023). </w:t>
      </w:r>
      <w:r w:rsidRPr="004D7E07">
        <w:rPr>
          <w:i/>
          <w:iCs/>
        </w:rPr>
        <w:t>Guidance for the human health risk assessment of volatile chlorinated hydrocarbon vapour intrusion</w:t>
      </w:r>
      <w:r>
        <w:t>. Canberra. Australian Government Department of Health and Aged Care.</w:t>
      </w:r>
    </w:p>
    <w:p w14:paraId="48BCFFF4" w14:textId="2EE7E5AE" w:rsidR="0021078B" w:rsidRPr="00E03672" w:rsidRDefault="009A2FA9" w:rsidP="00A22402">
      <w:pPr>
        <w:spacing w:after="0" w:line="240" w:lineRule="auto"/>
        <w:rPr>
          <w:noProof/>
        </w:rPr>
      </w:pPr>
      <w:r>
        <w:rPr>
          <w:noProof/>
        </w:rPr>
        <w:br w:type="page"/>
      </w:r>
    </w:p>
    <w:p w14:paraId="3E7A9F1C" w14:textId="1E4C226C" w:rsidR="00316A98" w:rsidRDefault="009F653D" w:rsidP="007B2597">
      <w:pPr>
        <w:pStyle w:val="Heading2"/>
      </w:pPr>
      <w:bookmarkStart w:id="6" w:name="_Toc153277247"/>
      <w:r>
        <w:lastRenderedPageBreak/>
        <w:t>Introduction</w:t>
      </w:r>
      <w:bookmarkEnd w:id="6"/>
    </w:p>
    <w:p w14:paraId="6F6570CB" w14:textId="4C3E8E06" w:rsidR="009F653D" w:rsidRDefault="009F653D" w:rsidP="009F653D">
      <w:r>
        <w:t>Vapour intrusion is the migration of volatile</w:t>
      </w:r>
      <w:r w:rsidR="00465E71">
        <w:t xml:space="preserve"> </w:t>
      </w:r>
      <w:r>
        <w:t>chemical vapours and gases from sub-surface sources through soils and into the indoor air spaces of overlying or nearby buildings.  These vapours and gases may pose acute hazards in terms of fire and explosion</w:t>
      </w:r>
      <w:r w:rsidR="00E34323">
        <w:t xml:space="preserve"> </w:t>
      </w:r>
      <w:r>
        <w:t xml:space="preserve">while also presenting potential health </w:t>
      </w:r>
      <w:r w:rsidR="00E34323">
        <w:t xml:space="preserve">risks </w:t>
      </w:r>
      <w:r>
        <w:t xml:space="preserve">to occupants of affected buildings, both on the basis of short-term and long-term exposure. </w:t>
      </w:r>
    </w:p>
    <w:p w14:paraId="3BCCBF3A" w14:textId="77777777" w:rsidR="009F653D" w:rsidRDefault="009F653D" w:rsidP="009F653D">
      <w:r>
        <w:t xml:space="preserve">The Assessment of Site Contamination National Environment Protection Measure 1999 Variation 2013 </w:t>
      </w:r>
      <w:r w:rsidR="004F7742">
        <w:t>(NEPM 1999</w:t>
      </w:r>
      <w:r w:rsidR="00933DD7">
        <w:t xml:space="preserve">) </w:t>
      </w:r>
      <w:r w:rsidR="00E34323">
        <w:t>has limited</w:t>
      </w:r>
      <w:r>
        <w:t xml:space="preserve"> </w:t>
      </w:r>
      <w:r w:rsidR="00E34323">
        <w:t xml:space="preserve">information </w:t>
      </w:r>
      <w:r>
        <w:t xml:space="preserve">with respect to the </w:t>
      </w:r>
      <w:r w:rsidR="00E34323">
        <w:t xml:space="preserve">public health risk </w:t>
      </w:r>
      <w:r>
        <w:t xml:space="preserve">assessment and management of vapour intrusion.  </w:t>
      </w:r>
      <w:r w:rsidR="00E34323">
        <w:t>More broadly, t</w:t>
      </w:r>
      <w:r>
        <w:t xml:space="preserve">here are significant gaps in </w:t>
      </w:r>
      <w:r w:rsidR="00E34323">
        <w:t xml:space="preserve">current </w:t>
      </w:r>
      <w:r>
        <w:t xml:space="preserve">Australian </w:t>
      </w:r>
      <w:r w:rsidR="00E34323">
        <w:t xml:space="preserve">technical guidance on </w:t>
      </w:r>
      <w:r>
        <w:t xml:space="preserve">public health assessment and management of exposures arising from hazardous ground gases (associated with landfills and waste dumps) and volatile chlorinated hydrocarbons (associated with groundwater and soil contamination) across residential areas. </w:t>
      </w:r>
    </w:p>
    <w:p w14:paraId="2FB09960" w14:textId="77471BB1" w:rsidR="00A02519" w:rsidRDefault="00A02519" w:rsidP="009F653D">
      <w:r w:rsidRPr="00A02519">
        <w:t>This document</w:t>
      </w:r>
      <w:r w:rsidR="00210AC9">
        <w:t xml:space="preserve"> “Guidance for the </w:t>
      </w:r>
      <w:r w:rsidR="00B71FE4">
        <w:t>human</w:t>
      </w:r>
      <w:r w:rsidR="00210AC9">
        <w:t xml:space="preserve"> health risk assessment of volatile chlorinated hydrocarbon vapour intrusion”</w:t>
      </w:r>
      <w:r w:rsidRPr="00A02519">
        <w:t xml:space="preserve"> provides a </w:t>
      </w:r>
      <w:r w:rsidR="00E03672" w:rsidRPr="00A02519">
        <w:t>high-level</w:t>
      </w:r>
      <w:r w:rsidRPr="00A02519">
        <w:t xml:space="preserve"> summary of key considerations in conducting a </w:t>
      </w:r>
      <w:r w:rsidR="00B71FE4">
        <w:t>human</w:t>
      </w:r>
      <w:r w:rsidRPr="00A02519">
        <w:t xml:space="preserve"> health risk assessment of vapour intrusion</w:t>
      </w:r>
      <w:r w:rsidR="0023162D">
        <w:t xml:space="preserve"> and co-aligns with the learnings outlined on how Agency for Toxic Substances and Disease Registry (ATSDR) health assessors evaluate public health implications of vapour intrusion described in “</w:t>
      </w:r>
      <w:r w:rsidR="0023162D" w:rsidRPr="0039715A">
        <w:rPr>
          <w:i/>
        </w:rPr>
        <w:t>Evaluating Vapor Intrusion Pathways – Guidance for ATSDR’s Division of Community Health Investigations October 31, 2016.”</w:t>
      </w:r>
      <w:r w:rsidR="0023162D">
        <w:t xml:space="preserve"> (ATSDR 2016).</w:t>
      </w:r>
      <w:r w:rsidR="00647140">
        <w:t xml:space="preserve"> </w:t>
      </w:r>
    </w:p>
    <w:p w14:paraId="0E27B00A" w14:textId="6E1FA8C3" w:rsidR="003A21A6" w:rsidRPr="001870FF" w:rsidRDefault="3DC9C81D" w:rsidP="009F653D">
      <w:r>
        <w:t xml:space="preserve">It is important to remember that the assessment of vapour intrusion is a rapidly changing field and users of this Guidance should stay </w:t>
      </w:r>
      <w:proofErr w:type="gramStart"/>
      <w:r>
        <w:t>up-to-date</w:t>
      </w:r>
      <w:proofErr w:type="gramEnd"/>
      <w:r>
        <w:t xml:space="preserve"> with any guidance developments in this area.</w:t>
      </w:r>
    </w:p>
    <w:p w14:paraId="60061E4C" w14:textId="2784BEC8" w:rsidR="003A21A6" w:rsidRDefault="00BB237C" w:rsidP="00270C52">
      <w:pPr>
        <w:pStyle w:val="Heading2"/>
      </w:pPr>
      <w:bookmarkStart w:id="7" w:name="_Toc153277248"/>
      <w:r>
        <w:t xml:space="preserve">Why it is so difficult to assess </w:t>
      </w:r>
      <w:r w:rsidR="00BB1157">
        <w:t xml:space="preserve">the </w:t>
      </w:r>
      <w:r>
        <w:t xml:space="preserve">vapour intrusion </w:t>
      </w:r>
      <w:r w:rsidR="00BB1157">
        <w:t>pathway</w:t>
      </w:r>
      <w:r>
        <w:t>?</w:t>
      </w:r>
      <w:bookmarkEnd w:id="7"/>
    </w:p>
    <w:p w14:paraId="7959F243" w14:textId="47CB516F" w:rsidR="00F8750B" w:rsidRDefault="00F8750B" w:rsidP="00BB237C">
      <w:r w:rsidRPr="00F8750B">
        <w:t xml:space="preserve">In Australia, environment regulators, who have </w:t>
      </w:r>
      <w:r>
        <w:t xml:space="preserve">legislated </w:t>
      </w:r>
      <w:r w:rsidRPr="00F8750B">
        <w:t xml:space="preserve">carriage for the management of environmental contamination, have preferred to investigate </w:t>
      </w:r>
      <w:r w:rsidR="0083747A">
        <w:t xml:space="preserve">health-based </w:t>
      </w:r>
      <w:r w:rsidR="64EC1440">
        <w:t>is</w:t>
      </w:r>
      <w:r w:rsidR="0083747A">
        <w:t xml:space="preserve">sues associated with </w:t>
      </w:r>
      <w:r w:rsidRPr="00F8750B">
        <w:t>vapour intrusion using environmental characterisation tools</w:t>
      </w:r>
      <w:r w:rsidR="007D7594">
        <w:t>, such as the use of predictive models to extrapolate indoor air concentrations from groundwater and soil vapour measurements external to the dwelling</w:t>
      </w:r>
      <w:r w:rsidRPr="00F8750B">
        <w:t xml:space="preserve">.  </w:t>
      </w:r>
      <w:bookmarkStart w:id="8" w:name="_Hlk133409270"/>
      <w:r w:rsidRPr="00F8750B">
        <w:t>From time</w:t>
      </w:r>
      <w:r w:rsidR="01063D52">
        <w:t>-</w:t>
      </w:r>
      <w:r w:rsidRPr="00F8750B">
        <w:t>to</w:t>
      </w:r>
      <w:r w:rsidR="01063D52">
        <w:t>-</w:t>
      </w:r>
      <w:r w:rsidRPr="00F8750B">
        <w:t>time environment regulators have engaged with health departments particularly when pronounced vapour intrusion events have been investigated to occur in residential areas.</w:t>
      </w:r>
      <w:bookmarkEnd w:id="8"/>
      <w:r w:rsidRPr="00F8750B">
        <w:t xml:space="preserve">   </w:t>
      </w:r>
    </w:p>
    <w:p w14:paraId="014FD083" w14:textId="3514ADBD" w:rsidR="00BB237C" w:rsidRDefault="00BB237C" w:rsidP="00BB237C">
      <w:r>
        <w:t xml:space="preserve">Vapour intrusion is a complex problem </w:t>
      </w:r>
      <w:r w:rsidR="18AB511A">
        <w:t xml:space="preserve">to assess, </w:t>
      </w:r>
      <w:r>
        <w:t>with multiple variables</w:t>
      </w:r>
      <w:r w:rsidR="5087817F">
        <w:t xml:space="preserve"> for consideration</w:t>
      </w:r>
      <w:r w:rsidR="0083747A">
        <w:t xml:space="preserve">.  </w:t>
      </w:r>
      <w:r w:rsidR="007D7594">
        <w:t xml:space="preserve">Human </w:t>
      </w:r>
      <w:r w:rsidR="007A3132">
        <w:t>health vapour intrusion i</w:t>
      </w:r>
      <w:r w:rsidR="0083747A">
        <w:t>nvestigations</w:t>
      </w:r>
      <w:r w:rsidR="007A3132">
        <w:t xml:space="preserve"> and assessments are often constrained by limited access to relevant measurement data. </w:t>
      </w:r>
      <w:r>
        <w:t>Determining the health hazards from indoor air contamination in homes and commercial buildings is often difficult because of the dynamic nature of</w:t>
      </w:r>
      <w:r w:rsidR="003A21A6">
        <w:t xml:space="preserve"> the contamination, the environmental influences upon it and how affected buildings are used.  This variability requires an</w:t>
      </w:r>
      <w:r>
        <w:t xml:space="preserve"> estimate</w:t>
      </w:r>
      <w:r w:rsidR="004D562E">
        <w:t xml:space="preserve"> of</w:t>
      </w:r>
      <w:r>
        <w:t xml:space="preserve"> how much of the contaminant people are inhaling over time</w:t>
      </w:r>
      <w:r w:rsidR="003A21A6">
        <w:t>, rather than a definitive determination of exposure</w:t>
      </w:r>
      <w:r w:rsidR="001870FF">
        <w:t xml:space="preserve"> (ATSDR 2016). </w:t>
      </w:r>
      <w:r w:rsidR="00BB1157">
        <w:t xml:space="preserve">Communication of risk posed by exposure to </w:t>
      </w:r>
      <w:r w:rsidR="007A3132">
        <w:t xml:space="preserve">a </w:t>
      </w:r>
      <w:r w:rsidR="00BB1157">
        <w:t xml:space="preserve">hazard through the vapour intrusion pathway becomes increasing challenging </w:t>
      </w:r>
      <w:r w:rsidR="00096176">
        <w:t xml:space="preserve">and uncertain </w:t>
      </w:r>
      <w:r w:rsidR="00BB1157">
        <w:t xml:space="preserve">with </w:t>
      </w:r>
      <w:r w:rsidR="00096176">
        <w:t xml:space="preserve">extended </w:t>
      </w:r>
      <w:r w:rsidR="00BB1157">
        <w:t>duration of exposure</w:t>
      </w:r>
      <w:r w:rsidR="003A21A6">
        <w:t xml:space="preserve"> (</w:t>
      </w:r>
      <w:proofErr w:type="gramStart"/>
      <w:r w:rsidR="003A21A6">
        <w:t>e.g.</w:t>
      </w:r>
      <w:proofErr w:type="gramEnd"/>
      <w:r w:rsidR="003A21A6">
        <w:t xml:space="preserve"> over years)</w:t>
      </w:r>
      <w:r w:rsidR="00BB1157">
        <w:t xml:space="preserve">. </w:t>
      </w:r>
    </w:p>
    <w:p w14:paraId="10F9BC9B" w14:textId="3F972510" w:rsidR="007D7594" w:rsidRDefault="003A21A6" w:rsidP="006A71A4">
      <w:r>
        <w:t>Indoor contaminant concentrations from vapour intrusions depend on site-specific and building specific factors such as soil type and moisture beneath and near the building construction, number and spacing of cracks and holes in the foundations, time of year, wind direction, barometric pressure, and the effect of heating and air conditioning systems on increasing or decreasing air flow from the</w:t>
      </w:r>
      <w:r w:rsidR="00C205BC">
        <w:t xml:space="preserve"> </w:t>
      </w:r>
      <w:r>
        <w:t>subsurface (ATSDR 2016)</w:t>
      </w:r>
      <w:r w:rsidR="007D7594">
        <w:t xml:space="preserve"> (Figure 1 – Simplified schematic of vapour intrusion)</w:t>
      </w:r>
      <w:r>
        <w:t xml:space="preserve">.  The presence of improperly sealed service entry points such as gas, electricity and sewage can act as preferential pathways and potentiate significantly elevated indoor air contaminant concentrations (Delaere et al 2012). Changes to existing heating, ventilation and air conditioning systems and building characteristics can significantly alter indoor contaminant concentrations.  For buildings near surface </w:t>
      </w:r>
      <w:r>
        <w:lastRenderedPageBreak/>
        <w:t xml:space="preserve">water, rising water levels can affect vapour migration to indoor air.  Only indoor air sampling incorporates </w:t>
      </w:r>
      <w:r w:rsidR="007D7594">
        <w:t>all</w:t>
      </w:r>
      <w:r>
        <w:t xml:space="preserve"> the factors influencing vapour intrusion in a given building at any specific </w:t>
      </w:r>
      <w:r w:rsidR="007D7594">
        <w:t xml:space="preserve">time. </w:t>
      </w:r>
    </w:p>
    <w:p w14:paraId="00793A2D" w14:textId="282E3D7D" w:rsidR="006A71A4" w:rsidRDefault="003A21A6" w:rsidP="006A71A4">
      <w:r>
        <w:t>However, it should be recognised that indoor air s</w:t>
      </w:r>
      <w:r w:rsidR="00BB237C">
        <w:t xml:space="preserve">ample collection within buildings can be </w:t>
      </w:r>
      <w:r>
        <w:t xml:space="preserve">highly </w:t>
      </w:r>
      <w:r w:rsidR="00BB237C">
        <w:t>intrusive</w:t>
      </w:r>
      <w:r>
        <w:t xml:space="preserve"> and property owners can be reluctant to allow it to occur</w:t>
      </w:r>
      <w:r w:rsidR="00BB237C">
        <w:t xml:space="preserve">.  </w:t>
      </w:r>
      <w:r w:rsidR="006A71A4">
        <w:t>Health assessors should be sensitive to the disruption and inconvenience vapour intrusion investigations can pose on building occupants and should strive to minimize the stress on occupants and others caused by evaluating and addressing vapour intrusion concerns (ATSDR 2016).</w:t>
      </w:r>
    </w:p>
    <w:p w14:paraId="30469BB1" w14:textId="1B861ABF" w:rsidR="003A21A6" w:rsidRDefault="2A874A84" w:rsidP="00BB237C">
      <w:r>
        <w:t xml:space="preserve">Indoor air sampling is preferable to identify </w:t>
      </w:r>
      <w:r w:rsidR="1812A8C1">
        <w:t>vapour intrusion and possible migration pathways.</w:t>
      </w:r>
      <w:r w:rsidR="00A87F23">
        <w:t xml:space="preserve"> In the event indoor air sampling cannot be conducted, alternative measures (such as modelling based on environmental sampling) may be required, with all the accompanying assumptions and </w:t>
      </w:r>
      <w:proofErr w:type="gramStart"/>
      <w:r w:rsidR="00A87F23">
        <w:t>limitations</w:t>
      </w:r>
      <w:proofErr w:type="gramEnd"/>
      <w:r w:rsidR="1812A8C1">
        <w:t xml:space="preserve"> </w:t>
      </w:r>
    </w:p>
    <w:p w14:paraId="4B88FA76" w14:textId="0739BB19" w:rsidR="006A71A4" w:rsidRDefault="006A71A4" w:rsidP="00BB237C">
      <w:r>
        <w:t xml:space="preserve">In summary, definitive information is rarely available to </w:t>
      </w:r>
      <w:proofErr w:type="gramStart"/>
      <w:r>
        <w:t>make a determination</w:t>
      </w:r>
      <w:proofErr w:type="gramEnd"/>
      <w:r>
        <w:t xml:space="preserve"> of health risk</w:t>
      </w:r>
      <w:r w:rsidR="00F8750B">
        <w:t xml:space="preserve"> and any necessary action to address that risk</w:t>
      </w:r>
      <w:r>
        <w:t xml:space="preserve"> mean</w:t>
      </w:r>
      <w:r w:rsidR="007A3132">
        <w:t>s that</w:t>
      </w:r>
      <w:r>
        <w:t xml:space="preserve"> judgement must be exercised</w:t>
      </w:r>
      <w:r w:rsidR="00F8750B">
        <w:t>.  This judgement is not only</w:t>
      </w:r>
      <w:r>
        <w:t xml:space="preserve"> based on what vapour intrusion information is available</w:t>
      </w:r>
      <w:r w:rsidR="00F8750B">
        <w:t>, but</w:t>
      </w:r>
      <w:r>
        <w:t xml:space="preserve"> broader considerations such as the circumstances of the individuals impacted. </w:t>
      </w:r>
    </w:p>
    <w:p w14:paraId="4CCB545F" w14:textId="21EC6272" w:rsidR="00B2341F" w:rsidRDefault="00B2341F" w:rsidP="00BB237C"/>
    <w:p w14:paraId="0489806A" w14:textId="39E7691D" w:rsidR="00B2341F" w:rsidRDefault="00B2341F" w:rsidP="00BB237C"/>
    <w:p w14:paraId="7DB845EA" w14:textId="64E1D2F1" w:rsidR="009A2FA9" w:rsidRDefault="009A2FA9">
      <w:pPr>
        <w:spacing w:after="0" w:line="240" w:lineRule="auto"/>
      </w:pPr>
      <w:r>
        <w:br w:type="page"/>
      </w:r>
    </w:p>
    <w:p w14:paraId="466665A8" w14:textId="77777777" w:rsidR="00B2341F" w:rsidRDefault="00B2341F" w:rsidP="00BB237C"/>
    <w:p w14:paraId="2FE11E7A" w14:textId="5F2FEB49" w:rsidR="00B2341F" w:rsidRDefault="00B2341F" w:rsidP="00B2341F">
      <w:pPr>
        <w:pStyle w:val="Heading2"/>
      </w:pPr>
      <w:bookmarkStart w:id="9" w:name="_Toc153277249"/>
      <w:r>
        <w:t>Figure 1. Simplified schematic of vapour intrusion (ATSDR, 2016).</w:t>
      </w:r>
      <w:bookmarkEnd w:id="9"/>
    </w:p>
    <w:p w14:paraId="06CDC773" w14:textId="55A154F2" w:rsidR="00B2341F" w:rsidRDefault="00B2341F" w:rsidP="00BB237C"/>
    <w:p w14:paraId="29449AC9" w14:textId="1D04E2D1" w:rsidR="00B2341F" w:rsidRDefault="00B2341F" w:rsidP="00B2341F">
      <w:pPr>
        <w:jc w:val="center"/>
      </w:pPr>
      <w:r>
        <w:rPr>
          <w:noProof/>
        </w:rPr>
        <w:drawing>
          <wp:inline distT="0" distB="0" distL="0" distR="0" wp14:anchorId="1CEF0657" wp14:editId="18D2EDC8">
            <wp:extent cx="4057650" cy="5210175"/>
            <wp:effectExtent l="0" t="0" r="0"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4057650" cy="5210175"/>
                    </a:xfrm>
                    <a:prstGeom prst="rect">
                      <a:avLst/>
                    </a:prstGeom>
                  </pic:spPr>
                </pic:pic>
              </a:graphicData>
            </a:graphic>
          </wp:inline>
        </w:drawing>
      </w:r>
    </w:p>
    <w:p w14:paraId="5F7E37AD" w14:textId="77777777" w:rsidR="00B2341F" w:rsidRDefault="00B2341F" w:rsidP="00BB237C"/>
    <w:p w14:paraId="16BC4944" w14:textId="3BA16DD7" w:rsidR="007D7594" w:rsidRPr="00270C52" w:rsidRDefault="003A21A6" w:rsidP="00270C52">
      <w:pPr>
        <w:spacing w:after="0" w:line="240" w:lineRule="auto"/>
        <w:rPr>
          <w:rFonts w:eastAsia="Times New Roman"/>
          <w:b/>
          <w:bCs/>
          <w:color w:val="ACA095"/>
          <w:sz w:val="23"/>
          <w:szCs w:val="26"/>
        </w:rPr>
      </w:pPr>
      <w:r>
        <w:br w:type="page"/>
      </w:r>
    </w:p>
    <w:p w14:paraId="4B94D5A5" w14:textId="0C6DCA64" w:rsidR="005F4D30" w:rsidRDefault="00F8750B" w:rsidP="00270C52">
      <w:pPr>
        <w:pStyle w:val="Heading2"/>
      </w:pPr>
      <w:bookmarkStart w:id="10" w:name="_Toc153277250"/>
      <w:r>
        <w:lastRenderedPageBreak/>
        <w:t>Establishing a Basis for Public Health Action</w:t>
      </w:r>
      <w:bookmarkEnd w:id="10"/>
    </w:p>
    <w:p w14:paraId="34D473B0" w14:textId="2A4A9706" w:rsidR="006920E6" w:rsidRDefault="00F8750B" w:rsidP="007B2597">
      <w:r>
        <w:t>Due to the difficulty in determining public health risk</w:t>
      </w:r>
      <w:r w:rsidR="006920E6">
        <w:t xml:space="preserve"> definitively, it is similarly difficult to determine appropriate actions to take based on this risk and </w:t>
      </w:r>
      <w:r w:rsidR="007A3132">
        <w:t xml:space="preserve">how to </w:t>
      </w:r>
      <w:r w:rsidR="006920E6">
        <w:t xml:space="preserve">communicate </w:t>
      </w:r>
      <w:r w:rsidR="007A3132">
        <w:t xml:space="preserve">risk </w:t>
      </w:r>
      <w:r w:rsidR="00780EA5">
        <w:t xml:space="preserve">effectively </w:t>
      </w:r>
      <w:r w:rsidR="007A3132">
        <w:t>in these circumstances</w:t>
      </w:r>
      <w:r w:rsidR="00780EA5">
        <w:t>.</w:t>
      </w:r>
      <w:r w:rsidR="006920E6">
        <w:t xml:space="preserve">  This difficulty is further compounded by the lack of relevant exposure standards for chemicals where they are present in residential premises.  It is inappropriate to apply occupational exposure standards for chemicals in residential settings particularly as the exposure duration and the populations exposed (</w:t>
      </w:r>
      <w:proofErr w:type="gramStart"/>
      <w:r w:rsidR="006920E6">
        <w:t>e.g.</w:t>
      </w:r>
      <w:proofErr w:type="gramEnd"/>
      <w:r w:rsidR="006920E6">
        <w:t xml:space="preserve"> children) are entirely different. </w:t>
      </w:r>
    </w:p>
    <w:p w14:paraId="0F9FB622" w14:textId="40B61DAA" w:rsidR="006920E6" w:rsidRDefault="006920E6" w:rsidP="007B2597">
      <w:r>
        <w:t>The establishment of risk</w:t>
      </w:r>
      <w:r w:rsidR="00FA0423">
        <w:t>-</w:t>
      </w:r>
      <w:r>
        <w:t xml:space="preserve">based screening and action levels has proven an effective means of addressing these issues.  Screening and action levels use ranges of toxicologically based reference values to determine what level of contaminant </w:t>
      </w:r>
      <w:r w:rsidR="005F6CF1">
        <w:t xml:space="preserve">either modelled or sampled </w:t>
      </w:r>
      <w:r>
        <w:t>will determine a particular action response.</w:t>
      </w:r>
      <w:r w:rsidR="005F6CF1">
        <w:t xml:space="preserve">  </w:t>
      </w:r>
    </w:p>
    <w:p w14:paraId="493500B2" w14:textId="4C6DBA84" w:rsidR="00612799" w:rsidRDefault="005F6CF1" w:rsidP="00612799">
      <w:pPr>
        <w:rPr>
          <w:rFonts w:cs="Arial"/>
          <w:noProof/>
        </w:rPr>
      </w:pPr>
      <w:r>
        <w:t>The starting point for developing risk</w:t>
      </w:r>
      <w:r w:rsidR="00B353BD">
        <w:t>-</w:t>
      </w:r>
      <w:r>
        <w:t xml:space="preserve">based screening and action levels is to </w:t>
      </w:r>
      <w:r w:rsidR="00A87F23">
        <w:t>link</w:t>
      </w:r>
      <w:r>
        <w:t xml:space="preserve"> qualitative </w:t>
      </w:r>
      <w:r w:rsidR="00A87F23">
        <w:t xml:space="preserve">risk </w:t>
      </w:r>
      <w:r>
        <w:t>descript</w:t>
      </w:r>
      <w:r w:rsidR="00A87F23">
        <w:t>ors to quantitative risk measurements</w:t>
      </w:r>
      <w:r w:rsidR="0042628C">
        <w:t xml:space="preserve"> and are described in Attachments 1 and 2</w:t>
      </w:r>
      <w:r w:rsidR="00DE0EE9">
        <w:t xml:space="preserve">.  For </w:t>
      </w:r>
      <w:r>
        <w:t>carcinogenic</w:t>
      </w:r>
      <w:r w:rsidR="00DE0EE9">
        <w:t xml:space="preserve"> chemicals this may be </w:t>
      </w:r>
      <w:r>
        <w:t xml:space="preserve">based on excess lifetime cancer risk from </w:t>
      </w:r>
      <w:r w:rsidR="00DE0EE9">
        <w:t>a particular</w:t>
      </w:r>
      <w:r>
        <w:t xml:space="preserve"> exposure</w:t>
      </w:r>
      <w:r w:rsidR="00DE0EE9">
        <w:t xml:space="preserve"> (e.g</w:t>
      </w:r>
      <w:r w:rsidR="00A87F23">
        <w:t>.</w:t>
      </w:r>
      <w:r w:rsidR="00DE0EE9">
        <w:t xml:space="preserve"> low risk for exposure that might result in a one in one hundred thousand increase in </w:t>
      </w:r>
      <w:r w:rsidR="0088731A">
        <w:t xml:space="preserve">cancer </w:t>
      </w:r>
      <w:r w:rsidR="00DE0EE9">
        <w:t xml:space="preserve">risk to very high risk for exposures that might result in a one in ten increase in </w:t>
      </w:r>
      <w:r w:rsidR="0088731A">
        <w:t xml:space="preserve">cancer </w:t>
      </w:r>
      <w:r w:rsidR="00DE0EE9">
        <w:t>risk</w:t>
      </w:r>
      <w:r>
        <w:t>)</w:t>
      </w:r>
      <w:r w:rsidR="00DE0EE9">
        <w:t>.  For</w:t>
      </w:r>
      <w:r>
        <w:t xml:space="preserve"> non-carcinogenic</w:t>
      </w:r>
      <w:r w:rsidR="00DE0EE9">
        <w:t xml:space="preserve"> chemicals, this may be based on a threshold dose below which no adverse effect occurs (</w:t>
      </w:r>
      <w:proofErr w:type="gramStart"/>
      <w:r w:rsidR="00DE0EE9">
        <w:t>e.g</w:t>
      </w:r>
      <w:r w:rsidR="00A87F23">
        <w:t>.</w:t>
      </w:r>
      <w:proofErr w:type="gramEnd"/>
      <w:r w:rsidR="00DE0EE9">
        <w:t xml:space="preserve"> minimal risk for exposures less than</w:t>
      </w:r>
      <w:r w:rsidR="006E0A85">
        <w:t xml:space="preserve"> or equal to</w:t>
      </w:r>
      <w:r w:rsidR="00DE0EE9">
        <w:t xml:space="preserve"> the reference dose to very </w:t>
      </w:r>
      <w:r w:rsidR="00272B75">
        <w:t>high risk for exposures</w:t>
      </w:r>
      <w:r w:rsidR="00DE0EE9">
        <w:t xml:space="preserve"> one hundred times the reference dose).  </w:t>
      </w:r>
    </w:p>
    <w:p w14:paraId="6D38A6BD" w14:textId="1A106681" w:rsidR="00612799" w:rsidRPr="00AB0E94" w:rsidRDefault="00612799" w:rsidP="00612799">
      <w:pPr>
        <w:rPr>
          <w:rFonts w:cs="Arial"/>
        </w:rPr>
      </w:pPr>
      <w:r w:rsidRPr="00AB0E94">
        <w:rPr>
          <w:rFonts w:cs="Arial"/>
          <w:noProof/>
        </w:rPr>
        <w:t xml:space="preserve">The </w:t>
      </w:r>
      <w:r w:rsidRPr="00AB0E94">
        <w:rPr>
          <w:rFonts w:cs="Arial"/>
        </w:rPr>
        <w:t>use an excess life-time increased cancer risk of 1 x 10</w:t>
      </w:r>
      <w:r w:rsidRPr="00AB0E94">
        <w:rPr>
          <w:rFonts w:cs="Arial"/>
          <w:vertAlign w:val="superscript"/>
        </w:rPr>
        <w:t>-5</w:t>
      </w:r>
      <w:r w:rsidRPr="00AB0E94">
        <w:rPr>
          <w:rFonts w:cs="Arial"/>
        </w:rPr>
        <w:t xml:space="preserve"> or higher, and for non-carcinogens, a hazard index of 1.0 can be used as a threshold for determining if a </w:t>
      </w:r>
      <w:r w:rsidRPr="0042628C">
        <w:rPr>
          <w:rFonts w:cs="Arial"/>
          <w:b/>
          <w:bCs/>
        </w:rPr>
        <w:t>vapour action level</w:t>
      </w:r>
      <w:r w:rsidRPr="00AB0E94">
        <w:rPr>
          <w:rFonts w:cs="Arial"/>
        </w:rPr>
        <w:t xml:space="preserve"> for indoor air has been reached or exceeded.  The use of an excess life-time cancer risk of 1 x 10</w:t>
      </w:r>
      <w:r w:rsidRPr="00AB0E94">
        <w:rPr>
          <w:rFonts w:cs="Arial"/>
          <w:vertAlign w:val="superscript"/>
        </w:rPr>
        <w:t>-4</w:t>
      </w:r>
      <w:r w:rsidRPr="00AB0E94">
        <w:rPr>
          <w:rFonts w:cs="Arial"/>
        </w:rPr>
        <w:t xml:space="preserve"> or higher and for non-</w:t>
      </w:r>
      <w:r w:rsidR="0042628C" w:rsidRPr="00AB0E94">
        <w:rPr>
          <w:rFonts w:cs="Arial"/>
        </w:rPr>
        <w:t>carcinogens, a</w:t>
      </w:r>
      <w:r w:rsidRPr="00AB0E94">
        <w:rPr>
          <w:rFonts w:cs="Arial"/>
        </w:rPr>
        <w:t xml:space="preserve"> hazard index of 10 can be used as a threshold for </w:t>
      </w:r>
      <w:r w:rsidRPr="0042628C">
        <w:rPr>
          <w:rFonts w:cs="Arial"/>
          <w:b/>
          <w:bCs/>
        </w:rPr>
        <w:t>implementing mitigation measures</w:t>
      </w:r>
      <w:r w:rsidRPr="00AB0E94">
        <w:rPr>
          <w:rFonts w:cs="Arial"/>
        </w:rPr>
        <w:t>.</w:t>
      </w:r>
      <w:r w:rsidRPr="00612799">
        <w:t xml:space="preserve"> </w:t>
      </w:r>
      <w:r w:rsidRPr="00612799">
        <w:rPr>
          <w:rFonts w:cs="Arial"/>
        </w:rPr>
        <w:t>While not stated in international guidance documents cancer risks greater than one in ten thousand (10</w:t>
      </w:r>
      <w:r w:rsidRPr="00780EA5">
        <w:rPr>
          <w:rFonts w:cs="Arial"/>
          <w:vertAlign w:val="superscript"/>
        </w:rPr>
        <w:t>-4</w:t>
      </w:r>
      <w:r w:rsidRPr="00612799">
        <w:rPr>
          <w:rFonts w:cs="Arial"/>
        </w:rPr>
        <w:t xml:space="preserve">), typically </w:t>
      </w:r>
      <w:r w:rsidRPr="0042628C">
        <w:rPr>
          <w:rFonts w:cs="Arial"/>
          <w:b/>
          <w:bCs/>
        </w:rPr>
        <w:t>trigger actions</w:t>
      </w:r>
      <w:r w:rsidRPr="00612799">
        <w:rPr>
          <w:rFonts w:cs="Arial"/>
        </w:rPr>
        <w:t xml:space="preserve"> to lower exposures. For non-cancer endpoints where a hazard index is between one and ten, </w:t>
      </w:r>
      <w:r w:rsidRPr="0042628C">
        <w:rPr>
          <w:rFonts w:cs="Arial"/>
          <w:b/>
          <w:bCs/>
        </w:rPr>
        <w:t>risk management decisions</w:t>
      </w:r>
      <w:r w:rsidRPr="00612799">
        <w:rPr>
          <w:rFonts w:cs="Arial"/>
        </w:rPr>
        <w:t xml:space="preserve"> should be made on a case-by case basis </w:t>
      </w:r>
      <w:r w:rsidR="34128245" w:rsidRPr="4069B981">
        <w:rPr>
          <w:rFonts w:cs="Arial"/>
        </w:rPr>
        <w:t xml:space="preserve">as to </w:t>
      </w:r>
      <w:r w:rsidRPr="00612799">
        <w:rPr>
          <w:rFonts w:cs="Arial"/>
        </w:rPr>
        <w:t>whether or not</w:t>
      </w:r>
      <w:r w:rsidR="3CB24C82" w:rsidRPr="4069B981">
        <w:rPr>
          <w:rFonts w:cs="Arial"/>
        </w:rPr>
        <w:t>,</w:t>
      </w:r>
      <w:r w:rsidRPr="00612799">
        <w:rPr>
          <w:rFonts w:cs="Arial"/>
        </w:rPr>
        <w:t xml:space="preserve"> to pursue risk reduction measures. Considerations may include relevance of toxicological endpoint, exposure dynamics and characteristics of particular subpopulations.</w:t>
      </w:r>
    </w:p>
    <w:p w14:paraId="37C30A7F" w14:textId="5FA372EB" w:rsidR="00A87F23" w:rsidRDefault="00272B75" w:rsidP="007B2597">
      <w:r>
        <w:t>Once the qualitative description of risk has been established and agreed, this can be applied to the chemical of concern to establish an “action framework” that describes what ranges of contamination of that chemical in indoor air</w:t>
      </w:r>
      <w:r w:rsidR="00780EA5">
        <w:t>,</w:t>
      </w:r>
      <w:r>
        <w:t xml:space="preserve"> measured or modelled</w:t>
      </w:r>
      <w:r w:rsidR="00780EA5">
        <w:t>,</w:t>
      </w:r>
      <w:r>
        <w:t xml:space="preserve"> will trigger what action based on the risk it poses.  For example, for trichloroethene, a reference value of 2 ug/m</w:t>
      </w:r>
      <w:r w:rsidRPr="003C5D00">
        <w:rPr>
          <w:vertAlign w:val="superscript"/>
        </w:rPr>
        <w:t>3</w:t>
      </w:r>
      <w:r>
        <w:t xml:space="preserve"> was used based on the toxicological literature and a review of regulatory standards in other jurisdictions.  Indoor air levels below that level were deemed safe and the action was to validate that the indoor air levels remain below that level.  For indoor air levels one hundred times that level (200 ug/m</w:t>
      </w:r>
      <w:r w:rsidRPr="003C5D00">
        <w:rPr>
          <w:vertAlign w:val="superscript"/>
        </w:rPr>
        <w:t>3</w:t>
      </w:r>
      <w:r>
        <w:t>) it was deemed that there is a health risk and immediate intervention (</w:t>
      </w:r>
      <w:proofErr w:type="gramStart"/>
      <w:r>
        <w:t>e.g.</w:t>
      </w:r>
      <w:proofErr w:type="gramEnd"/>
      <w:r>
        <w:t xml:space="preserve"> relocation and mitigation) is required.  Examples of action frameworks are provided as Attachment </w:t>
      </w:r>
      <w:r w:rsidR="0042628C">
        <w:t>3</w:t>
      </w:r>
      <w:r>
        <w:t xml:space="preserve"> and </w:t>
      </w:r>
      <w:r w:rsidR="0042628C">
        <w:t>4</w:t>
      </w:r>
      <w:r>
        <w:t>.</w:t>
      </w:r>
    </w:p>
    <w:p w14:paraId="2FD0F7F9" w14:textId="5CAD44C3" w:rsidR="005F4D30" w:rsidRPr="00272B75" w:rsidRDefault="006920E6" w:rsidP="007B2597">
      <w:r w:rsidRPr="00272B75">
        <w:t xml:space="preserve">Experience has shown that </w:t>
      </w:r>
      <w:r w:rsidR="00272B75">
        <w:t>the development process for these</w:t>
      </w:r>
      <w:r w:rsidR="00146493">
        <w:t xml:space="preserve"> action frameworks</w:t>
      </w:r>
      <w:r w:rsidR="00272B75">
        <w:t xml:space="preserve"> provides a valuable opportunity to </w:t>
      </w:r>
      <w:r w:rsidR="00200B67">
        <w:t>discuss a range of issues including the strength of evidence on which the actions are based and the risk tolerance of authorities.</w:t>
      </w:r>
      <w:r w:rsidRPr="00272B75">
        <w:t xml:space="preserve">  </w:t>
      </w:r>
      <w:r w:rsidR="00200B67">
        <w:t xml:space="preserve">Moreover, </w:t>
      </w:r>
      <w:r w:rsidR="00146493">
        <w:t xml:space="preserve">the use of qualitative risk descriptors linked to quantitative risk measurements in combination with action frameworks </w:t>
      </w:r>
      <w:r w:rsidR="00200B67">
        <w:t>provide an excellent basis on which to discuss risk with affected communities and how actions will be taken once the results of the investigation are received.</w:t>
      </w:r>
    </w:p>
    <w:p w14:paraId="3DEEC669" w14:textId="77777777" w:rsidR="00612799" w:rsidRDefault="00612799">
      <w:pPr>
        <w:spacing w:after="0" w:line="240" w:lineRule="auto"/>
      </w:pPr>
    </w:p>
    <w:p w14:paraId="45FB0818" w14:textId="75649204" w:rsidR="005F4D30" w:rsidRDefault="005F6CF1" w:rsidP="00C205BC">
      <w:pPr>
        <w:spacing w:after="0" w:line="240" w:lineRule="auto"/>
      </w:pPr>
      <w:r>
        <w:br w:type="page"/>
      </w:r>
    </w:p>
    <w:p w14:paraId="049F31CB" w14:textId="0418922B" w:rsidR="003A21A6" w:rsidRDefault="00BB237C" w:rsidP="00270C52">
      <w:pPr>
        <w:pStyle w:val="Heading2"/>
      </w:pPr>
      <w:bookmarkStart w:id="11" w:name="_Toc153277251"/>
      <w:r>
        <w:lastRenderedPageBreak/>
        <w:t xml:space="preserve">Evaluation of </w:t>
      </w:r>
      <w:r w:rsidR="005F4D30">
        <w:t>Vapour Intrusion</w:t>
      </w:r>
      <w:r w:rsidR="002263FB">
        <w:t xml:space="preserve"> – Public Health Considerations for Environmental Investigations</w:t>
      </w:r>
      <w:bookmarkEnd w:id="11"/>
    </w:p>
    <w:p w14:paraId="3BF4D8C9" w14:textId="22E4F761" w:rsidR="00376AF5" w:rsidRDefault="009F653D" w:rsidP="00376AF5">
      <w:r>
        <w:t xml:space="preserve">A review of national and international vapour intrusion guidance predominantly identifies technical guidance for assessing and mitigating vapour intrusion through </w:t>
      </w:r>
      <w:proofErr w:type="gramStart"/>
      <w:r>
        <w:t>a multiple lines of evidence</w:t>
      </w:r>
      <w:proofErr w:type="gramEnd"/>
      <w:r>
        <w:t xml:space="preserve"> approach </w:t>
      </w:r>
      <w:r w:rsidR="67D87011">
        <w:t xml:space="preserve">to </w:t>
      </w:r>
      <w:r>
        <w:t>characteris</w:t>
      </w:r>
      <w:r w:rsidR="02FE254C">
        <w:t>e</w:t>
      </w:r>
      <w:r>
        <w:t xml:space="preserve"> </w:t>
      </w:r>
      <w:r w:rsidR="106A0C9F">
        <w:t>the</w:t>
      </w:r>
      <w:r>
        <w:t xml:space="preserve"> vapour intrusion.</w:t>
      </w:r>
      <w:r w:rsidR="00376AF5" w:rsidRPr="00376AF5">
        <w:t xml:space="preserve"> </w:t>
      </w:r>
    </w:p>
    <w:p w14:paraId="05087CE7" w14:textId="4FCF9473" w:rsidR="00376AF5" w:rsidRDefault="00376AF5" w:rsidP="00376AF5">
      <w:r>
        <w:t xml:space="preserve">The ATSDR evaluation of the vapour intrusion pathway is an international best practice health-based approach to address the </w:t>
      </w:r>
      <w:r w:rsidR="00780EA5">
        <w:t xml:space="preserve">issue of </w:t>
      </w:r>
      <w:r>
        <w:t>vapour intrusion in the community.</w:t>
      </w:r>
      <w:r w:rsidRPr="00376AF5">
        <w:t xml:space="preserve"> </w:t>
      </w:r>
      <w:r>
        <w:t xml:space="preserve">While there are inherent policy, </w:t>
      </w:r>
      <w:proofErr w:type="gramStart"/>
      <w:r>
        <w:t>practice</w:t>
      </w:r>
      <w:proofErr w:type="gramEnd"/>
      <w:r>
        <w:t xml:space="preserve"> and legal limitations to directly translating public health advice developed in the United States into the Australia context, it provides</w:t>
      </w:r>
      <w:r w:rsidRPr="00376AF5">
        <w:t xml:space="preserve"> an excellent resource to supplement this guidanc</w:t>
      </w:r>
      <w:r>
        <w:t>e.</w:t>
      </w:r>
    </w:p>
    <w:p w14:paraId="73CDC59E" w14:textId="52502E5E" w:rsidR="00376AF5" w:rsidRDefault="00376AF5" w:rsidP="00376AF5">
      <w:r>
        <w:t xml:space="preserve">Some of the key points from </w:t>
      </w:r>
      <w:r w:rsidR="622E32AE">
        <w:t xml:space="preserve">the </w:t>
      </w:r>
      <w:r>
        <w:t xml:space="preserve">ATSDR guidance that are particularly </w:t>
      </w:r>
      <w:r w:rsidR="003A590F">
        <w:t>useful to consider</w:t>
      </w:r>
      <w:r>
        <w:t xml:space="preserve"> are:</w:t>
      </w:r>
    </w:p>
    <w:p w14:paraId="54AA620E" w14:textId="29F3DDE6" w:rsidR="009F653D" w:rsidRDefault="003A590F" w:rsidP="009F653D">
      <w:pPr>
        <w:pStyle w:val="Heading2"/>
      </w:pPr>
      <w:bookmarkStart w:id="12" w:name="_Toc153277252"/>
      <w:r>
        <w:t>Evaluation of the vapour intrusion pathway</w:t>
      </w:r>
      <w:bookmarkEnd w:id="12"/>
    </w:p>
    <w:p w14:paraId="71B20342" w14:textId="4A46BDCF" w:rsidR="009F653D" w:rsidRDefault="009F653D" w:rsidP="009F653D">
      <w:r>
        <w:t xml:space="preserve">The ATSDR recommends </w:t>
      </w:r>
      <w:proofErr w:type="gramStart"/>
      <w:r>
        <w:t xml:space="preserve">a multiple lines of </w:t>
      </w:r>
      <w:r w:rsidR="003A590F">
        <w:t>evidence</w:t>
      </w:r>
      <w:proofErr w:type="gramEnd"/>
      <w:r w:rsidR="003A590F">
        <w:t xml:space="preserve"> driven</w:t>
      </w:r>
      <w:r>
        <w:t xml:space="preserve"> approach for pathway analysis and exposure assessment.  Appropriate lines of evidence for evaluating the vapour intrusion pathway include but are not limited to, the following:</w:t>
      </w:r>
    </w:p>
    <w:p w14:paraId="379D8C54" w14:textId="77777777" w:rsidR="009F653D" w:rsidRDefault="009F653D" w:rsidP="009F653D">
      <w:pPr>
        <w:pStyle w:val="ListParagraph"/>
        <w:numPr>
          <w:ilvl w:val="0"/>
          <w:numId w:val="14"/>
        </w:numPr>
        <w:spacing w:after="200" w:line="276" w:lineRule="auto"/>
      </w:pPr>
      <w:r>
        <w:t>Subsurface sampling</w:t>
      </w:r>
    </w:p>
    <w:p w14:paraId="528C987C" w14:textId="77777777" w:rsidR="009F653D" w:rsidRDefault="009F653D" w:rsidP="009F653D">
      <w:pPr>
        <w:pStyle w:val="ListParagraph"/>
        <w:numPr>
          <w:ilvl w:val="0"/>
          <w:numId w:val="14"/>
        </w:numPr>
        <w:spacing w:after="200" w:line="276" w:lineRule="auto"/>
      </w:pPr>
      <w:r>
        <w:t>Vadose zone conditions (above the water table) and preferential pathways</w:t>
      </w:r>
    </w:p>
    <w:p w14:paraId="4FF561EC" w14:textId="77777777" w:rsidR="009F653D" w:rsidRDefault="009F653D" w:rsidP="009F653D">
      <w:pPr>
        <w:pStyle w:val="ListParagraph"/>
        <w:numPr>
          <w:ilvl w:val="0"/>
          <w:numId w:val="14"/>
        </w:numPr>
        <w:spacing w:after="200" w:line="276" w:lineRule="auto"/>
      </w:pPr>
      <w:r>
        <w:t>Building conditions</w:t>
      </w:r>
    </w:p>
    <w:p w14:paraId="61471ADF" w14:textId="77777777" w:rsidR="009F653D" w:rsidRDefault="009F653D" w:rsidP="009F653D">
      <w:pPr>
        <w:pStyle w:val="ListParagraph"/>
        <w:numPr>
          <w:ilvl w:val="0"/>
          <w:numId w:val="14"/>
        </w:numPr>
        <w:spacing w:after="200" w:line="276" w:lineRule="auto"/>
      </w:pPr>
      <w:r>
        <w:t>Exposure concentrations</w:t>
      </w:r>
    </w:p>
    <w:p w14:paraId="0890D9DC" w14:textId="77777777" w:rsidR="009F653D" w:rsidRDefault="009F653D" w:rsidP="009F653D">
      <w:pPr>
        <w:pStyle w:val="ListParagraph"/>
        <w:numPr>
          <w:ilvl w:val="0"/>
          <w:numId w:val="14"/>
        </w:numPr>
        <w:spacing w:after="200" w:line="276" w:lineRule="auto"/>
      </w:pPr>
      <w:r>
        <w:t>Indoor and outdoor sources of vapour-forming chemicals</w:t>
      </w:r>
    </w:p>
    <w:p w14:paraId="280E5DA5" w14:textId="77777777" w:rsidR="009F653D" w:rsidRDefault="009F653D" w:rsidP="009F653D">
      <w:pPr>
        <w:pStyle w:val="ListParagraph"/>
        <w:numPr>
          <w:ilvl w:val="0"/>
          <w:numId w:val="14"/>
        </w:numPr>
        <w:spacing w:after="200" w:line="276" w:lineRule="auto"/>
      </w:pPr>
      <w:r>
        <w:t>Remediation and mitigation activities</w:t>
      </w:r>
    </w:p>
    <w:p w14:paraId="7961DA45" w14:textId="77777777" w:rsidR="009F653D" w:rsidRDefault="009F653D" w:rsidP="009F653D">
      <w:pPr>
        <w:pStyle w:val="ListParagraph"/>
        <w:numPr>
          <w:ilvl w:val="0"/>
          <w:numId w:val="14"/>
        </w:numPr>
        <w:spacing w:after="200" w:line="276" w:lineRule="auto"/>
      </w:pPr>
      <w:r>
        <w:t xml:space="preserve">Maps and figures showing spatial and temporal </w:t>
      </w:r>
      <w:proofErr w:type="gramStart"/>
      <w:r>
        <w:t>characteristics</w:t>
      </w:r>
      <w:proofErr w:type="gramEnd"/>
    </w:p>
    <w:p w14:paraId="002E06B3" w14:textId="245BCF07" w:rsidR="009F653D" w:rsidRDefault="003A590F" w:rsidP="009F653D">
      <w:pPr>
        <w:pStyle w:val="Heading2"/>
      </w:pPr>
      <w:bookmarkStart w:id="13" w:name="_Toc153277253"/>
      <w:r>
        <w:t>Modelling vapour intrusion</w:t>
      </w:r>
      <w:bookmarkEnd w:id="13"/>
    </w:p>
    <w:p w14:paraId="7CAC305D" w14:textId="396C80BA" w:rsidR="0016396D" w:rsidRDefault="0016396D" w:rsidP="0016396D">
      <w:r>
        <w:t>Health conclusions from vapour intrusion exposures cannot be made with high certainty using mode</w:t>
      </w:r>
      <w:r w:rsidR="00D7732B">
        <w:t>l</w:t>
      </w:r>
      <w:r>
        <w:t>ling alone.</w:t>
      </w:r>
      <w:r w:rsidR="00F64D7D">
        <w:t xml:space="preserve">  The Johnson and Ettinger algorithm </w:t>
      </w:r>
      <w:proofErr w:type="gramStart"/>
      <w:r w:rsidR="00F64D7D">
        <w:t>has</w:t>
      </w:r>
      <w:proofErr w:type="gramEnd"/>
      <w:r w:rsidR="00F64D7D">
        <w:t xml:space="preserve"> been routinely used as the basis for predicting theoretical indoor air concentrations of contaminants from subsurface vapour concentrations (amongst many other model inputs, some of which may not actually</w:t>
      </w:r>
      <w:r w:rsidR="00516235">
        <w:t xml:space="preserve"> be</w:t>
      </w:r>
      <w:r w:rsidR="00F64D7D">
        <w:t xml:space="preserve"> measured during an investigation).</w:t>
      </w:r>
    </w:p>
    <w:p w14:paraId="13E2CF47" w14:textId="77777777" w:rsidR="009F653D" w:rsidRDefault="009F653D" w:rsidP="009F653D">
      <w:r>
        <w:t xml:space="preserve">The US EPA does not currently endorse its former workbooks for modelling vapour intrusion using the Johnson and Ettinger algorithm.  The Johnson and Ettinger model </w:t>
      </w:r>
      <w:proofErr w:type="gramStart"/>
      <w:r>
        <w:t>has</w:t>
      </w:r>
      <w:proofErr w:type="gramEnd"/>
      <w:r>
        <w:t xml:space="preserve"> been found to under-predict vapour intrusion at some well characterised sites.  Therefore, ATSDR only recommends Johnson and Ettinger modelling as a tool to complement robust indoor air and subsurface sampling results</w:t>
      </w:r>
      <w:r w:rsidR="00933DD7">
        <w:t xml:space="preserve"> (ATSDR 2016)</w:t>
      </w:r>
      <w:r>
        <w:t>.</w:t>
      </w:r>
    </w:p>
    <w:p w14:paraId="1B72DA4A" w14:textId="500DA111" w:rsidR="003A590F" w:rsidRPr="003A590F" w:rsidRDefault="009F653D" w:rsidP="003A590F">
      <w:r>
        <w:t>Concurrence between sampling and mode</w:t>
      </w:r>
      <w:r w:rsidR="00D7732B">
        <w:t>l</w:t>
      </w:r>
      <w:r>
        <w:t>ling results strengthens confidence in an evaluation.  A useful approach to mode</w:t>
      </w:r>
      <w:r w:rsidR="00D7732B">
        <w:t>l</w:t>
      </w:r>
      <w:r>
        <w:t xml:space="preserve">ling is to perform bounding (i.e., estimating a range of predictions based on a range of feasible inputs for sensitive model parameters such as air exchange, soil moisture).  The value of the model results should be </w:t>
      </w:r>
      <w:proofErr w:type="gramStart"/>
      <w:r>
        <w:t>discussed</w:t>
      </w:r>
      <w:proofErr w:type="gramEnd"/>
      <w:r>
        <w:t xml:space="preserve"> and the uncertainties clarified when using the data.  Mode</w:t>
      </w:r>
      <w:r w:rsidR="00D7732B">
        <w:t>l</w:t>
      </w:r>
      <w:r>
        <w:t>ling that lacks robust indoor air measurements might be used to show that sampling is urgently needed.</w:t>
      </w:r>
    </w:p>
    <w:p w14:paraId="04B8C404" w14:textId="1CAFBA96" w:rsidR="00612799" w:rsidRDefault="00612799" w:rsidP="002B46DE">
      <w:pPr>
        <w:pStyle w:val="Heading2"/>
      </w:pPr>
      <w:bookmarkStart w:id="14" w:name="_Toc153277254"/>
      <w:r>
        <w:t>Attenuation Factors</w:t>
      </w:r>
      <w:r w:rsidR="003A590F">
        <w:t xml:space="preserve"> for Predicting Vapour Intrusion</w:t>
      </w:r>
      <w:bookmarkEnd w:id="14"/>
    </w:p>
    <w:p w14:paraId="443C59A5" w14:textId="0A3FF4D0" w:rsidR="00A134ED" w:rsidRDefault="00637C8A" w:rsidP="00612799">
      <w:pPr>
        <w:rPr>
          <w:rFonts w:cs="Arial"/>
        </w:rPr>
      </w:pPr>
      <w:r>
        <w:rPr>
          <w:rFonts w:cs="Arial"/>
        </w:rPr>
        <w:t xml:space="preserve">Vapour attenuation refers to the reduction in concentration of volatile substances that occurs </w:t>
      </w:r>
      <w:r w:rsidR="00EC46EF">
        <w:rPr>
          <w:rFonts w:cs="Arial"/>
        </w:rPr>
        <w:t>during vapour migration in the subsurface (as a result of diffusion, advection, sorption, transformation reactions and other processes in the soil), coupled with the dilution that can occur when vapour enter</w:t>
      </w:r>
      <w:r w:rsidR="00923843">
        <w:rPr>
          <w:rFonts w:cs="Arial"/>
        </w:rPr>
        <w:t>s</w:t>
      </w:r>
      <w:r w:rsidR="00EC46EF">
        <w:rPr>
          <w:rFonts w:cs="Arial"/>
        </w:rPr>
        <w:t xml:space="preserve"> a building and mix</w:t>
      </w:r>
      <w:r w:rsidR="00923843">
        <w:rPr>
          <w:rFonts w:cs="Arial"/>
        </w:rPr>
        <w:t>es</w:t>
      </w:r>
      <w:r w:rsidR="00EC46EF">
        <w:rPr>
          <w:rFonts w:cs="Arial"/>
        </w:rPr>
        <w:t xml:space="preserve"> with indoor air.  </w:t>
      </w:r>
      <w:r w:rsidR="008C1E97">
        <w:rPr>
          <w:rFonts w:cs="Arial"/>
        </w:rPr>
        <w:t xml:space="preserve">The aggregate effect of these physical and chemical attenuation </w:t>
      </w:r>
      <w:r w:rsidR="008C1E97">
        <w:rPr>
          <w:rFonts w:cs="Arial"/>
        </w:rPr>
        <w:lastRenderedPageBreak/>
        <w:t>mechanisms can be quantified through the use of a vapour intrusi</w:t>
      </w:r>
      <w:r w:rsidR="00A134ED">
        <w:rPr>
          <w:rFonts w:cs="Arial"/>
        </w:rPr>
        <w:t>on attenuation factor</w:t>
      </w:r>
      <w:r w:rsidR="008C1E97">
        <w:rPr>
          <w:rFonts w:cs="Arial"/>
        </w:rPr>
        <w:t>, which is defined as the ratio of the indoor air concentration arising from vap</w:t>
      </w:r>
      <w:r w:rsidR="00A134ED">
        <w:rPr>
          <w:rFonts w:cs="Arial"/>
        </w:rPr>
        <w:t>our intrusion</w:t>
      </w:r>
      <w:r w:rsidR="008C1E97">
        <w:rPr>
          <w:rFonts w:cs="Arial"/>
        </w:rPr>
        <w:t xml:space="preserve"> to the subsu</w:t>
      </w:r>
      <w:r w:rsidR="00A134ED">
        <w:rPr>
          <w:rFonts w:cs="Arial"/>
        </w:rPr>
        <w:t>rface vapour concentration</w:t>
      </w:r>
      <w:r w:rsidR="008C1E97">
        <w:rPr>
          <w:rFonts w:cs="Arial"/>
        </w:rPr>
        <w:t xml:space="preserve"> at a point or depth of interest in the vapour migration pathway</w:t>
      </w:r>
      <w:r w:rsidR="00A134ED">
        <w:rPr>
          <w:rFonts w:cs="Arial"/>
        </w:rPr>
        <w:t xml:space="preserve"> (EPA 2012)</w:t>
      </w:r>
      <w:r w:rsidR="008C1E97">
        <w:rPr>
          <w:rFonts w:cs="Arial"/>
        </w:rPr>
        <w:t xml:space="preserve">.  </w:t>
      </w:r>
    </w:p>
    <w:p w14:paraId="4739CF63" w14:textId="47779574" w:rsidR="00A134ED" w:rsidRDefault="00A134ED" w:rsidP="00612799">
      <w:pPr>
        <w:rPr>
          <w:rFonts w:cs="Arial"/>
        </w:rPr>
      </w:pPr>
      <w:r>
        <w:rPr>
          <w:rFonts w:cs="Arial"/>
        </w:rPr>
        <w:t xml:space="preserve">As defined here, the vapour attenuation factor (AF or </w:t>
      </w:r>
      <w:r w:rsidRPr="00E4007D">
        <w:rPr>
          <w:rFonts w:ascii="Symbol" w:hAnsi="Symbol" w:cs="Arial"/>
        </w:rPr>
        <w:t></w:t>
      </w:r>
      <w:r>
        <w:rPr>
          <w:rFonts w:cs="Arial"/>
        </w:rPr>
        <w:t xml:space="preserve">) is an inverse measurement of the overall dilution that occurs as vapour </w:t>
      </w:r>
      <w:r w:rsidRPr="1B8E3354">
        <w:rPr>
          <w:rFonts w:cs="Arial"/>
        </w:rPr>
        <w:t>migrate</w:t>
      </w:r>
      <w:r w:rsidR="556DD421" w:rsidRPr="1B8E3354">
        <w:rPr>
          <w:rFonts w:cs="Arial"/>
        </w:rPr>
        <w:t>s</w:t>
      </w:r>
      <w:r>
        <w:rPr>
          <w:rFonts w:cs="Arial"/>
        </w:rPr>
        <w:t xml:space="preserve"> from a subsurface vapour source into a building </w:t>
      </w:r>
      <w:proofErr w:type="gramStart"/>
      <w:r>
        <w:rPr>
          <w:rFonts w:cs="Arial"/>
        </w:rPr>
        <w:t>i.e.</w:t>
      </w:r>
      <w:proofErr w:type="gramEnd"/>
      <w:r>
        <w:rPr>
          <w:rFonts w:cs="Arial"/>
        </w:rPr>
        <w:t xml:space="preserve"> lower attenuation factors indicate lower vapour intrusion impacts and greater dilution, higher values indicate greater vapour intrusion impacts and less dilution (EPA 2012).</w:t>
      </w:r>
    </w:p>
    <w:p w14:paraId="3656490A" w14:textId="77777777" w:rsidR="00E4007D" w:rsidRDefault="00A134ED" w:rsidP="00612799">
      <w:pPr>
        <w:rPr>
          <w:rFonts w:cs="Arial"/>
        </w:rPr>
      </w:pPr>
      <w:r>
        <w:rPr>
          <w:rFonts w:cs="Arial"/>
        </w:rPr>
        <w:t xml:space="preserve">The US EPA </w:t>
      </w:r>
      <w:r w:rsidR="001D6B62">
        <w:rPr>
          <w:rFonts w:cs="Arial"/>
        </w:rPr>
        <w:t xml:space="preserve">has </w:t>
      </w:r>
      <w:r>
        <w:rPr>
          <w:rFonts w:cs="Arial"/>
        </w:rPr>
        <w:t xml:space="preserve">compiled a database of empirical attenuation factors for chlorinated volatile organic compounds and residential buildings with indoor air concentrations paired with sub-slab gas, </w:t>
      </w:r>
      <w:r w:rsidR="00E4007D">
        <w:rPr>
          <w:rFonts w:cs="Arial"/>
        </w:rPr>
        <w:t>groundwater, external soil gas, or crawlspace concentrations.  Based on these analyses, the US EPA has recommended health protective attenuation factors (typically 95</w:t>
      </w:r>
      <w:r w:rsidR="00E4007D" w:rsidRPr="00E4007D">
        <w:rPr>
          <w:rFonts w:cs="Arial"/>
          <w:vertAlign w:val="superscript"/>
        </w:rPr>
        <w:t>th</w:t>
      </w:r>
      <w:r w:rsidR="00E4007D">
        <w:rPr>
          <w:rFonts w:cs="Arial"/>
        </w:rPr>
        <w:t>%) to aid rapid screening</w:t>
      </w:r>
      <w:r w:rsidR="001D6B62">
        <w:rPr>
          <w:rFonts w:cs="Arial"/>
        </w:rPr>
        <w:t>-in or screening-out of potential</w:t>
      </w:r>
      <w:r w:rsidR="00E4007D">
        <w:rPr>
          <w:rFonts w:cs="Arial"/>
        </w:rPr>
        <w:t xml:space="preserve"> vapour intrusion sites.</w:t>
      </w:r>
    </w:p>
    <w:p w14:paraId="5D7BE8D6" w14:textId="77777777" w:rsidR="00612799" w:rsidRDefault="0034180B" w:rsidP="00612799">
      <w:pPr>
        <w:rPr>
          <w:rFonts w:cs="Arial"/>
        </w:rPr>
      </w:pPr>
      <w:r>
        <w:rPr>
          <w:rFonts w:cs="Arial"/>
        </w:rPr>
        <w:t>Recommended vapour attenuation factors for risk-based screening of the vapour intrusion pathway (EPA 2015).</w:t>
      </w:r>
    </w:p>
    <w:tbl>
      <w:tblPr>
        <w:tblStyle w:val="TableGrid"/>
        <w:tblW w:w="0" w:type="auto"/>
        <w:tblLook w:val="04A0" w:firstRow="1" w:lastRow="0" w:firstColumn="1" w:lastColumn="0" w:noHBand="0" w:noVBand="1"/>
      </w:tblPr>
      <w:tblGrid>
        <w:gridCol w:w="4513"/>
        <w:gridCol w:w="4503"/>
      </w:tblGrid>
      <w:tr w:rsidR="0034180B" w14:paraId="3AC0077D" w14:textId="77777777" w:rsidTr="0034180B">
        <w:tc>
          <w:tcPr>
            <w:tcW w:w="4621" w:type="dxa"/>
          </w:tcPr>
          <w:p w14:paraId="513B110A" w14:textId="77777777" w:rsidR="0034180B" w:rsidRDefault="0034180B" w:rsidP="00612799">
            <w:pPr>
              <w:rPr>
                <w:rFonts w:cs="Arial"/>
              </w:rPr>
            </w:pPr>
            <w:r>
              <w:rPr>
                <w:rFonts w:cs="Arial"/>
              </w:rPr>
              <w:t>Sampling medium</w:t>
            </w:r>
          </w:p>
        </w:tc>
        <w:tc>
          <w:tcPr>
            <w:tcW w:w="4621" w:type="dxa"/>
          </w:tcPr>
          <w:p w14:paraId="652DF6F6" w14:textId="1EE5543A" w:rsidR="0034180B" w:rsidRDefault="003A590F" w:rsidP="00142163">
            <w:pPr>
              <w:jc w:val="center"/>
              <w:rPr>
                <w:rFonts w:cs="Arial"/>
              </w:rPr>
            </w:pPr>
            <w:r>
              <w:rPr>
                <w:rFonts w:cs="Arial"/>
              </w:rPr>
              <w:t>Sampling m</w:t>
            </w:r>
            <w:r w:rsidR="0034180B">
              <w:rPr>
                <w:rFonts w:cs="Arial"/>
              </w:rPr>
              <w:t>edium-specific Attenuation Factors for Residential Buildings</w:t>
            </w:r>
          </w:p>
        </w:tc>
      </w:tr>
      <w:tr w:rsidR="0034180B" w14:paraId="2D0A7204" w14:textId="77777777" w:rsidTr="0034180B">
        <w:tc>
          <w:tcPr>
            <w:tcW w:w="4621" w:type="dxa"/>
          </w:tcPr>
          <w:p w14:paraId="5CAB66DA" w14:textId="77777777" w:rsidR="0034180B" w:rsidRDefault="001D6B62" w:rsidP="00612799">
            <w:pPr>
              <w:rPr>
                <w:rFonts w:cs="Arial"/>
              </w:rPr>
            </w:pPr>
            <w:r w:rsidRPr="00A739C0">
              <w:rPr>
                <w:rFonts w:cs="Arial"/>
                <w:b/>
              </w:rPr>
              <w:t>Groundwater</w:t>
            </w:r>
            <w:r>
              <w:rPr>
                <w:rFonts w:cs="Arial"/>
              </w:rPr>
              <w:t>, generic value, does not apply for shallow water tables (less than 5 feet below foundation) or presence of preferential vapo</w:t>
            </w:r>
            <w:r w:rsidR="00142163">
              <w:rPr>
                <w:rFonts w:cs="Arial"/>
              </w:rPr>
              <w:t>u</w:t>
            </w:r>
            <w:r>
              <w:rPr>
                <w:rFonts w:cs="Arial"/>
              </w:rPr>
              <w:t>r migration routes in the vadose zone soils.</w:t>
            </w:r>
          </w:p>
        </w:tc>
        <w:tc>
          <w:tcPr>
            <w:tcW w:w="4621" w:type="dxa"/>
          </w:tcPr>
          <w:p w14:paraId="19E4DF14" w14:textId="77777777" w:rsidR="0034180B" w:rsidRDefault="001D6B62" w:rsidP="00142163">
            <w:pPr>
              <w:jc w:val="center"/>
              <w:rPr>
                <w:rFonts w:cs="Arial"/>
              </w:rPr>
            </w:pPr>
            <w:r>
              <w:rPr>
                <w:rFonts w:cs="Arial"/>
              </w:rPr>
              <w:t>1E-03 (0.001)</w:t>
            </w:r>
          </w:p>
        </w:tc>
      </w:tr>
      <w:tr w:rsidR="0034180B" w14:paraId="674888D6" w14:textId="77777777" w:rsidTr="0034180B">
        <w:tc>
          <w:tcPr>
            <w:tcW w:w="4621" w:type="dxa"/>
          </w:tcPr>
          <w:p w14:paraId="35612E95" w14:textId="77777777" w:rsidR="0034180B" w:rsidRDefault="00A739C0" w:rsidP="00612799">
            <w:pPr>
              <w:rPr>
                <w:rFonts w:cs="Arial"/>
              </w:rPr>
            </w:pPr>
            <w:proofErr w:type="spellStart"/>
            <w:r w:rsidRPr="00A739C0">
              <w:rPr>
                <w:rFonts w:cs="Arial"/>
                <w:b/>
              </w:rPr>
              <w:t>Subslab</w:t>
            </w:r>
            <w:proofErr w:type="spellEnd"/>
            <w:r w:rsidRPr="00A739C0">
              <w:rPr>
                <w:rFonts w:cs="Arial"/>
                <w:b/>
              </w:rPr>
              <w:t xml:space="preserve"> soil gas</w:t>
            </w:r>
            <w:r>
              <w:rPr>
                <w:rFonts w:cs="Arial"/>
              </w:rPr>
              <w:t>, generic value</w:t>
            </w:r>
          </w:p>
        </w:tc>
        <w:tc>
          <w:tcPr>
            <w:tcW w:w="4621" w:type="dxa"/>
          </w:tcPr>
          <w:p w14:paraId="4CF74DB3" w14:textId="77777777" w:rsidR="0034180B" w:rsidRDefault="00A739C0" w:rsidP="00142163">
            <w:pPr>
              <w:jc w:val="center"/>
              <w:rPr>
                <w:rFonts w:cs="Arial"/>
              </w:rPr>
            </w:pPr>
            <w:r>
              <w:rPr>
                <w:rFonts w:cs="Arial"/>
              </w:rPr>
              <w:t>3E-02 (0.03)</w:t>
            </w:r>
          </w:p>
        </w:tc>
      </w:tr>
      <w:tr w:rsidR="0034180B" w14:paraId="3C8741C1" w14:textId="77777777" w:rsidTr="0034180B">
        <w:tc>
          <w:tcPr>
            <w:tcW w:w="4621" w:type="dxa"/>
          </w:tcPr>
          <w:p w14:paraId="5197E89F" w14:textId="77777777" w:rsidR="0034180B" w:rsidRDefault="00A739C0" w:rsidP="00612799">
            <w:pPr>
              <w:rPr>
                <w:rFonts w:cs="Arial"/>
              </w:rPr>
            </w:pPr>
            <w:r w:rsidRPr="00A739C0">
              <w:rPr>
                <w:rFonts w:cs="Arial"/>
                <w:b/>
              </w:rPr>
              <w:t>“Near source” exterior soil gas</w:t>
            </w:r>
            <w:r>
              <w:rPr>
                <w:rFonts w:cs="Arial"/>
              </w:rPr>
              <w:t>, generic value does not apply for sources in the vadose zone (less than 5 feet below foundation) or presence of routes for preferential vapour migration in vadose zone soils</w:t>
            </w:r>
          </w:p>
        </w:tc>
        <w:tc>
          <w:tcPr>
            <w:tcW w:w="4621" w:type="dxa"/>
          </w:tcPr>
          <w:p w14:paraId="72AF9120" w14:textId="77777777" w:rsidR="0034180B" w:rsidRDefault="00A739C0" w:rsidP="00142163">
            <w:pPr>
              <w:jc w:val="center"/>
              <w:rPr>
                <w:rFonts w:cs="Arial"/>
              </w:rPr>
            </w:pPr>
            <w:r>
              <w:rPr>
                <w:rFonts w:cs="Arial"/>
              </w:rPr>
              <w:t>3E-02 (0.03)</w:t>
            </w:r>
          </w:p>
        </w:tc>
      </w:tr>
      <w:tr w:rsidR="0034180B" w14:paraId="2098658E" w14:textId="77777777" w:rsidTr="0034180B">
        <w:tc>
          <w:tcPr>
            <w:tcW w:w="4621" w:type="dxa"/>
          </w:tcPr>
          <w:p w14:paraId="07302062" w14:textId="77777777" w:rsidR="0034180B" w:rsidRDefault="00A739C0" w:rsidP="00612799">
            <w:pPr>
              <w:rPr>
                <w:rFonts w:cs="Arial"/>
              </w:rPr>
            </w:pPr>
            <w:r w:rsidRPr="00A739C0">
              <w:rPr>
                <w:rFonts w:cs="Arial"/>
                <w:b/>
              </w:rPr>
              <w:t>Crawl space air</w:t>
            </w:r>
            <w:r>
              <w:rPr>
                <w:rFonts w:cs="Arial"/>
              </w:rPr>
              <w:t>, generic value</w:t>
            </w:r>
          </w:p>
        </w:tc>
        <w:tc>
          <w:tcPr>
            <w:tcW w:w="4621" w:type="dxa"/>
          </w:tcPr>
          <w:p w14:paraId="2F29CC9B" w14:textId="117E5D98" w:rsidR="0034180B" w:rsidRDefault="00A739C0" w:rsidP="00142163">
            <w:pPr>
              <w:jc w:val="center"/>
              <w:rPr>
                <w:rFonts w:cs="Arial"/>
              </w:rPr>
            </w:pPr>
            <w:r w:rsidRPr="1B8E3354">
              <w:rPr>
                <w:rFonts w:cs="Arial"/>
              </w:rPr>
              <w:t>1E</w:t>
            </w:r>
            <w:r w:rsidR="2E071F51" w:rsidRPr="1B8E3354">
              <w:rPr>
                <w:rFonts w:cs="Arial"/>
              </w:rPr>
              <w:t>-</w:t>
            </w:r>
            <w:r w:rsidRPr="1B8E3354">
              <w:rPr>
                <w:rFonts w:cs="Arial"/>
              </w:rPr>
              <w:t>00</w:t>
            </w:r>
            <w:r>
              <w:rPr>
                <w:rFonts w:cs="Arial"/>
              </w:rPr>
              <w:t xml:space="preserve"> (1.0)</w:t>
            </w:r>
          </w:p>
        </w:tc>
      </w:tr>
    </w:tbl>
    <w:p w14:paraId="53128261" w14:textId="77777777" w:rsidR="0034180B" w:rsidRPr="00AB0E94" w:rsidRDefault="0034180B" w:rsidP="00612799">
      <w:pPr>
        <w:rPr>
          <w:rFonts w:cs="Arial"/>
        </w:rPr>
      </w:pPr>
    </w:p>
    <w:p w14:paraId="1299C43A" w14:textId="7B793CFA" w:rsidR="00A739C0" w:rsidRPr="00A739C0" w:rsidRDefault="0034180B" w:rsidP="00270C52">
      <w:r>
        <w:t xml:space="preserve">For further information on the use of attenuation factors in </w:t>
      </w:r>
      <w:r w:rsidR="00F3271D">
        <w:t>risk-based</w:t>
      </w:r>
      <w:r>
        <w:t xml:space="preserve"> screening s</w:t>
      </w:r>
      <w:r w:rsidR="00612799">
        <w:t xml:space="preserve">ee </w:t>
      </w:r>
      <w:r w:rsidR="00F3271D">
        <w:t>A</w:t>
      </w:r>
      <w:r w:rsidR="00612799">
        <w:t xml:space="preserve">ttachment </w:t>
      </w:r>
      <w:r w:rsidR="00F3271D">
        <w:t xml:space="preserve">5 </w:t>
      </w:r>
      <w:r w:rsidR="00612799">
        <w:t>“</w:t>
      </w:r>
      <w:r w:rsidR="00612799" w:rsidRPr="00E4007D">
        <w:rPr>
          <w:i/>
        </w:rPr>
        <w:t>Calculating Indicative Groundwater and Soil Gas Levels using generic attenuation factors for a given toxicity reference value (example)</w:t>
      </w:r>
      <w:r w:rsidR="00612799">
        <w:t>”</w:t>
      </w:r>
    </w:p>
    <w:p w14:paraId="4DDBEF00" w14:textId="767EF059" w:rsidR="00BA0DB6" w:rsidRDefault="002B46DE" w:rsidP="009C56F1">
      <w:pPr>
        <w:pStyle w:val="Heading2"/>
      </w:pPr>
      <w:bookmarkStart w:id="15" w:name="_Toc153277255"/>
      <w:r>
        <w:t>Public health evaluation</w:t>
      </w:r>
      <w:bookmarkEnd w:id="15"/>
    </w:p>
    <w:p w14:paraId="3C9639A2" w14:textId="77777777" w:rsidR="002B46DE" w:rsidRDefault="00376AF5" w:rsidP="002B46DE">
      <w:r>
        <w:t>Some key areas that are essential in providing a robust public health evaluation that may not be routinely included in an environmental investigation are:</w:t>
      </w:r>
    </w:p>
    <w:p w14:paraId="7274DFC8" w14:textId="77777777" w:rsidR="00376AF5" w:rsidRDefault="002B46DE" w:rsidP="00376AF5">
      <w:pPr>
        <w:pStyle w:val="ListParagraph"/>
        <w:numPr>
          <w:ilvl w:val="0"/>
          <w:numId w:val="15"/>
        </w:numPr>
        <w:spacing w:after="200" w:line="276" w:lineRule="auto"/>
      </w:pPr>
      <w:r>
        <w:t>Indoor contaminant concentrations from vapour intrusion depend on site-specific and building specific factors</w:t>
      </w:r>
      <w:r w:rsidR="00376AF5">
        <w:t xml:space="preserve"> including building age and quality, building type (</w:t>
      </w:r>
      <w:proofErr w:type="gramStart"/>
      <w:r w:rsidR="00376AF5">
        <w:t>e.g.</w:t>
      </w:r>
      <w:proofErr w:type="gramEnd"/>
      <w:r w:rsidR="00376AF5">
        <w:t xml:space="preserve"> slab on ground or crawl space, cellars) and type of ventilation.</w:t>
      </w:r>
    </w:p>
    <w:p w14:paraId="24B90E5F" w14:textId="77777777" w:rsidR="002B46DE" w:rsidRDefault="002B46DE" w:rsidP="00376AF5">
      <w:pPr>
        <w:pStyle w:val="ListParagraph"/>
        <w:numPr>
          <w:ilvl w:val="0"/>
          <w:numId w:val="15"/>
        </w:numPr>
        <w:spacing w:after="200" w:line="276" w:lineRule="auto"/>
      </w:pPr>
      <w:r>
        <w:t xml:space="preserve">For temporal variability for chronic health concerns, multiple samples should be collected over multiple seasons.  </w:t>
      </w:r>
      <w:r w:rsidR="00376AF5">
        <w:t>This will not only account for environmental variation but also variations in how buildings are used across seasons (</w:t>
      </w:r>
      <w:proofErr w:type="gramStart"/>
      <w:r w:rsidR="00376AF5">
        <w:t>e.g.</w:t>
      </w:r>
      <w:proofErr w:type="gramEnd"/>
      <w:r w:rsidR="00376AF5">
        <w:t xml:space="preserve"> reduction in external ventilation in winter months due to closing of windows and doors).</w:t>
      </w:r>
    </w:p>
    <w:p w14:paraId="23E14FA2" w14:textId="77777777" w:rsidR="002B46DE" w:rsidRDefault="002B46DE" w:rsidP="002B46DE">
      <w:pPr>
        <w:pStyle w:val="ListParagraph"/>
        <w:numPr>
          <w:ilvl w:val="0"/>
          <w:numId w:val="15"/>
        </w:numPr>
        <w:spacing w:after="200" w:line="276" w:lineRule="auto"/>
      </w:pPr>
      <w:r>
        <w:t>For contaminants with potential health effects from short-term exposures more rapid decisions making is often appropriate.</w:t>
      </w:r>
    </w:p>
    <w:p w14:paraId="3461D779" w14:textId="069A003D" w:rsidR="00376AF5" w:rsidRDefault="00376AF5" w:rsidP="007B2597">
      <w:pPr>
        <w:pStyle w:val="ListParagraph"/>
        <w:numPr>
          <w:ilvl w:val="0"/>
          <w:numId w:val="15"/>
        </w:numPr>
        <w:spacing w:after="200" w:line="276" w:lineRule="auto"/>
      </w:pPr>
      <w:r>
        <w:lastRenderedPageBreak/>
        <w:t>Demographics of building occupants (</w:t>
      </w:r>
      <w:proofErr w:type="gramStart"/>
      <w:r>
        <w:t>e.g.</w:t>
      </w:r>
      <w:proofErr w:type="gramEnd"/>
      <w:r>
        <w:t xml:space="preserve"> women of child bearing age, children)</w:t>
      </w:r>
      <w:r w:rsidR="002B46DE">
        <w:t>.</w:t>
      </w:r>
    </w:p>
    <w:p w14:paraId="7C810984" w14:textId="58BD593B" w:rsidR="002263FB" w:rsidRDefault="002B46DE" w:rsidP="007B2597">
      <w:pPr>
        <w:spacing w:after="200" w:line="276" w:lineRule="auto"/>
      </w:pPr>
      <w:r>
        <w:t>Inhalational health-based guidance levels and stratification into action levels can inform site prioritisation and regulatory decision making</w:t>
      </w:r>
      <w:r w:rsidR="00270C52">
        <w:t>.</w:t>
      </w:r>
    </w:p>
    <w:p w14:paraId="0FB78278" w14:textId="07D1331D" w:rsidR="002B46DE" w:rsidRDefault="002263FB" w:rsidP="00270C52">
      <w:pPr>
        <w:spacing w:after="0" w:line="240" w:lineRule="auto"/>
      </w:pPr>
      <w:r>
        <w:br w:type="page"/>
      </w:r>
    </w:p>
    <w:p w14:paraId="7151C69F" w14:textId="77777777" w:rsidR="00666CA6" w:rsidRDefault="00666CA6" w:rsidP="00666CA6">
      <w:pPr>
        <w:pStyle w:val="Heading2"/>
      </w:pPr>
      <w:bookmarkStart w:id="16" w:name="_Toc153277256"/>
      <w:r>
        <w:lastRenderedPageBreak/>
        <w:t>Attachments</w:t>
      </w:r>
      <w:bookmarkEnd w:id="16"/>
    </w:p>
    <w:p w14:paraId="07984402" w14:textId="77777777" w:rsidR="005F069E" w:rsidRDefault="00612799" w:rsidP="00EC2795">
      <w:r>
        <w:t>1</w:t>
      </w:r>
      <w:r w:rsidR="00EC2795">
        <w:t xml:space="preserve">. </w:t>
      </w:r>
      <w:r w:rsidR="005F069E">
        <w:t>Qualitative Descriptors of Health Risk Used to Establish Action and Screening Levels – Carcinogen</w:t>
      </w:r>
      <w:r w:rsidR="006F7C6F">
        <w:t xml:space="preserve"> (example)</w:t>
      </w:r>
    </w:p>
    <w:p w14:paraId="17F07369" w14:textId="77777777" w:rsidR="005F069E" w:rsidRDefault="00612799" w:rsidP="00EC2795">
      <w:r>
        <w:t>2</w:t>
      </w:r>
      <w:r w:rsidR="00EC2795">
        <w:t xml:space="preserve">. </w:t>
      </w:r>
      <w:r w:rsidR="005F069E">
        <w:t>Qualitative Descriptors of Health Risk Used to Establish Action and Screening Levels – Non-carcinogen</w:t>
      </w:r>
      <w:r w:rsidR="006F7C6F">
        <w:t xml:space="preserve"> (example)</w:t>
      </w:r>
    </w:p>
    <w:p w14:paraId="6D0F05F5" w14:textId="77777777" w:rsidR="005F069E" w:rsidRDefault="00612799" w:rsidP="00EC2795">
      <w:r>
        <w:t>3</w:t>
      </w:r>
      <w:r w:rsidR="00EC2795">
        <w:t xml:space="preserve">. </w:t>
      </w:r>
      <w:r w:rsidR="005F069E">
        <w:t>Indoor Air Levels Action Framework – Carcinogen (example)</w:t>
      </w:r>
    </w:p>
    <w:p w14:paraId="546B8E44" w14:textId="77777777" w:rsidR="005F069E" w:rsidRDefault="00612799" w:rsidP="00EC2795">
      <w:r>
        <w:t>4</w:t>
      </w:r>
      <w:r w:rsidR="00EC2795">
        <w:t xml:space="preserve">. </w:t>
      </w:r>
      <w:r w:rsidR="005F069E">
        <w:t>Indoor Air Levels Action Framework – Non-carcinogen (example)</w:t>
      </w:r>
    </w:p>
    <w:p w14:paraId="54EBEE15" w14:textId="77777777" w:rsidR="005F069E" w:rsidRDefault="00612799" w:rsidP="005F069E">
      <w:r>
        <w:t>5</w:t>
      </w:r>
      <w:r w:rsidR="00EC2795">
        <w:t xml:space="preserve">. </w:t>
      </w:r>
      <w:r w:rsidR="00027622">
        <w:t>Calculating Indicative Groundwater and Soil Gas Levels using generic attenuation factors for a given toxicity reference value (example)</w:t>
      </w:r>
    </w:p>
    <w:p w14:paraId="1FC39945" w14:textId="77777777" w:rsidR="005F069E" w:rsidRPr="00666CA6" w:rsidRDefault="005F069E" w:rsidP="00666CA6"/>
    <w:p w14:paraId="0562CB0E" w14:textId="77777777" w:rsidR="002B46DE" w:rsidRDefault="002B46DE" w:rsidP="009F653D"/>
    <w:p w14:paraId="34CE0A41" w14:textId="67549D13" w:rsidR="00C0549F" w:rsidRDefault="006F7C6F" w:rsidP="00A710C4">
      <w:r>
        <w:br w:type="page"/>
      </w:r>
    </w:p>
    <w:p w14:paraId="341ADBBD" w14:textId="77777777" w:rsidR="0042628C" w:rsidRDefault="0042628C" w:rsidP="00A710C4"/>
    <w:p w14:paraId="62EBF3C5" w14:textId="38B02366" w:rsidR="00D21089" w:rsidRDefault="00AB0E94" w:rsidP="00D21089">
      <w:pPr>
        <w:pStyle w:val="Heading3"/>
        <w:numPr>
          <w:ilvl w:val="0"/>
          <w:numId w:val="22"/>
        </w:numPr>
      </w:pPr>
      <w:bookmarkStart w:id="17" w:name="_Toc153277257"/>
      <w:r>
        <w:t>Qualitative Descriptors of Health Risk Used to Establish Action and Screening Levels – Carcinogen (example)</w:t>
      </w:r>
      <w:bookmarkEnd w:id="17"/>
    </w:p>
    <w:p w14:paraId="3C0D3D5A" w14:textId="56C59D32" w:rsidR="00D21089" w:rsidRPr="002A7DB0" w:rsidRDefault="00D21089" w:rsidP="00D21089">
      <w:r w:rsidRPr="002A7DB0">
        <w:t>Increased cancer risks were estimated by using site-specific information on exposure levels for the contaminant of concern and interpreting them using cancer potency estimates derived for that contaminant. The following qualitative ranking of cancer risk e</w:t>
      </w:r>
      <w:r>
        <w:t>stimates are</w:t>
      </w:r>
      <w:r w:rsidRPr="002A7DB0">
        <w:t xml:space="preserve"> then used to rank the risk from very low to very high. For example, if the qualitative descriptor was "low," then the excess lifetime cancer risk from that exposure is in the range of greater than one per </w:t>
      </w:r>
      <w:r w:rsidR="07C9BEAD">
        <w:t xml:space="preserve">hundred thousand </w:t>
      </w:r>
      <w:r w:rsidRPr="002A7DB0">
        <w:t xml:space="preserve">to less than one per ten thousand. Other qualitative descriptors are listed below: </w:t>
      </w:r>
    </w:p>
    <w:p w14:paraId="6D98A12B" w14:textId="77777777" w:rsidR="00D21089" w:rsidRDefault="00D21089" w:rsidP="00D21089">
      <w:pPr>
        <w:rPr>
          <w:u w:val="single"/>
        </w:rPr>
      </w:pPr>
    </w:p>
    <w:p w14:paraId="7BE09A84" w14:textId="5188BFC8" w:rsidR="00D21089" w:rsidRDefault="00D21089" w:rsidP="00D21089">
      <w:pPr>
        <w:jc w:val="center"/>
        <w:rPr>
          <w:u w:val="single"/>
        </w:rPr>
      </w:pPr>
      <w:r w:rsidRPr="002A7DB0">
        <w:rPr>
          <w:u w:val="single"/>
        </w:rPr>
        <w:t>Qualitative Descriptors for Excess Lifetime Cancer Risk</w:t>
      </w:r>
    </w:p>
    <w:p w14:paraId="2946DB82" w14:textId="77777777" w:rsidR="00D21089" w:rsidRDefault="00D21089" w:rsidP="00D21089"/>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933DD7" w14:paraId="3CD3FD65" w14:textId="77777777" w:rsidTr="001870FF">
        <w:tc>
          <w:tcPr>
            <w:tcW w:w="2840" w:type="dxa"/>
            <w:shd w:val="clear" w:color="auto" w:fill="auto"/>
          </w:tcPr>
          <w:p w14:paraId="4300D895" w14:textId="06323A4B" w:rsidR="00D21089" w:rsidRDefault="00D21089" w:rsidP="001870FF">
            <w:r>
              <w:t>Risk ratio</w:t>
            </w:r>
          </w:p>
        </w:tc>
        <w:tc>
          <w:tcPr>
            <w:tcW w:w="2841" w:type="dxa"/>
            <w:shd w:val="clear" w:color="auto" w:fill="auto"/>
          </w:tcPr>
          <w:p w14:paraId="316154B9" w14:textId="7166C044" w:rsidR="00D21089" w:rsidRDefault="00D21089" w:rsidP="001870FF">
            <w:r>
              <w:t>Qualitative Descriptor</w:t>
            </w:r>
            <w:r w:rsidR="0E305511">
              <w:t xml:space="preserve"> of risk</w:t>
            </w:r>
          </w:p>
        </w:tc>
        <w:tc>
          <w:tcPr>
            <w:tcW w:w="2841" w:type="dxa"/>
            <w:shd w:val="clear" w:color="auto" w:fill="auto"/>
          </w:tcPr>
          <w:p w14:paraId="5CE446E2" w14:textId="77777777" w:rsidR="00D21089" w:rsidRDefault="00D21089" w:rsidP="001870FF">
            <w:r>
              <w:t>Action</w:t>
            </w:r>
          </w:p>
        </w:tc>
      </w:tr>
      <w:tr w:rsidR="00F3271D" w14:paraId="4017C233" w14:textId="77777777" w:rsidTr="001870FF">
        <w:tc>
          <w:tcPr>
            <w:tcW w:w="2840" w:type="dxa"/>
            <w:shd w:val="clear" w:color="auto" w:fill="auto"/>
          </w:tcPr>
          <w:p w14:paraId="40426B79" w14:textId="78854206" w:rsidR="00F3271D" w:rsidRDefault="00F3271D" w:rsidP="001870FF">
            <w:r>
              <w:t>Equal to or less than 1 x 10</w:t>
            </w:r>
            <w:r w:rsidRPr="001870FF">
              <w:rPr>
                <w:vertAlign w:val="superscript"/>
              </w:rPr>
              <w:t>-</w:t>
            </w:r>
            <w:r>
              <w:rPr>
                <w:vertAlign w:val="superscript"/>
              </w:rPr>
              <w:t>6</w:t>
            </w:r>
          </w:p>
        </w:tc>
        <w:tc>
          <w:tcPr>
            <w:tcW w:w="2841" w:type="dxa"/>
            <w:shd w:val="clear" w:color="auto" w:fill="auto"/>
          </w:tcPr>
          <w:p w14:paraId="4F21D327" w14:textId="634AB66D" w:rsidR="00F3271D" w:rsidRDefault="00F3271D" w:rsidP="001870FF">
            <w:r>
              <w:t>Neg</w:t>
            </w:r>
            <w:r w:rsidR="00C24AA8">
              <w:t>lig</w:t>
            </w:r>
            <w:r>
              <w:t>ible</w:t>
            </w:r>
          </w:p>
        </w:tc>
        <w:tc>
          <w:tcPr>
            <w:tcW w:w="2841" w:type="dxa"/>
            <w:shd w:val="clear" w:color="auto" w:fill="auto"/>
          </w:tcPr>
          <w:p w14:paraId="5FAE62F9" w14:textId="419358A5" w:rsidR="00F3271D" w:rsidRDefault="00C24AA8" w:rsidP="001870FF">
            <w:r>
              <w:t>No action</w:t>
            </w:r>
          </w:p>
        </w:tc>
      </w:tr>
      <w:tr w:rsidR="00933DD7" w14:paraId="2CD7FBD9" w14:textId="77777777" w:rsidTr="001870FF">
        <w:tc>
          <w:tcPr>
            <w:tcW w:w="2840" w:type="dxa"/>
            <w:shd w:val="clear" w:color="auto" w:fill="auto"/>
          </w:tcPr>
          <w:p w14:paraId="3022BBDB" w14:textId="77777777" w:rsidR="00D21089" w:rsidRDefault="00D21089" w:rsidP="001870FF">
            <w:bookmarkStart w:id="18" w:name="_Hlk133411182"/>
            <w:r>
              <w:t>Equal to or less than 1 x 10</w:t>
            </w:r>
            <w:r w:rsidRPr="001870FF">
              <w:rPr>
                <w:vertAlign w:val="superscript"/>
              </w:rPr>
              <w:t>-5</w:t>
            </w:r>
            <w:bookmarkEnd w:id="18"/>
          </w:p>
        </w:tc>
        <w:tc>
          <w:tcPr>
            <w:tcW w:w="2841" w:type="dxa"/>
            <w:shd w:val="clear" w:color="auto" w:fill="auto"/>
          </w:tcPr>
          <w:p w14:paraId="4F37B18A" w14:textId="77777777" w:rsidR="00D21089" w:rsidRDefault="00D21089" w:rsidP="001870FF">
            <w:r>
              <w:t>Very Low</w:t>
            </w:r>
          </w:p>
        </w:tc>
        <w:tc>
          <w:tcPr>
            <w:tcW w:w="2841" w:type="dxa"/>
            <w:shd w:val="clear" w:color="auto" w:fill="auto"/>
          </w:tcPr>
          <w:p w14:paraId="72D1027A" w14:textId="77777777" w:rsidR="00D21089" w:rsidRDefault="00D21089" w:rsidP="001870FF">
            <w:r>
              <w:t>No action</w:t>
            </w:r>
          </w:p>
        </w:tc>
      </w:tr>
      <w:tr w:rsidR="00933DD7" w14:paraId="46CD0584" w14:textId="77777777" w:rsidTr="001870FF">
        <w:tc>
          <w:tcPr>
            <w:tcW w:w="2840" w:type="dxa"/>
            <w:shd w:val="clear" w:color="auto" w:fill="auto"/>
          </w:tcPr>
          <w:p w14:paraId="58A05C85" w14:textId="77777777" w:rsidR="00D21089" w:rsidRDefault="00D21089" w:rsidP="001870FF">
            <w:r>
              <w:t>Greater than 1 x 10</w:t>
            </w:r>
            <w:r w:rsidRPr="001870FF">
              <w:rPr>
                <w:vertAlign w:val="superscript"/>
              </w:rPr>
              <w:t>-5</w:t>
            </w:r>
            <w:r>
              <w:t xml:space="preserve"> and less than 1 x 10</w:t>
            </w:r>
            <w:r w:rsidRPr="001870FF">
              <w:rPr>
                <w:vertAlign w:val="superscript"/>
              </w:rPr>
              <w:t>-4</w:t>
            </w:r>
          </w:p>
        </w:tc>
        <w:tc>
          <w:tcPr>
            <w:tcW w:w="2841" w:type="dxa"/>
            <w:shd w:val="clear" w:color="auto" w:fill="auto"/>
          </w:tcPr>
          <w:p w14:paraId="1E16C85B" w14:textId="77777777" w:rsidR="00D21089" w:rsidRDefault="00D21089" w:rsidP="001870FF">
            <w:r>
              <w:t>Low</w:t>
            </w:r>
          </w:p>
        </w:tc>
        <w:tc>
          <w:tcPr>
            <w:tcW w:w="2841" w:type="dxa"/>
            <w:shd w:val="clear" w:color="auto" w:fill="auto"/>
          </w:tcPr>
          <w:p w14:paraId="7653E61A" w14:textId="4D4239FB" w:rsidR="00D21089" w:rsidRDefault="00D21089" w:rsidP="001870FF">
            <w:r>
              <w:t>Investigate</w:t>
            </w:r>
          </w:p>
          <w:p w14:paraId="6D717DD9" w14:textId="0CF3B3ED" w:rsidR="00D21089" w:rsidRDefault="08732686" w:rsidP="001870FF">
            <w:r>
              <w:t>Mitigate on a case-by-case basis</w:t>
            </w:r>
          </w:p>
        </w:tc>
      </w:tr>
      <w:tr w:rsidR="00933DD7" w14:paraId="63F45A40" w14:textId="77777777" w:rsidTr="001870FF">
        <w:tc>
          <w:tcPr>
            <w:tcW w:w="2840" w:type="dxa"/>
            <w:shd w:val="clear" w:color="auto" w:fill="auto"/>
          </w:tcPr>
          <w:p w14:paraId="3F746774" w14:textId="77777777" w:rsidR="00D21089" w:rsidRDefault="00D21089" w:rsidP="001870FF">
            <w:r>
              <w:t>Greater than 1 x 10</w:t>
            </w:r>
            <w:r w:rsidRPr="001870FF">
              <w:rPr>
                <w:vertAlign w:val="superscript"/>
              </w:rPr>
              <w:t>-4</w:t>
            </w:r>
            <w:r>
              <w:t xml:space="preserve"> and less than 1 x 10</w:t>
            </w:r>
            <w:r w:rsidRPr="001870FF">
              <w:rPr>
                <w:vertAlign w:val="superscript"/>
              </w:rPr>
              <w:t>-3</w:t>
            </w:r>
          </w:p>
        </w:tc>
        <w:tc>
          <w:tcPr>
            <w:tcW w:w="2841" w:type="dxa"/>
            <w:shd w:val="clear" w:color="auto" w:fill="auto"/>
          </w:tcPr>
          <w:p w14:paraId="34B92B97" w14:textId="77777777" w:rsidR="00D21089" w:rsidRDefault="00D21089" w:rsidP="001870FF">
            <w:r>
              <w:t>Moderate</w:t>
            </w:r>
          </w:p>
        </w:tc>
        <w:tc>
          <w:tcPr>
            <w:tcW w:w="2841" w:type="dxa"/>
            <w:shd w:val="clear" w:color="auto" w:fill="auto"/>
          </w:tcPr>
          <w:p w14:paraId="5FB4D165" w14:textId="2B2352C6" w:rsidR="00D21089" w:rsidRDefault="00DF5356" w:rsidP="001870FF">
            <w:r>
              <w:t xml:space="preserve">Immediate intervention </w:t>
            </w:r>
            <w:r w:rsidR="00D21089">
              <w:t>Mitigate</w:t>
            </w:r>
          </w:p>
        </w:tc>
      </w:tr>
      <w:tr w:rsidR="00933DD7" w14:paraId="08CE0551" w14:textId="77777777" w:rsidTr="001870FF">
        <w:tc>
          <w:tcPr>
            <w:tcW w:w="2840" w:type="dxa"/>
            <w:shd w:val="clear" w:color="auto" w:fill="auto"/>
          </w:tcPr>
          <w:p w14:paraId="010D91EB" w14:textId="77777777" w:rsidR="00D21089" w:rsidRDefault="00D21089" w:rsidP="001870FF">
            <w:r>
              <w:t>Greater than 1 x 10</w:t>
            </w:r>
            <w:r w:rsidRPr="001870FF">
              <w:rPr>
                <w:vertAlign w:val="superscript"/>
              </w:rPr>
              <w:t>-3</w:t>
            </w:r>
            <w:r>
              <w:t xml:space="preserve"> and less than 1 x10</w:t>
            </w:r>
            <w:r w:rsidRPr="001870FF">
              <w:rPr>
                <w:vertAlign w:val="superscript"/>
              </w:rPr>
              <w:t>-1</w:t>
            </w:r>
          </w:p>
        </w:tc>
        <w:tc>
          <w:tcPr>
            <w:tcW w:w="2841" w:type="dxa"/>
            <w:shd w:val="clear" w:color="auto" w:fill="auto"/>
          </w:tcPr>
          <w:p w14:paraId="7E177962" w14:textId="77777777" w:rsidR="00D21089" w:rsidRDefault="00D21089" w:rsidP="001870FF">
            <w:r>
              <w:t>High</w:t>
            </w:r>
          </w:p>
        </w:tc>
        <w:tc>
          <w:tcPr>
            <w:tcW w:w="2841" w:type="dxa"/>
            <w:shd w:val="clear" w:color="auto" w:fill="auto"/>
          </w:tcPr>
          <w:p w14:paraId="7367B33D" w14:textId="00624335" w:rsidR="00D21089" w:rsidRDefault="00DF5356" w:rsidP="001870FF">
            <w:r>
              <w:t xml:space="preserve">Accelerated intervention </w:t>
            </w:r>
            <w:r w:rsidR="00D21089">
              <w:t>Mitigate and consider relocat</w:t>
            </w:r>
            <w:r w:rsidR="553400B2">
              <w:t>ion</w:t>
            </w:r>
          </w:p>
        </w:tc>
      </w:tr>
      <w:tr w:rsidR="00933DD7" w14:paraId="0B537FD1" w14:textId="77777777" w:rsidTr="001870FF">
        <w:tc>
          <w:tcPr>
            <w:tcW w:w="2840" w:type="dxa"/>
            <w:shd w:val="clear" w:color="auto" w:fill="auto"/>
          </w:tcPr>
          <w:p w14:paraId="72DC1696" w14:textId="77777777" w:rsidR="00D21089" w:rsidRDefault="00D21089" w:rsidP="001870FF">
            <w:r>
              <w:t>Equal to or greater than 1 x 10</w:t>
            </w:r>
            <w:r w:rsidRPr="001870FF">
              <w:rPr>
                <w:vertAlign w:val="superscript"/>
              </w:rPr>
              <w:t>-1</w:t>
            </w:r>
          </w:p>
        </w:tc>
        <w:tc>
          <w:tcPr>
            <w:tcW w:w="2841" w:type="dxa"/>
            <w:shd w:val="clear" w:color="auto" w:fill="auto"/>
          </w:tcPr>
          <w:p w14:paraId="2B4D6EB9" w14:textId="77777777" w:rsidR="00D21089" w:rsidRDefault="00D21089" w:rsidP="001870FF">
            <w:r>
              <w:t>Very High</w:t>
            </w:r>
          </w:p>
        </w:tc>
        <w:tc>
          <w:tcPr>
            <w:tcW w:w="2841" w:type="dxa"/>
            <w:shd w:val="clear" w:color="auto" w:fill="auto"/>
          </w:tcPr>
          <w:p w14:paraId="0975C6E3" w14:textId="77C05ACA" w:rsidR="00D21089" w:rsidRDefault="00DF5356" w:rsidP="001870FF">
            <w:r>
              <w:t xml:space="preserve">Accelerated intervention </w:t>
            </w:r>
            <w:r w:rsidR="00D21089">
              <w:t>Mitigate and consider evacuat</w:t>
            </w:r>
            <w:r w:rsidR="752A5E27">
              <w:t>ion</w:t>
            </w:r>
          </w:p>
        </w:tc>
      </w:tr>
    </w:tbl>
    <w:p w14:paraId="5997CC1D" w14:textId="77777777" w:rsidR="00D21089" w:rsidRPr="004D6D4F" w:rsidRDefault="00D21089" w:rsidP="00D21089"/>
    <w:p w14:paraId="0580573C" w14:textId="77777777" w:rsidR="00D21089" w:rsidRPr="002A7DB0" w:rsidRDefault="00D21089" w:rsidP="00D21089">
      <w:r w:rsidRPr="002A7DB0">
        <w:t xml:space="preserve">An estimated increased excess lifetime cancer risk is not a specific estimate of expected cancers. Rather, it is a plausible upper-bound estimate of the probability that a person may develop cancer sometime in his or her lifetime following exposure to that contaminant. </w:t>
      </w:r>
    </w:p>
    <w:p w14:paraId="2D9AC190" w14:textId="35081FB7" w:rsidR="00DF5356" w:rsidRDefault="00D21089" w:rsidP="00D21089">
      <w:r w:rsidRPr="002A7DB0">
        <w:t xml:space="preserve">There is insufficient knowledge of cancer mechanisms to decide if there exists a level of exposure to a cancer-causing agent below which there is no risk of getting cancer, namely, a threshold level. Therefore, every exposure, no matter how low, to a cancer-causing compound is assumed to be associated with some increased risk. As the dose of a carcinogen decreases, the chance of developing cancer decreases, but each exposure is accompanied by some increased risk. </w:t>
      </w:r>
    </w:p>
    <w:p w14:paraId="0E59BFA8" w14:textId="7811C909" w:rsidR="00D21089" w:rsidRDefault="00D21089" w:rsidP="00D21089">
      <w:r>
        <w:t xml:space="preserve">The Assessment of Site Contamination NEPM Variation 2013 (the NEPM) states that a </w:t>
      </w:r>
      <w:r w:rsidRPr="002A7DB0">
        <w:t>one in one hundred thousand (10</w:t>
      </w:r>
      <w:r>
        <w:rPr>
          <w:vertAlign w:val="superscript"/>
        </w:rPr>
        <w:t>-5</w:t>
      </w:r>
      <w:r w:rsidRPr="002A7DB0">
        <w:t>) risk level is used as a starting point for analysis of remedial alter</w:t>
      </w:r>
      <w:r>
        <w:t xml:space="preserve">natives, </w:t>
      </w:r>
      <w:r w:rsidRPr="002A7DB0">
        <w:t>all other things being equal</w:t>
      </w:r>
      <w:r>
        <w:t>,</w:t>
      </w:r>
      <w:r w:rsidRPr="002A7DB0">
        <w:t xml:space="preserve"> </w:t>
      </w:r>
      <w:r>
        <w:t>associated with site contamination in Australia.</w:t>
      </w:r>
    </w:p>
    <w:p w14:paraId="22B25879" w14:textId="77777777" w:rsidR="009C56F1" w:rsidRDefault="009C56F1" w:rsidP="00D21089">
      <w:pPr>
        <w:rPr>
          <w:rFonts w:cs="Arial"/>
        </w:rPr>
      </w:pPr>
    </w:p>
    <w:p w14:paraId="1AE27607" w14:textId="00E9C189" w:rsidR="00C24AA8" w:rsidRDefault="00D21089" w:rsidP="00D21089">
      <w:pPr>
        <w:rPr>
          <w:rFonts w:cs="Arial"/>
        </w:rPr>
      </w:pPr>
      <w:r w:rsidRPr="00D21089">
        <w:rPr>
          <w:rFonts w:cs="Arial"/>
        </w:rPr>
        <w:lastRenderedPageBreak/>
        <w:t>While not stated in international guidance documents cancer risks greater than one in ten thousand (10</w:t>
      </w:r>
      <w:r w:rsidRPr="00D21089">
        <w:rPr>
          <w:rFonts w:cs="Arial"/>
          <w:vertAlign w:val="superscript"/>
        </w:rPr>
        <w:t>-4</w:t>
      </w:r>
      <w:r w:rsidRPr="00D21089">
        <w:rPr>
          <w:rFonts w:cs="Arial"/>
        </w:rPr>
        <w:t xml:space="preserve">), typically trigger actions to lower exposures. </w:t>
      </w:r>
    </w:p>
    <w:p w14:paraId="6E61FB82" w14:textId="670E3AD3" w:rsidR="00D21089" w:rsidRPr="00D21089" w:rsidRDefault="00C24AA8" w:rsidP="00D21089">
      <w:pPr>
        <w:rPr>
          <w:rFonts w:cs="Arial"/>
        </w:rPr>
      </w:pPr>
      <w:r>
        <w:rPr>
          <w:rFonts w:cs="Arial"/>
        </w:rPr>
        <w:t>W</w:t>
      </w:r>
      <w:r w:rsidR="00D21089" w:rsidRPr="00D21089">
        <w:rPr>
          <w:rFonts w:cs="Arial"/>
        </w:rPr>
        <w:t>hen cancer risk estimates are between one in one hundred thousand (10</w:t>
      </w:r>
      <w:r w:rsidR="00D21089" w:rsidRPr="00D21089">
        <w:rPr>
          <w:rFonts w:cs="Arial"/>
          <w:vertAlign w:val="superscript"/>
        </w:rPr>
        <w:t>-5</w:t>
      </w:r>
      <w:r w:rsidR="00D21089" w:rsidRPr="00D21089">
        <w:rPr>
          <w:rFonts w:cs="Arial"/>
        </w:rPr>
        <w:t>) and one in ten thousand (10</w:t>
      </w:r>
      <w:r w:rsidR="00D21089" w:rsidRPr="00D21089">
        <w:rPr>
          <w:rFonts w:cs="Arial"/>
          <w:vertAlign w:val="superscript"/>
        </w:rPr>
        <w:t>-4</w:t>
      </w:r>
      <w:r w:rsidR="00D21089" w:rsidRPr="00D21089">
        <w:rPr>
          <w:rFonts w:cs="Arial"/>
        </w:rPr>
        <w:t>), a risk management decision should be made on a case-by case basis whether or not to pursue risk reduction measures.</w:t>
      </w:r>
    </w:p>
    <w:p w14:paraId="642EF249" w14:textId="5E8ECE4F" w:rsidR="009C56F1" w:rsidRDefault="00D21089" w:rsidP="00270C52">
      <w:pPr>
        <w:rPr>
          <w:rFonts w:cs="Arial"/>
        </w:rPr>
      </w:pPr>
      <w:r w:rsidRPr="00D21089">
        <w:rPr>
          <w:rFonts w:cs="Arial"/>
        </w:rPr>
        <w:t>The ultimate risk management decision should consider judgments on not only the strength of the scientific evidence regarding carcinogenicity, but also the actual potential for chronic or lifetime exposure, other sources and levels of everyday exposure, our ability to detect the chemical, the availability and costs of risk reduction options, the societal benefits of the regulated activity, compliance with existing regulations, and, in many cases, the risks, benefits and costs of alternatives.</w:t>
      </w:r>
      <w:bookmarkStart w:id="19" w:name="_Toc153277258"/>
    </w:p>
    <w:p w14:paraId="7ADF7445" w14:textId="77777777" w:rsidR="00270C52" w:rsidRPr="00270C52" w:rsidRDefault="00270C52" w:rsidP="00270C52">
      <w:pPr>
        <w:rPr>
          <w:rFonts w:cs="Arial"/>
        </w:rPr>
      </w:pPr>
    </w:p>
    <w:p w14:paraId="3FE9F23F" w14:textId="76DEA976" w:rsidR="00D21089" w:rsidRPr="00270C52" w:rsidRDefault="00D21089" w:rsidP="00D21089">
      <w:pPr>
        <w:pStyle w:val="Heading3"/>
        <w:numPr>
          <w:ilvl w:val="0"/>
          <w:numId w:val="22"/>
        </w:numPr>
      </w:pPr>
      <w:r>
        <w:t>Qualitative Descriptors of Health Risk Used to Establish Action and Screening Levels – Non-carcinogen (example)</w:t>
      </w:r>
      <w:bookmarkEnd w:id="19"/>
    </w:p>
    <w:p w14:paraId="7F936DC5" w14:textId="77777777" w:rsidR="00D21089" w:rsidRDefault="00D21089" w:rsidP="00D21089">
      <w:pPr>
        <w:rPr>
          <w:rFonts w:cs="Arial"/>
        </w:rPr>
      </w:pPr>
      <w:r w:rsidRPr="00D21089">
        <w:rPr>
          <w:rFonts w:cs="Arial"/>
        </w:rPr>
        <w:t xml:space="preserve">For non-carcinogenic health risks, the contaminant intake was estimated using exposure assumptions for the site conditions. This dose was then compared to a risk reference dose (estimated daily intake of a chemical that is likely to be without an appreciable risk of health effects). The resulting ratio was then compared to the following qualitative scale of health risk: </w:t>
      </w:r>
    </w:p>
    <w:p w14:paraId="1F72F646" w14:textId="77777777" w:rsidR="00D21089" w:rsidRPr="00D21089" w:rsidRDefault="00D21089" w:rsidP="00D21089">
      <w:pPr>
        <w:rPr>
          <w:rFonts w:cs="Arial"/>
        </w:rPr>
      </w:pPr>
    </w:p>
    <w:p w14:paraId="50FA2A5B" w14:textId="77777777" w:rsidR="00D21089" w:rsidRDefault="00D21089" w:rsidP="00D21089">
      <w:pPr>
        <w:jc w:val="center"/>
        <w:rPr>
          <w:rFonts w:cs="Arial"/>
          <w:u w:val="single"/>
        </w:rPr>
      </w:pPr>
      <w:r w:rsidRPr="00D21089">
        <w:rPr>
          <w:rFonts w:cs="Arial"/>
          <w:u w:val="single"/>
        </w:rPr>
        <w:t>Qualitative Descriptors for Non-carcinogenic Health Risks</w:t>
      </w:r>
    </w:p>
    <w:p w14:paraId="08CE6F91" w14:textId="77777777" w:rsidR="00D21089" w:rsidRPr="00D21089" w:rsidRDefault="00D21089" w:rsidP="00D21089">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40"/>
        <w:gridCol w:w="2841"/>
        <w:gridCol w:w="2841"/>
      </w:tblGrid>
      <w:tr w:rsidR="00933DD7" w:rsidRPr="001870FF" w14:paraId="457F4B77" w14:textId="77777777" w:rsidTr="001870FF">
        <w:tc>
          <w:tcPr>
            <w:tcW w:w="2840" w:type="dxa"/>
            <w:shd w:val="clear" w:color="auto" w:fill="auto"/>
          </w:tcPr>
          <w:p w14:paraId="614526D9" w14:textId="45327DB4" w:rsidR="00D21089" w:rsidRPr="001870FF" w:rsidRDefault="00D21089" w:rsidP="001870FF">
            <w:pPr>
              <w:rPr>
                <w:rFonts w:cs="Arial"/>
              </w:rPr>
            </w:pPr>
            <w:r w:rsidRPr="001870FF">
              <w:rPr>
                <w:rFonts w:cs="Arial"/>
              </w:rPr>
              <w:t xml:space="preserve">Ratio of </w:t>
            </w:r>
            <w:r w:rsidR="2BC79B04" w:rsidRPr="1B8E3354">
              <w:rPr>
                <w:rFonts w:cs="Arial"/>
              </w:rPr>
              <w:t>(</w:t>
            </w:r>
            <w:r w:rsidRPr="001870FF">
              <w:rPr>
                <w:rFonts w:cs="Arial"/>
              </w:rPr>
              <w:t xml:space="preserve">Estimated </w:t>
            </w:r>
            <w:r w:rsidR="00897D2A">
              <w:rPr>
                <w:rFonts w:cs="Arial"/>
              </w:rPr>
              <w:t>Contaminant</w:t>
            </w:r>
            <w:r w:rsidR="00FC519A">
              <w:rPr>
                <w:rFonts w:cs="Arial"/>
              </w:rPr>
              <w:t xml:space="preserve"> I</w:t>
            </w:r>
            <w:r w:rsidR="00491C85" w:rsidRPr="001870FF">
              <w:rPr>
                <w:rFonts w:cs="Arial"/>
              </w:rPr>
              <w:t>ntake:</w:t>
            </w:r>
            <w:r w:rsidRPr="001870FF">
              <w:rPr>
                <w:rFonts w:cs="Arial"/>
              </w:rPr>
              <w:t xml:space="preserve"> Risk Reference Dose</w:t>
            </w:r>
            <w:r w:rsidR="5B5384D5" w:rsidRPr="1B8E3354">
              <w:rPr>
                <w:rFonts w:cs="Arial"/>
              </w:rPr>
              <w:t>)</w:t>
            </w:r>
          </w:p>
        </w:tc>
        <w:tc>
          <w:tcPr>
            <w:tcW w:w="2841" w:type="dxa"/>
            <w:shd w:val="clear" w:color="auto" w:fill="auto"/>
          </w:tcPr>
          <w:p w14:paraId="3732DD30" w14:textId="768CC9A2" w:rsidR="00D21089" w:rsidRPr="001870FF" w:rsidRDefault="00D21089" w:rsidP="001870FF">
            <w:pPr>
              <w:rPr>
                <w:rFonts w:cs="Arial"/>
              </w:rPr>
            </w:pPr>
            <w:r w:rsidRPr="001870FF">
              <w:rPr>
                <w:rFonts w:cs="Arial"/>
              </w:rPr>
              <w:t>Qualitative Descriptor</w:t>
            </w:r>
            <w:r w:rsidR="0C6F0911" w:rsidRPr="1B8E3354">
              <w:rPr>
                <w:rFonts w:cs="Arial"/>
              </w:rPr>
              <w:t xml:space="preserve"> of risk</w:t>
            </w:r>
          </w:p>
        </w:tc>
        <w:tc>
          <w:tcPr>
            <w:tcW w:w="2841" w:type="dxa"/>
            <w:shd w:val="clear" w:color="auto" w:fill="auto"/>
          </w:tcPr>
          <w:p w14:paraId="2DEDCF4F" w14:textId="77777777" w:rsidR="00D21089" w:rsidRPr="001870FF" w:rsidRDefault="00D21089" w:rsidP="001870FF">
            <w:pPr>
              <w:rPr>
                <w:rFonts w:cs="Arial"/>
              </w:rPr>
            </w:pPr>
            <w:r w:rsidRPr="001870FF">
              <w:rPr>
                <w:rFonts w:cs="Arial"/>
              </w:rPr>
              <w:t>Action</w:t>
            </w:r>
          </w:p>
        </w:tc>
      </w:tr>
      <w:tr w:rsidR="00933DD7" w:rsidRPr="001870FF" w14:paraId="035D100D" w14:textId="77777777" w:rsidTr="001870FF">
        <w:tc>
          <w:tcPr>
            <w:tcW w:w="2840" w:type="dxa"/>
            <w:shd w:val="clear" w:color="auto" w:fill="auto"/>
          </w:tcPr>
          <w:p w14:paraId="396EE0AF" w14:textId="77777777" w:rsidR="00D21089" w:rsidRPr="001870FF" w:rsidRDefault="00D21089" w:rsidP="001870FF">
            <w:pPr>
              <w:rPr>
                <w:rFonts w:cs="Arial"/>
              </w:rPr>
            </w:pPr>
            <w:r w:rsidRPr="001870FF">
              <w:rPr>
                <w:rFonts w:cs="Arial"/>
              </w:rPr>
              <w:t>Equal to or less than risk reference dose</w:t>
            </w:r>
          </w:p>
        </w:tc>
        <w:tc>
          <w:tcPr>
            <w:tcW w:w="2841" w:type="dxa"/>
            <w:shd w:val="clear" w:color="auto" w:fill="auto"/>
          </w:tcPr>
          <w:p w14:paraId="64964E37" w14:textId="77777777" w:rsidR="00D21089" w:rsidRPr="001870FF" w:rsidRDefault="00D21089" w:rsidP="001870FF">
            <w:pPr>
              <w:rPr>
                <w:rFonts w:cs="Arial"/>
              </w:rPr>
            </w:pPr>
            <w:r w:rsidRPr="001870FF">
              <w:rPr>
                <w:rFonts w:cs="Arial"/>
              </w:rPr>
              <w:t>Minimal</w:t>
            </w:r>
          </w:p>
        </w:tc>
        <w:tc>
          <w:tcPr>
            <w:tcW w:w="2841" w:type="dxa"/>
            <w:shd w:val="clear" w:color="auto" w:fill="auto"/>
          </w:tcPr>
          <w:p w14:paraId="69D1BB81" w14:textId="77777777" w:rsidR="00D21089" w:rsidRPr="001870FF" w:rsidRDefault="00D21089" w:rsidP="001870FF">
            <w:pPr>
              <w:rPr>
                <w:rFonts w:cs="Arial"/>
              </w:rPr>
            </w:pPr>
            <w:r w:rsidRPr="001870FF">
              <w:rPr>
                <w:rFonts w:cs="Arial"/>
              </w:rPr>
              <w:t>No action</w:t>
            </w:r>
          </w:p>
        </w:tc>
      </w:tr>
      <w:tr w:rsidR="00933DD7" w:rsidRPr="001870FF" w14:paraId="7E3BFF80" w14:textId="77777777" w:rsidTr="001870FF">
        <w:tc>
          <w:tcPr>
            <w:tcW w:w="2840" w:type="dxa"/>
            <w:shd w:val="clear" w:color="auto" w:fill="auto"/>
          </w:tcPr>
          <w:p w14:paraId="4C95337A" w14:textId="3784BD64" w:rsidR="00D21089" w:rsidRPr="001870FF" w:rsidRDefault="00897D2A" w:rsidP="001870FF">
            <w:pPr>
              <w:rPr>
                <w:rFonts w:cs="Arial"/>
              </w:rPr>
            </w:pPr>
            <w:r>
              <w:rPr>
                <w:rFonts w:cs="Arial"/>
              </w:rPr>
              <w:t>O</w:t>
            </w:r>
            <w:r w:rsidR="00D21089" w:rsidRPr="001870FF">
              <w:rPr>
                <w:rFonts w:cs="Arial"/>
              </w:rPr>
              <w:t>ne to five times the risk reference dose</w:t>
            </w:r>
          </w:p>
        </w:tc>
        <w:tc>
          <w:tcPr>
            <w:tcW w:w="2841" w:type="dxa"/>
            <w:shd w:val="clear" w:color="auto" w:fill="auto"/>
          </w:tcPr>
          <w:p w14:paraId="43467FBA" w14:textId="77777777" w:rsidR="00D21089" w:rsidRPr="001870FF" w:rsidRDefault="00D21089" w:rsidP="001870FF">
            <w:pPr>
              <w:rPr>
                <w:rFonts w:cs="Arial"/>
              </w:rPr>
            </w:pPr>
            <w:r w:rsidRPr="001870FF">
              <w:rPr>
                <w:rFonts w:cs="Arial"/>
              </w:rPr>
              <w:t>Low</w:t>
            </w:r>
          </w:p>
        </w:tc>
        <w:tc>
          <w:tcPr>
            <w:tcW w:w="2841" w:type="dxa"/>
            <w:shd w:val="clear" w:color="auto" w:fill="auto"/>
          </w:tcPr>
          <w:p w14:paraId="399F730A" w14:textId="231978B0" w:rsidR="00D21089" w:rsidRPr="001870FF" w:rsidRDefault="00D21089" w:rsidP="1B8E3354">
            <w:pPr>
              <w:rPr>
                <w:rFonts w:cs="Arial"/>
              </w:rPr>
            </w:pPr>
            <w:r w:rsidRPr="001870FF">
              <w:rPr>
                <w:rFonts w:cs="Arial"/>
              </w:rPr>
              <w:t>Investigate</w:t>
            </w:r>
          </w:p>
          <w:p w14:paraId="799A9BEA" w14:textId="2158D681" w:rsidR="00D21089" w:rsidRPr="001870FF" w:rsidRDefault="0C0AB627" w:rsidP="001870FF">
            <w:pPr>
              <w:rPr>
                <w:rFonts w:cs="Arial"/>
              </w:rPr>
            </w:pPr>
            <w:r w:rsidRPr="1B8E3354">
              <w:rPr>
                <w:rFonts w:cs="Arial"/>
              </w:rPr>
              <w:t>Mitigate on a case-by-case basis</w:t>
            </w:r>
          </w:p>
        </w:tc>
      </w:tr>
      <w:tr w:rsidR="00933DD7" w:rsidRPr="001870FF" w14:paraId="17FA80AE" w14:textId="77777777" w:rsidTr="001870FF">
        <w:tc>
          <w:tcPr>
            <w:tcW w:w="2840" w:type="dxa"/>
            <w:shd w:val="clear" w:color="auto" w:fill="auto"/>
          </w:tcPr>
          <w:p w14:paraId="72DFA836" w14:textId="2F221D7A" w:rsidR="00D21089" w:rsidRPr="001870FF" w:rsidRDefault="00897D2A" w:rsidP="001870FF">
            <w:pPr>
              <w:rPr>
                <w:rFonts w:cs="Arial"/>
              </w:rPr>
            </w:pPr>
            <w:r>
              <w:rPr>
                <w:rFonts w:cs="Arial"/>
              </w:rPr>
              <w:t>F</w:t>
            </w:r>
            <w:r w:rsidR="00D21089" w:rsidRPr="001870FF">
              <w:rPr>
                <w:rFonts w:cs="Arial"/>
              </w:rPr>
              <w:t>ive to ten times the risk reference dose</w:t>
            </w:r>
          </w:p>
        </w:tc>
        <w:tc>
          <w:tcPr>
            <w:tcW w:w="2841" w:type="dxa"/>
            <w:shd w:val="clear" w:color="auto" w:fill="auto"/>
          </w:tcPr>
          <w:p w14:paraId="4975FE33" w14:textId="77777777" w:rsidR="00D21089" w:rsidRPr="001870FF" w:rsidRDefault="00D21089" w:rsidP="001870FF">
            <w:pPr>
              <w:rPr>
                <w:rFonts w:cs="Arial"/>
              </w:rPr>
            </w:pPr>
            <w:r w:rsidRPr="001870FF">
              <w:rPr>
                <w:rFonts w:cs="Arial"/>
              </w:rPr>
              <w:t>Moderate</w:t>
            </w:r>
          </w:p>
        </w:tc>
        <w:tc>
          <w:tcPr>
            <w:tcW w:w="2841" w:type="dxa"/>
            <w:shd w:val="clear" w:color="auto" w:fill="auto"/>
          </w:tcPr>
          <w:p w14:paraId="5BD7886B" w14:textId="4A70512E" w:rsidR="00D21089" w:rsidRPr="001870FF" w:rsidRDefault="00DF5356" w:rsidP="001870FF">
            <w:pPr>
              <w:rPr>
                <w:rFonts w:cs="Arial"/>
              </w:rPr>
            </w:pPr>
            <w:r>
              <w:rPr>
                <w:rFonts w:cs="Arial"/>
              </w:rPr>
              <w:t>Immediate intervention C</w:t>
            </w:r>
            <w:r w:rsidR="00D21089" w:rsidRPr="001870FF">
              <w:rPr>
                <w:rFonts w:cs="Arial"/>
              </w:rPr>
              <w:t>onsider relocat</w:t>
            </w:r>
            <w:r w:rsidR="43585C6A" w:rsidRPr="1B8E3354">
              <w:rPr>
                <w:rFonts w:cs="Arial"/>
              </w:rPr>
              <w:t>ion</w:t>
            </w:r>
          </w:p>
        </w:tc>
      </w:tr>
      <w:tr w:rsidR="00933DD7" w:rsidRPr="001870FF" w14:paraId="25FDCAB3" w14:textId="77777777" w:rsidTr="001870FF">
        <w:tc>
          <w:tcPr>
            <w:tcW w:w="2840" w:type="dxa"/>
            <w:shd w:val="clear" w:color="auto" w:fill="auto"/>
          </w:tcPr>
          <w:p w14:paraId="7119F3CD" w14:textId="12A2D816" w:rsidR="00D21089" w:rsidRPr="001870FF" w:rsidRDefault="00897D2A" w:rsidP="001870FF">
            <w:pPr>
              <w:rPr>
                <w:rFonts w:cs="Arial"/>
              </w:rPr>
            </w:pPr>
            <w:r>
              <w:rPr>
                <w:rFonts w:cs="Arial"/>
              </w:rPr>
              <w:t>T</w:t>
            </w:r>
            <w:r w:rsidR="00D21089" w:rsidRPr="001870FF">
              <w:rPr>
                <w:rFonts w:cs="Arial"/>
              </w:rPr>
              <w:t xml:space="preserve">en </w:t>
            </w:r>
            <w:r w:rsidR="3D75F828" w:rsidRPr="1B8E3354">
              <w:rPr>
                <w:rFonts w:cs="Arial"/>
              </w:rPr>
              <w:t xml:space="preserve">to one hundred </w:t>
            </w:r>
            <w:r w:rsidR="00D21089" w:rsidRPr="001870FF">
              <w:rPr>
                <w:rFonts w:cs="Arial"/>
              </w:rPr>
              <w:t>times the risk reference dose</w:t>
            </w:r>
          </w:p>
        </w:tc>
        <w:tc>
          <w:tcPr>
            <w:tcW w:w="2841" w:type="dxa"/>
            <w:shd w:val="clear" w:color="auto" w:fill="auto"/>
          </w:tcPr>
          <w:p w14:paraId="05FAD91F" w14:textId="77777777" w:rsidR="00D21089" w:rsidRPr="001870FF" w:rsidRDefault="00D21089" w:rsidP="001870FF">
            <w:pPr>
              <w:rPr>
                <w:rFonts w:cs="Arial"/>
              </w:rPr>
            </w:pPr>
            <w:r w:rsidRPr="001870FF">
              <w:rPr>
                <w:rFonts w:cs="Arial"/>
              </w:rPr>
              <w:t>High</w:t>
            </w:r>
          </w:p>
        </w:tc>
        <w:tc>
          <w:tcPr>
            <w:tcW w:w="2841" w:type="dxa"/>
            <w:shd w:val="clear" w:color="auto" w:fill="auto"/>
          </w:tcPr>
          <w:p w14:paraId="123203D8" w14:textId="59B17F5E" w:rsidR="00D21089" w:rsidRPr="001870FF" w:rsidRDefault="00DF5356" w:rsidP="001870FF">
            <w:pPr>
              <w:rPr>
                <w:rFonts w:cs="Arial"/>
              </w:rPr>
            </w:pPr>
            <w:r>
              <w:rPr>
                <w:rFonts w:cs="Arial"/>
              </w:rPr>
              <w:t xml:space="preserve">Accelerated intervention </w:t>
            </w:r>
            <w:r w:rsidR="00D21089" w:rsidRPr="001870FF">
              <w:rPr>
                <w:rFonts w:cs="Arial"/>
              </w:rPr>
              <w:t>Mitigate consider relocat</w:t>
            </w:r>
            <w:r w:rsidR="361E30F2" w:rsidRPr="1B8E3354">
              <w:rPr>
                <w:rFonts w:cs="Arial"/>
              </w:rPr>
              <w:t>ion</w:t>
            </w:r>
          </w:p>
        </w:tc>
      </w:tr>
      <w:tr w:rsidR="00933DD7" w:rsidRPr="001870FF" w14:paraId="3E57E109" w14:textId="77777777" w:rsidTr="001870FF">
        <w:tc>
          <w:tcPr>
            <w:tcW w:w="2840" w:type="dxa"/>
            <w:shd w:val="clear" w:color="auto" w:fill="auto"/>
          </w:tcPr>
          <w:p w14:paraId="6A10E11B" w14:textId="77777777" w:rsidR="00D21089" w:rsidRPr="001870FF" w:rsidRDefault="00D21089" w:rsidP="001870FF">
            <w:pPr>
              <w:rPr>
                <w:rFonts w:cs="Arial"/>
              </w:rPr>
            </w:pPr>
            <w:r w:rsidRPr="001870FF">
              <w:rPr>
                <w:rFonts w:cs="Arial"/>
              </w:rPr>
              <w:t>Greater than one hundred times the risk reference dose</w:t>
            </w:r>
          </w:p>
        </w:tc>
        <w:tc>
          <w:tcPr>
            <w:tcW w:w="2841" w:type="dxa"/>
            <w:shd w:val="clear" w:color="auto" w:fill="auto"/>
          </w:tcPr>
          <w:p w14:paraId="6C3BBB08" w14:textId="77777777" w:rsidR="00D21089" w:rsidRPr="001870FF" w:rsidRDefault="00D21089" w:rsidP="001870FF">
            <w:pPr>
              <w:rPr>
                <w:rFonts w:cs="Arial"/>
              </w:rPr>
            </w:pPr>
            <w:r w:rsidRPr="001870FF">
              <w:rPr>
                <w:rFonts w:cs="Arial"/>
              </w:rPr>
              <w:t>Very High</w:t>
            </w:r>
          </w:p>
        </w:tc>
        <w:tc>
          <w:tcPr>
            <w:tcW w:w="2841" w:type="dxa"/>
            <w:shd w:val="clear" w:color="auto" w:fill="auto"/>
          </w:tcPr>
          <w:p w14:paraId="3A61AD27" w14:textId="5A6B1900" w:rsidR="00D21089" w:rsidRPr="001870FF" w:rsidRDefault="00DF5356" w:rsidP="001870FF">
            <w:pPr>
              <w:rPr>
                <w:rFonts w:cs="Arial"/>
              </w:rPr>
            </w:pPr>
            <w:r>
              <w:rPr>
                <w:rFonts w:cs="Arial"/>
              </w:rPr>
              <w:t xml:space="preserve">Accelerated intervention </w:t>
            </w:r>
            <w:r w:rsidR="00D21089" w:rsidRPr="001870FF">
              <w:rPr>
                <w:rFonts w:cs="Arial"/>
              </w:rPr>
              <w:t>Mitigate consider evacuat</w:t>
            </w:r>
            <w:r w:rsidR="0A31B059" w:rsidRPr="1B8E3354">
              <w:rPr>
                <w:rFonts w:cs="Arial"/>
              </w:rPr>
              <w:t>ion</w:t>
            </w:r>
          </w:p>
        </w:tc>
      </w:tr>
    </w:tbl>
    <w:p w14:paraId="61CDCEAD" w14:textId="77777777" w:rsidR="00D21089" w:rsidRPr="00D21089" w:rsidRDefault="00D21089" w:rsidP="00D21089">
      <w:pPr>
        <w:rPr>
          <w:rFonts w:cs="Arial"/>
        </w:rPr>
      </w:pPr>
    </w:p>
    <w:p w14:paraId="7359B2C8" w14:textId="5CE61433" w:rsidR="00897D2A" w:rsidRDefault="00D21089" w:rsidP="00D21089">
      <w:pPr>
        <w:rPr>
          <w:rFonts w:cs="Arial"/>
        </w:rPr>
      </w:pPr>
      <w:r w:rsidRPr="00D21089">
        <w:rPr>
          <w:rFonts w:cs="Arial"/>
        </w:rPr>
        <w:t xml:space="preserve">Non-carcinogenic effects, unlike carcinogenic effects, are believed to have a threshold, that is, a dose below which adverse effects will not occur. As a result, the current practice is to identify, usually from animal toxicology experiments, </w:t>
      </w:r>
      <w:r w:rsidR="00035185">
        <w:rPr>
          <w:rFonts w:cs="Arial"/>
        </w:rPr>
        <w:t xml:space="preserve">although at times from human occupational and environmental studies, </w:t>
      </w:r>
      <w:r w:rsidRPr="00D21089">
        <w:rPr>
          <w:rFonts w:cs="Arial"/>
        </w:rPr>
        <w:t>a no-observed-</w:t>
      </w:r>
      <w:r w:rsidR="00035185">
        <w:rPr>
          <w:rFonts w:cs="Arial"/>
        </w:rPr>
        <w:t>adverse-</w:t>
      </w:r>
      <w:r w:rsidRPr="00D21089">
        <w:rPr>
          <w:rFonts w:cs="Arial"/>
        </w:rPr>
        <w:t>effect-level (NO</w:t>
      </w:r>
      <w:r w:rsidR="00035185">
        <w:rPr>
          <w:rFonts w:cs="Arial"/>
        </w:rPr>
        <w:t>A</w:t>
      </w:r>
      <w:r w:rsidRPr="00D21089">
        <w:rPr>
          <w:rFonts w:cs="Arial"/>
        </w:rPr>
        <w:t>EL). This is the experimental exposure level in animals at which no adverse toxic effect is observed. The NO</w:t>
      </w:r>
      <w:r w:rsidR="00035185">
        <w:rPr>
          <w:rFonts w:cs="Arial"/>
        </w:rPr>
        <w:t>A</w:t>
      </w:r>
      <w:r w:rsidRPr="00D21089">
        <w:rPr>
          <w:rFonts w:cs="Arial"/>
        </w:rPr>
        <w:t xml:space="preserve">EL is then divided by an uncertainty </w:t>
      </w:r>
      <w:r w:rsidRPr="00D21089">
        <w:rPr>
          <w:rFonts w:cs="Arial"/>
        </w:rPr>
        <w:lastRenderedPageBreak/>
        <w:t>factor to yield the risk reference dose. The uncertainty factor is a number that reflects the degree of uncertainty that exists when experimental animal data are extrapolated to the general human population.  The magnitude of the uncertainty factor takes into consideration various factors such as sensitive sub-populations (for example, children or the elderly), extrapolation from animals to humans and the inco</w:t>
      </w:r>
      <w:r w:rsidR="006C45FC">
        <w:rPr>
          <w:rFonts w:cs="Arial"/>
        </w:rPr>
        <w:t>mpleteness of available data.  T</w:t>
      </w:r>
      <w:r w:rsidRPr="00D21089">
        <w:rPr>
          <w:rFonts w:cs="Arial"/>
        </w:rPr>
        <w:t>hus, the risk reference dose is not expected to cause health effects because it is selected to be much lower than dosages that do not cause adverse health effects in laboratory animals.</w:t>
      </w:r>
    </w:p>
    <w:p w14:paraId="12BD235E" w14:textId="161019CD" w:rsidR="00D21089" w:rsidRDefault="00D21089" w:rsidP="00D21089">
      <w:pPr>
        <w:rPr>
          <w:rFonts w:cs="Arial"/>
        </w:rPr>
      </w:pPr>
      <w:r w:rsidRPr="00D21089">
        <w:rPr>
          <w:rFonts w:cs="Arial"/>
        </w:rPr>
        <w:t xml:space="preserve">The measure used to describe the potential for non-cancer health effects to occur in an individual is expressed as a ratio of estimated contaminant intake to the risk reference dose. A ratio equal to or less than one is generally not considered a significant public health concern. If exposure to the contaminant exceeds the risk reference dose, there may be concern for potential non-cancer health effects because the margin of protection is less than that afforded by the reference dose. As a rule, the greater the ratio of the estimated contaminant intake to the risk reference dose, the greater the level of concern. This level of concern depends upon an evaluation of a number of factors such as the actual potential for exposure, background exposure and the strength of the </w:t>
      </w:r>
      <w:r w:rsidRPr="1B8E3354">
        <w:rPr>
          <w:rFonts w:cs="Arial"/>
        </w:rPr>
        <w:t>toxicologic</w:t>
      </w:r>
      <w:r w:rsidR="0B847638" w:rsidRPr="1B8E3354">
        <w:rPr>
          <w:rFonts w:cs="Arial"/>
        </w:rPr>
        <w:t>al</w:t>
      </w:r>
      <w:r w:rsidRPr="1B8E3354">
        <w:rPr>
          <w:rFonts w:cs="Arial"/>
        </w:rPr>
        <w:t xml:space="preserve"> data.</w:t>
      </w:r>
    </w:p>
    <w:p w14:paraId="6BB9E253" w14:textId="77777777" w:rsidR="00AE4BA7" w:rsidRDefault="00AE4BA7" w:rsidP="00D21089">
      <w:pPr>
        <w:rPr>
          <w:rFonts w:cs="Arial"/>
        </w:rPr>
        <w:sectPr w:rsidR="00AE4BA7" w:rsidSect="00F046A5">
          <w:headerReference w:type="even" r:id="rId16"/>
          <w:headerReference w:type="default" r:id="rId17"/>
          <w:footerReference w:type="default" r:id="rId18"/>
          <w:headerReference w:type="first" r:id="rId19"/>
          <w:pgSz w:w="11906" w:h="16838"/>
          <w:pgMar w:top="1440" w:right="1440" w:bottom="1440" w:left="1440" w:header="708" w:footer="708" w:gutter="0"/>
          <w:cols w:space="708"/>
          <w:docGrid w:linePitch="360"/>
        </w:sectPr>
      </w:pPr>
    </w:p>
    <w:p w14:paraId="23DE523C" w14:textId="77777777" w:rsidR="00D21089" w:rsidRDefault="00D21089" w:rsidP="00D21089">
      <w:pPr>
        <w:rPr>
          <w:rFonts w:cs="Arial"/>
        </w:rPr>
      </w:pPr>
    </w:p>
    <w:p w14:paraId="501051A9" w14:textId="2E037998" w:rsidR="00347A90" w:rsidRDefault="00347A90" w:rsidP="00EC2795">
      <w:pPr>
        <w:pStyle w:val="Heading3"/>
        <w:numPr>
          <w:ilvl w:val="0"/>
          <w:numId w:val="22"/>
        </w:numPr>
      </w:pPr>
      <w:bookmarkStart w:id="20" w:name="_Toc153277259"/>
      <w:r>
        <w:t>Indoor Air Levels Action Framework – Carcinogen (example)</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402"/>
        <w:gridCol w:w="3925"/>
        <w:gridCol w:w="6453"/>
        <w:gridCol w:w="3750"/>
        <w:gridCol w:w="3745"/>
      </w:tblGrid>
      <w:tr w:rsidR="00AE4BA7" w:rsidRPr="00A2004D" w14:paraId="2C76F001" w14:textId="77777777" w:rsidTr="00E34323">
        <w:tc>
          <w:tcPr>
            <w:tcW w:w="394" w:type="pct"/>
            <w:shd w:val="clear" w:color="auto" w:fill="auto"/>
          </w:tcPr>
          <w:p w14:paraId="4769BF6A" w14:textId="77777777" w:rsidR="00AE4BA7" w:rsidRDefault="00AE4BA7" w:rsidP="00E34323">
            <w:pPr>
              <w:spacing w:line="240" w:lineRule="auto"/>
              <w:jc w:val="center"/>
              <w:rPr>
                <w:b/>
                <w:sz w:val="18"/>
                <w:szCs w:val="18"/>
              </w:rPr>
            </w:pPr>
            <w:r w:rsidRPr="00A2004D">
              <w:rPr>
                <w:b/>
                <w:sz w:val="18"/>
                <w:szCs w:val="18"/>
              </w:rPr>
              <w:t>Indoor Air Level</w:t>
            </w:r>
          </w:p>
          <w:p w14:paraId="1C3F00B5" w14:textId="77777777" w:rsidR="00035185" w:rsidRPr="00A2004D" w:rsidRDefault="00035185" w:rsidP="00E34323">
            <w:pPr>
              <w:spacing w:line="240" w:lineRule="auto"/>
              <w:jc w:val="center"/>
              <w:rPr>
                <w:b/>
                <w:sz w:val="18"/>
                <w:szCs w:val="18"/>
              </w:rPr>
            </w:pPr>
            <w:r w:rsidRPr="00035185">
              <w:rPr>
                <w:rFonts w:ascii="Symbol" w:hAnsi="Symbol"/>
                <w:b/>
                <w:sz w:val="18"/>
                <w:szCs w:val="18"/>
              </w:rPr>
              <w:t></w:t>
            </w:r>
            <w:r>
              <w:rPr>
                <w:b/>
                <w:sz w:val="18"/>
                <w:szCs w:val="18"/>
              </w:rPr>
              <w:t>g/m</w:t>
            </w:r>
            <w:r w:rsidRPr="00035185">
              <w:rPr>
                <w:b/>
                <w:sz w:val="18"/>
                <w:szCs w:val="18"/>
                <w:vertAlign w:val="superscript"/>
              </w:rPr>
              <w:t>3</w:t>
            </w:r>
          </w:p>
        </w:tc>
        <w:tc>
          <w:tcPr>
            <w:tcW w:w="335" w:type="pct"/>
            <w:shd w:val="clear" w:color="auto" w:fill="auto"/>
          </w:tcPr>
          <w:p w14:paraId="102E42E3" w14:textId="77777777" w:rsidR="00AE4BA7" w:rsidRPr="00A2004D" w:rsidRDefault="00AE4BA7" w:rsidP="00E34323">
            <w:pPr>
              <w:spacing w:line="240" w:lineRule="auto"/>
              <w:jc w:val="center"/>
              <w:rPr>
                <w:b/>
                <w:sz w:val="18"/>
                <w:szCs w:val="18"/>
              </w:rPr>
            </w:pPr>
            <w:r w:rsidRPr="00A2004D">
              <w:rPr>
                <w:b/>
                <w:sz w:val="18"/>
                <w:szCs w:val="18"/>
              </w:rPr>
              <w:t>Action Level Classification</w:t>
            </w:r>
          </w:p>
        </w:tc>
        <w:tc>
          <w:tcPr>
            <w:tcW w:w="938" w:type="pct"/>
            <w:shd w:val="clear" w:color="auto" w:fill="auto"/>
          </w:tcPr>
          <w:p w14:paraId="3F08289F" w14:textId="77777777" w:rsidR="00AE4BA7" w:rsidRPr="00A2004D" w:rsidRDefault="00AE4BA7" w:rsidP="00E34323">
            <w:pPr>
              <w:spacing w:line="240" w:lineRule="auto"/>
              <w:jc w:val="center"/>
              <w:rPr>
                <w:b/>
                <w:sz w:val="18"/>
                <w:szCs w:val="18"/>
              </w:rPr>
            </w:pPr>
            <w:r w:rsidRPr="00A2004D">
              <w:rPr>
                <w:b/>
                <w:sz w:val="18"/>
                <w:szCs w:val="18"/>
              </w:rPr>
              <w:t>Consequences for Community</w:t>
            </w:r>
          </w:p>
        </w:tc>
        <w:tc>
          <w:tcPr>
            <w:tcW w:w="3333" w:type="pct"/>
            <w:gridSpan w:val="3"/>
            <w:shd w:val="clear" w:color="auto" w:fill="auto"/>
          </w:tcPr>
          <w:p w14:paraId="47E26EA8" w14:textId="77777777" w:rsidR="00AE4BA7" w:rsidRPr="00A2004D" w:rsidRDefault="00AE4BA7" w:rsidP="00E34323">
            <w:pPr>
              <w:spacing w:line="240" w:lineRule="auto"/>
              <w:jc w:val="center"/>
              <w:rPr>
                <w:b/>
                <w:sz w:val="18"/>
                <w:szCs w:val="18"/>
              </w:rPr>
            </w:pPr>
            <w:r w:rsidRPr="00A2004D">
              <w:rPr>
                <w:b/>
                <w:sz w:val="18"/>
                <w:szCs w:val="18"/>
              </w:rPr>
              <w:t>Response Options &amp; Process</w:t>
            </w:r>
          </w:p>
          <w:p w14:paraId="5A2C49A0" w14:textId="77777777" w:rsidR="00AE4BA7" w:rsidRPr="00A2004D" w:rsidRDefault="00AE4BA7" w:rsidP="00E34323">
            <w:pPr>
              <w:spacing w:line="240" w:lineRule="auto"/>
              <w:jc w:val="center"/>
              <w:rPr>
                <w:b/>
                <w:sz w:val="18"/>
                <w:szCs w:val="18"/>
              </w:rPr>
            </w:pPr>
            <w:r w:rsidRPr="00A2004D">
              <w:rPr>
                <w:b/>
                <w:sz w:val="18"/>
                <w:szCs w:val="18"/>
              </w:rPr>
              <w:t>(Dependent upon individual circumstances &amp; situations</w:t>
            </w:r>
          </w:p>
        </w:tc>
      </w:tr>
      <w:tr w:rsidR="00AE4BA7" w:rsidRPr="00A2004D" w14:paraId="2DF7CDDB" w14:textId="77777777" w:rsidTr="00E34323">
        <w:tc>
          <w:tcPr>
            <w:tcW w:w="394" w:type="pct"/>
            <w:shd w:val="clear" w:color="auto" w:fill="auto"/>
          </w:tcPr>
          <w:p w14:paraId="5EE0D680" w14:textId="77777777" w:rsidR="00AE4BA7" w:rsidRPr="00A2004D" w:rsidRDefault="00AE4BA7" w:rsidP="00E34323">
            <w:pPr>
              <w:spacing w:line="240" w:lineRule="auto"/>
              <w:rPr>
                <w:sz w:val="18"/>
                <w:szCs w:val="18"/>
              </w:rPr>
            </w:pPr>
            <w:r w:rsidRPr="00A2004D">
              <w:rPr>
                <w:sz w:val="18"/>
                <w:szCs w:val="18"/>
              </w:rPr>
              <w:t>Below limit of reporting (LOR) (</w:t>
            </w:r>
            <w:proofErr w:type="spellStart"/>
            <w:r w:rsidRPr="00A2004D">
              <w:rPr>
                <w:sz w:val="18"/>
                <w:szCs w:val="18"/>
              </w:rPr>
              <w:t>non detect</w:t>
            </w:r>
            <w:proofErr w:type="spellEnd"/>
            <w:r w:rsidRPr="00A2004D">
              <w:rPr>
                <w:sz w:val="18"/>
                <w:szCs w:val="18"/>
              </w:rPr>
              <w:t>)</w:t>
            </w:r>
          </w:p>
        </w:tc>
        <w:tc>
          <w:tcPr>
            <w:tcW w:w="335" w:type="pct"/>
            <w:shd w:val="clear" w:color="auto" w:fill="auto"/>
          </w:tcPr>
          <w:p w14:paraId="5049904B" w14:textId="77777777" w:rsidR="00AE4BA7" w:rsidRPr="00A2004D" w:rsidRDefault="00AE4BA7" w:rsidP="00E34323">
            <w:pPr>
              <w:spacing w:line="240" w:lineRule="auto"/>
              <w:rPr>
                <w:sz w:val="18"/>
                <w:szCs w:val="18"/>
              </w:rPr>
            </w:pPr>
            <w:r w:rsidRPr="00A2004D">
              <w:rPr>
                <w:sz w:val="18"/>
                <w:szCs w:val="18"/>
              </w:rPr>
              <w:t>No Action</w:t>
            </w:r>
          </w:p>
        </w:tc>
        <w:tc>
          <w:tcPr>
            <w:tcW w:w="938" w:type="pct"/>
            <w:shd w:val="clear" w:color="auto" w:fill="auto"/>
          </w:tcPr>
          <w:p w14:paraId="2733BC87" w14:textId="77777777" w:rsidR="00AE4BA7" w:rsidRPr="00A2004D" w:rsidRDefault="00AE4BA7" w:rsidP="00E34323">
            <w:pPr>
              <w:spacing w:line="240" w:lineRule="auto"/>
              <w:rPr>
                <w:sz w:val="18"/>
                <w:szCs w:val="18"/>
              </w:rPr>
            </w:pPr>
            <w:r w:rsidRPr="00A2004D">
              <w:rPr>
                <w:sz w:val="18"/>
                <w:szCs w:val="18"/>
              </w:rPr>
              <w:t>Safe</w:t>
            </w:r>
          </w:p>
        </w:tc>
        <w:tc>
          <w:tcPr>
            <w:tcW w:w="3333" w:type="pct"/>
            <w:gridSpan w:val="3"/>
            <w:shd w:val="clear" w:color="auto" w:fill="auto"/>
          </w:tcPr>
          <w:p w14:paraId="2EC4F603" w14:textId="77777777" w:rsidR="00AE4BA7" w:rsidRPr="00A2004D" w:rsidRDefault="00AE4BA7" w:rsidP="00E34323">
            <w:pPr>
              <w:spacing w:line="240" w:lineRule="auto"/>
              <w:rPr>
                <w:sz w:val="18"/>
                <w:szCs w:val="18"/>
              </w:rPr>
            </w:pPr>
            <w:r w:rsidRPr="00A2004D">
              <w:rPr>
                <w:sz w:val="18"/>
                <w:szCs w:val="18"/>
              </w:rPr>
              <w:t>No further action</w:t>
            </w:r>
          </w:p>
        </w:tc>
      </w:tr>
      <w:tr w:rsidR="00AE4BA7" w:rsidRPr="00A2004D" w14:paraId="005BE922" w14:textId="77777777" w:rsidTr="00E34323">
        <w:tc>
          <w:tcPr>
            <w:tcW w:w="394" w:type="pct"/>
            <w:shd w:val="clear" w:color="auto" w:fill="auto"/>
          </w:tcPr>
          <w:p w14:paraId="1F450AEE" w14:textId="77777777" w:rsidR="00AE4BA7" w:rsidRPr="00A2004D" w:rsidRDefault="00AE4BA7" w:rsidP="00E34323">
            <w:pPr>
              <w:spacing w:line="240" w:lineRule="auto"/>
              <w:rPr>
                <w:sz w:val="18"/>
                <w:szCs w:val="18"/>
              </w:rPr>
            </w:pPr>
            <w:r w:rsidRPr="00A2004D">
              <w:rPr>
                <w:sz w:val="18"/>
                <w:szCs w:val="18"/>
              </w:rPr>
              <w:t>&gt;LOR - &lt;2</w:t>
            </w:r>
          </w:p>
        </w:tc>
        <w:tc>
          <w:tcPr>
            <w:tcW w:w="335" w:type="pct"/>
            <w:shd w:val="clear" w:color="auto" w:fill="auto"/>
          </w:tcPr>
          <w:p w14:paraId="6D9C0E21" w14:textId="0470CC69" w:rsidR="00AE4BA7" w:rsidRPr="00A2004D" w:rsidRDefault="00AE4BA7" w:rsidP="00E34323">
            <w:pPr>
              <w:spacing w:line="240" w:lineRule="auto"/>
              <w:rPr>
                <w:sz w:val="18"/>
                <w:szCs w:val="18"/>
              </w:rPr>
            </w:pPr>
            <w:r w:rsidRPr="00A2004D">
              <w:rPr>
                <w:sz w:val="18"/>
                <w:szCs w:val="18"/>
              </w:rPr>
              <w:t>Validat</w:t>
            </w:r>
            <w:r w:rsidR="32FB5F04" w:rsidRPr="1B8E3354">
              <w:rPr>
                <w:sz w:val="18"/>
                <w:szCs w:val="18"/>
              </w:rPr>
              <w:t>e</w:t>
            </w:r>
          </w:p>
        </w:tc>
        <w:tc>
          <w:tcPr>
            <w:tcW w:w="938" w:type="pct"/>
            <w:shd w:val="clear" w:color="auto" w:fill="auto"/>
          </w:tcPr>
          <w:p w14:paraId="019F8D03" w14:textId="77777777" w:rsidR="00AE4BA7" w:rsidRPr="00A2004D" w:rsidRDefault="00AE4BA7" w:rsidP="00E34323">
            <w:pPr>
              <w:spacing w:line="240" w:lineRule="auto"/>
              <w:rPr>
                <w:sz w:val="18"/>
                <w:szCs w:val="18"/>
              </w:rPr>
            </w:pPr>
            <w:r w:rsidRPr="00A2004D">
              <w:rPr>
                <w:sz w:val="18"/>
                <w:szCs w:val="18"/>
              </w:rPr>
              <w:t>Safe</w:t>
            </w:r>
          </w:p>
        </w:tc>
        <w:tc>
          <w:tcPr>
            <w:tcW w:w="3333" w:type="pct"/>
            <w:gridSpan w:val="3"/>
            <w:shd w:val="clear" w:color="auto" w:fill="auto"/>
          </w:tcPr>
          <w:p w14:paraId="1429169E" w14:textId="31C539F0" w:rsidR="00AE4BA7" w:rsidRPr="00A2004D" w:rsidRDefault="00AE4BA7" w:rsidP="00E34323">
            <w:pPr>
              <w:spacing w:line="240" w:lineRule="auto"/>
              <w:rPr>
                <w:sz w:val="18"/>
                <w:szCs w:val="18"/>
              </w:rPr>
            </w:pPr>
            <w:r w:rsidRPr="00A2004D">
              <w:rPr>
                <w:sz w:val="18"/>
                <w:szCs w:val="18"/>
              </w:rPr>
              <w:t>Validate results</w:t>
            </w:r>
            <w:r w:rsidR="766F9CF6" w:rsidRPr="1B8E3354">
              <w:rPr>
                <w:sz w:val="18"/>
                <w:szCs w:val="18"/>
              </w:rPr>
              <w:t>.</w:t>
            </w:r>
            <w:r w:rsidR="31B7A6AC" w:rsidRPr="1B8E3354">
              <w:rPr>
                <w:sz w:val="18"/>
                <w:szCs w:val="18"/>
              </w:rPr>
              <w:t xml:space="preserve"> </w:t>
            </w:r>
            <w:r w:rsidR="0F971B45" w:rsidRPr="1B8E3354">
              <w:rPr>
                <w:sz w:val="18"/>
                <w:szCs w:val="18"/>
              </w:rPr>
              <w:t>C</w:t>
            </w:r>
            <w:r w:rsidR="31B7A6AC" w:rsidRPr="1B8E3354">
              <w:rPr>
                <w:sz w:val="18"/>
                <w:szCs w:val="18"/>
              </w:rPr>
              <w:t>onsider</w:t>
            </w:r>
            <w:r w:rsidRPr="00A2004D">
              <w:rPr>
                <w:sz w:val="18"/>
                <w:szCs w:val="18"/>
              </w:rPr>
              <w:t xml:space="preserve"> monitoring and evaluation (if appropriate) based on site specific </w:t>
            </w:r>
            <w:proofErr w:type="gramStart"/>
            <w:r w:rsidRPr="00A2004D">
              <w:rPr>
                <w:sz w:val="18"/>
                <w:szCs w:val="18"/>
              </w:rPr>
              <w:t>conditions</w:t>
            </w:r>
            <w:proofErr w:type="gramEnd"/>
          </w:p>
          <w:p w14:paraId="5F177207" w14:textId="77777777" w:rsidR="00AE4BA7" w:rsidRPr="00A2004D" w:rsidRDefault="00AE4BA7" w:rsidP="00E34323">
            <w:pPr>
              <w:spacing w:line="240" w:lineRule="auto"/>
              <w:rPr>
                <w:sz w:val="18"/>
                <w:szCs w:val="18"/>
              </w:rPr>
            </w:pPr>
            <w:r w:rsidRPr="00A2004D">
              <w:rPr>
                <w:sz w:val="18"/>
                <w:szCs w:val="18"/>
              </w:rPr>
              <w:t>Time range: months - years</w:t>
            </w:r>
          </w:p>
        </w:tc>
      </w:tr>
      <w:tr w:rsidR="00AE4BA7" w:rsidRPr="00A2004D" w14:paraId="0CF8A988" w14:textId="77777777" w:rsidTr="00E34323">
        <w:tc>
          <w:tcPr>
            <w:tcW w:w="394" w:type="pct"/>
            <w:vMerge w:val="restart"/>
            <w:shd w:val="clear" w:color="auto" w:fill="auto"/>
          </w:tcPr>
          <w:p w14:paraId="472FCA1D" w14:textId="77777777" w:rsidR="00AE4BA7" w:rsidRPr="00A2004D" w:rsidRDefault="00AE4BA7" w:rsidP="00E34323">
            <w:pPr>
              <w:spacing w:line="240" w:lineRule="auto"/>
              <w:rPr>
                <w:sz w:val="18"/>
                <w:szCs w:val="18"/>
              </w:rPr>
            </w:pPr>
            <w:r w:rsidRPr="00A2004D">
              <w:rPr>
                <w:sz w:val="18"/>
                <w:szCs w:val="18"/>
              </w:rPr>
              <w:t>2 - &lt;20</w:t>
            </w:r>
          </w:p>
        </w:tc>
        <w:tc>
          <w:tcPr>
            <w:tcW w:w="335" w:type="pct"/>
            <w:vMerge w:val="restart"/>
            <w:shd w:val="clear" w:color="auto" w:fill="auto"/>
          </w:tcPr>
          <w:p w14:paraId="297E2082" w14:textId="77777777" w:rsidR="00AE4BA7" w:rsidRPr="00A2004D" w:rsidRDefault="00AE4BA7" w:rsidP="00E34323">
            <w:pPr>
              <w:spacing w:line="240" w:lineRule="auto"/>
              <w:rPr>
                <w:sz w:val="18"/>
                <w:szCs w:val="18"/>
              </w:rPr>
            </w:pPr>
            <w:r w:rsidRPr="00A2004D">
              <w:rPr>
                <w:sz w:val="18"/>
                <w:szCs w:val="18"/>
              </w:rPr>
              <w:t>Investigate</w:t>
            </w:r>
          </w:p>
        </w:tc>
        <w:tc>
          <w:tcPr>
            <w:tcW w:w="938" w:type="pct"/>
            <w:vMerge w:val="restart"/>
            <w:shd w:val="clear" w:color="auto" w:fill="auto"/>
          </w:tcPr>
          <w:p w14:paraId="77287146" w14:textId="77777777" w:rsidR="00AE4BA7" w:rsidRPr="00A2004D" w:rsidRDefault="00AE4BA7" w:rsidP="00E34323">
            <w:pPr>
              <w:spacing w:line="240" w:lineRule="auto"/>
              <w:rPr>
                <w:sz w:val="18"/>
                <w:szCs w:val="18"/>
              </w:rPr>
            </w:pPr>
            <w:r w:rsidRPr="00A2004D">
              <w:rPr>
                <w:sz w:val="18"/>
                <w:szCs w:val="18"/>
              </w:rPr>
              <w:t xml:space="preserve">No immediate health </w:t>
            </w:r>
            <w:proofErr w:type="gramStart"/>
            <w:r w:rsidRPr="00A2004D">
              <w:rPr>
                <w:sz w:val="18"/>
                <w:szCs w:val="18"/>
              </w:rPr>
              <w:t>concerns</w:t>
            </w:r>
            <w:proofErr w:type="gramEnd"/>
          </w:p>
          <w:p w14:paraId="1F92084C" w14:textId="77777777" w:rsidR="00AE4BA7" w:rsidRPr="00A2004D" w:rsidRDefault="00AE4BA7" w:rsidP="00E34323">
            <w:pPr>
              <w:spacing w:line="240" w:lineRule="auto"/>
              <w:rPr>
                <w:sz w:val="18"/>
                <w:szCs w:val="18"/>
              </w:rPr>
            </w:pPr>
            <w:r w:rsidRPr="00A2004D">
              <w:rPr>
                <w:sz w:val="18"/>
                <w:szCs w:val="18"/>
              </w:rPr>
              <w:t xml:space="preserve">Occupants may remain in </w:t>
            </w:r>
            <w:proofErr w:type="gramStart"/>
            <w:r w:rsidRPr="00A2004D">
              <w:rPr>
                <w:sz w:val="18"/>
                <w:szCs w:val="18"/>
              </w:rPr>
              <w:t>property</w:t>
            </w:r>
            <w:proofErr w:type="gramEnd"/>
          </w:p>
          <w:p w14:paraId="17D6C7B5" w14:textId="77777777" w:rsidR="00AE4BA7" w:rsidRPr="00A2004D" w:rsidRDefault="00AE4BA7" w:rsidP="00E34323">
            <w:pPr>
              <w:spacing w:line="240" w:lineRule="auto"/>
              <w:rPr>
                <w:sz w:val="18"/>
                <w:szCs w:val="18"/>
              </w:rPr>
            </w:pPr>
            <w:r w:rsidRPr="00A2004D">
              <w:rPr>
                <w:sz w:val="18"/>
                <w:szCs w:val="18"/>
              </w:rPr>
              <w:t xml:space="preserve">Further assessment to validate results and implementation of mitigation measures if </w:t>
            </w:r>
            <w:proofErr w:type="gramStart"/>
            <w:r w:rsidRPr="00A2004D">
              <w:rPr>
                <w:sz w:val="18"/>
                <w:szCs w:val="18"/>
              </w:rPr>
              <w:t>necessary</w:t>
            </w:r>
            <w:proofErr w:type="gramEnd"/>
          </w:p>
          <w:p w14:paraId="0CE46176" w14:textId="77777777" w:rsidR="00AE4BA7" w:rsidRPr="00A2004D" w:rsidRDefault="00AE4BA7" w:rsidP="00E34323">
            <w:pPr>
              <w:spacing w:line="240" w:lineRule="auto"/>
              <w:rPr>
                <w:sz w:val="18"/>
                <w:szCs w:val="18"/>
              </w:rPr>
            </w:pPr>
            <w:r w:rsidRPr="00A2004D">
              <w:rPr>
                <w:sz w:val="18"/>
                <w:szCs w:val="18"/>
              </w:rPr>
              <w:t>Ongoing communication</w:t>
            </w:r>
          </w:p>
        </w:tc>
        <w:tc>
          <w:tcPr>
            <w:tcW w:w="3333" w:type="pct"/>
            <w:gridSpan w:val="3"/>
            <w:shd w:val="clear" w:color="auto" w:fill="auto"/>
          </w:tcPr>
          <w:p w14:paraId="79A17C03" w14:textId="77777777" w:rsidR="00AE4BA7" w:rsidRPr="00A2004D" w:rsidRDefault="00AE4BA7" w:rsidP="00E34323">
            <w:pPr>
              <w:spacing w:line="240" w:lineRule="auto"/>
              <w:rPr>
                <w:sz w:val="18"/>
                <w:szCs w:val="18"/>
              </w:rPr>
            </w:pPr>
            <w:r w:rsidRPr="00A2004D">
              <w:rPr>
                <w:sz w:val="18"/>
                <w:szCs w:val="18"/>
              </w:rPr>
              <w:t>Case management at individual property level including considerations of:</w:t>
            </w:r>
          </w:p>
          <w:p w14:paraId="377AF7CC" w14:textId="77777777" w:rsidR="00AE4BA7" w:rsidRPr="00A2004D" w:rsidRDefault="00AE4BA7" w:rsidP="00AE4BA7">
            <w:pPr>
              <w:numPr>
                <w:ilvl w:val="0"/>
                <w:numId w:val="24"/>
              </w:numPr>
              <w:spacing w:line="240" w:lineRule="auto"/>
              <w:rPr>
                <w:sz w:val="18"/>
                <w:szCs w:val="18"/>
              </w:rPr>
            </w:pPr>
            <w:r w:rsidRPr="00A2004D">
              <w:rPr>
                <w:sz w:val="18"/>
                <w:szCs w:val="18"/>
              </w:rPr>
              <w:t>Assessment of individual circumstances</w:t>
            </w:r>
          </w:p>
          <w:p w14:paraId="574664BE" w14:textId="77777777" w:rsidR="00AE4BA7" w:rsidRPr="00A2004D" w:rsidRDefault="00AE4BA7" w:rsidP="00AE4BA7">
            <w:pPr>
              <w:numPr>
                <w:ilvl w:val="0"/>
                <w:numId w:val="24"/>
              </w:numPr>
              <w:spacing w:line="240" w:lineRule="auto"/>
              <w:rPr>
                <w:sz w:val="18"/>
                <w:szCs w:val="18"/>
              </w:rPr>
            </w:pPr>
            <w:r w:rsidRPr="00A2004D">
              <w:rPr>
                <w:sz w:val="18"/>
                <w:szCs w:val="18"/>
              </w:rPr>
              <w:t>Building construction type and condition</w:t>
            </w:r>
          </w:p>
          <w:p w14:paraId="3019073D" w14:textId="77777777" w:rsidR="00AE4BA7" w:rsidRPr="00A2004D" w:rsidRDefault="00AE4BA7" w:rsidP="00AE4BA7">
            <w:pPr>
              <w:numPr>
                <w:ilvl w:val="0"/>
                <w:numId w:val="24"/>
              </w:numPr>
              <w:spacing w:line="240" w:lineRule="auto"/>
              <w:rPr>
                <w:sz w:val="18"/>
                <w:szCs w:val="18"/>
              </w:rPr>
            </w:pPr>
            <w:r w:rsidRPr="00A2004D">
              <w:rPr>
                <w:sz w:val="18"/>
                <w:szCs w:val="18"/>
              </w:rPr>
              <w:t>Education on passive precautionary mitigation strategies (ventilation, sealing cracks and penetrations etc)</w:t>
            </w:r>
          </w:p>
          <w:p w14:paraId="2591F3BA" w14:textId="77777777" w:rsidR="00AE4BA7" w:rsidRPr="00A2004D" w:rsidRDefault="00AE4BA7" w:rsidP="00AE4BA7">
            <w:pPr>
              <w:numPr>
                <w:ilvl w:val="0"/>
                <w:numId w:val="24"/>
              </w:numPr>
              <w:spacing w:line="240" w:lineRule="auto"/>
              <w:rPr>
                <w:sz w:val="18"/>
                <w:szCs w:val="18"/>
              </w:rPr>
            </w:pPr>
            <w:r w:rsidRPr="00A2004D">
              <w:rPr>
                <w:sz w:val="18"/>
                <w:szCs w:val="18"/>
              </w:rPr>
              <w:t xml:space="preserve">Agreement to further assessment if required noting the implications of </w:t>
            </w:r>
            <w:proofErr w:type="spellStart"/>
            <w:proofErr w:type="gramStart"/>
            <w:r w:rsidRPr="00A2004D">
              <w:rPr>
                <w:sz w:val="18"/>
                <w:szCs w:val="18"/>
              </w:rPr>
              <w:t>on site</w:t>
            </w:r>
            <w:proofErr w:type="spellEnd"/>
            <w:proofErr w:type="gramEnd"/>
            <w:r w:rsidRPr="00A2004D">
              <w:rPr>
                <w:sz w:val="18"/>
                <w:szCs w:val="18"/>
              </w:rPr>
              <w:t xml:space="preserve"> testing on private properties</w:t>
            </w:r>
          </w:p>
          <w:p w14:paraId="48861BB3" w14:textId="77777777" w:rsidR="00AE4BA7" w:rsidRPr="00A2004D" w:rsidRDefault="00AE4BA7" w:rsidP="00E34323">
            <w:pPr>
              <w:spacing w:line="240" w:lineRule="auto"/>
              <w:rPr>
                <w:sz w:val="18"/>
                <w:szCs w:val="18"/>
              </w:rPr>
            </w:pPr>
            <w:r w:rsidRPr="00A2004D">
              <w:rPr>
                <w:sz w:val="18"/>
                <w:szCs w:val="18"/>
              </w:rPr>
              <w:t>Time range: months - years</w:t>
            </w:r>
          </w:p>
        </w:tc>
      </w:tr>
      <w:tr w:rsidR="00AE4BA7" w:rsidRPr="00A2004D" w14:paraId="605A5C73" w14:textId="77777777" w:rsidTr="1B8E3354">
        <w:tc>
          <w:tcPr>
            <w:tcW w:w="394" w:type="pct"/>
            <w:vMerge/>
          </w:tcPr>
          <w:p w14:paraId="52E56223" w14:textId="77777777" w:rsidR="00AE4BA7" w:rsidRPr="00A2004D" w:rsidRDefault="00AE4BA7" w:rsidP="00E34323">
            <w:pPr>
              <w:spacing w:line="240" w:lineRule="auto"/>
              <w:rPr>
                <w:sz w:val="18"/>
                <w:szCs w:val="18"/>
              </w:rPr>
            </w:pPr>
          </w:p>
        </w:tc>
        <w:tc>
          <w:tcPr>
            <w:tcW w:w="335" w:type="pct"/>
            <w:vMerge/>
          </w:tcPr>
          <w:p w14:paraId="07547A01" w14:textId="77777777" w:rsidR="00AE4BA7" w:rsidRPr="00A2004D" w:rsidRDefault="00AE4BA7" w:rsidP="00E34323">
            <w:pPr>
              <w:spacing w:line="240" w:lineRule="auto"/>
              <w:rPr>
                <w:sz w:val="18"/>
                <w:szCs w:val="18"/>
              </w:rPr>
            </w:pPr>
          </w:p>
        </w:tc>
        <w:tc>
          <w:tcPr>
            <w:tcW w:w="938" w:type="pct"/>
            <w:vMerge/>
          </w:tcPr>
          <w:p w14:paraId="5043CB0F" w14:textId="77777777" w:rsidR="00AE4BA7" w:rsidRPr="00A2004D" w:rsidRDefault="00AE4BA7" w:rsidP="00E34323">
            <w:pPr>
              <w:spacing w:line="240" w:lineRule="auto"/>
              <w:rPr>
                <w:sz w:val="18"/>
                <w:szCs w:val="18"/>
              </w:rPr>
            </w:pPr>
          </w:p>
        </w:tc>
        <w:tc>
          <w:tcPr>
            <w:tcW w:w="1542" w:type="pct"/>
            <w:shd w:val="clear" w:color="auto" w:fill="auto"/>
          </w:tcPr>
          <w:p w14:paraId="26F6AB93" w14:textId="77777777" w:rsidR="00AE4BA7" w:rsidRPr="00A2004D" w:rsidRDefault="00AE4BA7" w:rsidP="00AE4BA7">
            <w:pPr>
              <w:numPr>
                <w:ilvl w:val="0"/>
                <w:numId w:val="25"/>
              </w:numPr>
              <w:spacing w:line="240" w:lineRule="auto"/>
              <w:rPr>
                <w:sz w:val="18"/>
                <w:szCs w:val="18"/>
              </w:rPr>
            </w:pPr>
            <w:r w:rsidRPr="00A2004D">
              <w:rPr>
                <w:sz w:val="18"/>
                <w:szCs w:val="18"/>
              </w:rPr>
              <w:t xml:space="preserve">Further assessment required including validating results to improve site specific understanding, which could include </w:t>
            </w:r>
            <w:proofErr w:type="gramStart"/>
            <w:r w:rsidRPr="00A2004D">
              <w:rPr>
                <w:sz w:val="18"/>
                <w:szCs w:val="18"/>
              </w:rPr>
              <w:t>on  site</w:t>
            </w:r>
            <w:proofErr w:type="gramEnd"/>
            <w:r w:rsidRPr="00A2004D">
              <w:rPr>
                <w:sz w:val="18"/>
                <w:szCs w:val="18"/>
              </w:rPr>
              <w:t xml:space="preserve"> assessment work at individual properties (external soil vapour, sub slab soil vapour) and investigate potential sources</w:t>
            </w:r>
          </w:p>
        </w:tc>
        <w:tc>
          <w:tcPr>
            <w:tcW w:w="1791" w:type="pct"/>
            <w:gridSpan w:val="2"/>
            <w:shd w:val="clear" w:color="auto" w:fill="auto"/>
          </w:tcPr>
          <w:p w14:paraId="34ABAC9B" w14:textId="77777777" w:rsidR="00AE4BA7" w:rsidRPr="00A2004D" w:rsidRDefault="00AE4BA7" w:rsidP="00AE4BA7">
            <w:pPr>
              <w:numPr>
                <w:ilvl w:val="0"/>
                <w:numId w:val="25"/>
              </w:numPr>
              <w:spacing w:line="240" w:lineRule="auto"/>
              <w:rPr>
                <w:sz w:val="18"/>
                <w:szCs w:val="18"/>
              </w:rPr>
            </w:pPr>
            <w:r w:rsidRPr="00A2004D">
              <w:rPr>
                <w:sz w:val="18"/>
                <w:szCs w:val="18"/>
              </w:rPr>
              <w:t>Consider and implement further active and/or passive mitigation strategies to reduce indoor air concentrations to acceptable levels (if required) and monitor effectiveness and remediate sources as necessary.</w:t>
            </w:r>
          </w:p>
        </w:tc>
      </w:tr>
      <w:tr w:rsidR="00AE4BA7" w:rsidRPr="00A2004D" w14:paraId="43FF38BC" w14:textId="77777777" w:rsidTr="00E34323">
        <w:tc>
          <w:tcPr>
            <w:tcW w:w="394" w:type="pct"/>
            <w:vMerge w:val="restart"/>
            <w:shd w:val="clear" w:color="auto" w:fill="auto"/>
          </w:tcPr>
          <w:p w14:paraId="210E90DE" w14:textId="77777777" w:rsidR="00AE4BA7" w:rsidRPr="00A2004D" w:rsidRDefault="00AE4BA7" w:rsidP="00E34323">
            <w:pPr>
              <w:spacing w:line="240" w:lineRule="auto"/>
              <w:rPr>
                <w:sz w:val="18"/>
                <w:szCs w:val="18"/>
              </w:rPr>
            </w:pPr>
            <w:r w:rsidRPr="00A2004D">
              <w:rPr>
                <w:sz w:val="18"/>
                <w:szCs w:val="18"/>
              </w:rPr>
              <w:t>20 - &lt;200</w:t>
            </w:r>
          </w:p>
        </w:tc>
        <w:tc>
          <w:tcPr>
            <w:tcW w:w="335" w:type="pct"/>
            <w:vMerge w:val="restart"/>
            <w:shd w:val="clear" w:color="auto" w:fill="auto"/>
          </w:tcPr>
          <w:p w14:paraId="6EC08AF9" w14:textId="1C0526D5" w:rsidR="00AE4BA7" w:rsidRPr="00A2004D" w:rsidRDefault="610B3AD0" w:rsidP="00E34323">
            <w:pPr>
              <w:spacing w:line="240" w:lineRule="auto"/>
              <w:rPr>
                <w:sz w:val="18"/>
                <w:szCs w:val="18"/>
              </w:rPr>
            </w:pPr>
            <w:r w:rsidRPr="1B8E3354">
              <w:rPr>
                <w:sz w:val="18"/>
                <w:szCs w:val="18"/>
              </w:rPr>
              <w:t xml:space="preserve">Immediate </w:t>
            </w:r>
            <w:r w:rsidR="00AE4BA7" w:rsidRPr="00A2004D">
              <w:rPr>
                <w:sz w:val="18"/>
                <w:szCs w:val="18"/>
              </w:rPr>
              <w:t>Intervention</w:t>
            </w:r>
          </w:p>
        </w:tc>
        <w:tc>
          <w:tcPr>
            <w:tcW w:w="938" w:type="pct"/>
            <w:vMerge w:val="restart"/>
            <w:shd w:val="clear" w:color="auto" w:fill="auto"/>
          </w:tcPr>
          <w:p w14:paraId="06BF76AB" w14:textId="77777777" w:rsidR="00AE4BA7" w:rsidRPr="00A2004D" w:rsidRDefault="00AE4BA7" w:rsidP="00E34323">
            <w:pPr>
              <w:spacing w:line="240" w:lineRule="auto"/>
              <w:rPr>
                <w:sz w:val="18"/>
                <w:szCs w:val="18"/>
              </w:rPr>
            </w:pPr>
            <w:r w:rsidRPr="00A2004D">
              <w:rPr>
                <w:sz w:val="18"/>
                <w:szCs w:val="18"/>
              </w:rPr>
              <w:t xml:space="preserve">There may be a health </w:t>
            </w:r>
            <w:proofErr w:type="gramStart"/>
            <w:r w:rsidRPr="00A2004D">
              <w:rPr>
                <w:sz w:val="18"/>
                <w:szCs w:val="18"/>
              </w:rPr>
              <w:t>risk</w:t>
            </w:r>
            <w:proofErr w:type="gramEnd"/>
          </w:p>
          <w:p w14:paraId="6AD8B97D" w14:textId="77777777" w:rsidR="00AE4BA7" w:rsidRPr="00A2004D" w:rsidRDefault="00AE4BA7" w:rsidP="00E34323">
            <w:pPr>
              <w:spacing w:line="240" w:lineRule="auto"/>
              <w:rPr>
                <w:sz w:val="18"/>
                <w:szCs w:val="18"/>
              </w:rPr>
            </w:pPr>
            <w:r w:rsidRPr="00A2004D">
              <w:rPr>
                <w:sz w:val="18"/>
                <w:szCs w:val="18"/>
              </w:rPr>
              <w:t>Immediate engagement:</w:t>
            </w:r>
          </w:p>
          <w:p w14:paraId="054A8D04" w14:textId="77777777" w:rsidR="00AE4BA7" w:rsidRPr="00A2004D" w:rsidRDefault="00AE4BA7" w:rsidP="00AE4BA7">
            <w:pPr>
              <w:numPr>
                <w:ilvl w:val="0"/>
                <w:numId w:val="27"/>
              </w:numPr>
              <w:spacing w:line="240" w:lineRule="auto"/>
              <w:rPr>
                <w:sz w:val="18"/>
                <w:szCs w:val="18"/>
              </w:rPr>
            </w:pPr>
            <w:r w:rsidRPr="00A2004D">
              <w:rPr>
                <w:sz w:val="18"/>
                <w:szCs w:val="18"/>
              </w:rPr>
              <w:t xml:space="preserve">Work with individual property owners and occupiers to understand </w:t>
            </w:r>
            <w:proofErr w:type="gramStart"/>
            <w:r w:rsidRPr="00A2004D">
              <w:rPr>
                <w:sz w:val="18"/>
                <w:szCs w:val="18"/>
              </w:rPr>
              <w:t>circumstances</w:t>
            </w:r>
            <w:proofErr w:type="gramEnd"/>
          </w:p>
          <w:p w14:paraId="7663C139" w14:textId="77777777" w:rsidR="00AE4BA7" w:rsidRPr="00A2004D" w:rsidRDefault="00AE4BA7" w:rsidP="00AE4BA7">
            <w:pPr>
              <w:numPr>
                <w:ilvl w:val="0"/>
                <w:numId w:val="27"/>
              </w:numPr>
              <w:spacing w:line="240" w:lineRule="auto"/>
              <w:rPr>
                <w:sz w:val="18"/>
                <w:szCs w:val="18"/>
              </w:rPr>
            </w:pPr>
            <w:r w:rsidRPr="00A2004D">
              <w:rPr>
                <w:sz w:val="18"/>
                <w:szCs w:val="18"/>
              </w:rPr>
              <w:t xml:space="preserve">Communicate regarding results and further assessment options to seek agreement on next </w:t>
            </w:r>
            <w:proofErr w:type="gramStart"/>
            <w:r w:rsidRPr="00A2004D">
              <w:rPr>
                <w:sz w:val="18"/>
                <w:szCs w:val="18"/>
              </w:rPr>
              <w:t>steps</w:t>
            </w:r>
            <w:proofErr w:type="gramEnd"/>
            <w:r w:rsidRPr="00A2004D">
              <w:rPr>
                <w:sz w:val="18"/>
                <w:szCs w:val="18"/>
              </w:rPr>
              <w:t xml:space="preserve"> </w:t>
            </w:r>
          </w:p>
          <w:p w14:paraId="21463FB4" w14:textId="77777777" w:rsidR="00AE4BA7" w:rsidRPr="00A2004D" w:rsidRDefault="00AE4BA7" w:rsidP="00E34323">
            <w:pPr>
              <w:spacing w:line="240" w:lineRule="auto"/>
              <w:rPr>
                <w:sz w:val="18"/>
                <w:szCs w:val="18"/>
              </w:rPr>
            </w:pPr>
            <w:r w:rsidRPr="00A2004D">
              <w:rPr>
                <w:sz w:val="18"/>
                <w:szCs w:val="18"/>
              </w:rPr>
              <w:t xml:space="preserve">Commence immediate implementation of </w:t>
            </w:r>
            <w:proofErr w:type="gramStart"/>
            <w:r w:rsidRPr="00A2004D">
              <w:rPr>
                <w:sz w:val="18"/>
                <w:szCs w:val="18"/>
              </w:rPr>
              <w:t>site specific</w:t>
            </w:r>
            <w:proofErr w:type="gramEnd"/>
            <w:r w:rsidRPr="00A2004D">
              <w:rPr>
                <w:sz w:val="18"/>
                <w:szCs w:val="18"/>
              </w:rPr>
              <w:t xml:space="preserve"> mitigation and/or further assessment works and/or</w:t>
            </w:r>
          </w:p>
          <w:p w14:paraId="6321CA68" w14:textId="77777777" w:rsidR="00AE4BA7" w:rsidRPr="00A2004D" w:rsidRDefault="00AE4BA7" w:rsidP="00E34323">
            <w:pPr>
              <w:spacing w:line="240" w:lineRule="auto"/>
              <w:rPr>
                <w:sz w:val="18"/>
                <w:szCs w:val="18"/>
              </w:rPr>
            </w:pPr>
            <w:r w:rsidRPr="00A2004D">
              <w:rPr>
                <w:sz w:val="18"/>
                <w:szCs w:val="18"/>
              </w:rPr>
              <w:t>Agree upon relocation dependent upon circumstances of occupants</w:t>
            </w:r>
          </w:p>
        </w:tc>
        <w:tc>
          <w:tcPr>
            <w:tcW w:w="3333" w:type="pct"/>
            <w:gridSpan w:val="3"/>
            <w:shd w:val="clear" w:color="auto" w:fill="auto"/>
          </w:tcPr>
          <w:p w14:paraId="6F470A1B" w14:textId="77777777" w:rsidR="00AE4BA7" w:rsidRPr="00A2004D" w:rsidRDefault="00AE4BA7" w:rsidP="00E34323">
            <w:pPr>
              <w:spacing w:line="240" w:lineRule="auto"/>
              <w:rPr>
                <w:sz w:val="18"/>
                <w:szCs w:val="18"/>
              </w:rPr>
            </w:pPr>
            <w:r w:rsidRPr="00A2004D">
              <w:rPr>
                <w:sz w:val="18"/>
                <w:szCs w:val="18"/>
              </w:rPr>
              <w:t>Immediate case management at individual level including considerations of:</w:t>
            </w:r>
          </w:p>
          <w:p w14:paraId="48A9337B" w14:textId="77777777" w:rsidR="00AE4BA7" w:rsidRPr="00A2004D" w:rsidRDefault="00AE4BA7" w:rsidP="00AE4BA7">
            <w:pPr>
              <w:numPr>
                <w:ilvl w:val="0"/>
                <w:numId w:val="23"/>
              </w:numPr>
              <w:spacing w:line="240" w:lineRule="auto"/>
              <w:rPr>
                <w:sz w:val="18"/>
                <w:szCs w:val="18"/>
              </w:rPr>
            </w:pPr>
            <w:r w:rsidRPr="00A2004D">
              <w:rPr>
                <w:sz w:val="18"/>
                <w:szCs w:val="18"/>
              </w:rPr>
              <w:t>Assessment of individual circumstances</w:t>
            </w:r>
          </w:p>
          <w:p w14:paraId="38648AE8" w14:textId="77777777" w:rsidR="00AE4BA7" w:rsidRPr="00A2004D" w:rsidRDefault="00AE4BA7" w:rsidP="00AE4BA7">
            <w:pPr>
              <w:numPr>
                <w:ilvl w:val="0"/>
                <w:numId w:val="23"/>
              </w:numPr>
              <w:spacing w:line="240" w:lineRule="auto"/>
              <w:rPr>
                <w:sz w:val="18"/>
                <w:szCs w:val="18"/>
              </w:rPr>
            </w:pPr>
            <w:r w:rsidRPr="00A2004D">
              <w:rPr>
                <w:sz w:val="18"/>
                <w:szCs w:val="18"/>
              </w:rPr>
              <w:t>Building construction type and condition</w:t>
            </w:r>
          </w:p>
          <w:p w14:paraId="65D43B65" w14:textId="77777777" w:rsidR="00AE4BA7" w:rsidRPr="00A2004D" w:rsidRDefault="00AE4BA7" w:rsidP="00AE4BA7">
            <w:pPr>
              <w:numPr>
                <w:ilvl w:val="0"/>
                <w:numId w:val="23"/>
              </w:numPr>
              <w:spacing w:line="240" w:lineRule="auto"/>
              <w:rPr>
                <w:sz w:val="18"/>
                <w:szCs w:val="18"/>
              </w:rPr>
            </w:pPr>
            <w:r w:rsidRPr="00A2004D">
              <w:rPr>
                <w:sz w:val="18"/>
                <w:szCs w:val="18"/>
              </w:rPr>
              <w:t>Education on passive precautionary mitigation strategies (ventilation, sealing cracks and penetrations etc)</w:t>
            </w:r>
          </w:p>
          <w:p w14:paraId="12D1CABA" w14:textId="77777777" w:rsidR="00AE4BA7" w:rsidRPr="00A2004D" w:rsidRDefault="00AE4BA7" w:rsidP="00AE4BA7">
            <w:pPr>
              <w:numPr>
                <w:ilvl w:val="0"/>
                <w:numId w:val="23"/>
              </w:numPr>
              <w:spacing w:line="240" w:lineRule="auto"/>
              <w:rPr>
                <w:sz w:val="18"/>
                <w:szCs w:val="18"/>
              </w:rPr>
            </w:pPr>
            <w:r w:rsidRPr="00A2004D">
              <w:rPr>
                <w:sz w:val="18"/>
                <w:szCs w:val="18"/>
              </w:rPr>
              <w:t xml:space="preserve">Agreement to further assessment if required noting the implications of </w:t>
            </w:r>
            <w:proofErr w:type="spellStart"/>
            <w:proofErr w:type="gramStart"/>
            <w:r w:rsidRPr="00A2004D">
              <w:rPr>
                <w:sz w:val="18"/>
                <w:szCs w:val="18"/>
              </w:rPr>
              <w:t>on site</w:t>
            </w:r>
            <w:proofErr w:type="spellEnd"/>
            <w:proofErr w:type="gramEnd"/>
            <w:r w:rsidRPr="00A2004D">
              <w:rPr>
                <w:sz w:val="18"/>
                <w:szCs w:val="18"/>
              </w:rPr>
              <w:t xml:space="preserve"> testing on private properties</w:t>
            </w:r>
          </w:p>
          <w:p w14:paraId="1E40559C" w14:textId="77777777" w:rsidR="00AE4BA7" w:rsidRPr="00A2004D" w:rsidRDefault="00AE4BA7" w:rsidP="00E34323">
            <w:pPr>
              <w:spacing w:line="240" w:lineRule="auto"/>
              <w:rPr>
                <w:sz w:val="18"/>
                <w:szCs w:val="18"/>
              </w:rPr>
            </w:pPr>
            <w:r w:rsidRPr="00A2004D">
              <w:rPr>
                <w:sz w:val="18"/>
                <w:szCs w:val="18"/>
              </w:rPr>
              <w:t>Time range: months</w:t>
            </w:r>
          </w:p>
        </w:tc>
      </w:tr>
      <w:tr w:rsidR="00AE4BA7" w:rsidRPr="00A2004D" w14:paraId="4A277345" w14:textId="77777777" w:rsidTr="1B8E3354">
        <w:tc>
          <w:tcPr>
            <w:tcW w:w="394" w:type="pct"/>
            <w:vMerge/>
          </w:tcPr>
          <w:p w14:paraId="07459315" w14:textId="77777777" w:rsidR="00AE4BA7" w:rsidRPr="00A2004D" w:rsidRDefault="00AE4BA7" w:rsidP="00E34323">
            <w:pPr>
              <w:spacing w:line="240" w:lineRule="auto"/>
              <w:rPr>
                <w:sz w:val="18"/>
                <w:szCs w:val="18"/>
              </w:rPr>
            </w:pPr>
          </w:p>
        </w:tc>
        <w:tc>
          <w:tcPr>
            <w:tcW w:w="335" w:type="pct"/>
            <w:vMerge/>
          </w:tcPr>
          <w:p w14:paraId="6537F28F" w14:textId="77777777" w:rsidR="00AE4BA7" w:rsidRPr="00A2004D" w:rsidRDefault="00AE4BA7" w:rsidP="00E34323">
            <w:pPr>
              <w:spacing w:line="240" w:lineRule="auto"/>
              <w:rPr>
                <w:sz w:val="18"/>
                <w:szCs w:val="18"/>
              </w:rPr>
            </w:pPr>
          </w:p>
        </w:tc>
        <w:tc>
          <w:tcPr>
            <w:tcW w:w="938" w:type="pct"/>
            <w:vMerge/>
          </w:tcPr>
          <w:p w14:paraId="6DFB9E20" w14:textId="77777777" w:rsidR="00AE4BA7" w:rsidRPr="00A2004D" w:rsidRDefault="00AE4BA7" w:rsidP="00E34323">
            <w:pPr>
              <w:spacing w:line="240" w:lineRule="auto"/>
              <w:rPr>
                <w:sz w:val="18"/>
                <w:szCs w:val="18"/>
              </w:rPr>
            </w:pPr>
          </w:p>
        </w:tc>
        <w:tc>
          <w:tcPr>
            <w:tcW w:w="1542" w:type="pct"/>
            <w:shd w:val="clear" w:color="auto" w:fill="auto"/>
          </w:tcPr>
          <w:p w14:paraId="315F729E" w14:textId="77777777" w:rsidR="00AE4BA7" w:rsidRPr="00A2004D" w:rsidRDefault="00AE4BA7" w:rsidP="00AE4BA7">
            <w:pPr>
              <w:numPr>
                <w:ilvl w:val="0"/>
                <w:numId w:val="26"/>
              </w:numPr>
              <w:spacing w:line="240" w:lineRule="auto"/>
              <w:rPr>
                <w:sz w:val="18"/>
                <w:szCs w:val="18"/>
              </w:rPr>
            </w:pPr>
            <w:r w:rsidRPr="00A2004D">
              <w:rPr>
                <w:sz w:val="18"/>
                <w:szCs w:val="18"/>
              </w:rPr>
              <w:t xml:space="preserve">Accelerated on-site assessment programs at individual property level. Could include soil vapour, soil vapour (sub slab &amp; other) </w:t>
            </w:r>
          </w:p>
          <w:p w14:paraId="0FE18117" w14:textId="77777777" w:rsidR="00AE4BA7" w:rsidRPr="00A2004D" w:rsidRDefault="00AE4BA7" w:rsidP="00E34323">
            <w:pPr>
              <w:spacing w:line="240" w:lineRule="auto"/>
              <w:ind w:left="720"/>
              <w:rPr>
                <w:sz w:val="18"/>
                <w:szCs w:val="18"/>
              </w:rPr>
            </w:pPr>
            <w:r w:rsidRPr="00A2004D">
              <w:rPr>
                <w:sz w:val="18"/>
                <w:szCs w:val="18"/>
              </w:rPr>
              <w:t xml:space="preserve">and/or indoor air sampling and </w:t>
            </w:r>
          </w:p>
          <w:p w14:paraId="4A4C9DFA" w14:textId="77777777" w:rsidR="00AE4BA7" w:rsidRPr="00A2004D" w:rsidRDefault="00AE4BA7" w:rsidP="00E34323">
            <w:pPr>
              <w:spacing w:line="240" w:lineRule="auto"/>
              <w:ind w:left="720"/>
              <w:rPr>
                <w:sz w:val="18"/>
                <w:szCs w:val="18"/>
              </w:rPr>
            </w:pPr>
            <w:r w:rsidRPr="00A2004D">
              <w:rPr>
                <w:sz w:val="18"/>
                <w:szCs w:val="18"/>
              </w:rPr>
              <w:t>Investigate potential sources</w:t>
            </w:r>
          </w:p>
        </w:tc>
        <w:tc>
          <w:tcPr>
            <w:tcW w:w="1791" w:type="pct"/>
            <w:gridSpan w:val="2"/>
            <w:shd w:val="clear" w:color="auto" w:fill="auto"/>
          </w:tcPr>
          <w:p w14:paraId="4616B067" w14:textId="77777777" w:rsidR="00AE4BA7" w:rsidRPr="00A2004D" w:rsidRDefault="00AE4BA7" w:rsidP="00AE4BA7">
            <w:pPr>
              <w:numPr>
                <w:ilvl w:val="0"/>
                <w:numId w:val="26"/>
              </w:numPr>
              <w:spacing w:line="240" w:lineRule="auto"/>
              <w:rPr>
                <w:sz w:val="18"/>
                <w:szCs w:val="18"/>
              </w:rPr>
            </w:pPr>
            <w:r w:rsidRPr="00A2004D">
              <w:rPr>
                <w:sz w:val="18"/>
                <w:szCs w:val="18"/>
              </w:rPr>
              <w:t xml:space="preserve">Consider and implement further active and/or passive mitigation strategies to improve indoor air quality, including ongoing monitoring to validate </w:t>
            </w:r>
            <w:proofErr w:type="gramStart"/>
            <w:r w:rsidRPr="00A2004D">
              <w:rPr>
                <w:sz w:val="18"/>
                <w:szCs w:val="18"/>
              </w:rPr>
              <w:t>effectiveness</w:t>
            </w:r>
            <w:proofErr w:type="gramEnd"/>
          </w:p>
          <w:p w14:paraId="79ED1E29" w14:textId="77777777" w:rsidR="00AE4BA7" w:rsidRPr="00A2004D" w:rsidRDefault="00AE4BA7" w:rsidP="00E34323">
            <w:pPr>
              <w:spacing w:line="240" w:lineRule="auto"/>
              <w:ind w:left="720"/>
              <w:rPr>
                <w:sz w:val="18"/>
                <w:szCs w:val="18"/>
              </w:rPr>
            </w:pPr>
            <w:r w:rsidRPr="00A2004D">
              <w:rPr>
                <w:sz w:val="18"/>
                <w:szCs w:val="18"/>
              </w:rPr>
              <w:t xml:space="preserve"> and/or consider relocation subject to individual circumstances and </w:t>
            </w:r>
          </w:p>
          <w:p w14:paraId="556EF3F8" w14:textId="77777777" w:rsidR="00AE4BA7" w:rsidRPr="00A2004D" w:rsidRDefault="00AE4BA7" w:rsidP="00E34323">
            <w:pPr>
              <w:spacing w:line="240" w:lineRule="auto"/>
              <w:ind w:left="720"/>
              <w:rPr>
                <w:sz w:val="18"/>
                <w:szCs w:val="18"/>
              </w:rPr>
            </w:pPr>
            <w:r w:rsidRPr="00A2004D">
              <w:rPr>
                <w:sz w:val="18"/>
                <w:szCs w:val="18"/>
              </w:rPr>
              <w:t>Remediate sources as necessary.</w:t>
            </w:r>
          </w:p>
        </w:tc>
      </w:tr>
      <w:tr w:rsidR="00AE4BA7" w:rsidRPr="00A2004D" w14:paraId="37500DE5" w14:textId="77777777" w:rsidTr="00E34323">
        <w:tc>
          <w:tcPr>
            <w:tcW w:w="394" w:type="pct"/>
            <w:vMerge w:val="restart"/>
            <w:shd w:val="clear" w:color="auto" w:fill="auto"/>
          </w:tcPr>
          <w:p w14:paraId="5445B88B" w14:textId="77777777" w:rsidR="00AE4BA7" w:rsidRPr="00A2004D" w:rsidRDefault="00AE4BA7" w:rsidP="00E34323">
            <w:pPr>
              <w:spacing w:line="240" w:lineRule="auto"/>
              <w:rPr>
                <w:sz w:val="18"/>
                <w:szCs w:val="18"/>
              </w:rPr>
            </w:pPr>
            <w:r w:rsidRPr="00A2004D">
              <w:rPr>
                <w:sz w:val="18"/>
                <w:szCs w:val="18"/>
              </w:rPr>
              <w:t>200</w:t>
            </w:r>
            <w:r w:rsidR="00035185">
              <w:rPr>
                <w:sz w:val="18"/>
                <w:szCs w:val="18"/>
              </w:rPr>
              <w:t xml:space="preserve"> &amp; &gt;</w:t>
            </w:r>
          </w:p>
        </w:tc>
        <w:tc>
          <w:tcPr>
            <w:tcW w:w="335" w:type="pct"/>
            <w:vMerge w:val="restart"/>
            <w:shd w:val="clear" w:color="auto" w:fill="auto"/>
          </w:tcPr>
          <w:p w14:paraId="0F0EF2A0" w14:textId="77777777" w:rsidR="00AE4BA7" w:rsidRPr="00A2004D" w:rsidRDefault="00AE4BA7" w:rsidP="00E34323">
            <w:pPr>
              <w:spacing w:line="240" w:lineRule="auto"/>
              <w:rPr>
                <w:sz w:val="18"/>
                <w:szCs w:val="18"/>
              </w:rPr>
            </w:pPr>
            <w:r w:rsidRPr="00A2004D">
              <w:rPr>
                <w:sz w:val="18"/>
                <w:szCs w:val="18"/>
              </w:rPr>
              <w:t>Accelerated Intervention</w:t>
            </w:r>
          </w:p>
        </w:tc>
        <w:tc>
          <w:tcPr>
            <w:tcW w:w="938" w:type="pct"/>
            <w:vMerge w:val="restart"/>
            <w:shd w:val="clear" w:color="auto" w:fill="auto"/>
          </w:tcPr>
          <w:p w14:paraId="10ED650D" w14:textId="77777777" w:rsidR="00AE4BA7" w:rsidRPr="00A2004D" w:rsidRDefault="00AE4BA7" w:rsidP="00E34323">
            <w:pPr>
              <w:spacing w:line="240" w:lineRule="auto"/>
              <w:rPr>
                <w:sz w:val="18"/>
                <w:szCs w:val="18"/>
              </w:rPr>
            </w:pPr>
            <w:r w:rsidRPr="00A2004D">
              <w:rPr>
                <w:sz w:val="18"/>
                <w:szCs w:val="18"/>
              </w:rPr>
              <w:t xml:space="preserve">There is a health </w:t>
            </w:r>
            <w:proofErr w:type="gramStart"/>
            <w:r w:rsidRPr="00A2004D">
              <w:rPr>
                <w:sz w:val="18"/>
                <w:szCs w:val="18"/>
              </w:rPr>
              <w:t>risk</w:t>
            </w:r>
            <w:proofErr w:type="gramEnd"/>
          </w:p>
          <w:p w14:paraId="3722A522" w14:textId="77777777" w:rsidR="00AE4BA7" w:rsidRPr="00A2004D" w:rsidRDefault="00AE4BA7" w:rsidP="00E34323">
            <w:pPr>
              <w:spacing w:line="240" w:lineRule="auto"/>
              <w:rPr>
                <w:sz w:val="18"/>
                <w:szCs w:val="18"/>
              </w:rPr>
            </w:pPr>
            <w:r w:rsidRPr="00A2004D">
              <w:rPr>
                <w:sz w:val="18"/>
                <w:szCs w:val="18"/>
              </w:rPr>
              <w:t>Immediate engagement:</w:t>
            </w:r>
          </w:p>
          <w:p w14:paraId="0358AC8F" w14:textId="77777777" w:rsidR="00AE4BA7" w:rsidRPr="00A2004D" w:rsidRDefault="00AE4BA7" w:rsidP="00AE4BA7">
            <w:pPr>
              <w:numPr>
                <w:ilvl w:val="0"/>
                <w:numId w:val="27"/>
              </w:numPr>
              <w:spacing w:line="240" w:lineRule="auto"/>
              <w:rPr>
                <w:sz w:val="18"/>
                <w:szCs w:val="18"/>
              </w:rPr>
            </w:pPr>
            <w:r w:rsidRPr="00A2004D">
              <w:rPr>
                <w:sz w:val="18"/>
                <w:szCs w:val="18"/>
              </w:rPr>
              <w:t xml:space="preserve">Work with individual property owners and occupiers to understand </w:t>
            </w:r>
            <w:proofErr w:type="gramStart"/>
            <w:r w:rsidRPr="00A2004D">
              <w:rPr>
                <w:sz w:val="18"/>
                <w:szCs w:val="18"/>
              </w:rPr>
              <w:t>circumstances</w:t>
            </w:r>
            <w:proofErr w:type="gramEnd"/>
          </w:p>
          <w:p w14:paraId="5E93FB17" w14:textId="77777777" w:rsidR="00AE4BA7" w:rsidRPr="00A2004D" w:rsidRDefault="00AE4BA7" w:rsidP="00AE4BA7">
            <w:pPr>
              <w:numPr>
                <w:ilvl w:val="0"/>
                <w:numId w:val="27"/>
              </w:numPr>
              <w:spacing w:line="240" w:lineRule="auto"/>
              <w:rPr>
                <w:sz w:val="18"/>
                <w:szCs w:val="18"/>
              </w:rPr>
            </w:pPr>
            <w:r w:rsidRPr="00A2004D">
              <w:rPr>
                <w:sz w:val="18"/>
                <w:szCs w:val="18"/>
              </w:rPr>
              <w:t xml:space="preserve">Communicate regarding results and further assessment options to seek agreement on next </w:t>
            </w:r>
            <w:proofErr w:type="gramStart"/>
            <w:r w:rsidRPr="00A2004D">
              <w:rPr>
                <w:sz w:val="18"/>
                <w:szCs w:val="18"/>
              </w:rPr>
              <w:t>steps</w:t>
            </w:r>
            <w:proofErr w:type="gramEnd"/>
            <w:r w:rsidRPr="00A2004D">
              <w:rPr>
                <w:sz w:val="18"/>
                <w:szCs w:val="18"/>
              </w:rPr>
              <w:t xml:space="preserve"> </w:t>
            </w:r>
          </w:p>
          <w:p w14:paraId="66F7E270" w14:textId="77777777" w:rsidR="00AE4BA7" w:rsidRPr="00A2004D" w:rsidRDefault="00AE4BA7" w:rsidP="00E34323">
            <w:pPr>
              <w:spacing w:line="240" w:lineRule="auto"/>
              <w:rPr>
                <w:sz w:val="18"/>
                <w:szCs w:val="18"/>
              </w:rPr>
            </w:pPr>
            <w:r w:rsidRPr="00A2004D">
              <w:rPr>
                <w:sz w:val="18"/>
                <w:szCs w:val="18"/>
              </w:rPr>
              <w:t>Immediate action (relocation or mitigation)</w:t>
            </w:r>
          </w:p>
        </w:tc>
        <w:tc>
          <w:tcPr>
            <w:tcW w:w="3333" w:type="pct"/>
            <w:gridSpan w:val="3"/>
            <w:shd w:val="clear" w:color="auto" w:fill="auto"/>
          </w:tcPr>
          <w:p w14:paraId="47BEFC1F" w14:textId="77777777" w:rsidR="00AE4BA7" w:rsidRPr="00A2004D" w:rsidRDefault="00AE4BA7" w:rsidP="00E34323">
            <w:pPr>
              <w:spacing w:line="240" w:lineRule="auto"/>
              <w:rPr>
                <w:sz w:val="18"/>
                <w:szCs w:val="18"/>
              </w:rPr>
            </w:pPr>
            <w:r w:rsidRPr="00A2004D">
              <w:rPr>
                <w:sz w:val="18"/>
                <w:szCs w:val="18"/>
              </w:rPr>
              <w:t>Immediate case management at individual level including considerations of:</w:t>
            </w:r>
          </w:p>
          <w:p w14:paraId="1C445ECA" w14:textId="77777777" w:rsidR="00AE4BA7" w:rsidRPr="00A2004D" w:rsidRDefault="00AE4BA7" w:rsidP="00AE4BA7">
            <w:pPr>
              <w:numPr>
                <w:ilvl w:val="0"/>
                <w:numId w:val="23"/>
              </w:numPr>
              <w:spacing w:line="240" w:lineRule="auto"/>
              <w:rPr>
                <w:sz w:val="18"/>
                <w:szCs w:val="18"/>
              </w:rPr>
            </w:pPr>
            <w:r w:rsidRPr="00A2004D">
              <w:rPr>
                <w:sz w:val="18"/>
                <w:szCs w:val="18"/>
              </w:rPr>
              <w:t>Assessment of individual circumstances</w:t>
            </w:r>
          </w:p>
          <w:p w14:paraId="2741A6FD" w14:textId="77777777" w:rsidR="00AE4BA7" w:rsidRPr="00A2004D" w:rsidRDefault="00AE4BA7" w:rsidP="00AE4BA7">
            <w:pPr>
              <w:numPr>
                <w:ilvl w:val="0"/>
                <w:numId w:val="23"/>
              </w:numPr>
              <w:spacing w:line="240" w:lineRule="auto"/>
              <w:rPr>
                <w:sz w:val="18"/>
                <w:szCs w:val="18"/>
              </w:rPr>
            </w:pPr>
            <w:r w:rsidRPr="00A2004D">
              <w:rPr>
                <w:sz w:val="18"/>
                <w:szCs w:val="18"/>
              </w:rPr>
              <w:t>Building construction type and condition</w:t>
            </w:r>
          </w:p>
          <w:p w14:paraId="32FD9D8C" w14:textId="77777777" w:rsidR="00AE4BA7" w:rsidRPr="00A2004D" w:rsidRDefault="00AE4BA7" w:rsidP="00AE4BA7">
            <w:pPr>
              <w:numPr>
                <w:ilvl w:val="0"/>
                <w:numId w:val="23"/>
              </w:numPr>
              <w:spacing w:line="240" w:lineRule="auto"/>
              <w:rPr>
                <w:sz w:val="18"/>
                <w:szCs w:val="18"/>
              </w:rPr>
            </w:pPr>
            <w:r w:rsidRPr="00A2004D">
              <w:rPr>
                <w:sz w:val="18"/>
                <w:szCs w:val="18"/>
              </w:rPr>
              <w:t>Education on passive precautionary mitigation strategies (ventilation, sealing cracks and penetrations etc)</w:t>
            </w:r>
          </w:p>
          <w:p w14:paraId="6138F68C" w14:textId="77777777" w:rsidR="00AE4BA7" w:rsidRPr="00A2004D" w:rsidRDefault="00AE4BA7" w:rsidP="00AE4BA7">
            <w:pPr>
              <w:numPr>
                <w:ilvl w:val="0"/>
                <w:numId w:val="23"/>
              </w:numPr>
              <w:spacing w:line="240" w:lineRule="auto"/>
              <w:rPr>
                <w:sz w:val="18"/>
                <w:szCs w:val="18"/>
              </w:rPr>
            </w:pPr>
            <w:r w:rsidRPr="00A2004D">
              <w:rPr>
                <w:sz w:val="18"/>
                <w:szCs w:val="18"/>
              </w:rPr>
              <w:t xml:space="preserve">Agreement to further assessment if required noting the implications of </w:t>
            </w:r>
            <w:proofErr w:type="spellStart"/>
            <w:proofErr w:type="gramStart"/>
            <w:r w:rsidRPr="00A2004D">
              <w:rPr>
                <w:sz w:val="18"/>
                <w:szCs w:val="18"/>
              </w:rPr>
              <w:t>on site</w:t>
            </w:r>
            <w:proofErr w:type="spellEnd"/>
            <w:proofErr w:type="gramEnd"/>
            <w:r w:rsidRPr="00A2004D">
              <w:rPr>
                <w:sz w:val="18"/>
                <w:szCs w:val="18"/>
              </w:rPr>
              <w:t xml:space="preserve"> testing on private properties</w:t>
            </w:r>
          </w:p>
          <w:p w14:paraId="34429DFE" w14:textId="77777777" w:rsidR="00AE4BA7" w:rsidRPr="00A2004D" w:rsidRDefault="00AE4BA7" w:rsidP="00E34323">
            <w:pPr>
              <w:spacing w:line="240" w:lineRule="auto"/>
              <w:rPr>
                <w:sz w:val="18"/>
                <w:szCs w:val="18"/>
              </w:rPr>
            </w:pPr>
            <w:r w:rsidRPr="00A2004D">
              <w:rPr>
                <w:sz w:val="18"/>
                <w:szCs w:val="18"/>
              </w:rPr>
              <w:t>Time range: As soon as possible</w:t>
            </w:r>
          </w:p>
        </w:tc>
      </w:tr>
      <w:tr w:rsidR="00AE4BA7" w:rsidRPr="00A2004D" w14:paraId="6D0A1756" w14:textId="77777777" w:rsidTr="1B8E3354">
        <w:tc>
          <w:tcPr>
            <w:tcW w:w="394" w:type="pct"/>
            <w:vMerge/>
          </w:tcPr>
          <w:p w14:paraId="70DF9E56" w14:textId="77777777" w:rsidR="00AE4BA7" w:rsidRPr="00A2004D" w:rsidRDefault="00AE4BA7" w:rsidP="00E34323">
            <w:pPr>
              <w:spacing w:line="240" w:lineRule="auto"/>
              <w:rPr>
                <w:sz w:val="18"/>
                <w:szCs w:val="18"/>
              </w:rPr>
            </w:pPr>
          </w:p>
        </w:tc>
        <w:tc>
          <w:tcPr>
            <w:tcW w:w="335" w:type="pct"/>
            <w:vMerge/>
          </w:tcPr>
          <w:p w14:paraId="44E871BC" w14:textId="77777777" w:rsidR="00AE4BA7" w:rsidRPr="00A2004D" w:rsidRDefault="00AE4BA7" w:rsidP="00E34323">
            <w:pPr>
              <w:spacing w:line="240" w:lineRule="auto"/>
              <w:rPr>
                <w:sz w:val="18"/>
                <w:szCs w:val="18"/>
              </w:rPr>
            </w:pPr>
          </w:p>
        </w:tc>
        <w:tc>
          <w:tcPr>
            <w:tcW w:w="938" w:type="pct"/>
            <w:vMerge/>
          </w:tcPr>
          <w:p w14:paraId="144A5D23" w14:textId="77777777" w:rsidR="00AE4BA7" w:rsidRPr="00A2004D" w:rsidRDefault="00AE4BA7" w:rsidP="00E34323">
            <w:pPr>
              <w:spacing w:line="240" w:lineRule="auto"/>
              <w:rPr>
                <w:sz w:val="18"/>
                <w:szCs w:val="18"/>
              </w:rPr>
            </w:pPr>
          </w:p>
        </w:tc>
        <w:tc>
          <w:tcPr>
            <w:tcW w:w="1542" w:type="pct"/>
            <w:shd w:val="clear" w:color="auto" w:fill="auto"/>
          </w:tcPr>
          <w:p w14:paraId="054EC4C5" w14:textId="77777777" w:rsidR="00AE4BA7" w:rsidRPr="00A2004D" w:rsidRDefault="00AE4BA7" w:rsidP="00AE4BA7">
            <w:pPr>
              <w:numPr>
                <w:ilvl w:val="0"/>
                <w:numId w:val="28"/>
              </w:numPr>
              <w:spacing w:line="240" w:lineRule="auto"/>
              <w:rPr>
                <w:sz w:val="18"/>
                <w:szCs w:val="18"/>
              </w:rPr>
            </w:pPr>
            <w:r w:rsidRPr="00A2004D">
              <w:rPr>
                <w:sz w:val="18"/>
                <w:szCs w:val="18"/>
              </w:rPr>
              <w:t>Immediate action required – consideration of exposure at indoor air concentration.</w:t>
            </w:r>
          </w:p>
          <w:p w14:paraId="6D573FBA" w14:textId="77777777" w:rsidR="00AE4BA7" w:rsidRPr="00A2004D" w:rsidRDefault="00AE4BA7" w:rsidP="00E34323">
            <w:pPr>
              <w:spacing w:line="240" w:lineRule="auto"/>
              <w:ind w:left="720"/>
              <w:rPr>
                <w:sz w:val="18"/>
                <w:szCs w:val="18"/>
              </w:rPr>
            </w:pPr>
            <w:r w:rsidRPr="00A2004D">
              <w:rPr>
                <w:sz w:val="18"/>
                <w:szCs w:val="18"/>
              </w:rPr>
              <w:t xml:space="preserve">Recommend relocation subject to individual circumstances linked to indoor air concentrations linked to indoor air </w:t>
            </w:r>
            <w:proofErr w:type="gramStart"/>
            <w:r w:rsidRPr="00A2004D">
              <w:rPr>
                <w:sz w:val="18"/>
                <w:szCs w:val="18"/>
              </w:rPr>
              <w:t>concentrations</w:t>
            </w:r>
            <w:proofErr w:type="gramEnd"/>
            <w:r w:rsidRPr="00A2004D">
              <w:rPr>
                <w:sz w:val="18"/>
                <w:szCs w:val="18"/>
              </w:rPr>
              <w:t xml:space="preserve"> </w:t>
            </w:r>
          </w:p>
          <w:p w14:paraId="458584C4" w14:textId="77777777" w:rsidR="00AE4BA7" w:rsidRPr="00A2004D" w:rsidRDefault="00AE4BA7" w:rsidP="00E34323">
            <w:pPr>
              <w:spacing w:line="240" w:lineRule="auto"/>
              <w:ind w:left="720"/>
              <w:rPr>
                <w:sz w:val="18"/>
                <w:szCs w:val="18"/>
              </w:rPr>
            </w:pPr>
            <w:r w:rsidRPr="00A2004D">
              <w:rPr>
                <w:sz w:val="18"/>
                <w:szCs w:val="18"/>
              </w:rPr>
              <w:t xml:space="preserve">or implement urgent mitigation strategies (passive and/or active) </w:t>
            </w:r>
          </w:p>
        </w:tc>
        <w:tc>
          <w:tcPr>
            <w:tcW w:w="896" w:type="pct"/>
            <w:shd w:val="clear" w:color="auto" w:fill="auto"/>
          </w:tcPr>
          <w:p w14:paraId="57C29269" w14:textId="77777777" w:rsidR="00AE4BA7" w:rsidRPr="00A2004D" w:rsidRDefault="00AE4BA7" w:rsidP="00AE4BA7">
            <w:pPr>
              <w:numPr>
                <w:ilvl w:val="0"/>
                <w:numId w:val="28"/>
              </w:numPr>
              <w:spacing w:line="240" w:lineRule="auto"/>
              <w:rPr>
                <w:sz w:val="18"/>
                <w:szCs w:val="18"/>
              </w:rPr>
            </w:pPr>
            <w:r w:rsidRPr="00A2004D">
              <w:rPr>
                <w:sz w:val="18"/>
                <w:szCs w:val="18"/>
              </w:rPr>
              <w:t>Accelerated assessment program at property level which could include, external soil vapour, sub slab soil vapour, indoor air sampling</w:t>
            </w:r>
          </w:p>
        </w:tc>
        <w:tc>
          <w:tcPr>
            <w:tcW w:w="896" w:type="pct"/>
            <w:shd w:val="clear" w:color="auto" w:fill="auto"/>
          </w:tcPr>
          <w:p w14:paraId="241E0BE1" w14:textId="77777777" w:rsidR="00AE4BA7" w:rsidRPr="00A2004D" w:rsidRDefault="00AE4BA7" w:rsidP="00AE4BA7">
            <w:pPr>
              <w:numPr>
                <w:ilvl w:val="0"/>
                <w:numId w:val="28"/>
              </w:numPr>
              <w:spacing w:line="240" w:lineRule="auto"/>
              <w:rPr>
                <w:sz w:val="18"/>
                <w:szCs w:val="18"/>
              </w:rPr>
            </w:pPr>
            <w:r w:rsidRPr="00A2004D">
              <w:rPr>
                <w:sz w:val="18"/>
                <w:szCs w:val="18"/>
              </w:rPr>
              <w:t xml:space="preserve">Remediate sources as necessary and/or </w:t>
            </w:r>
          </w:p>
          <w:p w14:paraId="365F3531" w14:textId="77777777" w:rsidR="00AE4BA7" w:rsidRPr="00A2004D" w:rsidRDefault="00AE4BA7" w:rsidP="00E34323">
            <w:pPr>
              <w:spacing w:line="240" w:lineRule="auto"/>
              <w:ind w:left="720"/>
              <w:rPr>
                <w:sz w:val="18"/>
                <w:szCs w:val="18"/>
              </w:rPr>
            </w:pPr>
            <w:r w:rsidRPr="00A2004D">
              <w:rPr>
                <w:sz w:val="18"/>
                <w:szCs w:val="18"/>
              </w:rPr>
              <w:t>further active and/or passive mitigation strategies</w:t>
            </w:r>
          </w:p>
        </w:tc>
      </w:tr>
    </w:tbl>
    <w:p w14:paraId="738610EB" w14:textId="77777777" w:rsidR="00347A90" w:rsidRDefault="00347A90" w:rsidP="00347A90"/>
    <w:p w14:paraId="086AD1AD" w14:textId="34FBFCE7" w:rsidR="00EC2795" w:rsidRDefault="00347A90" w:rsidP="00EC2795">
      <w:pPr>
        <w:pStyle w:val="Heading3"/>
        <w:numPr>
          <w:ilvl w:val="0"/>
          <w:numId w:val="22"/>
        </w:numPr>
      </w:pPr>
      <w:r>
        <w:br w:type="page"/>
      </w:r>
      <w:bookmarkStart w:id="21" w:name="_Toc153277260"/>
      <w:r w:rsidR="00EC2795">
        <w:lastRenderedPageBreak/>
        <w:t>Indoor Air Levels Action Framework – Non-carcinogen (example)</w:t>
      </w:r>
      <w:bookmarkEnd w:id="21"/>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649"/>
        <w:gridCol w:w="1402"/>
        <w:gridCol w:w="3925"/>
        <w:gridCol w:w="6453"/>
        <w:gridCol w:w="3750"/>
        <w:gridCol w:w="3745"/>
      </w:tblGrid>
      <w:tr w:rsidR="00AE4BA7" w:rsidRPr="00A2004D" w14:paraId="45EDFA84" w14:textId="77777777" w:rsidTr="00E34323">
        <w:tc>
          <w:tcPr>
            <w:tcW w:w="394" w:type="pct"/>
            <w:shd w:val="clear" w:color="auto" w:fill="auto"/>
          </w:tcPr>
          <w:p w14:paraId="7459CAA3" w14:textId="77777777" w:rsidR="00AE4BA7" w:rsidRDefault="00AE4BA7" w:rsidP="00E34323">
            <w:pPr>
              <w:spacing w:line="240" w:lineRule="auto"/>
              <w:jc w:val="center"/>
              <w:rPr>
                <w:b/>
                <w:sz w:val="18"/>
                <w:szCs w:val="18"/>
              </w:rPr>
            </w:pPr>
            <w:r w:rsidRPr="00A2004D">
              <w:rPr>
                <w:b/>
                <w:sz w:val="18"/>
                <w:szCs w:val="18"/>
              </w:rPr>
              <w:t>Indoor Air Level</w:t>
            </w:r>
          </w:p>
          <w:p w14:paraId="2ED65694" w14:textId="77777777" w:rsidR="00035185" w:rsidRPr="00A2004D" w:rsidRDefault="00035185" w:rsidP="00E34323">
            <w:pPr>
              <w:spacing w:line="240" w:lineRule="auto"/>
              <w:jc w:val="center"/>
              <w:rPr>
                <w:b/>
                <w:sz w:val="18"/>
                <w:szCs w:val="18"/>
              </w:rPr>
            </w:pPr>
            <w:r w:rsidRPr="00035185">
              <w:rPr>
                <w:rFonts w:ascii="Symbol" w:hAnsi="Symbol"/>
                <w:b/>
                <w:sz w:val="18"/>
                <w:szCs w:val="18"/>
              </w:rPr>
              <w:t></w:t>
            </w:r>
            <w:r>
              <w:rPr>
                <w:b/>
                <w:sz w:val="18"/>
                <w:szCs w:val="18"/>
              </w:rPr>
              <w:t>g/m</w:t>
            </w:r>
            <w:r w:rsidRPr="00035185">
              <w:rPr>
                <w:b/>
                <w:sz w:val="18"/>
                <w:szCs w:val="18"/>
                <w:vertAlign w:val="superscript"/>
              </w:rPr>
              <w:t>3</w:t>
            </w:r>
          </w:p>
        </w:tc>
        <w:tc>
          <w:tcPr>
            <w:tcW w:w="335" w:type="pct"/>
            <w:shd w:val="clear" w:color="auto" w:fill="auto"/>
          </w:tcPr>
          <w:p w14:paraId="4A5B790C" w14:textId="77777777" w:rsidR="00AE4BA7" w:rsidRPr="00A2004D" w:rsidRDefault="00AE4BA7" w:rsidP="00E34323">
            <w:pPr>
              <w:spacing w:line="240" w:lineRule="auto"/>
              <w:jc w:val="center"/>
              <w:rPr>
                <w:b/>
                <w:sz w:val="18"/>
                <w:szCs w:val="18"/>
              </w:rPr>
            </w:pPr>
            <w:r w:rsidRPr="00A2004D">
              <w:rPr>
                <w:b/>
                <w:sz w:val="18"/>
                <w:szCs w:val="18"/>
              </w:rPr>
              <w:t>Action Level Classification</w:t>
            </w:r>
          </w:p>
        </w:tc>
        <w:tc>
          <w:tcPr>
            <w:tcW w:w="938" w:type="pct"/>
            <w:shd w:val="clear" w:color="auto" w:fill="auto"/>
          </w:tcPr>
          <w:p w14:paraId="015EB869" w14:textId="77777777" w:rsidR="00AE4BA7" w:rsidRPr="00A2004D" w:rsidRDefault="00AE4BA7" w:rsidP="00E34323">
            <w:pPr>
              <w:spacing w:line="240" w:lineRule="auto"/>
              <w:jc w:val="center"/>
              <w:rPr>
                <w:b/>
                <w:sz w:val="18"/>
                <w:szCs w:val="18"/>
              </w:rPr>
            </w:pPr>
            <w:r w:rsidRPr="00A2004D">
              <w:rPr>
                <w:b/>
                <w:sz w:val="18"/>
                <w:szCs w:val="18"/>
              </w:rPr>
              <w:t>Consequences for Community</w:t>
            </w:r>
          </w:p>
        </w:tc>
        <w:tc>
          <w:tcPr>
            <w:tcW w:w="3333" w:type="pct"/>
            <w:gridSpan w:val="3"/>
            <w:shd w:val="clear" w:color="auto" w:fill="auto"/>
          </w:tcPr>
          <w:p w14:paraId="21F97E88" w14:textId="77777777" w:rsidR="00AE4BA7" w:rsidRPr="00A2004D" w:rsidRDefault="00AE4BA7" w:rsidP="00E34323">
            <w:pPr>
              <w:spacing w:line="240" w:lineRule="auto"/>
              <w:jc w:val="center"/>
              <w:rPr>
                <w:b/>
                <w:sz w:val="18"/>
                <w:szCs w:val="18"/>
              </w:rPr>
            </w:pPr>
            <w:r w:rsidRPr="00A2004D">
              <w:rPr>
                <w:b/>
                <w:sz w:val="18"/>
                <w:szCs w:val="18"/>
              </w:rPr>
              <w:t>Response Options &amp; Process</w:t>
            </w:r>
          </w:p>
          <w:p w14:paraId="05AD2624" w14:textId="77777777" w:rsidR="00AE4BA7" w:rsidRPr="00A2004D" w:rsidRDefault="00AE4BA7" w:rsidP="00E34323">
            <w:pPr>
              <w:spacing w:line="240" w:lineRule="auto"/>
              <w:jc w:val="center"/>
              <w:rPr>
                <w:b/>
                <w:sz w:val="18"/>
                <w:szCs w:val="18"/>
              </w:rPr>
            </w:pPr>
            <w:r w:rsidRPr="00A2004D">
              <w:rPr>
                <w:b/>
                <w:sz w:val="18"/>
                <w:szCs w:val="18"/>
              </w:rPr>
              <w:t>(Dependent upon individual circumstances &amp; situations</w:t>
            </w:r>
          </w:p>
        </w:tc>
      </w:tr>
      <w:tr w:rsidR="00AE4BA7" w:rsidRPr="00A2004D" w14:paraId="6F57A4DA" w14:textId="77777777" w:rsidTr="00E34323">
        <w:tc>
          <w:tcPr>
            <w:tcW w:w="394" w:type="pct"/>
            <w:shd w:val="clear" w:color="auto" w:fill="auto"/>
          </w:tcPr>
          <w:p w14:paraId="36643567" w14:textId="77777777" w:rsidR="00AE4BA7" w:rsidRPr="00A2004D" w:rsidRDefault="00AE4BA7" w:rsidP="00E34323">
            <w:pPr>
              <w:spacing w:line="240" w:lineRule="auto"/>
              <w:rPr>
                <w:sz w:val="18"/>
                <w:szCs w:val="18"/>
              </w:rPr>
            </w:pPr>
            <w:r w:rsidRPr="00A2004D">
              <w:rPr>
                <w:sz w:val="18"/>
                <w:szCs w:val="18"/>
              </w:rPr>
              <w:t>Below limit of reporting (LOR) (</w:t>
            </w:r>
            <w:proofErr w:type="spellStart"/>
            <w:r w:rsidRPr="00A2004D">
              <w:rPr>
                <w:sz w:val="18"/>
                <w:szCs w:val="18"/>
              </w:rPr>
              <w:t>non detect</w:t>
            </w:r>
            <w:proofErr w:type="spellEnd"/>
            <w:r w:rsidRPr="00A2004D">
              <w:rPr>
                <w:sz w:val="18"/>
                <w:szCs w:val="18"/>
              </w:rPr>
              <w:t>)</w:t>
            </w:r>
          </w:p>
        </w:tc>
        <w:tc>
          <w:tcPr>
            <w:tcW w:w="335" w:type="pct"/>
            <w:shd w:val="clear" w:color="auto" w:fill="auto"/>
          </w:tcPr>
          <w:p w14:paraId="77770A55" w14:textId="77777777" w:rsidR="00AE4BA7" w:rsidRPr="00A2004D" w:rsidRDefault="00AE4BA7" w:rsidP="00E34323">
            <w:pPr>
              <w:spacing w:line="240" w:lineRule="auto"/>
              <w:rPr>
                <w:sz w:val="18"/>
                <w:szCs w:val="18"/>
              </w:rPr>
            </w:pPr>
            <w:r w:rsidRPr="00A2004D">
              <w:rPr>
                <w:sz w:val="18"/>
                <w:szCs w:val="18"/>
              </w:rPr>
              <w:t>No Action</w:t>
            </w:r>
          </w:p>
        </w:tc>
        <w:tc>
          <w:tcPr>
            <w:tcW w:w="938" w:type="pct"/>
            <w:shd w:val="clear" w:color="auto" w:fill="auto"/>
          </w:tcPr>
          <w:p w14:paraId="3A4041AC" w14:textId="77777777" w:rsidR="00AE4BA7" w:rsidRPr="00A2004D" w:rsidRDefault="00AE4BA7" w:rsidP="00E34323">
            <w:pPr>
              <w:spacing w:line="240" w:lineRule="auto"/>
              <w:rPr>
                <w:sz w:val="18"/>
                <w:szCs w:val="18"/>
              </w:rPr>
            </w:pPr>
            <w:r w:rsidRPr="00A2004D">
              <w:rPr>
                <w:sz w:val="18"/>
                <w:szCs w:val="18"/>
              </w:rPr>
              <w:t>Safe</w:t>
            </w:r>
          </w:p>
        </w:tc>
        <w:tc>
          <w:tcPr>
            <w:tcW w:w="3333" w:type="pct"/>
            <w:gridSpan w:val="3"/>
            <w:shd w:val="clear" w:color="auto" w:fill="auto"/>
          </w:tcPr>
          <w:p w14:paraId="4F22524A" w14:textId="77777777" w:rsidR="00AE4BA7" w:rsidRPr="00A2004D" w:rsidRDefault="00AE4BA7" w:rsidP="00E34323">
            <w:pPr>
              <w:spacing w:line="240" w:lineRule="auto"/>
              <w:rPr>
                <w:sz w:val="18"/>
                <w:szCs w:val="18"/>
              </w:rPr>
            </w:pPr>
            <w:r w:rsidRPr="00A2004D">
              <w:rPr>
                <w:sz w:val="18"/>
                <w:szCs w:val="18"/>
              </w:rPr>
              <w:t>No further action</w:t>
            </w:r>
          </w:p>
        </w:tc>
      </w:tr>
      <w:tr w:rsidR="00AE4BA7" w:rsidRPr="00A2004D" w14:paraId="75E0EDA4" w14:textId="77777777" w:rsidTr="00E34323">
        <w:tc>
          <w:tcPr>
            <w:tcW w:w="394" w:type="pct"/>
            <w:shd w:val="clear" w:color="auto" w:fill="auto"/>
          </w:tcPr>
          <w:p w14:paraId="6CA774AF" w14:textId="77777777" w:rsidR="00AE4BA7" w:rsidRPr="00A2004D" w:rsidRDefault="00AE4BA7" w:rsidP="00E34323">
            <w:pPr>
              <w:spacing w:line="240" w:lineRule="auto"/>
              <w:rPr>
                <w:sz w:val="18"/>
                <w:szCs w:val="18"/>
              </w:rPr>
            </w:pPr>
            <w:r w:rsidRPr="00A2004D">
              <w:rPr>
                <w:sz w:val="18"/>
                <w:szCs w:val="18"/>
              </w:rPr>
              <w:t>&gt;LOR - &lt;40</w:t>
            </w:r>
          </w:p>
        </w:tc>
        <w:tc>
          <w:tcPr>
            <w:tcW w:w="335" w:type="pct"/>
            <w:shd w:val="clear" w:color="auto" w:fill="auto"/>
          </w:tcPr>
          <w:p w14:paraId="032E3F61" w14:textId="77777777" w:rsidR="00AE4BA7" w:rsidRPr="00A2004D" w:rsidRDefault="00AE4BA7" w:rsidP="00E34323">
            <w:pPr>
              <w:spacing w:line="240" w:lineRule="auto"/>
              <w:rPr>
                <w:sz w:val="18"/>
                <w:szCs w:val="18"/>
              </w:rPr>
            </w:pPr>
            <w:r w:rsidRPr="00A2004D">
              <w:rPr>
                <w:sz w:val="18"/>
                <w:szCs w:val="18"/>
              </w:rPr>
              <w:t>Validation</w:t>
            </w:r>
          </w:p>
        </w:tc>
        <w:tc>
          <w:tcPr>
            <w:tcW w:w="938" w:type="pct"/>
            <w:shd w:val="clear" w:color="auto" w:fill="auto"/>
          </w:tcPr>
          <w:p w14:paraId="4FD446EF" w14:textId="77777777" w:rsidR="00AE4BA7" w:rsidRPr="00A2004D" w:rsidRDefault="00AE4BA7" w:rsidP="00E34323">
            <w:pPr>
              <w:spacing w:line="240" w:lineRule="auto"/>
              <w:rPr>
                <w:sz w:val="18"/>
                <w:szCs w:val="18"/>
              </w:rPr>
            </w:pPr>
            <w:r w:rsidRPr="00A2004D">
              <w:rPr>
                <w:sz w:val="18"/>
                <w:szCs w:val="18"/>
              </w:rPr>
              <w:t>Safe</w:t>
            </w:r>
          </w:p>
        </w:tc>
        <w:tc>
          <w:tcPr>
            <w:tcW w:w="3333" w:type="pct"/>
            <w:gridSpan w:val="3"/>
            <w:shd w:val="clear" w:color="auto" w:fill="auto"/>
          </w:tcPr>
          <w:p w14:paraId="0DC14C6B" w14:textId="302EDD91" w:rsidR="00AE4BA7" w:rsidRPr="00A2004D" w:rsidRDefault="00AE4BA7" w:rsidP="00E34323">
            <w:pPr>
              <w:spacing w:line="240" w:lineRule="auto"/>
              <w:rPr>
                <w:sz w:val="18"/>
                <w:szCs w:val="18"/>
              </w:rPr>
            </w:pPr>
            <w:r w:rsidRPr="00A2004D">
              <w:rPr>
                <w:sz w:val="18"/>
                <w:szCs w:val="18"/>
              </w:rPr>
              <w:t>Validate results</w:t>
            </w:r>
            <w:r w:rsidR="299C0E91" w:rsidRPr="1B8E3354">
              <w:rPr>
                <w:sz w:val="18"/>
                <w:szCs w:val="18"/>
              </w:rPr>
              <w:t>.</w:t>
            </w:r>
            <w:r w:rsidR="31B7A6AC" w:rsidRPr="1B8E3354">
              <w:rPr>
                <w:sz w:val="18"/>
                <w:szCs w:val="18"/>
              </w:rPr>
              <w:t xml:space="preserve"> </w:t>
            </w:r>
            <w:r w:rsidR="559162B8" w:rsidRPr="1B8E3354">
              <w:rPr>
                <w:sz w:val="18"/>
                <w:szCs w:val="18"/>
              </w:rPr>
              <w:t>C</w:t>
            </w:r>
            <w:r w:rsidR="31B7A6AC" w:rsidRPr="1B8E3354">
              <w:rPr>
                <w:sz w:val="18"/>
                <w:szCs w:val="18"/>
              </w:rPr>
              <w:t>onsider</w:t>
            </w:r>
            <w:r w:rsidRPr="00A2004D">
              <w:rPr>
                <w:sz w:val="18"/>
                <w:szCs w:val="18"/>
              </w:rPr>
              <w:t xml:space="preserve"> monitoring and evaluation (if appropriate) based on site specific </w:t>
            </w:r>
            <w:proofErr w:type="gramStart"/>
            <w:r w:rsidRPr="00A2004D">
              <w:rPr>
                <w:sz w:val="18"/>
                <w:szCs w:val="18"/>
              </w:rPr>
              <w:t>conditions</w:t>
            </w:r>
            <w:proofErr w:type="gramEnd"/>
          </w:p>
          <w:p w14:paraId="67AE21FE" w14:textId="77777777" w:rsidR="00AE4BA7" w:rsidRPr="00A2004D" w:rsidRDefault="00AE4BA7" w:rsidP="00E34323">
            <w:pPr>
              <w:spacing w:line="240" w:lineRule="auto"/>
              <w:rPr>
                <w:sz w:val="18"/>
                <w:szCs w:val="18"/>
              </w:rPr>
            </w:pPr>
            <w:r w:rsidRPr="00A2004D">
              <w:rPr>
                <w:sz w:val="18"/>
                <w:szCs w:val="18"/>
              </w:rPr>
              <w:t>Time range: months - years</w:t>
            </w:r>
          </w:p>
        </w:tc>
      </w:tr>
      <w:tr w:rsidR="00AE4BA7" w:rsidRPr="00A2004D" w14:paraId="06578F43" w14:textId="77777777" w:rsidTr="00E34323">
        <w:tc>
          <w:tcPr>
            <w:tcW w:w="394" w:type="pct"/>
            <w:vMerge w:val="restart"/>
            <w:shd w:val="clear" w:color="auto" w:fill="auto"/>
          </w:tcPr>
          <w:p w14:paraId="206E4DFE" w14:textId="77777777" w:rsidR="00AE4BA7" w:rsidRPr="00A2004D" w:rsidRDefault="00AE4BA7" w:rsidP="00E34323">
            <w:pPr>
              <w:spacing w:line="240" w:lineRule="auto"/>
              <w:rPr>
                <w:sz w:val="18"/>
                <w:szCs w:val="18"/>
              </w:rPr>
            </w:pPr>
            <w:r w:rsidRPr="00A2004D">
              <w:rPr>
                <w:sz w:val="18"/>
                <w:szCs w:val="18"/>
              </w:rPr>
              <w:t>40 - &lt;200</w:t>
            </w:r>
          </w:p>
        </w:tc>
        <w:tc>
          <w:tcPr>
            <w:tcW w:w="335" w:type="pct"/>
            <w:vMerge w:val="restart"/>
            <w:shd w:val="clear" w:color="auto" w:fill="auto"/>
          </w:tcPr>
          <w:p w14:paraId="3C4884AB" w14:textId="77777777" w:rsidR="00AE4BA7" w:rsidRPr="00A2004D" w:rsidRDefault="00AE4BA7" w:rsidP="00E34323">
            <w:pPr>
              <w:spacing w:line="240" w:lineRule="auto"/>
              <w:rPr>
                <w:sz w:val="18"/>
                <w:szCs w:val="18"/>
              </w:rPr>
            </w:pPr>
            <w:r w:rsidRPr="00A2004D">
              <w:rPr>
                <w:sz w:val="18"/>
                <w:szCs w:val="18"/>
              </w:rPr>
              <w:t>Investigate</w:t>
            </w:r>
          </w:p>
        </w:tc>
        <w:tc>
          <w:tcPr>
            <w:tcW w:w="938" w:type="pct"/>
            <w:vMerge w:val="restart"/>
            <w:shd w:val="clear" w:color="auto" w:fill="auto"/>
          </w:tcPr>
          <w:p w14:paraId="1396D927" w14:textId="77777777" w:rsidR="00AE4BA7" w:rsidRPr="00A2004D" w:rsidRDefault="00AE4BA7" w:rsidP="00E34323">
            <w:pPr>
              <w:spacing w:line="240" w:lineRule="auto"/>
              <w:rPr>
                <w:sz w:val="18"/>
                <w:szCs w:val="18"/>
              </w:rPr>
            </w:pPr>
            <w:r w:rsidRPr="00A2004D">
              <w:rPr>
                <w:sz w:val="18"/>
                <w:szCs w:val="18"/>
              </w:rPr>
              <w:t xml:space="preserve">No immediate health </w:t>
            </w:r>
            <w:proofErr w:type="gramStart"/>
            <w:r w:rsidRPr="00A2004D">
              <w:rPr>
                <w:sz w:val="18"/>
                <w:szCs w:val="18"/>
              </w:rPr>
              <w:t>concerns</w:t>
            </w:r>
            <w:proofErr w:type="gramEnd"/>
          </w:p>
          <w:p w14:paraId="38306C2C" w14:textId="77777777" w:rsidR="00AE4BA7" w:rsidRPr="00A2004D" w:rsidRDefault="00AE4BA7" w:rsidP="00E34323">
            <w:pPr>
              <w:spacing w:line="240" w:lineRule="auto"/>
              <w:rPr>
                <w:sz w:val="18"/>
                <w:szCs w:val="18"/>
              </w:rPr>
            </w:pPr>
            <w:r w:rsidRPr="00A2004D">
              <w:rPr>
                <w:sz w:val="18"/>
                <w:szCs w:val="18"/>
              </w:rPr>
              <w:t xml:space="preserve">Occupants may remain in </w:t>
            </w:r>
            <w:proofErr w:type="gramStart"/>
            <w:r w:rsidRPr="00A2004D">
              <w:rPr>
                <w:sz w:val="18"/>
                <w:szCs w:val="18"/>
              </w:rPr>
              <w:t>property</w:t>
            </w:r>
            <w:proofErr w:type="gramEnd"/>
          </w:p>
          <w:p w14:paraId="04EAAEAD" w14:textId="77777777" w:rsidR="00AE4BA7" w:rsidRPr="00A2004D" w:rsidRDefault="00AE4BA7" w:rsidP="00E34323">
            <w:pPr>
              <w:spacing w:line="240" w:lineRule="auto"/>
              <w:rPr>
                <w:sz w:val="18"/>
                <w:szCs w:val="18"/>
              </w:rPr>
            </w:pPr>
            <w:r w:rsidRPr="00A2004D">
              <w:rPr>
                <w:sz w:val="18"/>
                <w:szCs w:val="18"/>
              </w:rPr>
              <w:t xml:space="preserve">Further assessment to validate results and implementation of mitigation measures if </w:t>
            </w:r>
            <w:proofErr w:type="gramStart"/>
            <w:r w:rsidRPr="00A2004D">
              <w:rPr>
                <w:sz w:val="18"/>
                <w:szCs w:val="18"/>
              </w:rPr>
              <w:t>necessary</w:t>
            </w:r>
            <w:proofErr w:type="gramEnd"/>
          </w:p>
          <w:p w14:paraId="0BED1ABB" w14:textId="77777777" w:rsidR="00AE4BA7" w:rsidRPr="00A2004D" w:rsidRDefault="00AE4BA7" w:rsidP="00E34323">
            <w:pPr>
              <w:spacing w:line="240" w:lineRule="auto"/>
              <w:rPr>
                <w:sz w:val="18"/>
                <w:szCs w:val="18"/>
              </w:rPr>
            </w:pPr>
            <w:r w:rsidRPr="00A2004D">
              <w:rPr>
                <w:sz w:val="18"/>
                <w:szCs w:val="18"/>
              </w:rPr>
              <w:t>Ongoing communication</w:t>
            </w:r>
          </w:p>
        </w:tc>
        <w:tc>
          <w:tcPr>
            <w:tcW w:w="3333" w:type="pct"/>
            <w:gridSpan w:val="3"/>
            <w:shd w:val="clear" w:color="auto" w:fill="auto"/>
          </w:tcPr>
          <w:p w14:paraId="1FA59A17" w14:textId="77777777" w:rsidR="00AE4BA7" w:rsidRPr="00A2004D" w:rsidRDefault="00AE4BA7" w:rsidP="00E34323">
            <w:pPr>
              <w:spacing w:line="240" w:lineRule="auto"/>
              <w:rPr>
                <w:sz w:val="18"/>
                <w:szCs w:val="18"/>
              </w:rPr>
            </w:pPr>
            <w:r w:rsidRPr="00A2004D">
              <w:rPr>
                <w:sz w:val="18"/>
                <w:szCs w:val="18"/>
              </w:rPr>
              <w:t>Case management at individual property level including considerations of:</w:t>
            </w:r>
          </w:p>
          <w:p w14:paraId="2D644351" w14:textId="77777777" w:rsidR="00AE4BA7" w:rsidRPr="00A2004D" w:rsidRDefault="00AE4BA7" w:rsidP="00AE4BA7">
            <w:pPr>
              <w:numPr>
                <w:ilvl w:val="0"/>
                <w:numId w:val="24"/>
              </w:numPr>
              <w:spacing w:line="240" w:lineRule="auto"/>
              <w:rPr>
                <w:sz w:val="18"/>
                <w:szCs w:val="18"/>
              </w:rPr>
            </w:pPr>
            <w:r w:rsidRPr="00A2004D">
              <w:rPr>
                <w:sz w:val="18"/>
                <w:szCs w:val="18"/>
              </w:rPr>
              <w:t>Assessment of individual circumstances</w:t>
            </w:r>
          </w:p>
          <w:p w14:paraId="331CE1C2" w14:textId="77777777" w:rsidR="00AE4BA7" w:rsidRPr="00A2004D" w:rsidRDefault="00AE4BA7" w:rsidP="00AE4BA7">
            <w:pPr>
              <w:numPr>
                <w:ilvl w:val="0"/>
                <w:numId w:val="24"/>
              </w:numPr>
              <w:spacing w:line="240" w:lineRule="auto"/>
              <w:rPr>
                <w:sz w:val="18"/>
                <w:szCs w:val="18"/>
              </w:rPr>
            </w:pPr>
            <w:r w:rsidRPr="00A2004D">
              <w:rPr>
                <w:sz w:val="18"/>
                <w:szCs w:val="18"/>
              </w:rPr>
              <w:t>Building construction type and condition</w:t>
            </w:r>
          </w:p>
          <w:p w14:paraId="106942D6" w14:textId="77777777" w:rsidR="00AE4BA7" w:rsidRPr="00A2004D" w:rsidRDefault="00AE4BA7" w:rsidP="00AE4BA7">
            <w:pPr>
              <w:numPr>
                <w:ilvl w:val="0"/>
                <w:numId w:val="24"/>
              </w:numPr>
              <w:spacing w:line="240" w:lineRule="auto"/>
              <w:rPr>
                <w:sz w:val="18"/>
                <w:szCs w:val="18"/>
              </w:rPr>
            </w:pPr>
            <w:r w:rsidRPr="00A2004D">
              <w:rPr>
                <w:sz w:val="18"/>
                <w:szCs w:val="18"/>
              </w:rPr>
              <w:t>Education on passive precautionary mitigation strategies (ventilation, sealing cracks and penetrations etc)</w:t>
            </w:r>
          </w:p>
          <w:p w14:paraId="34DD63F2" w14:textId="77777777" w:rsidR="00AE4BA7" w:rsidRPr="00A2004D" w:rsidRDefault="00AE4BA7" w:rsidP="00AE4BA7">
            <w:pPr>
              <w:numPr>
                <w:ilvl w:val="0"/>
                <w:numId w:val="24"/>
              </w:numPr>
              <w:spacing w:line="240" w:lineRule="auto"/>
              <w:rPr>
                <w:sz w:val="18"/>
                <w:szCs w:val="18"/>
              </w:rPr>
            </w:pPr>
            <w:r w:rsidRPr="00A2004D">
              <w:rPr>
                <w:sz w:val="18"/>
                <w:szCs w:val="18"/>
              </w:rPr>
              <w:t xml:space="preserve">Agreement to further assessment if required noting the implications of </w:t>
            </w:r>
            <w:proofErr w:type="spellStart"/>
            <w:proofErr w:type="gramStart"/>
            <w:r w:rsidRPr="00A2004D">
              <w:rPr>
                <w:sz w:val="18"/>
                <w:szCs w:val="18"/>
              </w:rPr>
              <w:t>on site</w:t>
            </w:r>
            <w:proofErr w:type="spellEnd"/>
            <w:proofErr w:type="gramEnd"/>
            <w:r w:rsidRPr="00A2004D">
              <w:rPr>
                <w:sz w:val="18"/>
                <w:szCs w:val="18"/>
              </w:rPr>
              <w:t xml:space="preserve"> testing on private properties</w:t>
            </w:r>
          </w:p>
          <w:p w14:paraId="0CD8BDB0" w14:textId="77777777" w:rsidR="00AE4BA7" w:rsidRPr="00A2004D" w:rsidRDefault="00AE4BA7" w:rsidP="00E34323">
            <w:pPr>
              <w:spacing w:line="240" w:lineRule="auto"/>
              <w:rPr>
                <w:sz w:val="18"/>
                <w:szCs w:val="18"/>
              </w:rPr>
            </w:pPr>
            <w:r w:rsidRPr="00A2004D">
              <w:rPr>
                <w:sz w:val="18"/>
                <w:szCs w:val="18"/>
              </w:rPr>
              <w:t>Time range: months - years</w:t>
            </w:r>
          </w:p>
        </w:tc>
      </w:tr>
      <w:tr w:rsidR="00AE4BA7" w:rsidRPr="00A2004D" w14:paraId="120C7370" w14:textId="77777777" w:rsidTr="1B8E3354">
        <w:tc>
          <w:tcPr>
            <w:tcW w:w="394" w:type="pct"/>
            <w:vMerge/>
          </w:tcPr>
          <w:p w14:paraId="637805D2" w14:textId="77777777" w:rsidR="00AE4BA7" w:rsidRPr="00A2004D" w:rsidRDefault="00AE4BA7" w:rsidP="00E34323">
            <w:pPr>
              <w:spacing w:line="240" w:lineRule="auto"/>
              <w:rPr>
                <w:sz w:val="18"/>
                <w:szCs w:val="18"/>
              </w:rPr>
            </w:pPr>
          </w:p>
        </w:tc>
        <w:tc>
          <w:tcPr>
            <w:tcW w:w="335" w:type="pct"/>
            <w:vMerge/>
          </w:tcPr>
          <w:p w14:paraId="463F29E8" w14:textId="77777777" w:rsidR="00AE4BA7" w:rsidRPr="00A2004D" w:rsidRDefault="00AE4BA7" w:rsidP="00E34323">
            <w:pPr>
              <w:spacing w:line="240" w:lineRule="auto"/>
              <w:rPr>
                <w:sz w:val="18"/>
                <w:szCs w:val="18"/>
              </w:rPr>
            </w:pPr>
          </w:p>
        </w:tc>
        <w:tc>
          <w:tcPr>
            <w:tcW w:w="938" w:type="pct"/>
            <w:vMerge/>
          </w:tcPr>
          <w:p w14:paraId="3B7B4B86" w14:textId="77777777" w:rsidR="00AE4BA7" w:rsidRPr="00A2004D" w:rsidRDefault="00AE4BA7" w:rsidP="00E34323">
            <w:pPr>
              <w:spacing w:line="240" w:lineRule="auto"/>
              <w:rPr>
                <w:sz w:val="18"/>
                <w:szCs w:val="18"/>
              </w:rPr>
            </w:pPr>
          </w:p>
        </w:tc>
        <w:tc>
          <w:tcPr>
            <w:tcW w:w="1542" w:type="pct"/>
            <w:shd w:val="clear" w:color="auto" w:fill="auto"/>
          </w:tcPr>
          <w:p w14:paraId="33CAB751" w14:textId="77777777" w:rsidR="00AE4BA7" w:rsidRPr="00A2004D" w:rsidRDefault="00AE4BA7" w:rsidP="00AE4BA7">
            <w:pPr>
              <w:numPr>
                <w:ilvl w:val="0"/>
                <w:numId w:val="25"/>
              </w:numPr>
              <w:spacing w:line="240" w:lineRule="auto"/>
              <w:rPr>
                <w:sz w:val="18"/>
                <w:szCs w:val="18"/>
              </w:rPr>
            </w:pPr>
            <w:r w:rsidRPr="00A2004D">
              <w:rPr>
                <w:sz w:val="18"/>
                <w:szCs w:val="18"/>
              </w:rPr>
              <w:t xml:space="preserve">Further assessment required including validating results to improve site specific understanding, which could include </w:t>
            </w:r>
            <w:proofErr w:type="gramStart"/>
            <w:r w:rsidRPr="00A2004D">
              <w:rPr>
                <w:sz w:val="18"/>
                <w:szCs w:val="18"/>
              </w:rPr>
              <w:t>on  site</w:t>
            </w:r>
            <w:proofErr w:type="gramEnd"/>
            <w:r w:rsidRPr="00A2004D">
              <w:rPr>
                <w:sz w:val="18"/>
                <w:szCs w:val="18"/>
              </w:rPr>
              <w:t xml:space="preserve"> assessment work at individual properties (external soil vapour, sub slab soil vapour) and investigate potential sources</w:t>
            </w:r>
          </w:p>
        </w:tc>
        <w:tc>
          <w:tcPr>
            <w:tcW w:w="1791" w:type="pct"/>
            <w:gridSpan w:val="2"/>
            <w:shd w:val="clear" w:color="auto" w:fill="auto"/>
          </w:tcPr>
          <w:p w14:paraId="06088E12" w14:textId="77777777" w:rsidR="00AE4BA7" w:rsidRPr="00A2004D" w:rsidRDefault="00AE4BA7" w:rsidP="00AE4BA7">
            <w:pPr>
              <w:numPr>
                <w:ilvl w:val="0"/>
                <w:numId w:val="25"/>
              </w:numPr>
              <w:spacing w:line="240" w:lineRule="auto"/>
              <w:rPr>
                <w:sz w:val="18"/>
                <w:szCs w:val="18"/>
              </w:rPr>
            </w:pPr>
            <w:r w:rsidRPr="00A2004D">
              <w:rPr>
                <w:sz w:val="18"/>
                <w:szCs w:val="18"/>
              </w:rPr>
              <w:t>Consider and implement further active and/or passive mitigation strategies to reduce indoor air concentrations to acceptable levels (if required) and monitor effectiveness and remediate sources as necessary.</w:t>
            </w:r>
          </w:p>
        </w:tc>
      </w:tr>
      <w:tr w:rsidR="00AE4BA7" w:rsidRPr="00A2004D" w14:paraId="0B8D084F" w14:textId="77777777" w:rsidTr="00E34323">
        <w:tc>
          <w:tcPr>
            <w:tcW w:w="394" w:type="pct"/>
            <w:vMerge w:val="restart"/>
            <w:shd w:val="clear" w:color="auto" w:fill="auto"/>
          </w:tcPr>
          <w:p w14:paraId="68CF79DD" w14:textId="77777777" w:rsidR="00AE4BA7" w:rsidRPr="00A2004D" w:rsidRDefault="00AE4BA7" w:rsidP="00E34323">
            <w:pPr>
              <w:spacing w:line="240" w:lineRule="auto"/>
              <w:rPr>
                <w:sz w:val="18"/>
                <w:szCs w:val="18"/>
              </w:rPr>
            </w:pPr>
            <w:r w:rsidRPr="00A2004D">
              <w:rPr>
                <w:sz w:val="18"/>
                <w:szCs w:val="18"/>
              </w:rPr>
              <w:t>200 - &lt;400</w:t>
            </w:r>
          </w:p>
        </w:tc>
        <w:tc>
          <w:tcPr>
            <w:tcW w:w="335" w:type="pct"/>
            <w:vMerge w:val="restart"/>
            <w:shd w:val="clear" w:color="auto" w:fill="auto"/>
          </w:tcPr>
          <w:p w14:paraId="47926158" w14:textId="2B783BC1" w:rsidR="00AE4BA7" w:rsidRPr="00A2004D" w:rsidRDefault="251DBCA5" w:rsidP="00E34323">
            <w:pPr>
              <w:spacing w:line="240" w:lineRule="auto"/>
              <w:rPr>
                <w:sz w:val="18"/>
                <w:szCs w:val="18"/>
              </w:rPr>
            </w:pPr>
            <w:r w:rsidRPr="1B8E3354">
              <w:rPr>
                <w:sz w:val="18"/>
                <w:szCs w:val="18"/>
              </w:rPr>
              <w:t xml:space="preserve">Immediate </w:t>
            </w:r>
            <w:r w:rsidR="00AE4BA7" w:rsidRPr="00A2004D">
              <w:rPr>
                <w:sz w:val="18"/>
                <w:szCs w:val="18"/>
              </w:rPr>
              <w:t>Intervention</w:t>
            </w:r>
          </w:p>
        </w:tc>
        <w:tc>
          <w:tcPr>
            <w:tcW w:w="938" w:type="pct"/>
            <w:vMerge w:val="restart"/>
            <w:shd w:val="clear" w:color="auto" w:fill="auto"/>
          </w:tcPr>
          <w:p w14:paraId="2EDC439F" w14:textId="77777777" w:rsidR="00AE4BA7" w:rsidRPr="00A2004D" w:rsidRDefault="00AE4BA7" w:rsidP="00E34323">
            <w:pPr>
              <w:spacing w:line="240" w:lineRule="auto"/>
              <w:rPr>
                <w:sz w:val="18"/>
                <w:szCs w:val="18"/>
              </w:rPr>
            </w:pPr>
            <w:r w:rsidRPr="00A2004D">
              <w:rPr>
                <w:sz w:val="18"/>
                <w:szCs w:val="18"/>
              </w:rPr>
              <w:t xml:space="preserve">There may be a health </w:t>
            </w:r>
            <w:proofErr w:type="gramStart"/>
            <w:r w:rsidRPr="00A2004D">
              <w:rPr>
                <w:sz w:val="18"/>
                <w:szCs w:val="18"/>
              </w:rPr>
              <w:t>risk</w:t>
            </w:r>
            <w:proofErr w:type="gramEnd"/>
          </w:p>
          <w:p w14:paraId="01151C93" w14:textId="77777777" w:rsidR="00AE4BA7" w:rsidRPr="00A2004D" w:rsidRDefault="00AE4BA7" w:rsidP="00E34323">
            <w:pPr>
              <w:spacing w:line="240" w:lineRule="auto"/>
              <w:rPr>
                <w:sz w:val="18"/>
                <w:szCs w:val="18"/>
              </w:rPr>
            </w:pPr>
            <w:r w:rsidRPr="00A2004D">
              <w:rPr>
                <w:sz w:val="18"/>
                <w:szCs w:val="18"/>
              </w:rPr>
              <w:t>Immediate engagement:</w:t>
            </w:r>
          </w:p>
          <w:p w14:paraId="2A1C16F6" w14:textId="77777777" w:rsidR="00AE4BA7" w:rsidRPr="00A2004D" w:rsidRDefault="00AE4BA7" w:rsidP="00AE4BA7">
            <w:pPr>
              <w:numPr>
                <w:ilvl w:val="0"/>
                <w:numId w:val="27"/>
              </w:numPr>
              <w:spacing w:line="240" w:lineRule="auto"/>
              <w:rPr>
                <w:sz w:val="18"/>
                <w:szCs w:val="18"/>
              </w:rPr>
            </w:pPr>
            <w:r w:rsidRPr="00A2004D">
              <w:rPr>
                <w:sz w:val="18"/>
                <w:szCs w:val="18"/>
              </w:rPr>
              <w:t xml:space="preserve">Work with individual property owners and occupiers to understand </w:t>
            </w:r>
            <w:proofErr w:type="gramStart"/>
            <w:r w:rsidRPr="00A2004D">
              <w:rPr>
                <w:sz w:val="18"/>
                <w:szCs w:val="18"/>
              </w:rPr>
              <w:t>circumstances</w:t>
            </w:r>
            <w:proofErr w:type="gramEnd"/>
          </w:p>
          <w:p w14:paraId="0A0C6121" w14:textId="77777777" w:rsidR="00AE4BA7" w:rsidRPr="00A2004D" w:rsidRDefault="00AE4BA7" w:rsidP="00AE4BA7">
            <w:pPr>
              <w:numPr>
                <w:ilvl w:val="0"/>
                <w:numId w:val="27"/>
              </w:numPr>
              <w:spacing w:line="240" w:lineRule="auto"/>
              <w:rPr>
                <w:sz w:val="18"/>
                <w:szCs w:val="18"/>
              </w:rPr>
            </w:pPr>
            <w:r w:rsidRPr="00A2004D">
              <w:rPr>
                <w:sz w:val="18"/>
                <w:szCs w:val="18"/>
              </w:rPr>
              <w:t xml:space="preserve">Communicate regarding results and further assessment options to seek agreement on next </w:t>
            </w:r>
            <w:proofErr w:type="gramStart"/>
            <w:r w:rsidRPr="00A2004D">
              <w:rPr>
                <w:sz w:val="18"/>
                <w:szCs w:val="18"/>
              </w:rPr>
              <w:t>steps</w:t>
            </w:r>
            <w:proofErr w:type="gramEnd"/>
            <w:r w:rsidRPr="00A2004D">
              <w:rPr>
                <w:sz w:val="18"/>
                <w:szCs w:val="18"/>
              </w:rPr>
              <w:t xml:space="preserve"> </w:t>
            </w:r>
          </w:p>
          <w:p w14:paraId="3F2B1F0A" w14:textId="77777777" w:rsidR="00AE4BA7" w:rsidRPr="00A2004D" w:rsidRDefault="00AE4BA7" w:rsidP="00E34323">
            <w:pPr>
              <w:spacing w:line="240" w:lineRule="auto"/>
              <w:rPr>
                <w:sz w:val="18"/>
                <w:szCs w:val="18"/>
              </w:rPr>
            </w:pPr>
            <w:r w:rsidRPr="00A2004D">
              <w:rPr>
                <w:sz w:val="18"/>
                <w:szCs w:val="18"/>
              </w:rPr>
              <w:t xml:space="preserve">Commence immediate implementation of </w:t>
            </w:r>
            <w:proofErr w:type="gramStart"/>
            <w:r w:rsidRPr="00A2004D">
              <w:rPr>
                <w:sz w:val="18"/>
                <w:szCs w:val="18"/>
              </w:rPr>
              <w:t>site specific</w:t>
            </w:r>
            <w:proofErr w:type="gramEnd"/>
            <w:r w:rsidRPr="00A2004D">
              <w:rPr>
                <w:sz w:val="18"/>
                <w:szCs w:val="18"/>
              </w:rPr>
              <w:t xml:space="preserve"> mitigation and/or further assessment works and/or</w:t>
            </w:r>
          </w:p>
          <w:p w14:paraId="7EC930C0" w14:textId="77777777" w:rsidR="00AE4BA7" w:rsidRPr="00A2004D" w:rsidRDefault="00AE4BA7" w:rsidP="00E34323">
            <w:pPr>
              <w:spacing w:line="240" w:lineRule="auto"/>
              <w:rPr>
                <w:sz w:val="18"/>
                <w:szCs w:val="18"/>
              </w:rPr>
            </w:pPr>
            <w:r w:rsidRPr="00A2004D">
              <w:rPr>
                <w:sz w:val="18"/>
                <w:szCs w:val="18"/>
              </w:rPr>
              <w:t>Agree upon relocation dependent upon circumstances of occupants</w:t>
            </w:r>
          </w:p>
        </w:tc>
        <w:tc>
          <w:tcPr>
            <w:tcW w:w="3333" w:type="pct"/>
            <w:gridSpan w:val="3"/>
            <w:shd w:val="clear" w:color="auto" w:fill="auto"/>
          </w:tcPr>
          <w:p w14:paraId="564449F3" w14:textId="77777777" w:rsidR="00AE4BA7" w:rsidRPr="00A2004D" w:rsidRDefault="00AE4BA7" w:rsidP="00E34323">
            <w:pPr>
              <w:spacing w:line="240" w:lineRule="auto"/>
              <w:rPr>
                <w:sz w:val="18"/>
                <w:szCs w:val="18"/>
              </w:rPr>
            </w:pPr>
            <w:r w:rsidRPr="00A2004D">
              <w:rPr>
                <w:sz w:val="18"/>
                <w:szCs w:val="18"/>
              </w:rPr>
              <w:t>Immediate case management at individual level including considerations of:</w:t>
            </w:r>
          </w:p>
          <w:p w14:paraId="1B78318A" w14:textId="77777777" w:rsidR="00AE4BA7" w:rsidRPr="00A2004D" w:rsidRDefault="00AE4BA7" w:rsidP="00AE4BA7">
            <w:pPr>
              <w:numPr>
                <w:ilvl w:val="0"/>
                <w:numId w:val="23"/>
              </w:numPr>
              <w:spacing w:line="240" w:lineRule="auto"/>
              <w:rPr>
                <w:sz w:val="18"/>
                <w:szCs w:val="18"/>
              </w:rPr>
            </w:pPr>
            <w:r w:rsidRPr="00A2004D">
              <w:rPr>
                <w:sz w:val="18"/>
                <w:szCs w:val="18"/>
              </w:rPr>
              <w:t>Assessment of individual circumstances</w:t>
            </w:r>
          </w:p>
          <w:p w14:paraId="1345E8E7" w14:textId="77777777" w:rsidR="00AE4BA7" w:rsidRPr="00A2004D" w:rsidRDefault="00AE4BA7" w:rsidP="00AE4BA7">
            <w:pPr>
              <w:numPr>
                <w:ilvl w:val="0"/>
                <w:numId w:val="23"/>
              </w:numPr>
              <w:spacing w:line="240" w:lineRule="auto"/>
              <w:rPr>
                <w:sz w:val="18"/>
                <w:szCs w:val="18"/>
              </w:rPr>
            </w:pPr>
            <w:r w:rsidRPr="00A2004D">
              <w:rPr>
                <w:sz w:val="18"/>
                <w:szCs w:val="18"/>
              </w:rPr>
              <w:t>Building construction type and condition</w:t>
            </w:r>
          </w:p>
          <w:p w14:paraId="657BFA98" w14:textId="77777777" w:rsidR="00AE4BA7" w:rsidRPr="00A2004D" w:rsidRDefault="00AE4BA7" w:rsidP="00AE4BA7">
            <w:pPr>
              <w:numPr>
                <w:ilvl w:val="0"/>
                <w:numId w:val="23"/>
              </w:numPr>
              <w:spacing w:line="240" w:lineRule="auto"/>
              <w:rPr>
                <w:sz w:val="18"/>
                <w:szCs w:val="18"/>
              </w:rPr>
            </w:pPr>
            <w:r w:rsidRPr="00A2004D">
              <w:rPr>
                <w:sz w:val="18"/>
                <w:szCs w:val="18"/>
              </w:rPr>
              <w:t>Education on passive precautionary mitigation strategies (ventilation, sealing cracks and penetrations etc)</w:t>
            </w:r>
          </w:p>
          <w:p w14:paraId="18306277" w14:textId="77777777" w:rsidR="00AE4BA7" w:rsidRPr="00A2004D" w:rsidRDefault="00AE4BA7" w:rsidP="00AE4BA7">
            <w:pPr>
              <w:numPr>
                <w:ilvl w:val="0"/>
                <w:numId w:val="23"/>
              </w:numPr>
              <w:spacing w:line="240" w:lineRule="auto"/>
              <w:rPr>
                <w:sz w:val="18"/>
                <w:szCs w:val="18"/>
              </w:rPr>
            </w:pPr>
            <w:r w:rsidRPr="00A2004D">
              <w:rPr>
                <w:sz w:val="18"/>
                <w:szCs w:val="18"/>
              </w:rPr>
              <w:t xml:space="preserve">Agreement to further assessment if required noting the implications of </w:t>
            </w:r>
            <w:proofErr w:type="spellStart"/>
            <w:proofErr w:type="gramStart"/>
            <w:r w:rsidRPr="00A2004D">
              <w:rPr>
                <w:sz w:val="18"/>
                <w:szCs w:val="18"/>
              </w:rPr>
              <w:t>on site</w:t>
            </w:r>
            <w:proofErr w:type="spellEnd"/>
            <w:proofErr w:type="gramEnd"/>
            <w:r w:rsidRPr="00A2004D">
              <w:rPr>
                <w:sz w:val="18"/>
                <w:szCs w:val="18"/>
              </w:rPr>
              <w:t xml:space="preserve"> testing on private properties</w:t>
            </w:r>
          </w:p>
          <w:p w14:paraId="2779B9EC" w14:textId="77777777" w:rsidR="00AE4BA7" w:rsidRPr="00A2004D" w:rsidRDefault="00AE4BA7" w:rsidP="00E34323">
            <w:pPr>
              <w:spacing w:line="240" w:lineRule="auto"/>
              <w:rPr>
                <w:sz w:val="18"/>
                <w:szCs w:val="18"/>
              </w:rPr>
            </w:pPr>
            <w:r w:rsidRPr="00A2004D">
              <w:rPr>
                <w:sz w:val="18"/>
                <w:szCs w:val="18"/>
              </w:rPr>
              <w:t>Time range: months</w:t>
            </w:r>
          </w:p>
        </w:tc>
      </w:tr>
      <w:tr w:rsidR="00AE4BA7" w:rsidRPr="00A2004D" w14:paraId="1D15A031" w14:textId="77777777" w:rsidTr="1B8E3354">
        <w:tc>
          <w:tcPr>
            <w:tcW w:w="394" w:type="pct"/>
            <w:vMerge/>
          </w:tcPr>
          <w:p w14:paraId="3A0FF5F2" w14:textId="77777777" w:rsidR="00AE4BA7" w:rsidRPr="00A2004D" w:rsidRDefault="00AE4BA7" w:rsidP="00E34323">
            <w:pPr>
              <w:spacing w:line="240" w:lineRule="auto"/>
              <w:rPr>
                <w:sz w:val="18"/>
                <w:szCs w:val="18"/>
              </w:rPr>
            </w:pPr>
          </w:p>
        </w:tc>
        <w:tc>
          <w:tcPr>
            <w:tcW w:w="335" w:type="pct"/>
            <w:vMerge/>
          </w:tcPr>
          <w:p w14:paraId="5630AD66" w14:textId="77777777" w:rsidR="00AE4BA7" w:rsidRPr="00A2004D" w:rsidRDefault="00AE4BA7" w:rsidP="00E34323">
            <w:pPr>
              <w:spacing w:line="240" w:lineRule="auto"/>
              <w:rPr>
                <w:sz w:val="18"/>
                <w:szCs w:val="18"/>
              </w:rPr>
            </w:pPr>
          </w:p>
        </w:tc>
        <w:tc>
          <w:tcPr>
            <w:tcW w:w="938" w:type="pct"/>
            <w:vMerge/>
          </w:tcPr>
          <w:p w14:paraId="61829076" w14:textId="77777777" w:rsidR="00AE4BA7" w:rsidRPr="00A2004D" w:rsidRDefault="00AE4BA7" w:rsidP="00E34323">
            <w:pPr>
              <w:spacing w:line="240" w:lineRule="auto"/>
              <w:rPr>
                <w:sz w:val="18"/>
                <w:szCs w:val="18"/>
              </w:rPr>
            </w:pPr>
          </w:p>
        </w:tc>
        <w:tc>
          <w:tcPr>
            <w:tcW w:w="1542" w:type="pct"/>
            <w:shd w:val="clear" w:color="auto" w:fill="auto"/>
          </w:tcPr>
          <w:p w14:paraId="16921920" w14:textId="77777777" w:rsidR="00AE4BA7" w:rsidRPr="00A2004D" w:rsidRDefault="00AE4BA7" w:rsidP="00AE4BA7">
            <w:pPr>
              <w:numPr>
                <w:ilvl w:val="0"/>
                <w:numId w:val="26"/>
              </w:numPr>
              <w:spacing w:line="240" w:lineRule="auto"/>
              <w:rPr>
                <w:sz w:val="18"/>
                <w:szCs w:val="18"/>
              </w:rPr>
            </w:pPr>
            <w:r w:rsidRPr="00A2004D">
              <w:rPr>
                <w:sz w:val="18"/>
                <w:szCs w:val="18"/>
              </w:rPr>
              <w:t xml:space="preserve">Accelerated on-site assessment programs at individual property level. Could include soil vapour, soil vapour (sub slab &amp; other) </w:t>
            </w:r>
          </w:p>
          <w:p w14:paraId="52D84284" w14:textId="77777777" w:rsidR="00AE4BA7" w:rsidRPr="00A2004D" w:rsidRDefault="00AE4BA7" w:rsidP="00E34323">
            <w:pPr>
              <w:spacing w:line="240" w:lineRule="auto"/>
              <w:ind w:left="720"/>
              <w:rPr>
                <w:sz w:val="18"/>
                <w:szCs w:val="18"/>
              </w:rPr>
            </w:pPr>
            <w:r w:rsidRPr="00A2004D">
              <w:rPr>
                <w:sz w:val="18"/>
                <w:szCs w:val="18"/>
              </w:rPr>
              <w:t xml:space="preserve">and/or indoor air sampling and </w:t>
            </w:r>
          </w:p>
          <w:p w14:paraId="4128A272" w14:textId="77777777" w:rsidR="00AE4BA7" w:rsidRPr="00A2004D" w:rsidRDefault="00AE4BA7" w:rsidP="00E34323">
            <w:pPr>
              <w:spacing w:line="240" w:lineRule="auto"/>
              <w:ind w:left="720"/>
              <w:rPr>
                <w:sz w:val="18"/>
                <w:szCs w:val="18"/>
              </w:rPr>
            </w:pPr>
            <w:r w:rsidRPr="00A2004D">
              <w:rPr>
                <w:sz w:val="18"/>
                <w:szCs w:val="18"/>
              </w:rPr>
              <w:t>Investigate potential sources</w:t>
            </w:r>
          </w:p>
        </w:tc>
        <w:tc>
          <w:tcPr>
            <w:tcW w:w="1791" w:type="pct"/>
            <w:gridSpan w:val="2"/>
            <w:shd w:val="clear" w:color="auto" w:fill="auto"/>
          </w:tcPr>
          <w:p w14:paraId="6F27C25B" w14:textId="77777777" w:rsidR="00AE4BA7" w:rsidRPr="00A2004D" w:rsidRDefault="00AE4BA7" w:rsidP="00AE4BA7">
            <w:pPr>
              <w:numPr>
                <w:ilvl w:val="0"/>
                <w:numId w:val="26"/>
              </w:numPr>
              <w:spacing w:line="240" w:lineRule="auto"/>
              <w:rPr>
                <w:sz w:val="18"/>
                <w:szCs w:val="18"/>
              </w:rPr>
            </w:pPr>
            <w:r w:rsidRPr="00A2004D">
              <w:rPr>
                <w:sz w:val="18"/>
                <w:szCs w:val="18"/>
              </w:rPr>
              <w:t xml:space="preserve">Consider and implement further active and/or passive mitigation strategies to improve indoor air quality, including ongoing monitoring to validate </w:t>
            </w:r>
            <w:proofErr w:type="gramStart"/>
            <w:r w:rsidRPr="00A2004D">
              <w:rPr>
                <w:sz w:val="18"/>
                <w:szCs w:val="18"/>
              </w:rPr>
              <w:t>effectiveness</w:t>
            </w:r>
            <w:proofErr w:type="gramEnd"/>
          </w:p>
          <w:p w14:paraId="160E78BD" w14:textId="77777777" w:rsidR="00AE4BA7" w:rsidRPr="00A2004D" w:rsidRDefault="00AE4BA7" w:rsidP="00E34323">
            <w:pPr>
              <w:spacing w:line="240" w:lineRule="auto"/>
              <w:ind w:left="720"/>
              <w:rPr>
                <w:sz w:val="18"/>
                <w:szCs w:val="18"/>
              </w:rPr>
            </w:pPr>
            <w:r w:rsidRPr="00A2004D">
              <w:rPr>
                <w:sz w:val="18"/>
                <w:szCs w:val="18"/>
              </w:rPr>
              <w:t xml:space="preserve"> and/or consider relocation subject to individual circumstances and </w:t>
            </w:r>
          </w:p>
          <w:p w14:paraId="5CD5E311" w14:textId="77777777" w:rsidR="00AE4BA7" w:rsidRPr="00A2004D" w:rsidRDefault="00AE4BA7" w:rsidP="00E34323">
            <w:pPr>
              <w:spacing w:line="240" w:lineRule="auto"/>
              <w:ind w:left="720"/>
              <w:rPr>
                <w:sz w:val="18"/>
                <w:szCs w:val="18"/>
              </w:rPr>
            </w:pPr>
            <w:r w:rsidRPr="00A2004D">
              <w:rPr>
                <w:sz w:val="18"/>
                <w:szCs w:val="18"/>
              </w:rPr>
              <w:t>Remediate sources as necessary.</w:t>
            </w:r>
          </w:p>
        </w:tc>
      </w:tr>
      <w:tr w:rsidR="00AE4BA7" w:rsidRPr="00A2004D" w14:paraId="66702868" w14:textId="77777777" w:rsidTr="00E34323">
        <w:tc>
          <w:tcPr>
            <w:tcW w:w="394" w:type="pct"/>
            <w:vMerge w:val="restart"/>
            <w:shd w:val="clear" w:color="auto" w:fill="auto"/>
          </w:tcPr>
          <w:p w14:paraId="08244F83" w14:textId="77777777" w:rsidR="00AE4BA7" w:rsidRPr="00A2004D" w:rsidRDefault="00AE4BA7" w:rsidP="00E34323">
            <w:pPr>
              <w:spacing w:line="240" w:lineRule="auto"/>
              <w:rPr>
                <w:sz w:val="18"/>
                <w:szCs w:val="18"/>
              </w:rPr>
            </w:pPr>
            <w:r w:rsidRPr="00A2004D">
              <w:rPr>
                <w:sz w:val="18"/>
                <w:szCs w:val="18"/>
              </w:rPr>
              <w:t>400</w:t>
            </w:r>
            <w:r w:rsidR="00035185">
              <w:rPr>
                <w:sz w:val="18"/>
                <w:szCs w:val="18"/>
              </w:rPr>
              <w:t xml:space="preserve"> &amp; &gt;</w:t>
            </w:r>
          </w:p>
        </w:tc>
        <w:tc>
          <w:tcPr>
            <w:tcW w:w="335" w:type="pct"/>
            <w:vMerge w:val="restart"/>
            <w:shd w:val="clear" w:color="auto" w:fill="auto"/>
          </w:tcPr>
          <w:p w14:paraId="493CDD8A" w14:textId="77777777" w:rsidR="00AE4BA7" w:rsidRPr="00A2004D" w:rsidRDefault="00AE4BA7" w:rsidP="00E34323">
            <w:pPr>
              <w:spacing w:line="240" w:lineRule="auto"/>
              <w:rPr>
                <w:sz w:val="18"/>
                <w:szCs w:val="18"/>
              </w:rPr>
            </w:pPr>
            <w:r w:rsidRPr="00A2004D">
              <w:rPr>
                <w:sz w:val="18"/>
                <w:szCs w:val="18"/>
              </w:rPr>
              <w:t>Accelerated Intervention</w:t>
            </w:r>
          </w:p>
        </w:tc>
        <w:tc>
          <w:tcPr>
            <w:tcW w:w="938" w:type="pct"/>
            <w:vMerge w:val="restart"/>
            <w:shd w:val="clear" w:color="auto" w:fill="auto"/>
          </w:tcPr>
          <w:p w14:paraId="3C198DAF" w14:textId="77777777" w:rsidR="00AE4BA7" w:rsidRPr="00A2004D" w:rsidRDefault="00AE4BA7" w:rsidP="00E34323">
            <w:pPr>
              <w:spacing w:line="240" w:lineRule="auto"/>
              <w:rPr>
                <w:sz w:val="18"/>
                <w:szCs w:val="18"/>
              </w:rPr>
            </w:pPr>
            <w:r w:rsidRPr="00A2004D">
              <w:rPr>
                <w:sz w:val="18"/>
                <w:szCs w:val="18"/>
              </w:rPr>
              <w:t xml:space="preserve">There is a health </w:t>
            </w:r>
            <w:proofErr w:type="gramStart"/>
            <w:r w:rsidRPr="00A2004D">
              <w:rPr>
                <w:sz w:val="18"/>
                <w:szCs w:val="18"/>
              </w:rPr>
              <w:t>risk</w:t>
            </w:r>
            <w:proofErr w:type="gramEnd"/>
          </w:p>
          <w:p w14:paraId="784BE023" w14:textId="77777777" w:rsidR="00AE4BA7" w:rsidRPr="00A2004D" w:rsidRDefault="00AE4BA7" w:rsidP="00E34323">
            <w:pPr>
              <w:spacing w:line="240" w:lineRule="auto"/>
              <w:rPr>
                <w:sz w:val="18"/>
                <w:szCs w:val="18"/>
              </w:rPr>
            </w:pPr>
            <w:r w:rsidRPr="00A2004D">
              <w:rPr>
                <w:sz w:val="18"/>
                <w:szCs w:val="18"/>
              </w:rPr>
              <w:t>Immediate engagement:</w:t>
            </w:r>
          </w:p>
          <w:p w14:paraId="4F2CEF34" w14:textId="77777777" w:rsidR="00AE4BA7" w:rsidRPr="00A2004D" w:rsidRDefault="00AE4BA7" w:rsidP="00AE4BA7">
            <w:pPr>
              <w:numPr>
                <w:ilvl w:val="0"/>
                <w:numId w:val="27"/>
              </w:numPr>
              <w:spacing w:line="240" w:lineRule="auto"/>
              <w:rPr>
                <w:sz w:val="18"/>
                <w:szCs w:val="18"/>
              </w:rPr>
            </w:pPr>
            <w:r w:rsidRPr="00A2004D">
              <w:rPr>
                <w:sz w:val="18"/>
                <w:szCs w:val="18"/>
              </w:rPr>
              <w:t xml:space="preserve">Work with individual property owners and occupiers to understand </w:t>
            </w:r>
            <w:proofErr w:type="gramStart"/>
            <w:r w:rsidRPr="00A2004D">
              <w:rPr>
                <w:sz w:val="18"/>
                <w:szCs w:val="18"/>
              </w:rPr>
              <w:t>circumstances</w:t>
            </w:r>
            <w:proofErr w:type="gramEnd"/>
          </w:p>
          <w:p w14:paraId="32634D0B" w14:textId="77777777" w:rsidR="00AE4BA7" w:rsidRPr="00A2004D" w:rsidRDefault="00AE4BA7" w:rsidP="00AE4BA7">
            <w:pPr>
              <w:numPr>
                <w:ilvl w:val="0"/>
                <w:numId w:val="27"/>
              </w:numPr>
              <w:spacing w:line="240" w:lineRule="auto"/>
              <w:rPr>
                <w:sz w:val="18"/>
                <w:szCs w:val="18"/>
              </w:rPr>
            </w:pPr>
            <w:r w:rsidRPr="00A2004D">
              <w:rPr>
                <w:sz w:val="18"/>
                <w:szCs w:val="18"/>
              </w:rPr>
              <w:t xml:space="preserve">Communicate regarding results and further assessment options to seek agreement on next </w:t>
            </w:r>
            <w:proofErr w:type="gramStart"/>
            <w:r w:rsidRPr="00A2004D">
              <w:rPr>
                <w:sz w:val="18"/>
                <w:szCs w:val="18"/>
              </w:rPr>
              <w:t>steps</w:t>
            </w:r>
            <w:proofErr w:type="gramEnd"/>
            <w:r w:rsidRPr="00A2004D">
              <w:rPr>
                <w:sz w:val="18"/>
                <w:szCs w:val="18"/>
              </w:rPr>
              <w:t xml:space="preserve"> </w:t>
            </w:r>
          </w:p>
          <w:p w14:paraId="3C3AA61B" w14:textId="77777777" w:rsidR="00AE4BA7" w:rsidRPr="00A2004D" w:rsidRDefault="00AE4BA7" w:rsidP="00E34323">
            <w:pPr>
              <w:spacing w:line="240" w:lineRule="auto"/>
              <w:rPr>
                <w:sz w:val="18"/>
                <w:szCs w:val="18"/>
              </w:rPr>
            </w:pPr>
            <w:r w:rsidRPr="00A2004D">
              <w:rPr>
                <w:sz w:val="18"/>
                <w:szCs w:val="18"/>
              </w:rPr>
              <w:t>Immediate action (relocation or mitigation)</w:t>
            </w:r>
          </w:p>
        </w:tc>
        <w:tc>
          <w:tcPr>
            <w:tcW w:w="3333" w:type="pct"/>
            <w:gridSpan w:val="3"/>
            <w:shd w:val="clear" w:color="auto" w:fill="auto"/>
          </w:tcPr>
          <w:p w14:paraId="42B9C38F" w14:textId="77777777" w:rsidR="00AE4BA7" w:rsidRPr="00A2004D" w:rsidRDefault="00AE4BA7" w:rsidP="00E34323">
            <w:pPr>
              <w:spacing w:line="240" w:lineRule="auto"/>
              <w:rPr>
                <w:sz w:val="18"/>
                <w:szCs w:val="18"/>
              </w:rPr>
            </w:pPr>
            <w:r w:rsidRPr="00A2004D">
              <w:rPr>
                <w:sz w:val="18"/>
                <w:szCs w:val="18"/>
              </w:rPr>
              <w:t>Immediate case management at individual level including considerations of:</w:t>
            </w:r>
          </w:p>
          <w:p w14:paraId="3ACABF58" w14:textId="77777777" w:rsidR="00AE4BA7" w:rsidRPr="00A2004D" w:rsidRDefault="00AE4BA7" w:rsidP="00AE4BA7">
            <w:pPr>
              <w:numPr>
                <w:ilvl w:val="0"/>
                <w:numId w:val="23"/>
              </w:numPr>
              <w:spacing w:line="240" w:lineRule="auto"/>
              <w:rPr>
                <w:sz w:val="18"/>
                <w:szCs w:val="18"/>
              </w:rPr>
            </w:pPr>
            <w:r w:rsidRPr="00A2004D">
              <w:rPr>
                <w:sz w:val="18"/>
                <w:szCs w:val="18"/>
              </w:rPr>
              <w:t>Assessment of individual circumstances</w:t>
            </w:r>
          </w:p>
          <w:p w14:paraId="254E725E" w14:textId="77777777" w:rsidR="00AE4BA7" w:rsidRPr="00A2004D" w:rsidRDefault="00AE4BA7" w:rsidP="00AE4BA7">
            <w:pPr>
              <w:numPr>
                <w:ilvl w:val="0"/>
                <w:numId w:val="23"/>
              </w:numPr>
              <w:spacing w:line="240" w:lineRule="auto"/>
              <w:rPr>
                <w:sz w:val="18"/>
                <w:szCs w:val="18"/>
              </w:rPr>
            </w:pPr>
            <w:r w:rsidRPr="00A2004D">
              <w:rPr>
                <w:sz w:val="18"/>
                <w:szCs w:val="18"/>
              </w:rPr>
              <w:t>Building construction type and condition</w:t>
            </w:r>
          </w:p>
          <w:p w14:paraId="28B0FF79" w14:textId="77777777" w:rsidR="00AE4BA7" w:rsidRPr="00A2004D" w:rsidRDefault="00AE4BA7" w:rsidP="00AE4BA7">
            <w:pPr>
              <w:numPr>
                <w:ilvl w:val="0"/>
                <w:numId w:val="23"/>
              </w:numPr>
              <w:spacing w:line="240" w:lineRule="auto"/>
              <w:rPr>
                <w:sz w:val="18"/>
                <w:szCs w:val="18"/>
              </w:rPr>
            </w:pPr>
            <w:r w:rsidRPr="00A2004D">
              <w:rPr>
                <w:sz w:val="18"/>
                <w:szCs w:val="18"/>
              </w:rPr>
              <w:t>Education on passive precautionary mitigation strategies (ventilation, sealing cracks and penetrations etc)</w:t>
            </w:r>
          </w:p>
          <w:p w14:paraId="7266C663" w14:textId="77777777" w:rsidR="00AE4BA7" w:rsidRPr="00A2004D" w:rsidRDefault="00AE4BA7" w:rsidP="00AE4BA7">
            <w:pPr>
              <w:numPr>
                <w:ilvl w:val="0"/>
                <w:numId w:val="23"/>
              </w:numPr>
              <w:spacing w:line="240" w:lineRule="auto"/>
              <w:rPr>
                <w:sz w:val="18"/>
                <w:szCs w:val="18"/>
              </w:rPr>
            </w:pPr>
            <w:r w:rsidRPr="00A2004D">
              <w:rPr>
                <w:sz w:val="18"/>
                <w:szCs w:val="18"/>
              </w:rPr>
              <w:t xml:space="preserve">Agreement to further assessment if required noting the implications of </w:t>
            </w:r>
            <w:proofErr w:type="spellStart"/>
            <w:proofErr w:type="gramStart"/>
            <w:r w:rsidRPr="00A2004D">
              <w:rPr>
                <w:sz w:val="18"/>
                <w:szCs w:val="18"/>
              </w:rPr>
              <w:t>on site</w:t>
            </w:r>
            <w:proofErr w:type="spellEnd"/>
            <w:proofErr w:type="gramEnd"/>
            <w:r w:rsidRPr="00A2004D">
              <w:rPr>
                <w:sz w:val="18"/>
                <w:szCs w:val="18"/>
              </w:rPr>
              <w:t xml:space="preserve"> testing on private properties</w:t>
            </w:r>
          </w:p>
          <w:p w14:paraId="75A081F4" w14:textId="77777777" w:rsidR="00AE4BA7" w:rsidRPr="00A2004D" w:rsidRDefault="00AE4BA7" w:rsidP="00E34323">
            <w:pPr>
              <w:spacing w:line="240" w:lineRule="auto"/>
              <w:rPr>
                <w:sz w:val="18"/>
                <w:szCs w:val="18"/>
              </w:rPr>
            </w:pPr>
            <w:r w:rsidRPr="00A2004D">
              <w:rPr>
                <w:sz w:val="18"/>
                <w:szCs w:val="18"/>
              </w:rPr>
              <w:t>Time range: As soon as possible</w:t>
            </w:r>
          </w:p>
        </w:tc>
      </w:tr>
      <w:tr w:rsidR="00AE4BA7" w:rsidRPr="00A2004D" w14:paraId="5CDFFFD9" w14:textId="77777777" w:rsidTr="1B8E3354">
        <w:tc>
          <w:tcPr>
            <w:tcW w:w="394" w:type="pct"/>
            <w:vMerge/>
          </w:tcPr>
          <w:p w14:paraId="2BA226A1" w14:textId="77777777" w:rsidR="00AE4BA7" w:rsidRPr="00A2004D" w:rsidRDefault="00AE4BA7" w:rsidP="00E34323">
            <w:pPr>
              <w:spacing w:line="240" w:lineRule="auto"/>
              <w:rPr>
                <w:sz w:val="18"/>
                <w:szCs w:val="18"/>
              </w:rPr>
            </w:pPr>
          </w:p>
        </w:tc>
        <w:tc>
          <w:tcPr>
            <w:tcW w:w="335" w:type="pct"/>
            <w:vMerge/>
          </w:tcPr>
          <w:p w14:paraId="17AD93B2" w14:textId="77777777" w:rsidR="00AE4BA7" w:rsidRPr="00A2004D" w:rsidRDefault="00AE4BA7" w:rsidP="00E34323">
            <w:pPr>
              <w:spacing w:line="240" w:lineRule="auto"/>
              <w:rPr>
                <w:sz w:val="18"/>
                <w:szCs w:val="18"/>
              </w:rPr>
            </w:pPr>
          </w:p>
        </w:tc>
        <w:tc>
          <w:tcPr>
            <w:tcW w:w="938" w:type="pct"/>
            <w:vMerge/>
          </w:tcPr>
          <w:p w14:paraId="0DE4B5B7" w14:textId="77777777" w:rsidR="00AE4BA7" w:rsidRPr="00A2004D" w:rsidRDefault="00AE4BA7" w:rsidP="00E34323">
            <w:pPr>
              <w:spacing w:line="240" w:lineRule="auto"/>
              <w:rPr>
                <w:sz w:val="18"/>
                <w:szCs w:val="18"/>
              </w:rPr>
            </w:pPr>
          </w:p>
        </w:tc>
        <w:tc>
          <w:tcPr>
            <w:tcW w:w="1542" w:type="pct"/>
            <w:shd w:val="clear" w:color="auto" w:fill="auto"/>
          </w:tcPr>
          <w:p w14:paraId="625328FF" w14:textId="77777777" w:rsidR="00AE4BA7" w:rsidRPr="00A2004D" w:rsidRDefault="00AE4BA7" w:rsidP="00AE4BA7">
            <w:pPr>
              <w:numPr>
                <w:ilvl w:val="0"/>
                <w:numId w:val="28"/>
              </w:numPr>
              <w:spacing w:line="240" w:lineRule="auto"/>
              <w:rPr>
                <w:sz w:val="18"/>
                <w:szCs w:val="18"/>
              </w:rPr>
            </w:pPr>
            <w:r w:rsidRPr="00A2004D">
              <w:rPr>
                <w:sz w:val="18"/>
                <w:szCs w:val="18"/>
              </w:rPr>
              <w:t>Immediate action required – consideration of exposure at indoor air concentration.</w:t>
            </w:r>
          </w:p>
          <w:p w14:paraId="2BBA85E6" w14:textId="77777777" w:rsidR="00AE4BA7" w:rsidRPr="00A2004D" w:rsidRDefault="00AE4BA7" w:rsidP="00E34323">
            <w:pPr>
              <w:spacing w:line="240" w:lineRule="auto"/>
              <w:ind w:left="720"/>
              <w:rPr>
                <w:sz w:val="18"/>
                <w:szCs w:val="18"/>
              </w:rPr>
            </w:pPr>
            <w:r w:rsidRPr="00A2004D">
              <w:rPr>
                <w:sz w:val="18"/>
                <w:szCs w:val="18"/>
              </w:rPr>
              <w:t xml:space="preserve">Recommend relocation subject to individual circumstances linked to indoor air concentrations linked to indoor air </w:t>
            </w:r>
            <w:proofErr w:type="gramStart"/>
            <w:r w:rsidRPr="00A2004D">
              <w:rPr>
                <w:sz w:val="18"/>
                <w:szCs w:val="18"/>
              </w:rPr>
              <w:t>concentrations</w:t>
            </w:r>
            <w:proofErr w:type="gramEnd"/>
            <w:r w:rsidRPr="00A2004D">
              <w:rPr>
                <w:sz w:val="18"/>
                <w:szCs w:val="18"/>
              </w:rPr>
              <w:t xml:space="preserve"> </w:t>
            </w:r>
          </w:p>
          <w:p w14:paraId="335A04BB" w14:textId="77777777" w:rsidR="00AE4BA7" w:rsidRPr="00A2004D" w:rsidRDefault="00AE4BA7" w:rsidP="00E34323">
            <w:pPr>
              <w:spacing w:line="240" w:lineRule="auto"/>
              <w:ind w:left="720"/>
              <w:rPr>
                <w:sz w:val="18"/>
                <w:szCs w:val="18"/>
              </w:rPr>
            </w:pPr>
            <w:r w:rsidRPr="00A2004D">
              <w:rPr>
                <w:sz w:val="18"/>
                <w:szCs w:val="18"/>
              </w:rPr>
              <w:t xml:space="preserve">or implement urgent mitigation strategies (passive and/or active) </w:t>
            </w:r>
          </w:p>
        </w:tc>
        <w:tc>
          <w:tcPr>
            <w:tcW w:w="896" w:type="pct"/>
            <w:shd w:val="clear" w:color="auto" w:fill="auto"/>
          </w:tcPr>
          <w:p w14:paraId="40C05DCF" w14:textId="77777777" w:rsidR="00AE4BA7" w:rsidRPr="00A2004D" w:rsidRDefault="00AE4BA7" w:rsidP="00AE4BA7">
            <w:pPr>
              <w:numPr>
                <w:ilvl w:val="0"/>
                <w:numId w:val="28"/>
              </w:numPr>
              <w:spacing w:line="240" w:lineRule="auto"/>
              <w:rPr>
                <w:sz w:val="18"/>
                <w:szCs w:val="18"/>
              </w:rPr>
            </w:pPr>
            <w:r w:rsidRPr="00A2004D">
              <w:rPr>
                <w:sz w:val="18"/>
                <w:szCs w:val="18"/>
              </w:rPr>
              <w:t>Accelerated assessment program at property level which could include, external soil vapour, sub slab soil vapour, indoor air sampling</w:t>
            </w:r>
          </w:p>
        </w:tc>
        <w:tc>
          <w:tcPr>
            <w:tcW w:w="896" w:type="pct"/>
            <w:shd w:val="clear" w:color="auto" w:fill="auto"/>
          </w:tcPr>
          <w:p w14:paraId="64B79420" w14:textId="77777777" w:rsidR="00AE4BA7" w:rsidRPr="00A2004D" w:rsidRDefault="00AE4BA7" w:rsidP="00AE4BA7">
            <w:pPr>
              <w:numPr>
                <w:ilvl w:val="0"/>
                <w:numId w:val="28"/>
              </w:numPr>
              <w:spacing w:line="240" w:lineRule="auto"/>
              <w:rPr>
                <w:sz w:val="18"/>
                <w:szCs w:val="18"/>
              </w:rPr>
            </w:pPr>
            <w:r w:rsidRPr="00A2004D">
              <w:rPr>
                <w:sz w:val="18"/>
                <w:szCs w:val="18"/>
              </w:rPr>
              <w:t xml:space="preserve">Remediate sources as necessary and/or </w:t>
            </w:r>
          </w:p>
          <w:p w14:paraId="0B17EB53" w14:textId="77777777" w:rsidR="00AE4BA7" w:rsidRPr="00A2004D" w:rsidRDefault="00AE4BA7" w:rsidP="00E34323">
            <w:pPr>
              <w:spacing w:line="240" w:lineRule="auto"/>
              <w:ind w:left="720"/>
              <w:rPr>
                <w:sz w:val="18"/>
                <w:szCs w:val="18"/>
              </w:rPr>
            </w:pPr>
            <w:r w:rsidRPr="00A2004D">
              <w:rPr>
                <w:sz w:val="18"/>
                <w:szCs w:val="18"/>
              </w:rPr>
              <w:t>further active and/or passive mitigation strategies</w:t>
            </w:r>
          </w:p>
        </w:tc>
      </w:tr>
    </w:tbl>
    <w:p w14:paraId="6B62F1B3" w14:textId="77777777" w:rsidR="00AE4BA7" w:rsidRDefault="00AE4BA7" w:rsidP="00EC2795">
      <w:pPr>
        <w:sectPr w:rsidR="00AE4BA7" w:rsidSect="00AE4BA7">
          <w:pgSz w:w="23814" w:h="16839" w:orient="landscape" w:code="8"/>
          <w:pgMar w:top="1440" w:right="1440" w:bottom="1440" w:left="1440" w:header="708" w:footer="708" w:gutter="0"/>
          <w:cols w:space="708"/>
          <w:docGrid w:linePitch="360"/>
        </w:sectPr>
      </w:pPr>
    </w:p>
    <w:p w14:paraId="02F2C34E" w14:textId="77777777" w:rsidR="00EC2795" w:rsidRDefault="00EC2795" w:rsidP="00EC2795"/>
    <w:p w14:paraId="7029BAE5" w14:textId="77777777" w:rsidR="00EC2795" w:rsidRDefault="00EC2795" w:rsidP="00EC2795">
      <w:pPr>
        <w:pStyle w:val="Heading3"/>
        <w:numPr>
          <w:ilvl w:val="0"/>
          <w:numId w:val="22"/>
        </w:numPr>
      </w:pPr>
      <w:bookmarkStart w:id="22" w:name="_Toc153277261"/>
      <w:r>
        <w:t>Calculating Indicative Groundwater and Soil Gas Levels using generic attenuation factors for a given toxicity reference value (example)</w:t>
      </w:r>
      <w:bookmarkEnd w:id="22"/>
    </w:p>
    <w:p w14:paraId="680A4E5D" w14:textId="77777777" w:rsidR="00C946A1" w:rsidRPr="00C946A1" w:rsidRDefault="00C946A1" w:rsidP="00C946A1"/>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4261"/>
      </w:tblGrid>
      <w:tr w:rsidR="00933DD7" w14:paraId="30733929" w14:textId="77777777" w:rsidTr="001870FF">
        <w:tc>
          <w:tcPr>
            <w:tcW w:w="4261" w:type="dxa"/>
            <w:shd w:val="clear" w:color="auto" w:fill="auto"/>
          </w:tcPr>
          <w:p w14:paraId="49449F47" w14:textId="77777777" w:rsidR="00C946A1" w:rsidRPr="001870FF" w:rsidRDefault="00C946A1" w:rsidP="001A1E0F">
            <w:pPr>
              <w:rPr>
                <w:rFonts w:cs="Arial"/>
                <w:b/>
                <w:szCs w:val="20"/>
              </w:rPr>
            </w:pPr>
            <w:r w:rsidRPr="001870FF">
              <w:rPr>
                <w:rFonts w:cs="Arial"/>
                <w:b/>
                <w:szCs w:val="20"/>
              </w:rPr>
              <w:t>A.</w:t>
            </w:r>
          </w:p>
          <w:p w14:paraId="5339224B" w14:textId="77777777" w:rsidR="00C946A1" w:rsidRPr="001870FF" w:rsidRDefault="00C946A1" w:rsidP="001A1E0F">
            <w:pPr>
              <w:rPr>
                <w:rFonts w:cs="Arial"/>
                <w:szCs w:val="20"/>
              </w:rPr>
            </w:pPr>
            <w:r w:rsidRPr="001870FF">
              <w:rPr>
                <w:rFonts w:cs="Arial"/>
                <w:szCs w:val="20"/>
              </w:rPr>
              <w:t>Fixed toxicity reference value</w:t>
            </w:r>
          </w:p>
          <w:p w14:paraId="0C1FC8A2" w14:textId="77777777" w:rsidR="00C946A1" w:rsidRPr="001870FF" w:rsidRDefault="00C946A1" w:rsidP="001A1E0F">
            <w:pPr>
              <w:rPr>
                <w:rFonts w:cs="Arial"/>
                <w:szCs w:val="20"/>
              </w:rPr>
            </w:pPr>
            <w:r w:rsidRPr="001870FF">
              <w:rPr>
                <w:rFonts w:cs="Arial"/>
                <w:szCs w:val="20"/>
              </w:rPr>
              <w:t>Health protective attenuation factors</w:t>
            </w:r>
          </w:p>
          <w:p w14:paraId="4D55F661" w14:textId="77777777" w:rsidR="00C946A1" w:rsidRPr="001870FF" w:rsidRDefault="00C946A1" w:rsidP="001A1E0F">
            <w:pPr>
              <w:rPr>
                <w:rFonts w:cs="Arial"/>
                <w:szCs w:val="20"/>
              </w:rPr>
            </w:pPr>
            <w:r w:rsidRPr="001870FF">
              <w:rPr>
                <w:rFonts w:cs="Arial"/>
                <w:szCs w:val="20"/>
              </w:rPr>
              <w:t xml:space="preserve">TRV – 2 </w:t>
            </w:r>
            <w:r w:rsidRPr="001870FF">
              <w:rPr>
                <w:rFonts w:ascii="Symbol" w:hAnsi="Symbol" w:cs="Arial"/>
                <w:szCs w:val="20"/>
              </w:rPr>
              <w:t></w:t>
            </w:r>
            <w:r w:rsidRPr="001870FF">
              <w:rPr>
                <w:rFonts w:cs="Arial"/>
                <w:szCs w:val="20"/>
              </w:rPr>
              <w:t>g/m</w:t>
            </w:r>
            <w:r w:rsidRPr="001870FF">
              <w:rPr>
                <w:rFonts w:cs="Arial"/>
                <w:szCs w:val="20"/>
                <w:vertAlign w:val="superscript"/>
              </w:rPr>
              <w:t>3</w:t>
            </w:r>
            <w:r w:rsidRPr="001870FF">
              <w:rPr>
                <w:rFonts w:cs="Arial"/>
                <w:szCs w:val="20"/>
              </w:rPr>
              <w:t xml:space="preserve"> TCE </w:t>
            </w:r>
            <w:r w:rsidRPr="001870FF">
              <w:rPr>
                <w:rFonts w:cs="Arial"/>
                <w:szCs w:val="20"/>
                <w:vertAlign w:val="superscript"/>
              </w:rPr>
              <w:t>e</w:t>
            </w:r>
          </w:p>
          <w:p w14:paraId="03216DC5" w14:textId="77777777" w:rsidR="00C946A1" w:rsidRPr="001870FF" w:rsidRDefault="00C946A1" w:rsidP="001A1E0F">
            <w:pPr>
              <w:rPr>
                <w:rFonts w:cs="Arial"/>
                <w:szCs w:val="20"/>
              </w:rPr>
            </w:pPr>
            <w:r w:rsidRPr="001870FF">
              <w:rPr>
                <w:rFonts w:cs="Arial"/>
                <w:szCs w:val="20"/>
              </w:rPr>
              <w:t>AF’s</w:t>
            </w:r>
          </w:p>
          <w:p w14:paraId="75BC37BF"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0.1 sub-slab to indoor air </w:t>
            </w:r>
            <w:r w:rsidRPr="001870FF">
              <w:rPr>
                <w:rFonts w:ascii="Arial" w:hAnsi="Arial" w:cs="Arial"/>
                <w:sz w:val="20"/>
                <w:szCs w:val="20"/>
                <w:vertAlign w:val="superscript"/>
              </w:rPr>
              <w:t>a</w:t>
            </w:r>
          </w:p>
          <w:p w14:paraId="14F7E456"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0.01 deep soil vapour to indoor air </w:t>
            </w:r>
            <w:r w:rsidRPr="001870FF">
              <w:rPr>
                <w:rFonts w:ascii="Arial" w:hAnsi="Arial" w:cs="Arial"/>
                <w:sz w:val="20"/>
                <w:szCs w:val="20"/>
                <w:vertAlign w:val="superscript"/>
              </w:rPr>
              <w:t>b</w:t>
            </w:r>
            <w:r w:rsidRPr="001870FF">
              <w:rPr>
                <w:rFonts w:ascii="Arial" w:hAnsi="Arial" w:cs="Arial"/>
                <w:sz w:val="20"/>
                <w:szCs w:val="20"/>
              </w:rPr>
              <w:t xml:space="preserve"> </w:t>
            </w:r>
          </w:p>
          <w:p w14:paraId="2AC18360"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0.001 groundwater to indoor air </w:t>
            </w:r>
            <w:r w:rsidRPr="001870FF">
              <w:rPr>
                <w:rFonts w:ascii="Arial" w:hAnsi="Arial" w:cs="Arial"/>
                <w:sz w:val="20"/>
                <w:szCs w:val="20"/>
                <w:vertAlign w:val="superscript"/>
              </w:rPr>
              <w:t>c</w:t>
            </w:r>
          </w:p>
          <w:p w14:paraId="19219836" w14:textId="77777777" w:rsidR="00C946A1" w:rsidRPr="001870FF" w:rsidRDefault="00C946A1" w:rsidP="001870FF">
            <w:pPr>
              <w:pStyle w:val="Default"/>
              <w:ind w:left="1440"/>
              <w:rPr>
                <w:rFonts w:ascii="Arial" w:hAnsi="Arial" w:cs="Arial"/>
                <w:sz w:val="20"/>
                <w:szCs w:val="20"/>
              </w:rPr>
            </w:pPr>
          </w:p>
          <w:p w14:paraId="77974268" w14:textId="77777777" w:rsidR="00C946A1" w:rsidRPr="001870FF" w:rsidRDefault="00C946A1" w:rsidP="001A1E0F">
            <w:pPr>
              <w:rPr>
                <w:rFonts w:cs="Arial"/>
                <w:szCs w:val="20"/>
              </w:rPr>
            </w:pPr>
            <w:r w:rsidRPr="001870FF">
              <w:rPr>
                <w:rFonts w:cs="Arial"/>
                <w:szCs w:val="20"/>
              </w:rPr>
              <w:t>Groundwater and Soil Gas Levels</w:t>
            </w:r>
          </w:p>
          <w:p w14:paraId="2D9247CF"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20 </w:t>
            </w:r>
            <w:r w:rsidRPr="001870FF">
              <w:rPr>
                <w:rFonts w:ascii="Symbol" w:hAnsi="Symbol" w:cs="Arial"/>
                <w:sz w:val="20"/>
                <w:szCs w:val="20"/>
              </w:rPr>
              <w:t></w:t>
            </w:r>
            <w:r w:rsidRPr="001870FF">
              <w:rPr>
                <w:rFonts w:ascii="Arial" w:hAnsi="Arial" w:cs="Arial"/>
                <w:sz w:val="20"/>
                <w:szCs w:val="20"/>
              </w:rPr>
              <w:t>g/m</w:t>
            </w:r>
            <w:r w:rsidRPr="001870FF">
              <w:rPr>
                <w:rFonts w:ascii="Arial" w:hAnsi="Arial" w:cs="Arial"/>
                <w:sz w:val="20"/>
                <w:szCs w:val="20"/>
                <w:vertAlign w:val="superscript"/>
              </w:rPr>
              <w:t>3</w:t>
            </w:r>
            <w:r w:rsidRPr="001870FF">
              <w:rPr>
                <w:rFonts w:ascii="Arial" w:hAnsi="Arial" w:cs="Arial"/>
                <w:sz w:val="20"/>
                <w:szCs w:val="20"/>
              </w:rPr>
              <w:t xml:space="preserve"> sub-slab</w:t>
            </w:r>
          </w:p>
          <w:p w14:paraId="25175B8D"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200 </w:t>
            </w:r>
            <w:r w:rsidRPr="001870FF">
              <w:rPr>
                <w:rFonts w:ascii="Symbol" w:hAnsi="Symbol" w:cs="Arial"/>
                <w:sz w:val="20"/>
                <w:szCs w:val="20"/>
              </w:rPr>
              <w:t></w:t>
            </w:r>
            <w:r w:rsidRPr="001870FF">
              <w:rPr>
                <w:rFonts w:ascii="Arial" w:hAnsi="Arial" w:cs="Arial"/>
                <w:sz w:val="20"/>
                <w:szCs w:val="20"/>
              </w:rPr>
              <w:t>g/m</w:t>
            </w:r>
            <w:r w:rsidRPr="001870FF">
              <w:rPr>
                <w:rFonts w:ascii="Arial" w:hAnsi="Arial" w:cs="Arial"/>
                <w:sz w:val="20"/>
                <w:szCs w:val="20"/>
                <w:vertAlign w:val="superscript"/>
              </w:rPr>
              <w:t>3</w:t>
            </w:r>
            <w:r w:rsidRPr="001870FF">
              <w:rPr>
                <w:rFonts w:ascii="Arial" w:hAnsi="Arial" w:cs="Arial"/>
                <w:sz w:val="20"/>
                <w:szCs w:val="20"/>
              </w:rPr>
              <w:t xml:space="preserve"> deep soil vapour </w:t>
            </w:r>
          </w:p>
          <w:p w14:paraId="5A7A21F5"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5 </w:t>
            </w:r>
            <w:r w:rsidRPr="001870FF">
              <w:rPr>
                <w:rFonts w:ascii="Symbol" w:hAnsi="Symbol" w:cs="Arial"/>
                <w:sz w:val="20"/>
                <w:szCs w:val="20"/>
              </w:rPr>
              <w:t></w:t>
            </w:r>
            <w:r w:rsidRPr="001870FF">
              <w:rPr>
                <w:rFonts w:ascii="Arial" w:hAnsi="Arial" w:cs="Arial"/>
                <w:sz w:val="20"/>
                <w:szCs w:val="20"/>
              </w:rPr>
              <w:t>g/L</w:t>
            </w:r>
          </w:p>
          <w:p w14:paraId="296FEF7D" w14:textId="77777777" w:rsidR="00C946A1" w:rsidRPr="001870FF" w:rsidRDefault="00C946A1" w:rsidP="001A1E0F">
            <w:pPr>
              <w:rPr>
                <w:rFonts w:cs="Arial"/>
                <w:szCs w:val="20"/>
              </w:rPr>
            </w:pPr>
          </w:p>
        </w:tc>
        <w:tc>
          <w:tcPr>
            <w:tcW w:w="4261" w:type="dxa"/>
            <w:shd w:val="clear" w:color="auto" w:fill="auto"/>
          </w:tcPr>
          <w:p w14:paraId="1A22806C" w14:textId="77777777" w:rsidR="00C946A1" w:rsidRPr="001870FF" w:rsidRDefault="00C946A1" w:rsidP="001A1E0F">
            <w:pPr>
              <w:rPr>
                <w:rFonts w:cs="Arial"/>
                <w:b/>
                <w:szCs w:val="20"/>
              </w:rPr>
            </w:pPr>
            <w:r w:rsidRPr="001870FF">
              <w:rPr>
                <w:rFonts w:cs="Arial"/>
                <w:b/>
                <w:szCs w:val="20"/>
              </w:rPr>
              <w:t xml:space="preserve">B. </w:t>
            </w:r>
          </w:p>
          <w:p w14:paraId="78923104" w14:textId="77777777" w:rsidR="00C946A1" w:rsidRPr="001870FF" w:rsidRDefault="00C946A1" w:rsidP="001A1E0F">
            <w:pPr>
              <w:rPr>
                <w:rFonts w:cs="Arial"/>
                <w:szCs w:val="20"/>
              </w:rPr>
            </w:pPr>
            <w:r w:rsidRPr="001870FF">
              <w:rPr>
                <w:rFonts w:cs="Arial"/>
                <w:szCs w:val="20"/>
              </w:rPr>
              <w:t>Fixed toxicity reference value</w:t>
            </w:r>
          </w:p>
          <w:p w14:paraId="586D5A04" w14:textId="77777777" w:rsidR="00C946A1" w:rsidRPr="001870FF" w:rsidRDefault="00C946A1" w:rsidP="001A1E0F">
            <w:pPr>
              <w:rPr>
                <w:rFonts w:cs="Arial"/>
                <w:szCs w:val="20"/>
              </w:rPr>
            </w:pPr>
            <w:r w:rsidRPr="001870FF">
              <w:rPr>
                <w:rFonts w:cs="Arial"/>
                <w:szCs w:val="20"/>
                <w:u w:val="single"/>
              </w:rPr>
              <w:t>Median</w:t>
            </w:r>
            <w:r w:rsidRPr="001870FF">
              <w:rPr>
                <w:rFonts w:cs="Arial"/>
                <w:szCs w:val="20"/>
              </w:rPr>
              <w:t xml:space="preserve"> attenuation factors </w:t>
            </w:r>
            <w:r w:rsidRPr="001870FF">
              <w:rPr>
                <w:rFonts w:cs="Arial"/>
                <w:szCs w:val="20"/>
                <w:vertAlign w:val="superscript"/>
              </w:rPr>
              <w:t>d</w:t>
            </w:r>
          </w:p>
          <w:p w14:paraId="54F4D3AA" w14:textId="77777777" w:rsidR="00C946A1" w:rsidRPr="001870FF" w:rsidRDefault="00C946A1" w:rsidP="001A1E0F">
            <w:pPr>
              <w:rPr>
                <w:rFonts w:cs="Arial"/>
                <w:szCs w:val="20"/>
              </w:rPr>
            </w:pPr>
            <w:r w:rsidRPr="001870FF">
              <w:rPr>
                <w:rFonts w:cs="Arial"/>
                <w:szCs w:val="20"/>
              </w:rPr>
              <w:t xml:space="preserve">TRV – 2 </w:t>
            </w:r>
            <w:r w:rsidRPr="001870FF">
              <w:rPr>
                <w:rFonts w:ascii="Symbol" w:hAnsi="Symbol" w:cs="Arial"/>
                <w:szCs w:val="20"/>
              </w:rPr>
              <w:t></w:t>
            </w:r>
            <w:r w:rsidRPr="001870FF">
              <w:rPr>
                <w:rFonts w:cs="Arial"/>
                <w:szCs w:val="20"/>
              </w:rPr>
              <w:t>g/m</w:t>
            </w:r>
            <w:r w:rsidRPr="001870FF">
              <w:rPr>
                <w:rFonts w:cs="Arial"/>
                <w:szCs w:val="20"/>
                <w:vertAlign w:val="superscript"/>
              </w:rPr>
              <w:t>3</w:t>
            </w:r>
            <w:r w:rsidRPr="001870FF">
              <w:rPr>
                <w:rFonts w:cs="Arial"/>
                <w:szCs w:val="20"/>
              </w:rPr>
              <w:t xml:space="preserve"> TCE </w:t>
            </w:r>
            <w:r w:rsidRPr="001870FF">
              <w:rPr>
                <w:rFonts w:cs="Arial"/>
                <w:szCs w:val="20"/>
                <w:vertAlign w:val="superscript"/>
              </w:rPr>
              <w:t>e</w:t>
            </w:r>
          </w:p>
          <w:p w14:paraId="596DEF2A" w14:textId="77777777" w:rsidR="00C946A1" w:rsidRPr="001870FF" w:rsidRDefault="00C946A1" w:rsidP="001A1E0F">
            <w:pPr>
              <w:rPr>
                <w:rFonts w:cs="Arial"/>
                <w:szCs w:val="20"/>
              </w:rPr>
            </w:pPr>
            <w:r w:rsidRPr="001870FF">
              <w:rPr>
                <w:rFonts w:cs="Arial"/>
                <w:szCs w:val="20"/>
              </w:rPr>
              <w:t>AF’s</w:t>
            </w:r>
          </w:p>
          <w:p w14:paraId="3DCE8B8B"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0.003 sub-slab to indoor air</w:t>
            </w:r>
          </w:p>
          <w:p w14:paraId="71773052"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0.004 external soil vapour to indoor air</w:t>
            </w:r>
          </w:p>
          <w:p w14:paraId="7BB0E789"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groundwater to indoor air 0.0006 (&lt; 1.5m) </w:t>
            </w:r>
          </w:p>
          <w:p w14:paraId="18F54659"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0.0001 (1.5 – 3m)</w:t>
            </w:r>
          </w:p>
          <w:p w14:paraId="5D78FFFF"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0.00004 (3 – 5m)</w:t>
            </w:r>
          </w:p>
          <w:p w14:paraId="0AB4EEF4"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0.00005 (&gt; 5m)</w:t>
            </w:r>
          </w:p>
          <w:p w14:paraId="330ABE8A" w14:textId="77777777" w:rsidR="00C946A1" w:rsidRPr="001870FF" w:rsidRDefault="00C946A1" w:rsidP="001A1E0F">
            <w:pPr>
              <w:rPr>
                <w:rFonts w:cs="Arial"/>
                <w:szCs w:val="20"/>
              </w:rPr>
            </w:pPr>
            <w:r w:rsidRPr="001870FF">
              <w:rPr>
                <w:rFonts w:cs="Arial"/>
                <w:szCs w:val="20"/>
              </w:rPr>
              <w:t>Groundwater and Soil Gas Levels</w:t>
            </w:r>
          </w:p>
          <w:p w14:paraId="3B017153"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670 </w:t>
            </w:r>
            <w:r w:rsidRPr="001870FF">
              <w:rPr>
                <w:rFonts w:ascii="Symbol" w:hAnsi="Symbol" w:cs="Arial"/>
                <w:sz w:val="20"/>
                <w:szCs w:val="20"/>
              </w:rPr>
              <w:t></w:t>
            </w:r>
            <w:r w:rsidRPr="001870FF">
              <w:rPr>
                <w:rFonts w:ascii="Arial" w:hAnsi="Arial" w:cs="Arial"/>
                <w:sz w:val="20"/>
                <w:szCs w:val="20"/>
              </w:rPr>
              <w:t>g/m</w:t>
            </w:r>
            <w:r w:rsidRPr="001870FF">
              <w:rPr>
                <w:rFonts w:ascii="Arial" w:hAnsi="Arial" w:cs="Arial"/>
                <w:sz w:val="20"/>
                <w:szCs w:val="20"/>
                <w:vertAlign w:val="superscript"/>
              </w:rPr>
              <w:t>3</w:t>
            </w:r>
            <w:r w:rsidRPr="001870FF">
              <w:rPr>
                <w:rFonts w:ascii="Arial" w:hAnsi="Arial" w:cs="Arial"/>
                <w:sz w:val="20"/>
                <w:szCs w:val="20"/>
              </w:rPr>
              <w:t xml:space="preserve"> sub-slab</w:t>
            </w:r>
          </w:p>
          <w:p w14:paraId="4E539BCF"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500 </w:t>
            </w:r>
            <w:r w:rsidRPr="001870FF">
              <w:rPr>
                <w:rFonts w:ascii="Symbol" w:hAnsi="Symbol" w:cs="Arial"/>
                <w:sz w:val="20"/>
                <w:szCs w:val="20"/>
              </w:rPr>
              <w:t></w:t>
            </w:r>
            <w:r w:rsidRPr="001870FF">
              <w:rPr>
                <w:rFonts w:ascii="Arial" w:hAnsi="Arial" w:cs="Arial"/>
                <w:sz w:val="20"/>
                <w:szCs w:val="20"/>
              </w:rPr>
              <w:t>g/m</w:t>
            </w:r>
            <w:r w:rsidRPr="001870FF">
              <w:rPr>
                <w:rFonts w:ascii="Arial" w:hAnsi="Arial" w:cs="Arial"/>
                <w:sz w:val="20"/>
                <w:szCs w:val="20"/>
                <w:vertAlign w:val="superscript"/>
              </w:rPr>
              <w:t>3</w:t>
            </w:r>
            <w:r w:rsidRPr="001870FF">
              <w:rPr>
                <w:rFonts w:ascii="Arial" w:hAnsi="Arial" w:cs="Arial"/>
                <w:sz w:val="20"/>
                <w:szCs w:val="20"/>
              </w:rPr>
              <w:t xml:space="preserve"> deep soil vapour </w:t>
            </w:r>
          </w:p>
          <w:p w14:paraId="243BA666"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 8 </w:t>
            </w:r>
            <w:r w:rsidRPr="001870FF">
              <w:rPr>
                <w:rFonts w:ascii="Symbol" w:hAnsi="Symbol" w:cs="Arial"/>
                <w:sz w:val="20"/>
                <w:szCs w:val="20"/>
              </w:rPr>
              <w:t></w:t>
            </w:r>
            <w:r w:rsidRPr="001870FF">
              <w:rPr>
                <w:rFonts w:ascii="Arial" w:hAnsi="Arial" w:cs="Arial"/>
                <w:sz w:val="20"/>
                <w:szCs w:val="20"/>
              </w:rPr>
              <w:t>g/L (&lt;1.5m)</w:t>
            </w:r>
          </w:p>
          <w:p w14:paraId="58B09D1F"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 xml:space="preserve">50 </w:t>
            </w:r>
            <w:r w:rsidRPr="001870FF">
              <w:rPr>
                <w:rFonts w:ascii="Symbol" w:hAnsi="Symbol" w:cs="Arial"/>
                <w:sz w:val="20"/>
                <w:szCs w:val="20"/>
              </w:rPr>
              <w:t></w:t>
            </w:r>
            <w:r w:rsidRPr="001870FF">
              <w:rPr>
                <w:rFonts w:ascii="Arial" w:hAnsi="Arial" w:cs="Arial"/>
                <w:sz w:val="20"/>
                <w:szCs w:val="20"/>
              </w:rPr>
              <w:t>g/L (1.5 – 3m)</w:t>
            </w:r>
          </w:p>
          <w:p w14:paraId="485C9F60"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 xml:space="preserve">125 </w:t>
            </w:r>
            <w:r w:rsidRPr="001870FF">
              <w:rPr>
                <w:rFonts w:ascii="Symbol" w:hAnsi="Symbol" w:cs="Arial"/>
                <w:sz w:val="20"/>
                <w:szCs w:val="20"/>
              </w:rPr>
              <w:t></w:t>
            </w:r>
            <w:r w:rsidRPr="001870FF">
              <w:rPr>
                <w:rFonts w:ascii="Arial" w:hAnsi="Arial" w:cs="Arial"/>
                <w:sz w:val="20"/>
                <w:szCs w:val="20"/>
              </w:rPr>
              <w:t>g/L (3-5m)</w:t>
            </w:r>
          </w:p>
          <w:p w14:paraId="35AF609C"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 xml:space="preserve">100 </w:t>
            </w:r>
            <w:r w:rsidRPr="001870FF">
              <w:rPr>
                <w:rFonts w:ascii="Symbol" w:hAnsi="Symbol" w:cs="Arial"/>
                <w:sz w:val="20"/>
                <w:szCs w:val="20"/>
              </w:rPr>
              <w:t></w:t>
            </w:r>
            <w:r w:rsidRPr="001870FF">
              <w:rPr>
                <w:rFonts w:ascii="Arial" w:hAnsi="Arial" w:cs="Arial"/>
                <w:sz w:val="20"/>
                <w:szCs w:val="20"/>
              </w:rPr>
              <w:t>g/L (&gt;5m)</w:t>
            </w:r>
          </w:p>
        </w:tc>
      </w:tr>
      <w:tr w:rsidR="00933DD7" w14:paraId="17DE0807" w14:textId="77777777" w:rsidTr="001870FF">
        <w:tc>
          <w:tcPr>
            <w:tcW w:w="4261" w:type="dxa"/>
            <w:shd w:val="clear" w:color="auto" w:fill="auto"/>
          </w:tcPr>
          <w:p w14:paraId="10E643BF" w14:textId="77777777" w:rsidR="00C946A1" w:rsidRPr="001870FF" w:rsidRDefault="00C946A1" w:rsidP="001A1E0F">
            <w:pPr>
              <w:rPr>
                <w:rFonts w:cs="Arial"/>
                <w:b/>
                <w:szCs w:val="20"/>
              </w:rPr>
            </w:pPr>
            <w:r w:rsidRPr="001870FF">
              <w:rPr>
                <w:rFonts w:cs="Arial"/>
                <w:b/>
                <w:szCs w:val="20"/>
              </w:rPr>
              <w:t>C.</w:t>
            </w:r>
          </w:p>
          <w:p w14:paraId="6CE1BB6D" w14:textId="77777777" w:rsidR="00C946A1" w:rsidRPr="001870FF" w:rsidRDefault="00C946A1" w:rsidP="001A1E0F">
            <w:pPr>
              <w:rPr>
                <w:rFonts w:cs="Arial"/>
                <w:szCs w:val="20"/>
              </w:rPr>
            </w:pPr>
            <w:r w:rsidRPr="001870FF">
              <w:rPr>
                <w:rFonts w:cs="Arial"/>
                <w:szCs w:val="20"/>
              </w:rPr>
              <w:t>Toxicity reference value - range</w:t>
            </w:r>
          </w:p>
          <w:p w14:paraId="695AF1A3" w14:textId="77777777" w:rsidR="00C946A1" w:rsidRPr="001870FF" w:rsidRDefault="00C946A1" w:rsidP="001A1E0F">
            <w:pPr>
              <w:rPr>
                <w:rFonts w:cs="Arial"/>
                <w:szCs w:val="20"/>
              </w:rPr>
            </w:pPr>
            <w:r w:rsidRPr="001870FF">
              <w:rPr>
                <w:rFonts w:cs="Arial"/>
                <w:szCs w:val="20"/>
              </w:rPr>
              <w:t>Health protective attenuation factors</w:t>
            </w:r>
          </w:p>
          <w:p w14:paraId="5CC02989" w14:textId="77777777" w:rsidR="00C946A1" w:rsidRPr="001870FF" w:rsidRDefault="00C946A1" w:rsidP="001A1E0F">
            <w:pPr>
              <w:rPr>
                <w:rFonts w:cs="Arial"/>
                <w:szCs w:val="20"/>
              </w:rPr>
            </w:pPr>
            <w:r w:rsidRPr="001870FF">
              <w:rPr>
                <w:rFonts w:cs="Arial"/>
                <w:szCs w:val="20"/>
              </w:rPr>
              <w:t xml:space="preserve">TRV – 2 to 20 </w:t>
            </w:r>
            <w:r w:rsidRPr="001870FF">
              <w:rPr>
                <w:rFonts w:ascii="Symbol" w:hAnsi="Symbol" w:cs="Arial"/>
                <w:szCs w:val="20"/>
              </w:rPr>
              <w:t></w:t>
            </w:r>
            <w:r w:rsidRPr="001870FF">
              <w:rPr>
                <w:rFonts w:cs="Arial"/>
                <w:szCs w:val="20"/>
              </w:rPr>
              <w:t>g/m</w:t>
            </w:r>
            <w:r w:rsidRPr="001870FF">
              <w:rPr>
                <w:rFonts w:cs="Arial"/>
                <w:szCs w:val="20"/>
                <w:vertAlign w:val="superscript"/>
              </w:rPr>
              <w:t>3</w:t>
            </w:r>
            <w:r w:rsidRPr="001870FF">
              <w:rPr>
                <w:rFonts w:cs="Arial"/>
                <w:szCs w:val="20"/>
              </w:rPr>
              <w:t xml:space="preserve"> TCE </w:t>
            </w:r>
            <w:r w:rsidRPr="001870FF">
              <w:rPr>
                <w:rFonts w:cs="Arial"/>
                <w:szCs w:val="20"/>
                <w:vertAlign w:val="superscript"/>
              </w:rPr>
              <w:t>f</w:t>
            </w:r>
          </w:p>
          <w:p w14:paraId="52448BBA" w14:textId="77777777" w:rsidR="00C946A1" w:rsidRPr="001870FF" w:rsidRDefault="00C946A1" w:rsidP="001A1E0F">
            <w:pPr>
              <w:rPr>
                <w:rFonts w:cs="Arial"/>
                <w:szCs w:val="20"/>
              </w:rPr>
            </w:pPr>
            <w:r w:rsidRPr="001870FF">
              <w:rPr>
                <w:rFonts w:cs="Arial"/>
                <w:szCs w:val="20"/>
              </w:rPr>
              <w:t>AF’s</w:t>
            </w:r>
          </w:p>
          <w:p w14:paraId="06090963"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0.1 sub-slab to indoor air</w:t>
            </w:r>
          </w:p>
          <w:p w14:paraId="131F301A"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0.01 deep soil vapour to indoor air</w:t>
            </w:r>
          </w:p>
          <w:p w14:paraId="5E1140ED"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0.001 groundwater to indoor air </w:t>
            </w:r>
          </w:p>
          <w:p w14:paraId="7194DBDC" w14:textId="77777777" w:rsidR="00C946A1" w:rsidRPr="001870FF" w:rsidRDefault="00C946A1" w:rsidP="001870FF">
            <w:pPr>
              <w:pStyle w:val="Default"/>
              <w:ind w:left="1440"/>
              <w:rPr>
                <w:rFonts w:ascii="Arial" w:hAnsi="Arial" w:cs="Arial"/>
                <w:sz w:val="20"/>
                <w:szCs w:val="20"/>
              </w:rPr>
            </w:pPr>
          </w:p>
          <w:p w14:paraId="31163F83" w14:textId="77777777" w:rsidR="00C946A1" w:rsidRPr="001870FF" w:rsidRDefault="00C946A1" w:rsidP="001A1E0F">
            <w:pPr>
              <w:rPr>
                <w:rFonts w:cs="Arial"/>
                <w:szCs w:val="20"/>
              </w:rPr>
            </w:pPr>
            <w:r w:rsidRPr="001870FF">
              <w:rPr>
                <w:rFonts w:cs="Arial"/>
                <w:szCs w:val="20"/>
              </w:rPr>
              <w:t>Groundwater and Soil Gas Levels</w:t>
            </w:r>
          </w:p>
          <w:p w14:paraId="2871D3E7"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20 to 200 </w:t>
            </w:r>
            <w:r w:rsidRPr="001870FF">
              <w:rPr>
                <w:rFonts w:ascii="Symbol" w:hAnsi="Symbol" w:cs="Arial"/>
                <w:sz w:val="20"/>
                <w:szCs w:val="20"/>
              </w:rPr>
              <w:t></w:t>
            </w:r>
            <w:r w:rsidRPr="001870FF">
              <w:rPr>
                <w:rFonts w:ascii="Arial" w:hAnsi="Arial" w:cs="Arial"/>
                <w:sz w:val="20"/>
                <w:szCs w:val="20"/>
              </w:rPr>
              <w:t>g/m</w:t>
            </w:r>
            <w:r w:rsidRPr="001870FF">
              <w:rPr>
                <w:rFonts w:ascii="Arial" w:hAnsi="Arial" w:cs="Arial"/>
                <w:sz w:val="20"/>
                <w:szCs w:val="20"/>
                <w:vertAlign w:val="superscript"/>
              </w:rPr>
              <w:t>3</w:t>
            </w:r>
            <w:r w:rsidRPr="001870FF">
              <w:rPr>
                <w:rFonts w:ascii="Arial" w:hAnsi="Arial" w:cs="Arial"/>
                <w:sz w:val="20"/>
                <w:szCs w:val="20"/>
              </w:rPr>
              <w:t xml:space="preserve"> sub-slab</w:t>
            </w:r>
          </w:p>
          <w:p w14:paraId="7874C21C"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200 to 2000 </w:t>
            </w:r>
            <w:r w:rsidRPr="001870FF">
              <w:rPr>
                <w:rFonts w:ascii="Symbol" w:hAnsi="Symbol" w:cs="Arial"/>
                <w:sz w:val="20"/>
                <w:szCs w:val="20"/>
              </w:rPr>
              <w:t></w:t>
            </w:r>
            <w:r w:rsidRPr="001870FF">
              <w:rPr>
                <w:rFonts w:ascii="Arial" w:hAnsi="Arial" w:cs="Arial"/>
                <w:sz w:val="20"/>
                <w:szCs w:val="20"/>
              </w:rPr>
              <w:t>g/m</w:t>
            </w:r>
            <w:r w:rsidRPr="001870FF">
              <w:rPr>
                <w:rFonts w:ascii="Arial" w:hAnsi="Arial" w:cs="Arial"/>
                <w:sz w:val="20"/>
                <w:szCs w:val="20"/>
                <w:vertAlign w:val="superscript"/>
              </w:rPr>
              <w:t>3</w:t>
            </w:r>
            <w:r w:rsidRPr="001870FF">
              <w:rPr>
                <w:rFonts w:ascii="Arial" w:hAnsi="Arial" w:cs="Arial"/>
                <w:sz w:val="20"/>
                <w:szCs w:val="20"/>
              </w:rPr>
              <w:t xml:space="preserve"> deep soil vapour </w:t>
            </w:r>
          </w:p>
          <w:p w14:paraId="56564A28"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5to 50 </w:t>
            </w:r>
            <w:r w:rsidRPr="001870FF">
              <w:rPr>
                <w:rFonts w:ascii="Symbol" w:hAnsi="Symbol" w:cs="Arial"/>
                <w:sz w:val="20"/>
                <w:szCs w:val="20"/>
              </w:rPr>
              <w:t></w:t>
            </w:r>
            <w:r w:rsidRPr="001870FF">
              <w:rPr>
                <w:rFonts w:ascii="Arial" w:hAnsi="Arial" w:cs="Arial"/>
                <w:sz w:val="20"/>
                <w:szCs w:val="20"/>
              </w:rPr>
              <w:t>g/L</w:t>
            </w:r>
          </w:p>
          <w:p w14:paraId="769D0D3C" w14:textId="77777777" w:rsidR="00C946A1" w:rsidRPr="001870FF" w:rsidRDefault="00C946A1" w:rsidP="001A1E0F">
            <w:pPr>
              <w:rPr>
                <w:rFonts w:cs="Arial"/>
                <w:szCs w:val="20"/>
              </w:rPr>
            </w:pPr>
          </w:p>
        </w:tc>
        <w:tc>
          <w:tcPr>
            <w:tcW w:w="4261" w:type="dxa"/>
            <w:shd w:val="clear" w:color="auto" w:fill="auto"/>
          </w:tcPr>
          <w:p w14:paraId="5F4050BB" w14:textId="77777777" w:rsidR="00C946A1" w:rsidRPr="001870FF" w:rsidRDefault="00C946A1" w:rsidP="001A1E0F">
            <w:pPr>
              <w:rPr>
                <w:rFonts w:cs="Arial"/>
                <w:b/>
                <w:szCs w:val="20"/>
              </w:rPr>
            </w:pPr>
            <w:r w:rsidRPr="001870FF">
              <w:rPr>
                <w:rFonts w:cs="Arial"/>
                <w:b/>
                <w:szCs w:val="20"/>
              </w:rPr>
              <w:t>D.</w:t>
            </w:r>
          </w:p>
          <w:p w14:paraId="7A54ACE4" w14:textId="77777777" w:rsidR="00C946A1" w:rsidRPr="001870FF" w:rsidRDefault="00C946A1" w:rsidP="001A1E0F">
            <w:pPr>
              <w:rPr>
                <w:rFonts w:cs="Arial"/>
                <w:szCs w:val="20"/>
              </w:rPr>
            </w:pPr>
            <w:r w:rsidRPr="001870FF">
              <w:rPr>
                <w:rFonts w:cs="Arial"/>
                <w:szCs w:val="20"/>
              </w:rPr>
              <w:t>Toxicity reference value - range</w:t>
            </w:r>
          </w:p>
          <w:p w14:paraId="66178DCC" w14:textId="77777777" w:rsidR="00C946A1" w:rsidRPr="001870FF" w:rsidRDefault="00C946A1" w:rsidP="001A1E0F">
            <w:pPr>
              <w:rPr>
                <w:rFonts w:cs="Arial"/>
                <w:szCs w:val="20"/>
              </w:rPr>
            </w:pPr>
            <w:r w:rsidRPr="001870FF">
              <w:rPr>
                <w:rFonts w:cs="Arial"/>
                <w:szCs w:val="20"/>
                <w:u w:val="single"/>
              </w:rPr>
              <w:t>Median</w:t>
            </w:r>
            <w:r w:rsidRPr="001870FF">
              <w:rPr>
                <w:rFonts w:cs="Arial"/>
                <w:szCs w:val="20"/>
              </w:rPr>
              <w:t xml:space="preserve"> attenuation factors</w:t>
            </w:r>
          </w:p>
          <w:p w14:paraId="39B96524" w14:textId="77777777" w:rsidR="00C946A1" w:rsidRPr="001870FF" w:rsidRDefault="00C946A1" w:rsidP="001A1E0F">
            <w:pPr>
              <w:rPr>
                <w:rFonts w:cs="Arial"/>
                <w:szCs w:val="20"/>
              </w:rPr>
            </w:pPr>
            <w:r w:rsidRPr="001870FF">
              <w:rPr>
                <w:rFonts w:cs="Arial"/>
                <w:szCs w:val="20"/>
              </w:rPr>
              <w:t xml:space="preserve">TRV – 2 to 20 </w:t>
            </w:r>
            <w:r w:rsidRPr="001870FF">
              <w:rPr>
                <w:rFonts w:ascii="Symbol" w:hAnsi="Symbol" w:cs="Arial"/>
                <w:szCs w:val="20"/>
              </w:rPr>
              <w:t></w:t>
            </w:r>
            <w:r w:rsidRPr="001870FF">
              <w:rPr>
                <w:rFonts w:cs="Arial"/>
                <w:szCs w:val="20"/>
              </w:rPr>
              <w:t>g/m</w:t>
            </w:r>
            <w:r w:rsidRPr="001870FF">
              <w:rPr>
                <w:rFonts w:cs="Arial"/>
                <w:szCs w:val="20"/>
                <w:vertAlign w:val="superscript"/>
              </w:rPr>
              <w:t>3</w:t>
            </w:r>
            <w:r w:rsidRPr="001870FF">
              <w:rPr>
                <w:rFonts w:cs="Arial"/>
                <w:szCs w:val="20"/>
              </w:rPr>
              <w:t xml:space="preserve"> TCE </w:t>
            </w:r>
            <w:r w:rsidRPr="001870FF">
              <w:rPr>
                <w:rFonts w:cs="Arial"/>
                <w:szCs w:val="20"/>
                <w:vertAlign w:val="superscript"/>
              </w:rPr>
              <w:t>f</w:t>
            </w:r>
          </w:p>
          <w:p w14:paraId="142F3511" w14:textId="77777777" w:rsidR="00C946A1" w:rsidRPr="001870FF" w:rsidRDefault="00C946A1" w:rsidP="001A1E0F">
            <w:pPr>
              <w:rPr>
                <w:rFonts w:cs="Arial"/>
                <w:szCs w:val="20"/>
              </w:rPr>
            </w:pPr>
            <w:r w:rsidRPr="001870FF">
              <w:rPr>
                <w:rFonts w:cs="Arial"/>
                <w:szCs w:val="20"/>
              </w:rPr>
              <w:t>AF’s</w:t>
            </w:r>
          </w:p>
          <w:p w14:paraId="62D154C2"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0.003 sub-slab to indoor air</w:t>
            </w:r>
          </w:p>
          <w:p w14:paraId="185FF431"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0.004 external soil vapour to indoor air</w:t>
            </w:r>
          </w:p>
          <w:p w14:paraId="3CD37BCE"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groundwater to indoor air</w:t>
            </w:r>
          </w:p>
          <w:p w14:paraId="1FE13B51"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 xml:space="preserve">0.0006 (&lt; 1.5m) </w:t>
            </w:r>
          </w:p>
          <w:p w14:paraId="04140C30"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0.0001 (1.5 – 3m)</w:t>
            </w:r>
          </w:p>
          <w:p w14:paraId="6A2CF1C6"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0.00004 (3 – 5m)</w:t>
            </w:r>
          </w:p>
          <w:p w14:paraId="1D717283"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0.00005 (&gt; 5m)</w:t>
            </w:r>
          </w:p>
          <w:p w14:paraId="54CD245A" w14:textId="77777777" w:rsidR="00C946A1" w:rsidRPr="001870FF" w:rsidRDefault="00C946A1" w:rsidP="001870FF">
            <w:pPr>
              <w:pStyle w:val="Default"/>
              <w:ind w:left="1440"/>
              <w:rPr>
                <w:rFonts w:ascii="Arial" w:hAnsi="Arial" w:cs="Arial"/>
                <w:sz w:val="20"/>
                <w:szCs w:val="20"/>
              </w:rPr>
            </w:pPr>
          </w:p>
          <w:p w14:paraId="70810049" w14:textId="77777777" w:rsidR="00C946A1" w:rsidRPr="001870FF" w:rsidRDefault="00C946A1" w:rsidP="001A1E0F">
            <w:pPr>
              <w:rPr>
                <w:rFonts w:cs="Arial"/>
                <w:szCs w:val="20"/>
              </w:rPr>
            </w:pPr>
            <w:r w:rsidRPr="001870FF">
              <w:rPr>
                <w:rFonts w:cs="Arial"/>
                <w:szCs w:val="20"/>
              </w:rPr>
              <w:t>Groundwater and Soil Gas Levels</w:t>
            </w:r>
          </w:p>
          <w:p w14:paraId="5ED3513D"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670 - 6700 </w:t>
            </w:r>
            <w:r w:rsidRPr="001870FF">
              <w:rPr>
                <w:rFonts w:ascii="Symbol" w:hAnsi="Symbol" w:cs="Arial"/>
                <w:sz w:val="20"/>
                <w:szCs w:val="20"/>
              </w:rPr>
              <w:t></w:t>
            </w:r>
            <w:r w:rsidRPr="001870FF">
              <w:rPr>
                <w:rFonts w:ascii="Arial" w:hAnsi="Arial" w:cs="Arial"/>
                <w:sz w:val="20"/>
                <w:szCs w:val="20"/>
              </w:rPr>
              <w:t>g/m</w:t>
            </w:r>
            <w:r w:rsidRPr="001870FF">
              <w:rPr>
                <w:rFonts w:ascii="Arial" w:hAnsi="Arial" w:cs="Arial"/>
                <w:sz w:val="20"/>
                <w:szCs w:val="20"/>
                <w:vertAlign w:val="superscript"/>
              </w:rPr>
              <w:t>3</w:t>
            </w:r>
            <w:r w:rsidRPr="001870FF">
              <w:rPr>
                <w:rFonts w:ascii="Arial" w:hAnsi="Arial" w:cs="Arial"/>
                <w:sz w:val="20"/>
                <w:szCs w:val="20"/>
              </w:rPr>
              <w:t xml:space="preserve"> sub-slab</w:t>
            </w:r>
          </w:p>
          <w:p w14:paraId="68724CDC"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500 - 5000 </w:t>
            </w:r>
            <w:r w:rsidRPr="001870FF">
              <w:rPr>
                <w:rFonts w:ascii="Symbol" w:hAnsi="Symbol" w:cs="Arial"/>
                <w:sz w:val="20"/>
                <w:szCs w:val="20"/>
              </w:rPr>
              <w:t></w:t>
            </w:r>
            <w:r w:rsidRPr="001870FF">
              <w:rPr>
                <w:rFonts w:ascii="Arial" w:hAnsi="Arial" w:cs="Arial"/>
                <w:sz w:val="20"/>
                <w:szCs w:val="20"/>
              </w:rPr>
              <w:t>g/m</w:t>
            </w:r>
            <w:r w:rsidRPr="001870FF">
              <w:rPr>
                <w:rFonts w:ascii="Arial" w:hAnsi="Arial" w:cs="Arial"/>
                <w:sz w:val="20"/>
                <w:szCs w:val="20"/>
                <w:vertAlign w:val="superscript"/>
              </w:rPr>
              <w:t>3</w:t>
            </w:r>
            <w:r w:rsidRPr="001870FF">
              <w:rPr>
                <w:rFonts w:ascii="Arial" w:hAnsi="Arial" w:cs="Arial"/>
                <w:sz w:val="20"/>
                <w:szCs w:val="20"/>
              </w:rPr>
              <w:t xml:space="preserve"> deep soil vapour </w:t>
            </w:r>
          </w:p>
          <w:p w14:paraId="2A0AF139" w14:textId="77777777" w:rsidR="00C946A1" w:rsidRPr="001870FF" w:rsidRDefault="00C946A1" w:rsidP="001870FF">
            <w:pPr>
              <w:pStyle w:val="Default"/>
              <w:numPr>
                <w:ilvl w:val="1"/>
                <w:numId w:val="17"/>
              </w:numPr>
              <w:rPr>
                <w:rFonts w:ascii="Arial" w:hAnsi="Arial" w:cs="Arial"/>
                <w:sz w:val="20"/>
                <w:szCs w:val="20"/>
              </w:rPr>
            </w:pPr>
            <w:r w:rsidRPr="001870FF">
              <w:rPr>
                <w:rFonts w:ascii="Arial" w:hAnsi="Arial" w:cs="Arial"/>
                <w:sz w:val="20"/>
                <w:szCs w:val="20"/>
              </w:rPr>
              <w:t xml:space="preserve">8 – 80 </w:t>
            </w:r>
            <w:r w:rsidRPr="001870FF">
              <w:rPr>
                <w:rFonts w:ascii="Symbol" w:hAnsi="Symbol" w:cs="Arial"/>
                <w:sz w:val="20"/>
                <w:szCs w:val="20"/>
              </w:rPr>
              <w:t></w:t>
            </w:r>
            <w:r w:rsidRPr="001870FF">
              <w:rPr>
                <w:rFonts w:ascii="Arial" w:hAnsi="Arial" w:cs="Arial"/>
                <w:sz w:val="20"/>
                <w:szCs w:val="20"/>
              </w:rPr>
              <w:t xml:space="preserve">g/L (&lt; 1.5m) </w:t>
            </w:r>
          </w:p>
          <w:p w14:paraId="56E397C8"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 xml:space="preserve">50–500 </w:t>
            </w:r>
            <w:r w:rsidRPr="001870FF">
              <w:rPr>
                <w:rFonts w:ascii="Symbol" w:hAnsi="Symbol" w:cs="Arial"/>
                <w:sz w:val="20"/>
                <w:szCs w:val="20"/>
              </w:rPr>
              <w:t></w:t>
            </w:r>
            <w:r w:rsidRPr="001870FF">
              <w:rPr>
                <w:rFonts w:ascii="Arial" w:hAnsi="Arial" w:cs="Arial"/>
                <w:sz w:val="20"/>
                <w:szCs w:val="20"/>
              </w:rPr>
              <w:t>g/L (1.5 – 3m)</w:t>
            </w:r>
          </w:p>
          <w:p w14:paraId="3243B7CA"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 xml:space="preserve">125 – 1250 </w:t>
            </w:r>
            <w:r w:rsidRPr="001870FF">
              <w:rPr>
                <w:rFonts w:ascii="Symbol" w:hAnsi="Symbol" w:cs="Arial"/>
                <w:sz w:val="20"/>
                <w:szCs w:val="20"/>
              </w:rPr>
              <w:t></w:t>
            </w:r>
            <w:r w:rsidRPr="001870FF">
              <w:rPr>
                <w:rFonts w:ascii="Arial" w:hAnsi="Arial" w:cs="Arial"/>
                <w:sz w:val="20"/>
                <w:szCs w:val="20"/>
              </w:rPr>
              <w:t>g/L (3 – 5m)</w:t>
            </w:r>
          </w:p>
          <w:p w14:paraId="77BDC075" w14:textId="77777777" w:rsidR="00C946A1" w:rsidRPr="001870FF" w:rsidRDefault="00C946A1" w:rsidP="001870FF">
            <w:pPr>
              <w:pStyle w:val="Default"/>
              <w:ind w:left="1440"/>
              <w:rPr>
                <w:rFonts w:ascii="Arial" w:hAnsi="Arial" w:cs="Arial"/>
                <w:sz w:val="20"/>
                <w:szCs w:val="20"/>
              </w:rPr>
            </w:pPr>
            <w:r w:rsidRPr="001870FF">
              <w:rPr>
                <w:rFonts w:ascii="Arial" w:hAnsi="Arial" w:cs="Arial"/>
                <w:sz w:val="20"/>
                <w:szCs w:val="20"/>
              </w:rPr>
              <w:t xml:space="preserve">100 – 1000 </w:t>
            </w:r>
            <w:r w:rsidRPr="001870FF">
              <w:rPr>
                <w:rFonts w:ascii="Symbol" w:hAnsi="Symbol" w:cs="Arial"/>
                <w:sz w:val="20"/>
                <w:szCs w:val="20"/>
              </w:rPr>
              <w:t></w:t>
            </w:r>
            <w:r w:rsidRPr="001870FF">
              <w:rPr>
                <w:rFonts w:ascii="Arial" w:hAnsi="Arial" w:cs="Arial"/>
                <w:sz w:val="20"/>
                <w:szCs w:val="20"/>
              </w:rPr>
              <w:t>g/L (&gt; 5m)</w:t>
            </w:r>
          </w:p>
        </w:tc>
      </w:tr>
    </w:tbl>
    <w:p w14:paraId="1231BE67" w14:textId="77777777" w:rsidR="00C946A1" w:rsidRDefault="00C946A1" w:rsidP="00C946A1">
      <w:pPr>
        <w:rPr>
          <w:b/>
        </w:rPr>
      </w:pPr>
    </w:p>
    <w:p w14:paraId="53DD5ECF" w14:textId="77777777" w:rsidR="00C946A1" w:rsidRPr="006C45FC" w:rsidRDefault="00C946A1" w:rsidP="00C946A1">
      <w:pPr>
        <w:rPr>
          <w:rFonts w:cs="Arial"/>
          <w:b/>
          <w:szCs w:val="20"/>
        </w:rPr>
      </w:pPr>
      <w:r w:rsidRPr="006C45FC">
        <w:rPr>
          <w:rFonts w:cs="Arial"/>
          <w:b/>
          <w:szCs w:val="20"/>
        </w:rPr>
        <w:t>Calculations</w:t>
      </w:r>
    </w:p>
    <w:p w14:paraId="7E2E25E5" w14:textId="77777777" w:rsidR="00C946A1" w:rsidRPr="00C946A1" w:rsidRDefault="00C946A1" w:rsidP="00C946A1">
      <w:pPr>
        <w:rPr>
          <w:rFonts w:cs="Arial"/>
          <w:szCs w:val="20"/>
          <w:u w:val="single"/>
        </w:rPr>
      </w:pPr>
      <w:r w:rsidRPr="00C946A1">
        <w:rPr>
          <w:rFonts w:cs="Arial"/>
          <w:szCs w:val="20"/>
          <w:u w:val="single"/>
        </w:rPr>
        <w:t>Soil vapour to Indoor air</w:t>
      </w:r>
    </w:p>
    <w:p w14:paraId="1B9B79D7" w14:textId="77777777" w:rsidR="00C946A1" w:rsidRPr="00C946A1" w:rsidRDefault="00C946A1" w:rsidP="00C946A1">
      <w:pPr>
        <w:rPr>
          <w:rFonts w:cs="Arial"/>
          <w:szCs w:val="20"/>
        </w:rPr>
      </w:pPr>
      <w:proofErr w:type="spellStart"/>
      <w:r w:rsidRPr="00C946A1">
        <w:rPr>
          <w:rFonts w:cs="Arial"/>
          <w:szCs w:val="20"/>
        </w:rPr>
        <w:t>C</w:t>
      </w:r>
      <w:r w:rsidRPr="00C946A1">
        <w:rPr>
          <w:rFonts w:cs="Arial"/>
          <w:szCs w:val="20"/>
          <w:vertAlign w:val="subscript"/>
        </w:rPr>
        <w:t>Indoor</w:t>
      </w:r>
      <w:proofErr w:type="spellEnd"/>
      <w:r w:rsidRPr="00C946A1">
        <w:rPr>
          <w:rFonts w:cs="Arial"/>
          <w:szCs w:val="20"/>
          <w:vertAlign w:val="subscript"/>
        </w:rPr>
        <w:t xml:space="preserve"> air</w:t>
      </w:r>
      <w:r w:rsidRPr="00C946A1">
        <w:rPr>
          <w:rFonts w:cs="Arial"/>
          <w:szCs w:val="20"/>
        </w:rPr>
        <w:t xml:space="preserve"> = AF x </w:t>
      </w:r>
      <w:proofErr w:type="spellStart"/>
      <w:r w:rsidRPr="00C946A1">
        <w:rPr>
          <w:rFonts w:cs="Arial"/>
          <w:szCs w:val="20"/>
        </w:rPr>
        <w:t>C</w:t>
      </w:r>
      <w:r w:rsidRPr="00C946A1">
        <w:rPr>
          <w:rFonts w:cs="Arial"/>
          <w:szCs w:val="20"/>
          <w:vertAlign w:val="subscript"/>
        </w:rPr>
        <w:t>soil</w:t>
      </w:r>
      <w:proofErr w:type="spellEnd"/>
      <w:r w:rsidRPr="00C946A1">
        <w:rPr>
          <w:rFonts w:cs="Arial"/>
          <w:szCs w:val="20"/>
          <w:vertAlign w:val="subscript"/>
        </w:rPr>
        <w:t xml:space="preserve"> vapour</w:t>
      </w:r>
    </w:p>
    <w:p w14:paraId="4A5CC816" w14:textId="77777777" w:rsidR="00C946A1" w:rsidRPr="00C946A1" w:rsidRDefault="00C946A1" w:rsidP="00C946A1">
      <w:pPr>
        <w:rPr>
          <w:rFonts w:cs="Arial"/>
          <w:szCs w:val="20"/>
          <w:u w:val="single"/>
        </w:rPr>
      </w:pPr>
      <w:r w:rsidRPr="00C946A1">
        <w:rPr>
          <w:rFonts w:cs="Arial"/>
          <w:szCs w:val="20"/>
          <w:u w:val="single"/>
        </w:rPr>
        <w:t>Indoor air to Soil Vapour</w:t>
      </w:r>
    </w:p>
    <w:p w14:paraId="5030C31B" w14:textId="77777777" w:rsidR="00C946A1" w:rsidRPr="00C946A1" w:rsidRDefault="00C946A1" w:rsidP="00C946A1">
      <w:pPr>
        <w:rPr>
          <w:rFonts w:cs="Arial"/>
          <w:szCs w:val="20"/>
        </w:rPr>
      </w:pPr>
      <w:proofErr w:type="spellStart"/>
      <w:r w:rsidRPr="00C946A1">
        <w:rPr>
          <w:rFonts w:cs="Arial"/>
          <w:szCs w:val="20"/>
        </w:rPr>
        <w:t>C</w:t>
      </w:r>
      <w:r w:rsidRPr="00C946A1">
        <w:rPr>
          <w:rFonts w:cs="Arial"/>
          <w:szCs w:val="20"/>
          <w:vertAlign w:val="subscript"/>
        </w:rPr>
        <w:t>soil</w:t>
      </w:r>
      <w:proofErr w:type="spellEnd"/>
      <w:r w:rsidRPr="00C946A1">
        <w:rPr>
          <w:rFonts w:cs="Arial"/>
          <w:szCs w:val="20"/>
          <w:vertAlign w:val="subscript"/>
        </w:rPr>
        <w:t xml:space="preserve"> vapour </w:t>
      </w:r>
      <w:r w:rsidRPr="00C946A1">
        <w:rPr>
          <w:rFonts w:cs="Arial"/>
          <w:szCs w:val="20"/>
        </w:rPr>
        <w:t xml:space="preserve">= </w:t>
      </w:r>
      <w:proofErr w:type="spellStart"/>
      <w:r w:rsidRPr="00C946A1">
        <w:rPr>
          <w:rFonts w:cs="Arial"/>
          <w:szCs w:val="20"/>
        </w:rPr>
        <w:t>C</w:t>
      </w:r>
      <w:r w:rsidRPr="00C946A1">
        <w:rPr>
          <w:rFonts w:cs="Arial"/>
          <w:szCs w:val="20"/>
          <w:vertAlign w:val="subscript"/>
        </w:rPr>
        <w:t>indoor</w:t>
      </w:r>
      <w:proofErr w:type="spellEnd"/>
      <w:r w:rsidRPr="00C946A1">
        <w:rPr>
          <w:rFonts w:cs="Arial"/>
          <w:szCs w:val="20"/>
          <w:vertAlign w:val="subscript"/>
        </w:rPr>
        <w:t xml:space="preserve"> air</w:t>
      </w:r>
      <w:r w:rsidRPr="00C946A1">
        <w:rPr>
          <w:rFonts w:cs="Arial"/>
          <w:szCs w:val="20"/>
        </w:rPr>
        <w:t>/AF</w:t>
      </w:r>
    </w:p>
    <w:p w14:paraId="430BF145" w14:textId="77777777" w:rsidR="00C946A1" w:rsidRPr="00C946A1" w:rsidRDefault="00C946A1" w:rsidP="00C946A1">
      <w:pPr>
        <w:rPr>
          <w:rFonts w:cs="Arial"/>
          <w:szCs w:val="20"/>
          <w:u w:val="single"/>
        </w:rPr>
      </w:pPr>
      <w:r w:rsidRPr="00C946A1">
        <w:rPr>
          <w:rFonts w:cs="Arial"/>
          <w:szCs w:val="20"/>
          <w:u w:val="single"/>
        </w:rPr>
        <w:t>Indoor air from Groundwater</w:t>
      </w:r>
    </w:p>
    <w:p w14:paraId="7BD8E776" w14:textId="77777777" w:rsidR="00C946A1" w:rsidRPr="00C946A1" w:rsidRDefault="00C946A1" w:rsidP="00C946A1">
      <w:pPr>
        <w:rPr>
          <w:rFonts w:cs="Arial"/>
          <w:szCs w:val="20"/>
        </w:rPr>
      </w:pPr>
      <w:proofErr w:type="spellStart"/>
      <w:r w:rsidRPr="00C946A1">
        <w:rPr>
          <w:rFonts w:cs="Arial"/>
          <w:szCs w:val="20"/>
        </w:rPr>
        <w:t>C</w:t>
      </w:r>
      <w:r w:rsidRPr="00C946A1">
        <w:rPr>
          <w:rFonts w:cs="Arial"/>
          <w:szCs w:val="20"/>
          <w:vertAlign w:val="subscript"/>
        </w:rPr>
        <w:t>indoor</w:t>
      </w:r>
      <w:proofErr w:type="spellEnd"/>
      <w:r w:rsidRPr="00C946A1">
        <w:rPr>
          <w:rFonts w:cs="Arial"/>
          <w:szCs w:val="20"/>
          <w:vertAlign w:val="subscript"/>
        </w:rPr>
        <w:t xml:space="preserve"> air </w:t>
      </w:r>
      <w:r w:rsidRPr="00C946A1">
        <w:rPr>
          <w:rFonts w:cs="Arial"/>
          <w:szCs w:val="20"/>
        </w:rPr>
        <w:t>= (</w:t>
      </w:r>
      <w:proofErr w:type="spellStart"/>
      <w:r w:rsidRPr="00C946A1">
        <w:rPr>
          <w:rFonts w:cs="Arial"/>
          <w:szCs w:val="20"/>
        </w:rPr>
        <w:t>C</w:t>
      </w:r>
      <w:r w:rsidRPr="00C946A1">
        <w:rPr>
          <w:rFonts w:cs="Arial"/>
          <w:szCs w:val="20"/>
          <w:vertAlign w:val="subscript"/>
        </w:rPr>
        <w:t>gw</w:t>
      </w:r>
      <w:proofErr w:type="spellEnd"/>
      <w:r w:rsidRPr="00C946A1">
        <w:rPr>
          <w:rFonts w:cs="Arial"/>
          <w:szCs w:val="20"/>
          <w:vertAlign w:val="subscript"/>
        </w:rPr>
        <w:t xml:space="preserve"> </w:t>
      </w:r>
      <w:r w:rsidRPr="00C946A1">
        <w:rPr>
          <w:rFonts w:ascii="Symbol" w:hAnsi="Symbol" w:cs="Arial"/>
          <w:szCs w:val="20"/>
          <w:vertAlign w:val="subscript"/>
        </w:rPr>
        <w:t></w:t>
      </w:r>
      <w:r w:rsidRPr="00C946A1">
        <w:rPr>
          <w:rFonts w:cs="Arial"/>
          <w:szCs w:val="20"/>
          <w:vertAlign w:val="subscript"/>
        </w:rPr>
        <w:t xml:space="preserve">g/L </w:t>
      </w:r>
      <w:r w:rsidRPr="00C946A1">
        <w:rPr>
          <w:rFonts w:cs="Arial"/>
          <w:szCs w:val="20"/>
        </w:rPr>
        <w:t>x Henry Law constant x 1000) (</w:t>
      </w:r>
      <w:proofErr w:type="spellStart"/>
      <w:r w:rsidRPr="00C946A1">
        <w:rPr>
          <w:rFonts w:cs="Arial"/>
          <w:szCs w:val="20"/>
        </w:rPr>
        <w:t>i.e</w:t>
      </w:r>
      <w:proofErr w:type="spellEnd"/>
      <w:r w:rsidRPr="00C946A1">
        <w:rPr>
          <w:rFonts w:cs="Arial"/>
          <w:szCs w:val="20"/>
        </w:rPr>
        <w:t xml:space="preserve"> soil vapour at source) x AF</w:t>
      </w:r>
    </w:p>
    <w:p w14:paraId="306787BD" w14:textId="77777777" w:rsidR="00C946A1" w:rsidRPr="00C946A1" w:rsidRDefault="00C946A1" w:rsidP="00C946A1">
      <w:pPr>
        <w:rPr>
          <w:rFonts w:cs="Arial"/>
          <w:szCs w:val="20"/>
          <w:u w:val="single"/>
        </w:rPr>
      </w:pPr>
      <w:r w:rsidRPr="00C946A1">
        <w:rPr>
          <w:rFonts w:cs="Arial"/>
          <w:szCs w:val="20"/>
          <w:u w:val="single"/>
        </w:rPr>
        <w:t>Groundwater from indoor air</w:t>
      </w:r>
    </w:p>
    <w:p w14:paraId="2B533020" w14:textId="77777777" w:rsidR="00C946A1" w:rsidRPr="00C946A1" w:rsidRDefault="00C946A1" w:rsidP="00C946A1">
      <w:pPr>
        <w:rPr>
          <w:rFonts w:cs="Arial"/>
          <w:szCs w:val="20"/>
        </w:rPr>
      </w:pPr>
      <w:proofErr w:type="spellStart"/>
      <w:r w:rsidRPr="00C946A1">
        <w:rPr>
          <w:rFonts w:cs="Arial"/>
          <w:szCs w:val="20"/>
        </w:rPr>
        <w:t>C</w:t>
      </w:r>
      <w:r w:rsidRPr="00C946A1">
        <w:rPr>
          <w:rFonts w:cs="Arial"/>
          <w:szCs w:val="20"/>
          <w:vertAlign w:val="subscript"/>
        </w:rPr>
        <w:t>gw</w:t>
      </w:r>
      <w:proofErr w:type="spellEnd"/>
      <w:r w:rsidRPr="00C946A1">
        <w:rPr>
          <w:rFonts w:cs="Arial"/>
          <w:szCs w:val="20"/>
          <w:vertAlign w:val="subscript"/>
        </w:rPr>
        <w:t xml:space="preserve"> </w:t>
      </w:r>
      <w:r w:rsidRPr="00C946A1">
        <w:rPr>
          <w:rFonts w:ascii="Symbol" w:hAnsi="Symbol" w:cs="Arial"/>
          <w:szCs w:val="20"/>
          <w:vertAlign w:val="subscript"/>
        </w:rPr>
        <w:t></w:t>
      </w:r>
      <w:r w:rsidRPr="00C946A1">
        <w:rPr>
          <w:rFonts w:cs="Arial"/>
          <w:szCs w:val="20"/>
          <w:vertAlign w:val="subscript"/>
        </w:rPr>
        <w:t>g/L</w:t>
      </w:r>
      <w:r w:rsidRPr="00C946A1">
        <w:rPr>
          <w:rFonts w:cs="Arial"/>
          <w:szCs w:val="20"/>
        </w:rPr>
        <w:t xml:space="preserve">= </w:t>
      </w:r>
      <w:proofErr w:type="spellStart"/>
      <w:r w:rsidRPr="00C946A1">
        <w:rPr>
          <w:rFonts w:cs="Arial"/>
          <w:szCs w:val="20"/>
        </w:rPr>
        <w:t>C</w:t>
      </w:r>
      <w:r w:rsidRPr="00C946A1">
        <w:rPr>
          <w:rFonts w:cs="Arial"/>
          <w:szCs w:val="20"/>
          <w:vertAlign w:val="subscript"/>
        </w:rPr>
        <w:t>indoor</w:t>
      </w:r>
      <w:proofErr w:type="spellEnd"/>
      <w:r w:rsidRPr="00C946A1">
        <w:rPr>
          <w:rFonts w:cs="Arial"/>
          <w:szCs w:val="20"/>
          <w:vertAlign w:val="subscript"/>
        </w:rPr>
        <w:t xml:space="preserve"> air</w:t>
      </w:r>
      <w:proofErr w:type="gramStart"/>
      <w:r w:rsidRPr="00C946A1">
        <w:rPr>
          <w:rFonts w:cs="Arial"/>
          <w:szCs w:val="20"/>
        </w:rPr>
        <w:t>/(</w:t>
      </w:r>
      <w:proofErr w:type="gramEnd"/>
      <w:r w:rsidRPr="00C946A1">
        <w:rPr>
          <w:rFonts w:cs="Arial"/>
          <w:szCs w:val="20"/>
        </w:rPr>
        <w:t>AF x Henry Law constant x 1000)</w:t>
      </w:r>
    </w:p>
    <w:p w14:paraId="36FEB5B0" w14:textId="77777777" w:rsidR="00C946A1" w:rsidRPr="00C946A1" w:rsidRDefault="00C946A1" w:rsidP="00C946A1">
      <w:pPr>
        <w:rPr>
          <w:rFonts w:cs="Arial"/>
          <w:szCs w:val="20"/>
        </w:rPr>
      </w:pPr>
    </w:p>
    <w:p w14:paraId="6EFD2BEA" w14:textId="77777777" w:rsidR="00C946A1" w:rsidRPr="00C946A1" w:rsidRDefault="00C946A1" w:rsidP="00C946A1">
      <w:pPr>
        <w:rPr>
          <w:rFonts w:cs="Arial"/>
          <w:szCs w:val="20"/>
          <w:vertAlign w:val="superscript"/>
        </w:rPr>
      </w:pPr>
      <w:r w:rsidRPr="00C946A1">
        <w:rPr>
          <w:rFonts w:cs="Arial"/>
          <w:b/>
          <w:szCs w:val="20"/>
        </w:rPr>
        <w:t>Attenuation factor distributions</w:t>
      </w:r>
      <w:r w:rsidRPr="00C946A1">
        <w:rPr>
          <w:rFonts w:cs="Arial"/>
          <w:szCs w:val="20"/>
        </w:rPr>
        <w:t xml:space="preserve"> </w:t>
      </w:r>
      <w:r w:rsidRPr="00C946A1">
        <w:rPr>
          <w:rFonts w:cs="Arial"/>
          <w:szCs w:val="20"/>
          <w:vertAlign w:val="superscript"/>
        </w:rPr>
        <w:t>d</w:t>
      </w:r>
    </w:p>
    <w:p w14:paraId="4083370E" w14:textId="77777777" w:rsidR="00C946A1" w:rsidRPr="00C946A1" w:rsidRDefault="00C946A1" w:rsidP="00C946A1">
      <w:pPr>
        <w:rPr>
          <w:rFonts w:cs="Arial"/>
          <w:szCs w:val="20"/>
        </w:rPr>
      </w:pPr>
      <w:r w:rsidRPr="00C946A1">
        <w:rPr>
          <w:rFonts w:cs="Arial"/>
          <w:szCs w:val="20"/>
        </w:rPr>
        <w:t>Relevant attenuation factor distributions from groundwater, exterior soil gas, sub</w:t>
      </w:r>
      <w:r w:rsidR="006C45FC">
        <w:rPr>
          <w:rFonts w:cs="Arial"/>
          <w:szCs w:val="20"/>
        </w:rPr>
        <w:t>-</w:t>
      </w:r>
      <w:r w:rsidRPr="00C946A1">
        <w:rPr>
          <w:rFonts w:cs="Arial"/>
          <w:szCs w:val="20"/>
        </w:rPr>
        <w:t>slab soil gas and crawlspace (abstr</w:t>
      </w:r>
      <w:r w:rsidR="006C45FC">
        <w:rPr>
          <w:rFonts w:cs="Arial"/>
          <w:szCs w:val="20"/>
        </w:rPr>
        <w:t>acted from Table 19 US EPA 2012</w:t>
      </w:r>
      <w:r w:rsidRPr="00C946A1">
        <w:rPr>
          <w:rFonts w:cs="Arial"/>
          <w:szCs w:val="20"/>
        </w:rPr>
        <w:t>)</w:t>
      </w:r>
    </w:p>
    <w:p w14:paraId="30D7AA69" w14:textId="77777777" w:rsidR="00C946A1" w:rsidRPr="00C946A1" w:rsidRDefault="00C946A1" w:rsidP="00C946A1">
      <w:pPr>
        <w:rPr>
          <w:rFonts w:cs="Arial"/>
          <w:szCs w:val="2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04"/>
        <w:gridCol w:w="1704"/>
        <w:gridCol w:w="1704"/>
        <w:gridCol w:w="1705"/>
        <w:gridCol w:w="1705"/>
      </w:tblGrid>
      <w:tr w:rsidR="00933DD7" w:rsidRPr="001870FF" w14:paraId="1997D5A2" w14:textId="77777777" w:rsidTr="001870FF">
        <w:trPr>
          <w:jc w:val="center"/>
        </w:trPr>
        <w:tc>
          <w:tcPr>
            <w:tcW w:w="1704" w:type="dxa"/>
            <w:shd w:val="clear" w:color="auto" w:fill="auto"/>
          </w:tcPr>
          <w:p w14:paraId="7F88271E" w14:textId="77777777" w:rsidR="00C946A1" w:rsidRPr="001870FF" w:rsidRDefault="00C946A1" w:rsidP="00C946A1">
            <w:pPr>
              <w:rPr>
                <w:rFonts w:cs="Arial"/>
                <w:szCs w:val="20"/>
              </w:rPr>
            </w:pPr>
            <w:r w:rsidRPr="001870FF">
              <w:rPr>
                <w:rFonts w:cs="Arial"/>
                <w:szCs w:val="20"/>
              </w:rPr>
              <w:t>Statistic</w:t>
            </w:r>
          </w:p>
        </w:tc>
        <w:tc>
          <w:tcPr>
            <w:tcW w:w="1704" w:type="dxa"/>
            <w:shd w:val="clear" w:color="auto" w:fill="auto"/>
          </w:tcPr>
          <w:p w14:paraId="47C140B3" w14:textId="77777777" w:rsidR="00C946A1" w:rsidRPr="001870FF" w:rsidRDefault="00C946A1" w:rsidP="00C946A1">
            <w:pPr>
              <w:rPr>
                <w:rFonts w:cs="Arial"/>
                <w:szCs w:val="20"/>
              </w:rPr>
            </w:pPr>
            <w:r w:rsidRPr="001870FF">
              <w:rPr>
                <w:rFonts w:cs="Arial"/>
                <w:szCs w:val="20"/>
              </w:rPr>
              <w:t>Groundwater</w:t>
            </w:r>
          </w:p>
        </w:tc>
        <w:tc>
          <w:tcPr>
            <w:tcW w:w="1704" w:type="dxa"/>
            <w:shd w:val="clear" w:color="auto" w:fill="auto"/>
          </w:tcPr>
          <w:p w14:paraId="58B4F67E" w14:textId="77777777" w:rsidR="00C946A1" w:rsidRPr="001870FF" w:rsidRDefault="00C946A1" w:rsidP="00C946A1">
            <w:pPr>
              <w:rPr>
                <w:rFonts w:cs="Arial"/>
                <w:szCs w:val="20"/>
              </w:rPr>
            </w:pPr>
            <w:r w:rsidRPr="001870FF">
              <w:rPr>
                <w:rFonts w:cs="Arial"/>
                <w:szCs w:val="20"/>
              </w:rPr>
              <w:t>Exterior Soil Gas</w:t>
            </w:r>
          </w:p>
        </w:tc>
        <w:tc>
          <w:tcPr>
            <w:tcW w:w="1705" w:type="dxa"/>
            <w:shd w:val="clear" w:color="auto" w:fill="auto"/>
          </w:tcPr>
          <w:p w14:paraId="518E594E" w14:textId="77777777" w:rsidR="00C946A1" w:rsidRPr="001870FF" w:rsidRDefault="00C946A1" w:rsidP="00C946A1">
            <w:pPr>
              <w:rPr>
                <w:rFonts w:cs="Arial"/>
                <w:szCs w:val="20"/>
              </w:rPr>
            </w:pPr>
            <w:r w:rsidRPr="001870FF">
              <w:rPr>
                <w:rFonts w:cs="Arial"/>
                <w:szCs w:val="20"/>
              </w:rPr>
              <w:t>Sub</w:t>
            </w:r>
            <w:r w:rsidR="006C45FC" w:rsidRPr="001870FF">
              <w:rPr>
                <w:rFonts w:cs="Arial"/>
                <w:szCs w:val="20"/>
              </w:rPr>
              <w:t>-</w:t>
            </w:r>
            <w:r w:rsidRPr="001870FF">
              <w:rPr>
                <w:rFonts w:cs="Arial"/>
                <w:szCs w:val="20"/>
              </w:rPr>
              <w:t>slab Soil Gas</w:t>
            </w:r>
          </w:p>
        </w:tc>
        <w:tc>
          <w:tcPr>
            <w:tcW w:w="1705" w:type="dxa"/>
            <w:shd w:val="clear" w:color="auto" w:fill="auto"/>
          </w:tcPr>
          <w:p w14:paraId="3ED5BDF4" w14:textId="77777777" w:rsidR="00C946A1" w:rsidRPr="001870FF" w:rsidRDefault="00C946A1" w:rsidP="00C946A1">
            <w:pPr>
              <w:rPr>
                <w:rFonts w:cs="Arial"/>
                <w:szCs w:val="20"/>
              </w:rPr>
            </w:pPr>
            <w:r w:rsidRPr="001870FF">
              <w:rPr>
                <w:rFonts w:cs="Arial"/>
                <w:szCs w:val="20"/>
              </w:rPr>
              <w:t>Crawlspace</w:t>
            </w:r>
          </w:p>
        </w:tc>
      </w:tr>
      <w:tr w:rsidR="00933DD7" w:rsidRPr="001870FF" w14:paraId="1A64A0E0" w14:textId="77777777" w:rsidTr="001870FF">
        <w:trPr>
          <w:jc w:val="center"/>
        </w:trPr>
        <w:tc>
          <w:tcPr>
            <w:tcW w:w="1704" w:type="dxa"/>
            <w:shd w:val="clear" w:color="auto" w:fill="auto"/>
          </w:tcPr>
          <w:p w14:paraId="598B85BA" w14:textId="77777777" w:rsidR="00C946A1" w:rsidRPr="001870FF" w:rsidRDefault="00C946A1" w:rsidP="00C946A1">
            <w:pPr>
              <w:rPr>
                <w:rFonts w:cs="Arial"/>
                <w:szCs w:val="20"/>
              </w:rPr>
            </w:pPr>
            <w:r w:rsidRPr="001870FF">
              <w:rPr>
                <w:rFonts w:cs="Arial"/>
                <w:szCs w:val="20"/>
              </w:rPr>
              <w:t>5%</w:t>
            </w:r>
          </w:p>
        </w:tc>
        <w:tc>
          <w:tcPr>
            <w:tcW w:w="1704" w:type="dxa"/>
            <w:shd w:val="clear" w:color="auto" w:fill="auto"/>
          </w:tcPr>
          <w:p w14:paraId="64ED4BD9" w14:textId="77777777" w:rsidR="00C946A1" w:rsidRPr="001870FF" w:rsidRDefault="00C946A1" w:rsidP="00C946A1">
            <w:pPr>
              <w:rPr>
                <w:rFonts w:cs="Arial"/>
                <w:szCs w:val="20"/>
              </w:rPr>
            </w:pPr>
            <w:r w:rsidRPr="001870FF">
              <w:rPr>
                <w:rFonts w:cs="Arial"/>
                <w:szCs w:val="20"/>
              </w:rPr>
              <w:t>3.6 E-6</w:t>
            </w:r>
          </w:p>
        </w:tc>
        <w:tc>
          <w:tcPr>
            <w:tcW w:w="1704" w:type="dxa"/>
            <w:shd w:val="clear" w:color="auto" w:fill="auto"/>
          </w:tcPr>
          <w:p w14:paraId="17873760" w14:textId="77777777" w:rsidR="00C946A1" w:rsidRPr="001870FF" w:rsidRDefault="00C946A1" w:rsidP="00C946A1">
            <w:pPr>
              <w:rPr>
                <w:rFonts w:cs="Arial"/>
                <w:szCs w:val="20"/>
              </w:rPr>
            </w:pPr>
            <w:r w:rsidRPr="001870FF">
              <w:rPr>
                <w:rFonts w:cs="Arial"/>
                <w:szCs w:val="20"/>
              </w:rPr>
              <w:t>7.6 E-5</w:t>
            </w:r>
          </w:p>
        </w:tc>
        <w:tc>
          <w:tcPr>
            <w:tcW w:w="1705" w:type="dxa"/>
            <w:shd w:val="clear" w:color="auto" w:fill="auto"/>
          </w:tcPr>
          <w:p w14:paraId="2A5D8685" w14:textId="77777777" w:rsidR="00C946A1" w:rsidRPr="001870FF" w:rsidRDefault="00C946A1" w:rsidP="00C946A1">
            <w:pPr>
              <w:rPr>
                <w:rFonts w:cs="Arial"/>
                <w:szCs w:val="20"/>
              </w:rPr>
            </w:pPr>
            <w:r w:rsidRPr="001870FF">
              <w:rPr>
                <w:rFonts w:cs="Arial"/>
                <w:szCs w:val="20"/>
              </w:rPr>
              <w:t>3.2 E-4</w:t>
            </w:r>
          </w:p>
        </w:tc>
        <w:tc>
          <w:tcPr>
            <w:tcW w:w="1705" w:type="dxa"/>
            <w:shd w:val="clear" w:color="auto" w:fill="auto"/>
          </w:tcPr>
          <w:p w14:paraId="2B5A45B5" w14:textId="77777777" w:rsidR="00C946A1" w:rsidRPr="001870FF" w:rsidRDefault="00C946A1" w:rsidP="00C946A1">
            <w:pPr>
              <w:rPr>
                <w:rFonts w:cs="Arial"/>
                <w:szCs w:val="20"/>
              </w:rPr>
            </w:pPr>
            <w:r w:rsidRPr="001870FF">
              <w:rPr>
                <w:rFonts w:cs="Arial"/>
                <w:szCs w:val="20"/>
              </w:rPr>
              <w:t>1.0E-1</w:t>
            </w:r>
          </w:p>
        </w:tc>
      </w:tr>
      <w:tr w:rsidR="00933DD7" w:rsidRPr="001870FF" w14:paraId="1CBB2D0E" w14:textId="77777777" w:rsidTr="001870FF">
        <w:trPr>
          <w:jc w:val="center"/>
        </w:trPr>
        <w:tc>
          <w:tcPr>
            <w:tcW w:w="1704" w:type="dxa"/>
            <w:shd w:val="clear" w:color="auto" w:fill="auto"/>
          </w:tcPr>
          <w:p w14:paraId="4CDC75CA" w14:textId="77777777" w:rsidR="00C946A1" w:rsidRPr="001870FF" w:rsidRDefault="00C946A1" w:rsidP="00C946A1">
            <w:pPr>
              <w:rPr>
                <w:rFonts w:cs="Arial"/>
                <w:szCs w:val="20"/>
              </w:rPr>
            </w:pPr>
            <w:r w:rsidRPr="001870FF">
              <w:rPr>
                <w:rFonts w:cs="Arial"/>
                <w:szCs w:val="20"/>
              </w:rPr>
              <w:t>25%</w:t>
            </w:r>
          </w:p>
        </w:tc>
        <w:tc>
          <w:tcPr>
            <w:tcW w:w="1704" w:type="dxa"/>
            <w:shd w:val="clear" w:color="auto" w:fill="auto"/>
          </w:tcPr>
          <w:p w14:paraId="0BE6F45E" w14:textId="77777777" w:rsidR="00C946A1" w:rsidRPr="001870FF" w:rsidRDefault="00C946A1" w:rsidP="00C946A1">
            <w:pPr>
              <w:rPr>
                <w:rFonts w:cs="Arial"/>
                <w:szCs w:val="20"/>
              </w:rPr>
            </w:pPr>
            <w:r w:rsidRPr="001870FF">
              <w:rPr>
                <w:rFonts w:cs="Arial"/>
                <w:szCs w:val="20"/>
              </w:rPr>
              <w:t>2.3E-5</w:t>
            </w:r>
          </w:p>
        </w:tc>
        <w:tc>
          <w:tcPr>
            <w:tcW w:w="1704" w:type="dxa"/>
            <w:shd w:val="clear" w:color="auto" w:fill="auto"/>
          </w:tcPr>
          <w:p w14:paraId="2AA9F061" w14:textId="77777777" w:rsidR="00C946A1" w:rsidRPr="001870FF" w:rsidRDefault="00C946A1" w:rsidP="00C946A1">
            <w:pPr>
              <w:rPr>
                <w:rFonts w:cs="Arial"/>
                <w:szCs w:val="20"/>
              </w:rPr>
            </w:pPr>
            <w:r w:rsidRPr="001870FF">
              <w:rPr>
                <w:rFonts w:cs="Arial"/>
                <w:szCs w:val="20"/>
              </w:rPr>
              <w:t>6.0 E-4</w:t>
            </w:r>
          </w:p>
        </w:tc>
        <w:tc>
          <w:tcPr>
            <w:tcW w:w="1705" w:type="dxa"/>
            <w:shd w:val="clear" w:color="auto" w:fill="auto"/>
          </w:tcPr>
          <w:p w14:paraId="5D73EBB1" w14:textId="77777777" w:rsidR="00C946A1" w:rsidRPr="001870FF" w:rsidRDefault="00C946A1" w:rsidP="00C946A1">
            <w:pPr>
              <w:rPr>
                <w:rFonts w:cs="Arial"/>
                <w:szCs w:val="20"/>
              </w:rPr>
            </w:pPr>
            <w:r w:rsidRPr="001870FF">
              <w:rPr>
                <w:rFonts w:cs="Arial"/>
                <w:szCs w:val="20"/>
              </w:rPr>
              <w:t>1.5 E-3</w:t>
            </w:r>
          </w:p>
        </w:tc>
        <w:tc>
          <w:tcPr>
            <w:tcW w:w="1705" w:type="dxa"/>
            <w:shd w:val="clear" w:color="auto" w:fill="auto"/>
          </w:tcPr>
          <w:p w14:paraId="3C64B98B" w14:textId="77777777" w:rsidR="00C946A1" w:rsidRPr="001870FF" w:rsidRDefault="00C946A1" w:rsidP="00C946A1">
            <w:pPr>
              <w:rPr>
                <w:rFonts w:cs="Arial"/>
                <w:szCs w:val="20"/>
              </w:rPr>
            </w:pPr>
            <w:r w:rsidRPr="001870FF">
              <w:rPr>
                <w:rFonts w:cs="Arial"/>
                <w:szCs w:val="20"/>
              </w:rPr>
              <w:t>2.2E-1</w:t>
            </w:r>
          </w:p>
        </w:tc>
      </w:tr>
      <w:tr w:rsidR="00933DD7" w:rsidRPr="001870FF" w14:paraId="68E0A479" w14:textId="77777777" w:rsidTr="001870FF">
        <w:trPr>
          <w:jc w:val="center"/>
        </w:trPr>
        <w:tc>
          <w:tcPr>
            <w:tcW w:w="1704" w:type="dxa"/>
            <w:shd w:val="clear" w:color="auto" w:fill="auto"/>
          </w:tcPr>
          <w:p w14:paraId="3A174C5D" w14:textId="77777777" w:rsidR="00C946A1" w:rsidRPr="001870FF" w:rsidRDefault="00C946A1" w:rsidP="00C946A1">
            <w:pPr>
              <w:rPr>
                <w:rFonts w:cs="Arial"/>
                <w:szCs w:val="20"/>
              </w:rPr>
            </w:pPr>
            <w:r w:rsidRPr="001870FF">
              <w:rPr>
                <w:rFonts w:cs="Arial"/>
                <w:szCs w:val="20"/>
              </w:rPr>
              <w:t>50%</w:t>
            </w:r>
          </w:p>
        </w:tc>
        <w:tc>
          <w:tcPr>
            <w:tcW w:w="1704" w:type="dxa"/>
            <w:shd w:val="clear" w:color="auto" w:fill="auto"/>
          </w:tcPr>
          <w:p w14:paraId="1117DB32" w14:textId="77777777" w:rsidR="00C946A1" w:rsidRPr="001870FF" w:rsidRDefault="00C946A1" w:rsidP="00C946A1">
            <w:pPr>
              <w:rPr>
                <w:rFonts w:cs="Arial"/>
                <w:szCs w:val="20"/>
              </w:rPr>
            </w:pPr>
            <w:r w:rsidRPr="001870FF">
              <w:rPr>
                <w:rFonts w:cs="Arial"/>
                <w:szCs w:val="20"/>
              </w:rPr>
              <w:t>7.4 E-5</w:t>
            </w:r>
          </w:p>
        </w:tc>
        <w:tc>
          <w:tcPr>
            <w:tcW w:w="1704" w:type="dxa"/>
            <w:shd w:val="clear" w:color="auto" w:fill="auto"/>
          </w:tcPr>
          <w:p w14:paraId="395C5875" w14:textId="77777777" w:rsidR="00C946A1" w:rsidRPr="001870FF" w:rsidRDefault="00C946A1" w:rsidP="00C946A1">
            <w:pPr>
              <w:rPr>
                <w:rFonts w:cs="Arial"/>
                <w:szCs w:val="20"/>
              </w:rPr>
            </w:pPr>
            <w:r w:rsidRPr="001870FF">
              <w:rPr>
                <w:rFonts w:cs="Arial"/>
                <w:szCs w:val="20"/>
              </w:rPr>
              <w:t>3.8 E-3</w:t>
            </w:r>
          </w:p>
        </w:tc>
        <w:tc>
          <w:tcPr>
            <w:tcW w:w="1705" w:type="dxa"/>
            <w:shd w:val="clear" w:color="auto" w:fill="auto"/>
          </w:tcPr>
          <w:p w14:paraId="69809EFF" w14:textId="77777777" w:rsidR="00C946A1" w:rsidRPr="001870FF" w:rsidRDefault="00C946A1" w:rsidP="00C946A1">
            <w:pPr>
              <w:rPr>
                <w:rFonts w:cs="Arial"/>
                <w:szCs w:val="20"/>
              </w:rPr>
            </w:pPr>
            <w:r w:rsidRPr="001870FF">
              <w:rPr>
                <w:rFonts w:cs="Arial"/>
                <w:szCs w:val="20"/>
              </w:rPr>
              <w:t>2.7 E-3</w:t>
            </w:r>
          </w:p>
        </w:tc>
        <w:tc>
          <w:tcPr>
            <w:tcW w:w="1705" w:type="dxa"/>
            <w:shd w:val="clear" w:color="auto" w:fill="auto"/>
          </w:tcPr>
          <w:p w14:paraId="12F6FA2C" w14:textId="77777777" w:rsidR="00C946A1" w:rsidRPr="001870FF" w:rsidRDefault="00C946A1" w:rsidP="00C946A1">
            <w:pPr>
              <w:rPr>
                <w:rFonts w:cs="Arial"/>
                <w:szCs w:val="20"/>
              </w:rPr>
            </w:pPr>
            <w:r w:rsidRPr="001870FF">
              <w:rPr>
                <w:rFonts w:cs="Arial"/>
                <w:szCs w:val="20"/>
              </w:rPr>
              <w:t>3.9E-1</w:t>
            </w:r>
          </w:p>
        </w:tc>
      </w:tr>
      <w:tr w:rsidR="00933DD7" w:rsidRPr="001870FF" w14:paraId="144432F6" w14:textId="77777777" w:rsidTr="001870FF">
        <w:trPr>
          <w:jc w:val="center"/>
        </w:trPr>
        <w:tc>
          <w:tcPr>
            <w:tcW w:w="1704" w:type="dxa"/>
            <w:shd w:val="clear" w:color="auto" w:fill="auto"/>
          </w:tcPr>
          <w:p w14:paraId="78DD41F2" w14:textId="77777777" w:rsidR="00C946A1" w:rsidRPr="001870FF" w:rsidRDefault="00C946A1" w:rsidP="00C946A1">
            <w:pPr>
              <w:rPr>
                <w:rFonts w:cs="Arial"/>
                <w:szCs w:val="20"/>
              </w:rPr>
            </w:pPr>
            <w:r w:rsidRPr="001870FF">
              <w:rPr>
                <w:rFonts w:cs="Arial"/>
                <w:szCs w:val="20"/>
              </w:rPr>
              <w:t>75%</w:t>
            </w:r>
          </w:p>
        </w:tc>
        <w:tc>
          <w:tcPr>
            <w:tcW w:w="1704" w:type="dxa"/>
            <w:shd w:val="clear" w:color="auto" w:fill="auto"/>
          </w:tcPr>
          <w:p w14:paraId="3BD16B06" w14:textId="77777777" w:rsidR="00C946A1" w:rsidRPr="001870FF" w:rsidRDefault="00C946A1" w:rsidP="00C946A1">
            <w:pPr>
              <w:rPr>
                <w:rFonts w:cs="Arial"/>
                <w:szCs w:val="20"/>
              </w:rPr>
            </w:pPr>
            <w:r w:rsidRPr="001870FF">
              <w:rPr>
                <w:rFonts w:cs="Arial"/>
                <w:szCs w:val="20"/>
              </w:rPr>
              <w:t>2.0 E -4</w:t>
            </w:r>
          </w:p>
        </w:tc>
        <w:tc>
          <w:tcPr>
            <w:tcW w:w="1704" w:type="dxa"/>
            <w:shd w:val="clear" w:color="auto" w:fill="auto"/>
          </w:tcPr>
          <w:p w14:paraId="7767A6FC" w14:textId="77777777" w:rsidR="00C946A1" w:rsidRPr="001870FF" w:rsidRDefault="00C946A1" w:rsidP="00C946A1">
            <w:pPr>
              <w:rPr>
                <w:rFonts w:cs="Arial"/>
                <w:szCs w:val="20"/>
              </w:rPr>
            </w:pPr>
            <w:r w:rsidRPr="001870FF">
              <w:rPr>
                <w:rFonts w:cs="Arial"/>
                <w:szCs w:val="20"/>
              </w:rPr>
              <w:t>2.7 E-2</w:t>
            </w:r>
          </w:p>
        </w:tc>
        <w:tc>
          <w:tcPr>
            <w:tcW w:w="1705" w:type="dxa"/>
            <w:shd w:val="clear" w:color="auto" w:fill="auto"/>
          </w:tcPr>
          <w:p w14:paraId="6839204F" w14:textId="77777777" w:rsidR="00C946A1" w:rsidRPr="001870FF" w:rsidRDefault="00C946A1" w:rsidP="00C946A1">
            <w:pPr>
              <w:rPr>
                <w:rFonts w:cs="Arial"/>
                <w:szCs w:val="20"/>
              </w:rPr>
            </w:pPr>
            <w:r w:rsidRPr="001870FF">
              <w:rPr>
                <w:rFonts w:cs="Arial"/>
                <w:szCs w:val="20"/>
              </w:rPr>
              <w:t>6.8 E-3</w:t>
            </w:r>
          </w:p>
        </w:tc>
        <w:tc>
          <w:tcPr>
            <w:tcW w:w="1705" w:type="dxa"/>
            <w:shd w:val="clear" w:color="auto" w:fill="auto"/>
          </w:tcPr>
          <w:p w14:paraId="50F2B0ED" w14:textId="77777777" w:rsidR="00C946A1" w:rsidRPr="001870FF" w:rsidRDefault="00C946A1" w:rsidP="00C946A1">
            <w:pPr>
              <w:rPr>
                <w:rFonts w:cs="Arial"/>
                <w:szCs w:val="20"/>
              </w:rPr>
            </w:pPr>
            <w:r w:rsidRPr="001870FF">
              <w:rPr>
                <w:rFonts w:cs="Arial"/>
                <w:szCs w:val="20"/>
              </w:rPr>
              <w:t>6.9E-1</w:t>
            </w:r>
          </w:p>
        </w:tc>
      </w:tr>
      <w:tr w:rsidR="00933DD7" w:rsidRPr="001870FF" w14:paraId="244601F2" w14:textId="77777777" w:rsidTr="001870FF">
        <w:trPr>
          <w:jc w:val="center"/>
        </w:trPr>
        <w:tc>
          <w:tcPr>
            <w:tcW w:w="1704" w:type="dxa"/>
            <w:shd w:val="clear" w:color="auto" w:fill="auto"/>
          </w:tcPr>
          <w:p w14:paraId="7C14BD82" w14:textId="77777777" w:rsidR="00C946A1" w:rsidRPr="001870FF" w:rsidRDefault="00C946A1" w:rsidP="00C946A1">
            <w:pPr>
              <w:rPr>
                <w:rFonts w:cs="Arial"/>
                <w:szCs w:val="20"/>
              </w:rPr>
            </w:pPr>
            <w:r w:rsidRPr="001870FF">
              <w:rPr>
                <w:rFonts w:cs="Arial"/>
                <w:szCs w:val="20"/>
              </w:rPr>
              <w:t>95%</w:t>
            </w:r>
          </w:p>
        </w:tc>
        <w:tc>
          <w:tcPr>
            <w:tcW w:w="1704" w:type="dxa"/>
            <w:shd w:val="clear" w:color="auto" w:fill="auto"/>
          </w:tcPr>
          <w:p w14:paraId="6B2A9136" w14:textId="77777777" w:rsidR="00C946A1" w:rsidRPr="001870FF" w:rsidRDefault="00C946A1" w:rsidP="00C946A1">
            <w:pPr>
              <w:rPr>
                <w:rFonts w:cs="Arial"/>
                <w:szCs w:val="20"/>
              </w:rPr>
            </w:pPr>
            <w:r w:rsidRPr="001870FF">
              <w:rPr>
                <w:rFonts w:cs="Arial"/>
                <w:szCs w:val="20"/>
              </w:rPr>
              <w:t>1.2 E-3</w:t>
            </w:r>
          </w:p>
        </w:tc>
        <w:tc>
          <w:tcPr>
            <w:tcW w:w="1704" w:type="dxa"/>
            <w:shd w:val="clear" w:color="auto" w:fill="auto"/>
          </w:tcPr>
          <w:p w14:paraId="6CF980F3" w14:textId="77777777" w:rsidR="00C946A1" w:rsidRPr="001870FF" w:rsidRDefault="00C946A1" w:rsidP="00C946A1">
            <w:pPr>
              <w:rPr>
                <w:rFonts w:cs="Arial"/>
                <w:szCs w:val="20"/>
              </w:rPr>
            </w:pPr>
            <w:r w:rsidRPr="001870FF">
              <w:rPr>
                <w:rFonts w:cs="Arial"/>
                <w:szCs w:val="20"/>
              </w:rPr>
              <w:t>2.5 E-1</w:t>
            </w:r>
          </w:p>
        </w:tc>
        <w:tc>
          <w:tcPr>
            <w:tcW w:w="1705" w:type="dxa"/>
            <w:shd w:val="clear" w:color="auto" w:fill="auto"/>
          </w:tcPr>
          <w:p w14:paraId="3704EF06" w14:textId="77777777" w:rsidR="00C946A1" w:rsidRPr="001870FF" w:rsidRDefault="00C946A1" w:rsidP="00C946A1">
            <w:pPr>
              <w:rPr>
                <w:rFonts w:cs="Arial"/>
                <w:szCs w:val="20"/>
              </w:rPr>
            </w:pPr>
            <w:r w:rsidRPr="001870FF">
              <w:rPr>
                <w:rFonts w:cs="Arial"/>
                <w:szCs w:val="20"/>
              </w:rPr>
              <w:t>2.6 E-2</w:t>
            </w:r>
          </w:p>
        </w:tc>
        <w:tc>
          <w:tcPr>
            <w:tcW w:w="1705" w:type="dxa"/>
            <w:shd w:val="clear" w:color="auto" w:fill="auto"/>
          </w:tcPr>
          <w:p w14:paraId="4A2CD3F5" w14:textId="77777777" w:rsidR="00C946A1" w:rsidRPr="001870FF" w:rsidRDefault="00C946A1" w:rsidP="00C946A1">
            <w:pPr>
              <w:rPr>
                <w:rFonts w:cs="Arial"/>
                <w:szCs w:val="20"/>
              </w:rPr>
            </w:pPr>
            <w:r w:rsidRPr="001870FF">
              <w:rPr>
                <w:rFonts w:cs="Arial"/>
                <w:szCs w:val="20"/>
              </w:rPr>
              <w:t>9.0E-1</w:t>
            </w:r>
          </w:p>
        </w:tc>
      </w:tr>
      <w:tr w:rsidR="00933DD7" w:rsidRPr="001870FF" w14:paraId="3198DAE2" w14:textId="77777777" w:rsidTr="001870FF">
        <w:trPr>
          <w:jc w:val="center"/>
        </w:trPr>
        <w:tc>
          <w:tcPr>
            <w:tcW w:w="1704" w:type="dxa"/>
            <w:shd w:val="clear" w:color="auto" w:fill="auto"/>
          </w:tcPr>
          <w:p w14:paraId="48E8CA6A" w14:textId="77777777" w:rsidR="00C946A1" w:rsidRPr="001870FF" w:rsidRDefault="00C946A1" w:rsidP="00C946A1">
            <w:pPr>
              <w:rPr>
                <w:rFonts w:cs="Arial"/>
                <w:szCs w:val="20"/>
              </w:rPr>
            </w:pPr>
            <w:r w:rsidRPr="001870FF">
              <w:rPr>
                <w:rFonts w:cs="Arial"/>
                <w:szCs w:val="20"/>
              </w:rPr>
              <w:t>Range 90% confidence interval</w:t>
            </w:r>
          </w:p>
        </w:tc>
        <w:tc>
          <w:tcPr>
            <w:tcW w:w="1704" w:type="dxa"/>
            <w:shd w:val="clear" w:color="auto" w:fill="auto"/>
          </w:tcPr>
          <w:p w14:paraId="58573FDA" w14:textId="77777777" w:rsidR="00C946A1" w:rsidRPr="001870FF" w:rsidRDefault="00C946A1" w:rsidP="00C946A1">
            <w:pPr>
              <w:rPr>
                <w:rFonts w:cs="Arial"/>
                <w:szCs w:val="20"/>
              </w:rPr>
            </w:pPr>
            <w:r w:rsidRPr="001870FF">
              <w:rPr>
                <w:rFonts w:cs="Arial"/>
                <w:szCs w:val="20"/>
              </w:rPr>
              <w:t>330</w:t>
            </w:r>
          </w:p>
        </w:tc>
        <w:tc>
          <w:tcPr>
            <w:tcW w:w="1704" w:type="dxa"/>
            <w:shd w:val="clear" w:color="auto" w:fill="auto"/>
          </w:tcPr>
          <w:p w14:paraId="5B43B7FE" w14:textId="77777777" w:rsidR="00C946A1" w:rsidRPr="001870FF" w:rsidRDefault="00C946A1" w:rsidP="00C946A1">
            <w:pPr>
              <w:rPr>
                <w:rFonts w:cs="Arial"/>
                <w:szCs w:val="20"/>
              </w:rPr>
            </w:pPr>
            <w:r w:rsidRPr="001870FF">
              <w:rPr>
                <w:rFonts w:cs="Arial"/>
                <w:szCs w:val="20"/>
              </w:rPr>
              <w:t>3300</w:t>
            </w:r>
          </w:p>
        </w:tc>
        <w:tc>
          <w:tcPr>
            <w:tcW w:w="1705" w:type="dxa"/>
            <w:shd w:val="clear" w:color="auto" w:fill="auto"/>
          </w:tcPr>
          <w:p w14:paraId="0F8EA849" w14:textId="77777777" w:rsidR="00C946A1" w:rsidRPr="001870FF" w:rsidRDefault="00C946A1" w:rsidP="00C946A1">
            <w:pPr>
              <w:rPr>
                <w:rFonts w:cs="Arial"/>
                <w:szCs w:val="20"/>
              </w:rPr>
            </w:pPr>
            <w:r w:rsidRPr="001870FF">
              <w:rPr>
                <w:rFonts w:cs="Arial"/>
                <w:szCs w:val="20"/>
              </w:rPr>
              <w:t>80</w:t>
            </w:r>
          </w:p>
        </w:tc>
        <w:tc>
          <w:tcPr>
            <w:tcW w:w="1705" w:type="dxa"/>
            <w:shd w:val="clear" w:color="auto" w:fill="auto"/>
          </w:tcPr>
          <w:p w14:paraId="2B2B7304" w14:textId="77777777" w:rsidR="00C946A1" w:rsidRPr="001870FF" w:rsidRDefault="00C946A1" w:rsidP="00C946A1">
            <w:pPr>
              <w:rPr>
                <w:rFonts w:cs="Arial"/>
                <w:szCs w:val="20"/>
              </w:rPr>
            </w:pPr>
            <w:r w:rsidRPr="001870FF">
              <w:rPr>
                <w:rFonts w:cs="Arial"/>
                <w:szCs w:val="20"/>
              </w:rPr>
              <w:t>9</w:t>
            </w:r>
          </w:p>
        </w:tc>
      </w:tr>
    </w:tbl>
    <w:p w14:paraId="7196D064" w14:textId="77777777" w:rsidR="00C946A1" w:rsidRPr="00C946A1" w:rsidRDefault="00C946A1" w:rsidP="00C946A1">
      <w:pPr>
        <w:rPr>
          <w:rFonts w:cs="Arial"/>
          <w:szCs w:val="20"/>
        </w:rPr>
      </w:pPr>
    </w:p>
    <w:p w14:paraId="2B36C6F1" w14:textId="77777777" w:rsidR="00C946A1" w:rsidRPr="00C946A1" w:rsidRDefault="00C946A1" w:rsidP="00C946A1">
      <w:pPr>
        <w:rPr>
          <w:rFonts w:cs="Arial"/>
          <w:szCs w:val="20"/>
        </w:rPr>
      </w:pPr>
      <w:r w:rsidRPr="00C946A1">
        <w:rPr>
          <w:rFonts w:cs="Arial"/>
          <w:szCs w:val="20"/>
          <w:vertAlign w:val="superscript"/>
        </w:rPr>
        <w:t>a</w:t>
      </w:r>
      <w:r w:rsidRPr="00C946A1">
        <w:rPr>
          <w:rFonts w:cs="Arial"/>
          <w:szCs w:val="20"/>
        </w:rPr>
        <w:t xml:space="preserve"> 95</w:t>
      </w:r>
      <w:r w:rsidRPr="00C946A1">
        <w:rPr>
          <w:rFonts w:cs="Arial"/>
          <w:szCs w:val="20"/>
          <w:vertAlign w:val="superscript"/>
        </w:rPr>
        <w:t>th</w:t>
      </w:r>
      <w:r w:rsidRPr="00C946A1">
        <w:rPr>
          <w:rFonts w:cs="Arial"/>
          <w:szCs w:val="20"/>
        </w:rPr>
        <w:t>% Schedule B7 NEPM ASC Variation 2013</w:t>
      </w:r>
      <w:r w:rsidR="004F7742">
        <w:rPr>
          <w:rFonts w:cs="Arial"/>
          <w:szCs w:val="20"/>
        </w:rPr>
        <w:t xml:space="preserve"> (NEPM 1999</w:t>
      </w:r>
      <w:r w:rsidR="00933DD7">
        <w:rPr>
          <w:rFonts w:cs="Arial"/>
          <w:szCs w:val="20"/>
        </w:rPr>
        <w:t>)</w:t>
      </w:r>
    </w:p>
    <w:p w14:paraId="38621CFA" w14:textId="77777777" w:rsidR="00C946A1" w:rsidRPr="00C946A1" w:rsidRDefault="00C946A1" w:rsidP="00C946A1">
      <w:pPr>
        <w:rPr>
          <w:rFonts w:cs="Arial"/>
          <w:szCs w:val="20"/>
        </w:rPr>
      </w:pPr>
      <w:r w:rsidRPr="00C946A1">
        <w:rPr>
          <w:rFonts w:cs="Arial"/>
          <w:szCs w:val="20"/>
          <w:vertAlign w:val="superscript"/>
        </w:rPr>
        <w:t>b</w:t>
      </w:r>
      <w:r w:rsidRPr="00C946A1">
        <w:rPr>
          <w:rFonts w:cs="Arial"/>
          <w:szCs w:val="20"/>
        </w:rPr>
        <w:t xml:space="preserve"> between 75</w:t>
      </w:r>
      <w:r w:rsidRPr="00C946A1">
        <w:rPr>
          <w:rFonts w:cs="Arial"/>
          <w:szCs w:val="20"/>
          <w:vertAlign w:val="superscript"/>
        </w:rPr>
        <w:t>th</w:t>
      </w:r>
      <w:r w:rsidRPr="00C946A1">
        <w:rPr>
          <w:rFonts w:cs="Arial"/>
          <w:szCs w:val="20"/>
        </w:rPr>
        <w:t xml:space="preserve"> and 95</w:t>
      </w:r>
      <w:r w:rsidRPr="00C946A1">
        <w:rPr>
          <w:rFonts w:cs="Arial"/>
          <w:szCs w:val="20"/>
          <w:vertAlign w:val="superscript"/>
        </w:rPr>
        <w:t>th</w:t>
      </w:r>
      <w:r w:rsidRPr="00C946A1">
        <w:rPr>
          <w:rFonts w:cs="Arial"/>
          <w:szCs w:val="20"/>
        </w:rPr>
        <w:t>% US EPA</w:t>
      </w:r>
      <w:r w:rsidR="00405F1B">
        <w:rPr>
          <w:rFonts w:cs="Arial"/>
          <w:szCs w:val="20"/>
        </w:rPr>
        <w:t>’s</w:t>
      </w:r>
      <w:r w:rsidRPr="00C946A1">
        <w:rPr>
          <w:rFonts w:cs="Arial"/>
          <w:szCs w:val="20"/>
        </w:rPr>
        <w:t xml:space="preserve"> Vap</w:t>
      </w:r>
      <w:r w:rsidR="00405F1B">
        <w:rPr>
          <w:rFonts w:cs="Arial"/>
          <w:szCs w:val="20"/>
        </w:rPr>
        <w:t>or Intrusion Database (US EPA 2012)</w:t>
      </w:r>
    </w:p>
    <w:p w14:paraId="16ADFD5B" w14:textId="77777777" w:rsidR="00C946A1" w:rsidRPr="00C946A1" w:rsidRDefault="00C946A1" w:rsidP="00C946A1">
      <w:pPr>
        <w:rPr>
          <w:rFonts w:cs="Arial"/>
          <w:szCs w:val="20"/>
        </w:rPr>
      </w:pPr>
      <w:r w:rsidRPr="00C946A1">
        <w:rPr>
          <w:rFonts w:cs="Arial"/>
          <w:szCs w:val="20"/>
          <w:vertAlign w:val="superscript"/>
        </w:rPr>
        <w:t>c</w:t>
      </w:r>
      <w:r w:rsidRPr="00C946A1">
        <w:rPr>
          <w:rFonts w:cs="Arial"/>
          <w:szCs w:val="20"/>
        </w:rPr>
        <w:t xml:space="preserve"> 95</w:t>
      </w:r>
      <w:r w:rsidRPr="00C946A1">
        <w:rPr>
          <w:rFonts w:cs="Arial"/>
          <w:szCs w:val="20"/>
          <w:vertAlign w:val="superscript"/>
        </w:rPr>
        <w:t>th</w:t>
      </w:r>
      <w:r w:rsidRPr="00C946A1">
        <w:rPr>
          <w:rFonts w:cs="Arial"/>
          <w:szCs w:val="20"/>
        </w:rPr>
        <w:t xml:space="preserve">% US </w:t>
      </w:r>
      <w:r w:rsidR="00405F1B">
        <w:rPr>
          <w:rFonts w:cs="Arial"/>
          <w:szCs w:val="20"/>
        </w:rPr>
        <w:t xml:space="preserve">EPA’s </w:t>
      </w:r>
      <w:r w:rsidRPr="00C946A1">
        <w:rPr>
          <w:rFonts w:cs="Arial"/>
          <w:szCs w:val="20"/>
        </w:rPr>
        <w:t>Vap</w:t>
      </w:r>
      <w:r w:rsidR="00405F1B">
        <w:rPr>
          <w:rFonts w:cs="Arial"/>
          <w:szCs w:val="20"/>
        </w:rPr>
        <w:t>or Intrusion Database (US EPA 2012)</w:t>
      </w:r>
    </w:p>
    <w:p w14:paraId="1ECC2B0C" w14:textId="77777777" w:rsidR="00C946A1" w:rsidRPr="00C946A1" w:rsidRDefault="00C946A1" w:rsidP="00C946A1">
      <w:pPr>
        <w:rPr>
          <w:rFonts w:cs="Arial"/>
          <w:szCs w:val="20"/>
        </w:rPr>
      </w:pPr>
      <w:r w:rsidRPr="00C946A1">
        <w:rPr>
          <w:rFonts w:cs="Arial"/>
          <w:szCs w:val="20"/>
          <w:vertAlign w:val="superscript"/>
        </w:rPr>
        <w:t>d</w:t>
      </w:r>
      <w:r w:rsidRPr="00C946A1">
        <w:rPr>
          <w:rFonts w:cs="Arial"/>
          <w:szCs w:val="20"/>
        </w:rPr>
        <w:t xml:space="preserve"> Chapter 6 US </w:t>
      </w:r>
      <w:r w:rsidR="00405F1B">
        <w:rPr>
          <w:rFonts w:cs="Arial"/>
          <w:szCs w:val="20"/>
        </w:rPr>
        <w:t xml:space="preserve">EPA’s </w:t>
      </w:r>
      <w:r w:rsidRPr="00C946A1">
        <w:rPr>
          <w:rFonts w:cs="Arial"/>
          <w:szCs w:val="20"/>
        </w:rPr>
        <w:t>Vap</w:t>
      </w:r>
      <w:r w:rsidR="00405F1B">
        <w:rPr>
          <w:rFonts w:cs="Arial"/>
          <w:szCs w:val="20"/>
        </w:rPr>
        <w:t>or Intrusion Database (US EPA 2012)</w:t>
      </w:r>
    </w:p>
    <w:p w14:paraId="6B965421" w14:textId="77777777" w:rsidR="00C946A1" w:rsidRPr="00C946A1" w:rsidRDefault="00C946A1" w:rsidP="00C946A1">
      <w:pPr>
        <w:rPr>
          <w:rFonts w:cs="Arial"/>
          <w:szCs w:val="20"/>
        </w:rPr>
      </w:pPr>
      <w:r w:rsidRPr="00C946A1">
        <w:rPr>
          <w:rFonts w:cs="Arial"/>
          <w:szCs w:val="20"/>
          <w:vertAlign w:val="superscript"/>
        </w:rPr>
        <w:t>e</w:t>
      </w:r>
      <w:r w:rsidRPr="00C946A1">
        <w:rPr>
          <w:rFonts w:cs="Arial"/>
          <w:szCs w:val="20"/>
        </w:rPr>
        <w:t xml:space="preserve"> Chronic inhalation reference concentration for trichloroethene – US EPA Toxicological Review of </w:t>
      </w:r>
      <w:r w:rsidR="00405F1B">
        <w:rPr>
          <w:rFonts w:cs="Arial"/>
          <w:szCs w:val="20"/>
        </w:rPr>
        <w:t>Trichloroethylene (US EPA 2011)</w:t>
      </w:r>
    </w:p>
    <w:p w14:paraId="4209C743" w14:textId="77777777" w:rsidR="00D21089" w:rsidRPr="00405F1B" w:rsidRDefault="00C946A1" w:rsidP="00D21089">
      <w:pPr>
        <w:rPr>
          <w:rFonts w:cs="Arial"/>
          <w:szCs w:val="20"/>
        </w:rPr>
        <w:sectPr w:rsidR="00D21089" w:rsidRPr="00405F1B" w:rsidSect="00F046A5">
          <w:pgSz w:w="11906" w:h="16838"/>
          <w:pgMar w:top="1440" w:right="1440" w:bottom="1440" w:left="1440" w:header="708" w:footer="708" w:gutter="0"/>
          <w:cols w:space="708"/>
          <w:docGrid w:linePitch="360"/>
        </w:sectPr>
      </w:pPr>
      <w:r w:rsidRPr="00C946A1">
        <w:rPr>
          <w:rFonts w:cs="Arial"/>
          <w:szCs w:val="20"/>
          <w:vertAlign w:val="superscript"/>
        </w:rPr>
        <w:t>f</w:t>
      </w:r>
      <w:r w:rsidRPr="00C946A1">
        <w:rPr>
          <w:rFonts w:cs="Arial"/>
          <w:szCs w:val="20"/>
        </w:rPr>
        <w:t xml:space="preserve"> Indoor air TCE investigation </w:t>
      </w:r>
      <w:r w:rsidR="00357D6B">
        <w:rPr>
          <w:rFonts w:cs="Arial"/>
          <w:szCs w:val="20"/>
        </w:rPr>
        <w:t xml:space="preserve">range adopted by SA EPA for the </w:t>
      </w:r>
      <w:r w:rsidRPr="00C946A1">
        <w:rPr>
          <w:rFonts w:cs="Arial"/>
          <w:szCs w:val="20"/>
        </w:rPr>
        <w:t>Clovelly Park assessmen</w:t>
      </w:r>
      <w:r w:rsidR="00357D6B">
        <w:rPr>
          <w:rFonts w:cs="Arial"/>
          <w:szCs w:val="20"/>
        </w:rPr>
        <w:t>t (SA EPA 2014</w:t>
      </w:r>
      <w:r w:rsidR="00405F1B">
        <w:rPr>
          <w:rFonts w:cs="Arial"/>
          <w:szCs w:val="20"/>
        </w:rPr>
        <w:t>)</w:t>
      </w:r>
    </w:p>
    <w:p w14:paraId="071E4E01" w14:textId="77777777" w:rsidR="00AB6EB7" w:rsidRDefault="00973D8F" w:rsidP="00973D8F">
      <w:pPr>
        <w:pStyle w:val="Heading3"/>
      </w:pPr>
      <w:bookmarkStart w:id="23" w:name="_Toc153277262"/>
      <w:r>
        <w:lastRenderedPageBreak/>
        <w:t>References</w:t>
      </w:r>
      <w:bookmarkEnd w:id="23"/>
    </w:p>
    <w:p w14:paraId="3295ED75" w14:textId="77777777" w:rsidR="00062D06" w:rsidRDefault="00973D8F" w:rsidP="00973D8F">
      <w:pPr>
        <w:spacing w:before="240" w:line="240" w:lineRule="auto"/>
      </w:pPr>
      <w:r>
        <w:t xml:space="preserve">ATSDR (2016). “Evaluating Vapor Intrusion Pathways. Guidance for ATSDR’s Division of Community Health Investigations.” </w:t>
      </w:r>
      <w:hyperlink r:id="rId20" w:history="1">
        <w:r w:rsidRPr="00BE37A9">
          <w:rPr>
            <w:rStyle w:val="Hyperlink"/>
            <w:sz w:val="20"/>
          </w:rPr>
          <w:t>https://www.atsdr.cdc.gov/docs/svi_guidance_508.pdf</w:t>
        </w:r>
      </w:hyperlink>
    </w:p>
    <w:p w14:paraId="27A047AA" w14:textId="77777777" w:rsidR="00933DD7" w:rsidRDefault="00933DD7" w:rsidP="00973D8F">
      <w:pPr>
        <w:spacing w:before="240" w:line="240" w:lineRule="auto"/>
      </w:pPr>
      <w:r>
        <w:t>Delaere, I., Evans, R., Babina, K. (2012). “Report on the Site Contamination Investigations Conducted by the Department for Health and Ageing in Clovelly Park, South Australia (2008 – 2011). eA768188</w:t>
      </w:r>
    </w:p>
    <w:p w14:paraId="7B0F43DC" w14:textId="21BD50FE" w:rsidR="00916558" w:rsidRDefault="00916558" w:rsidP="00973D8F">
      <w:pPr>
        <w:spacing w:before="240" w:line="240" w:lineRule="auto"/>
      </w:pPr>
      <w:r>
        <w:t>enHealth (2012). “Environmental Health Risk Assessment: Guidelines for assessing risk from environmental hazards.”</w:t>
      </w:r>
      <w:r w:rsidRPr="00916558">
        <w:t xml:space="preserve"> </w:t>
      </w:r>
      <w:hyperlink r:id="rId21" w:history="1">
        <w:r w:rsidRPr="001564B0">
          <w:rPr>
            <w:rStyle w:val="Hyperlink"/>
            <w:sz w:val="20"/>
          </w:rPr>
          <w:t>https://www.health.gov.au/sites/default/files/documents/2022/07/enhealth-guidance-guidelines-for-assessing-human-health-risks-from-environmental-hazards.pdf</w:t>
        </w:r>
      </w:hyperlink>
    </w:p>
    <w:p w14:paraId="017B13AE" w14:textId="084C8822" w:rsidR="00D34C4E" w:rsidRDefault="004F7742" w:rsidP="00973D8F">
      <w:pPr>
        <w:spacing w:before="240" w:line="240" w:lineRule="auto"/>
      </w:pPr>
      <w:r>
        <w:t>NEPM (1999</w:t>
      </w:r>
      <w:r w:rsidR="00933DD7">
        <w:t xml:space="preserve">). “National Environment Protection </w:t>
      </w:r>
      <w:r>
        <w:t xml:space="preserve">(Assessment of Site Contamination) </w:t>
      </w:r>
      <w:r w:rsidR="00933DD7">
        <w:t>Measure, Variation 2013”.</w:t>
      </w:r>
      <w:r>
        <w:t xml:space="preserve"> </w:t>
      </w:r>
      <w:hyperlink r:id="rId22" w:history="1">
        <w:r w:rsidRPr="00BE37A9">
          <w:rPr>
            <w:rStyle w:val="Hyperlink"/>
            <w:sz w:val="20"/>
          </w:rPr>
          <w:t>https://www.legislation.gov.au/Details/F2013C00288</w:t>
        </w:r>
      </w:hyperlink>
    </w:p>
    <w:p w14:paraId="5BAB43A9" w14:textId="77777777" w:rsidR="00357D6B" w:rsidRDefault="00357D6B" w:rsidP="00933DD7">
      <w:pPr>
        <w:spacing w:before="240" w:line="240" w:lineRule="auto"/>
      </w:pPr>
      <w:r>
        <w:t xml:space="preserve">SA EPA (2014). “Clovelly Park Mitchell Park Environmental Management Project. Report summary: Clovelly Park Mitchell Park Environmental Assessment.” </w:t>
      </w:r>
      <w:hyperlink r:id="rId23" w:history="1">
        <w:r w:rsidRPr="00BE37A9">
          <w:rPr>
            <w:rStyle w:val="Hyperlink"/>
            <w:sz w:val="20"/>
          </w:rPr>
          <w:t>https://www.epa.sa.gov.au/files/10972_cpmp_summary_rpt.pdf</w:t>
        </w:r>
      </w:hyperlink>
    </w:p>
    <w:p w14:paraId="6832FA31" w14:textId="77777777" w:rsidR="004F7742" w:rsidRDefault="004F7742" w:rsidP="004F7742">
      <w:pPr>
        <w:spacing w:before="240" w:line="240" w:lineRule="auto"/>
      </w:pPr>
      <w:r>
        <w:t xml:space="preserve">US EPA (2011). “Toxicological Review of Trichloroethylene.” EPA/635/R-9/11F. </w:t>
      </w:r>
      <w:hyperlink r:id="rId24" w:history="1">
        <w:r w:rsidRPr="00BE37A9">
          <w:rPr>
            <w:rStyle w:val="Hyperlink"/>
            <w:sz w:val="20"/>
          </w:rPr>
          <w:t>https://cfpub.epa.gov/ncea/iris/iris_documents/documents/toxreviews/0199tr/0199tr.pdf</w:t>
        </w:r>
      </w:hyperlink>
    </w:p>
    <w:p w14:paraId="15FD7E62" w14:textId="77777777" w:rsidR="004F7742" w:rsidRDefault="004F7742" w:rsidP="004F7742">
      <w:pPr>
        <w:spacing w:before="240" w:line="240" w:lineRule="auto"/>
        <w:rPr>
          <w:rStyle w:val="Hyperlink"/>
          <w:sz w:val="20"/>
        </w:rPr>
      </w:pPr>
      <w:r>
        <w:t xml:space="preserve">US EPA (2012). “EPA’s Vapor Intrusion Database: Evaluation and Characterization of Attenuation Factors for Chlorinated Volatile Organic Compounds and Residential Buildings” EPA 530-R-10-002. </w:t>
      </w:r>
      <w:hyperlink r:id="rId25" w:history="1">
        <w:r w:rsidRPr="00BE37A9">
          <w:rPr>
            <w:rStyle w:val="Hyperlink"/>
            <w:sz w:val="20"/>
          </w:rPr>
          <w:t>https://www.epa.gov/sites/production/files/2015-09/documents/oswer_2010_database_report_03-16-2012_final_witherratum_508.pdf</w:t>
        </w:r>
      </w:hyperlink>
    </w:p>
    <w:p w14:paraId="7E9A2854" w14:textId="77777777" w:rsidR="001D6B62" w:rsidRDefault="001D6B62" w:rsidP="004F7742">
      <w:pPr>
        <w:spacing w:before="240" w:line="240" w:lineRule="auto"/>
      </w:pPr>
      <w:r w:rsidRPr="00A739C0">
        <w:rPr>
          <w:rStyle w:val="Hyperlink"/>
          <w:color w:val="auto"/>
          <w:sz w:val="20"/>
        </w:rPr>
        <w:t xml:space="preserve">US EPA (2015). </w:t>
      </w:r>
      <w:r w:rsidR="00A739C0" w:rsidRPr="00454F6C">
        <w:rPr>
          <w:rStyle w:val="Hyperlink"/>
          <w:color w:val="auto"/>
          <w:sz w:val="20"/>
        </w:rPr>
        <w:t>“</w:t>
      </w:r>
      <w:r w:rsidR="00A739C0">
        <w:t xml:space="preserve">Technical guide for assessing and mitigating the vapor intrusion pathway from subsurface vapor sources to indoor air.” </w:t>
      </w:r>
      <w:hyperlink r:id="rId26" w:history="1">
        <w:r w:rsidR="00A739C0" w:rsidRPr="00143111">
          <w:rPr>
            <w:rStyle w:val="Hyperlink"/>
            <w:sz w:val="20"/>
          </w:rPr>
          <w:t>http://www2.epa.gov/vaporintrusion/technical-guide-assessing-and-mitigating-vapor-intrusion-pathwaysubsurface-vapor</w:t>
        </w:r>
      </w:hyperlink>
      <w:r w:rsidR="00A739C0">
        <w:t>.</w:t>
      </w:r>
    </w:p>
    <w:p w14:paraId="34FF1C98" w14:textId="77777777" w:rsidR="00A739C0" w:rsidRDefault="00A739C0" w:rsidP="004F7742">
      <w:pPr>
        <w:spacing w:before="240" w:line="240" w:lineRule="auto"/>
      </w:pPr>
    </w:p>
    <w:p w14:paraId="6D072C0D" w14:textId="77777777" w:rsidR="00933DD7" w:rsidRDefault="00933DD7" w:rsidP="00973D8F">
      <w:pPr>
        <w:spacing w:before="240" w:line="240" w:lineRule="auto"/>
      </w:pPr>
    </w:p>
    <w:p w14:paraId="48A21919" w14:textId="77777777" w:rsidR="00357D6B" w:rsidRPr="008E30CE" w:rsidRDefault="00357D6B" w:rsidP="00973D8F">
      <w:pPr>
        <w:spacing w:before="240" w:line="240" w:lineRule="auto"/>
      </w:pPr>
    </w:p>
    <w:sectPr w:rsidR="00357D6B" w:rsidRPr="008E30CE" w:rsidSect="00A31A41">
      <w:headerReference w:type="even" r:id="rId27"/>
      <w:headerReference w:type="default" r:id="rId28"/>
      <w:footerReference w:type="default" r:id="rId29"/>
      <w:headerReference w:type="first" r:id="rId30"/>
      <w:pgSz w:w="11906" w:h="16838"/>
      <w:pgMar w:top="1440" w:right="1440" w:bottom="1440" w:left="1440" w:header="708" w:footer="3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10B8730" w14:textId="77777777" w:rsidR="004427A2" w:rsidRDefault="004427A2" w:rsidP="000B0242">
      <w:pPr>
        <w:spacing w:after="0" w:line="240" w:lineRule="auto"/>
      </w:pPr>
      <w:r>
        <w:separator/>
      </w:r>
    </w:p>
  </w:endnote>
  <w:endnote w:type="continuationSeparator" w:id="0">
    <w:p w14:paraId="28F2F0E1" w14:textId="77777777" w:rsidR="004427A2" w:rsidRDefault="004427A2" w:rsidP="000B0242">
      <w:pPr>
        <w:spacing w:after="0" w:line="240" w:lineRule="auto"/>
      </w:pPr>
      <w:r>
        <w:continuationSeparator/>
      </w:r>
    </w:p>
  </w:endnote>
  <w:endnote w:type="continuationNotice" w:id="1">
    <w:p w14:paraId="7596670A" w14:textId="77777777" w:rsidR="004427A2" w:rsidRDefault="004427A2">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old">
    <w:panose1 w:val="020B0704020202020204"/>
    <w:charset w:val="00"/>
    <w:family w:val="roman"/>
    <w:notTrueType/>
    <w:pitch w:val="default"/>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imes">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CFF8E8" w14:textId="77777777" w:rsidR="00A02519" w:rsidRDefault="00A02519">
    <w:pPr>
      <w:pStyle w:val="Footer"/>
    </w:pPr>
    <w:r>
      <w:rPr>
        <w:noProof/>
        <w:lang w:eastAsia="en-AU"/>
      </w:rPr>
      <w:drawing>
        <wp:anchor distT="0" distB="0" distL="114300" distR="114300" simplePos="0" relativeHeight="251653120" behindDoc="0" locked="0" layoutInCell="1" allowOverlap="1" wp14:anchorId="028D0F91" wp14:editId="789ADCCD">
          <wp:simplePos x="0" y="0"/>
          <wp:positionH relativeFrom="column">
            <wp:posOffset>6099175</wp:posOffset>
          </wp:positionH>
          <wp:positionV relativeFrom="paragraph">
            <wp:posOffset>9400540</wp:posOffset>
          </wp:positionV>
          <wp:extent cx="1064260" cy="965200"/>
          <wp:effectExtent l="0" t="0" r="2540" b="6350"/>
          <wp:wrapNone/>
          <wp:docPr id="54" name="Picture 6" descr="SA Health - Mono -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SA Health - Mono -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9652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n-AU"/>
      </w:rPr>
      <w:drawing>
        <wp:anchor distT="0" distB="0" distL="114300" distR="114300" simplePos="0" relativeHeight="251652096" behindDoc="0" locked="0" layoutInCell="1" allowOverlap="1" wp14:anchorId="6815AE57" wp14:editId="22CE38C4">
          <wp:simplePos x="0" y="0"/>
          <wp:positionH relativeFrom="column">
            <wp:posOffset>6099175</wp:posOffset>
          </wp:positionH>
          <wp:positionV relativeFrom="paragraph">
            <wp:posOffset>9400540</wp:posOffset>
          </wp:positionV>
          <wp:extent cx="1064260" cy="965200"/>
          <wp:effectExtent l="0" t="0" r="2540" b="6350"/>
          <wp:wrapNone/>
          <wp:docPr id="55" name="Picture 5" descr="SA Health - Mono - Verti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A Health - Mono - Verti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64260" cy="9652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0C5890" w14:textId="3B5892F0" w:rsidR="00A02519" w:rsidRDefault="00B2341F">
    <w:pPr>
      <w:pStyle w:val="Footer"/>
      <w:rPr>
        <w:noProof/>
        <w:lang w:eastAsia="en-AU"/>
      </w:rPr>
    </w:pPr>
    <w:r>
      <w:t>Guidance for the human health risk assessment of volatile chlorinated hydrocarbon vapour intrusion</w:t>
    </w:r>
    <w:r w:rsidDel="00210AC9">
      <w:t xml:space="preserve"> </w:t>
    </w:r>
    <w:r w:rsidR="00A02519">
      <w:rPr>
        <w:noProof/>
        <w:lang w:eastAsia="en-AU"/>
      </w:rPr>
      <w:tab/>
    </w:r>
    <w:r w:rsidR="00A02519">
      <w:rPr>
        <w:noProof/>
        <w:lang w:eastAsia="en-AU"/>
      </w:rPr>
      <w:tab/>
    </w:r>
    <w:r w:rsidR="00A02519">
      <w:rPr>
        <w:noProof/>
        <w:lang w:eastAsia="en-AU"/>
      </w:rPr>
      <w:fldChar w:fldCharType="begin"/>
    </w:r>
    <w:r w:rsidR="00A02519">
      <w:rPr>
        <w:noProof/>
        <w:lang w:eastAsia="en-AU"/>
      </w:rPr>
      <w:instrText xml:space="preserve"> PAGE   \* MERGEFORMAT </w:instrText>
    </w:r>
    <w:r w:rsidR="00A02519">
      <w:rPr>
        <w:noProof/>
        <w:lang w:eastAsia="en-AU"/>
      </w:rPr>
      <w:fldChar w:fldCharType="separate"/>
    </w:r>
    <w:r w:rsidR="00647140">
      <w:rPr>
        <w:noProof/>
        <w:lang w:eastAsia="en-AU"/>
      </w:rPr>
      <w:t>3</w:t>
    </w:r>
    <w:r w:rsidR="00A02519">
      <w:rPr>
        <w:noProof/>
        <w:lang w:eastAsia="en-AU"/>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3CABC7" w14:textId="77777777" w:rsidR="00A02519" w:rsidRPr="00AA7AD1" w:rsidRDefault="00A02519" w:rsidP="00A31A41">
    <w:pPr>
      <w:pStyle w:val="Footer"/>
      <w:rPr>
        <w:sz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0D07F83" w14:textId="77777777" w:rsidR="004427A2" w:rsidRDefault="004427A2" w:rsidP="000B0242">
      <w:pPr>
        <w:spacing w:after="0" w:line="240" w:lineRule="auto"/>
      </w:pPr>
      <w:r>
        <w:separator/>
      </w:r>
    </w:p>
  </w:footnote>
  <w:footnote w:type="continuationSeparator" w:id="0">
    <w:p w14:paraId="355030EF" w14:textId="77777777" w:rsidR="004427A2" w:rsidRDefault="004427A2" w:rsidP="000B0242">
      <w:pPr>
        <w:spacing w:after="0" w:line="240" w:lineRule="auto"/>
      </w:pPr>
      <w:r>
        <w:continuationSeparator/>
      </w:r>
    </w:p>
  </w:footnote>
  <w:footnote w:type="continuationNotice" w:id="1">
    <w:p w14:paraId="13EBC3A4" w14:textId="77777777" w:rsidR="004427A2" w:rsidRDefault="004427A2">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28B253" w14:textId="2A69B424" w:rsidR="002C4B7E" w:rsidRDefault="002C4B7E">
    <w:pPr>
      <w:pStyle w:val="Header"/>
    </w:pPr>
    <w:r>
      <w:rPr>
        <w:noProof/>
      </w:rPr>
      <mc:AlternateContent>
        <mc:Choice Requires="wps">
          <w:drawing>
            <wp:anchor distT="0" distB="0" distL="0" distR="0" simplePos="0" relativeHeight="251655168" behindDoc="0" locked="0" layoutInCell="1" allowOverlap="1" wp14:anchorId="343091FC" wp14:editId="5F10D71C">
              <wp:simplePos x="635" y="635"/>
              <wp:positionH relativeFrom="column">
                <wp:align>center</wp:align>
              </wp:positionH>
              <wp:positionV relativeFrom="paragraph">
                <wp:posOffset>635</wp:posOffset>
              </wp:positionV>
              <wp:extent cx="443865" cy="443865"/>
              <wp:effectExtent l="0" t="0" r="18415" b="12065"/>
              <wp:wrapSquare wrapText="bothSides"/>
              <wp:docPr id="2" name="Text Box 2"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CBA345E" w14:textId="4E77BC29"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343091FC" id="_x0000_t202" coordsize="21600,21600" o:spt="202" path="m,l,21600r21600,l21600,xe">
              <v:stroke joinstyle="miter"/>
              <v:path gradientshapeok="t" o:connecttype="rect"/>
            </v:shapetype>
            <v:shape id="Text Box 2" o:spid="_x0000_s1026" type="#_x0000_t202" alt="OFFICIAL" style="position:absolute;margin-left:0;margin-top:.05pt;width:34.95pt;height:34.95pt;z-index:25165516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L83GAAIAABA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" filled="f" stroked="f">
              <v:textbox style="mso-fit-shape-to-text:t" inset="0,0,0,0">
                <w:txbxContent>
                  <w:p w14:paraId="3CBA345E" w14:textId="4E77BC29"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v:textbox>
              <w10:wrap type="square"/>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F6C44D" w14:textId="70DFDF9A" w:rsidR="002C4B7E" w:rsidRDefault="002C4B7E">
    <w:pPr>
      <w:pStyle w:val="Header"/>
    </w:pPr>
    <w:r>
      <w:rPr>
        <w:noProof/>
      </w:rPr>
      <mc:AlternateContent>
        <mc:Choice Requires="wps">
          <w:drawing>
            <wp:anchor distT="0" distB="0" distL="0" distR="0" simplePos="0" relativeHeight="251654144" behindDoc="0" locked="0" layoutInCell="1" allowOverlap="1" wp14:anchorId="57920A09" wp14:editId="0FFE035A">
              <wp:simplePos x="635" y="635"/>
              <wp:positionH relativeFrom="column">
                <wp:align>center</wp:align>
              </wp:positionH>
              <wp:positionV relativeFrom="paragraph">
                <wp:posOffset>635</wp:posOffset>
              </wp:positionV>
              <wp:extent cx="443865" cy="443865"/>
              <wp:effectExtent l="0" t="0" r="18415" b="12065"/>
              <wp:wrapSquare wrapText="bothSides"/>
              <wp:docPr id="1" name="Text Box 1"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49448BDC" w14:textId="65B64525"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7920A09" id="_x0000_t202" coordsize="21600,21600" o:spt="202" path="m,l,21600r21600,l21600,xe">
              <v:stroke joinstyle="miter"/>
              <v:path gradientshapeok="t" o:connecttype="rect"/>
            </v:shapetype>
            <v:shape id="Text Box 1" o:spid="_x0000_s1027" type="#_x0000_t202" alt="OFFICIAL" style="position:absolute;margin-left:0;margin-top:.05pt;width:34.95pt;height:34.95pt;z-index:251654144;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iR3FAw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" filled="f" stroked="f">
              <v:textbox style="mso-fit-shape-to-text:t" inset="0,0,0,0">
                <w:txbxContent>
                  <w:p w14:paraId="49448BDC" w14:textId="65B64525"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v:textbox>
              <w10:wrap type="squar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4E343A" w14:textId="2AF47B42" w:rsidR="002C4B7E" w:rsidRDefault="002C4B7E">
    <w:pPr>
      <w:pStyle w:val="Header"/>
    </w:pPr>
    <w:r>
      <w:rPr>
        <w:noProof/>
      </w:rPr>
      <mc:AlternateContent>
        <mc:Choice Requires="wps">
          <w:drawing>
            <wp:anchor distT="0" distB="0" distL="0" distR="0" simplePos="0" relativeHeight="251658240" behindDoc="0" locked="0" layoutInCell="1" allowOverlap="1" wp14:anchorId="00295C7C" wp14:editId="2D0B3575">
              <wp:simplePos x="635" y="635"/>
              <wp:positionH relativeFrom="column">
                <wp:align>center</wp:align>
              </wp:positionH>
              <wp:positionV relativeFrom="paragraph">
                <wp:posOffset>635</wp:posOffset>
              </wp:positionV>
              <wp:extent cx="443865" cy="443865"/>
              <wp:effectExtent l="0" t="0" r="18415" b="12065"/>
              <wp:wrapSquare wrapText="bothSides"/>
              <wp:docPr id="5" name="Text Box 5"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14665DD" w14:textId="64BEBD0E"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295C7C" id="_x0000_t202" coordsize="21600,21600" o:spt="202" path="m,l,21600r21600,l21600,xe">
              <v:stroke joinstyle="miter"/>
              <v:path gradientshapeok="t" o:connecttype="rect"/>
            </v:shapetype>
            <v:shape id="Text Box 5" o:spid="_x0000_s1028" type="#_x0000_t202" alt="OFFICIAL" style="position:absolute;margin-left:0;margin-top:.05pt;width:34.95pt;height:34.95pt;z-index:251658240;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B6WA1cFAgAAFwQAAA4AAAAAAAAAAAAA&#10;AAAALgIAAGRycy9lMm9Eb2MueG1sUEsBAi0AFAAGAAgAAAAhAISw0yjWAAAAAwEAAA8AAAAAAAAA&#10;AAAAAAAAXwQAAGRycy9kb3ducmV2LnhtbFBLBQYAAAAABAAEAPMAAABiBQAAAAA=&#10;" filled="f" stroked="f">
              <v:textbox style="mso-fit-shape-to-text:t" inset="0,0,0,0">
                <w:txbxContent>
                  <w:p w14:paraId="614665DD" w14:textId="64BEBD0E"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v:textbox>
              <w10:wrap type="squar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D9C6F4" w14:textId="3EE9A122" w:rsidR="00A02519" w:rsidRDefault="002C4B7E">
    <w:pPr>
      <w:pStyle w:val="Header"/>
    </w:pPr>
    <w:r>
      <w:rPr>
        <w:noProof/>
        <w:lang w:val="en-US" w:eastAsia="zh-TW"/>
      </w:rPr>
      <mc:AlternateContent>
        <mc:Choice Requires="wps">
          <w:drawing>
            <wp:anchor distT="0" distB="0" distL="0" distR="0" simplePos="0" relativeHeight="251659264" behindDoc="0" locked="0" layoutInCell="1" allowOverlap="1" wp14:anchorId="00AAC9A8" wp14:editId="2F56BE71">
              <wp:simplePos x="0" y="0"/>
              <wp:positionH relativeFrom="column">
                <wp:posOffset>2399030</wp:posOffset>
              </wp:positionH>
              <wp:positionV relativeFrom="paragraph">
                <wp:posOffset>-41275</wp:posOffset>
              </wp:positionV>
              <wp:extent cx="443865" cy="443865"/>
              <wp:effectExtent l="0" t="0" r="18415" b="12065"/>
              <wp:wrapSquare wrapText="bothSides"/>
              <wp:docPr id="6" name="Text Box 6"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45787D4" w14:textId="1D02A613"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0AAC9A8" id="_x0000_t202" coordsize="21600,21600" o:spt="202" path="m,l,21600r21600,l21600,xe">
              <v:stroke joinstyle="miter"/>
              <v:path gradientshapeok="t" o:connecttype="rect"/>
            </v:shapetype>
            <v:shape id="Text Box 6" o:spid="_x0000_s1029" type="#_x0000_t202" alt="OFFICIAL" style="position:absolute;margin-left:188.9pt;margin-top:-3.25pt;width:34.95pt;height:34.95pt;z-index:251659264;visibility:visible;mso-wrap-style:none;mso-wrap-distance-left:0;mso-wrap-distance-top:0;mso-wrap-distance-right:0;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Y/YmBQIAABcEAAAOAAAAZHJzL2Uyb0RvYy54bWysU01v2zAMvQ/YfxB0X5y0X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" filled="f" stroked="f">
              <v:textbox style="mso-fit-shape-to-text:t" inset="0,0,0,0">
                <w:txbxContent>
                  <w:p w14:paraId="345787D4" w14:textId="1D02A613"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v:textbox>
              <w10:wrap type="squar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98D1A1" w14:textId="11B78F33" w:rsidR="002C4B7E" w:rsidRDefault="002C4B7E">
    <w:pPr>
      <w:pStyle w:val="Header"/>
    </w:pPr>
    <w:r>
      <w:rPr>
        <w:noProof/>
      </w:rPr>
      <mc:AlternateContent>
        <mc:Choice Requires="wps">
          <w:drawing>
            <wp:anchor distT="0" distB="0" distL="0" distR="0" simplePos="0" relativeHeight="251657216" behindDoc="0" locked="0" layoutInCell="1" allowOverlap="1" wp14:anchorId="49FD44B5" wp14:editId="4EDE0FA3">
              <wp:simplePos x="635" y="635"/>
              <wp:positionH relativeFrom="column">
                <wp:align>center</wp:align>
              </wp:positionH>
              <wp:positionV relativeFrom="paragraph">
                <wp:posOffset>635</wp:posOffset>
              </wp:positionV>
              <wp:extent cx="443865" cy="443865"/>
              <wp:effectExtent l="0" t="0" r="18415" b="12065"/>
              <wp:wrapSquare wrapText="bothSides"/>
              <wp:docPr id="4" name="Text Box 4"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73812996" w14:textId="3D254685"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49FD44B5" id="_x0000_t202" coordsize="21600,21600" o:spt="202" path="m,l,21600r21600,l21600,xe">
              <v:stroke joinstyle="miter"/>
              <v:path gradientshapeok="t" o:connecttype="rect"/>
            </v:shapetype>
            <v:shape id="Text Box 4" o:spid="_x0000_s1030" type="#_x0000_t202" alt="OFFICIAL" style="position:absolute;margin-left:0;margin-top:.05pt;width:34.95pt;height:34.95pt;z-index:25165721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" filled="f" stroked="f">
              <v:textbox style="mso-fit-shape-to-text:t" inset="0,0,0,0">
                <w:txbxContent>
                  <w:p w14:paraId="73812996" w14:textId="3D254685"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v:textbox>
              <w10:wrap type="squar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CF96AC" w14:textId="66BD75DA" w:rsidR="002C4B7E" w:rsidRDefault="002C4B7E">
    <w:pPr>
      <w:pStyle w:val="Header"/>
    </w:pPr>
    <w:r>
      <w:rPr>
        <w:noProof/>
      </w:rPr>
      <mc:AlternateContent>
        <mc:Choice Requires="wps">
          <w:drawing>
            <wp:anchor distT="0" distB="0" distL="0" distR="0" simplePos="0" relativeHeight="251661312" behindDoc="0" locked="0" layoutInCell="1" allowOverlap="1" wp14:anchorId="0D5F0B5C" wp14:editId="6EECFF09">
              <wp:simplePos x="635" y="635"/>
              <wp:positionH relativeFrom="column">
                <wp:align>center</wp:align>
              </wp:positionH>
              <wp:positionV relativeFrom="paragraph">
                <wp:posOffset>635</wp:posOffset>
              </wp:positionV>
              <wp:extent cx="443865" cy="443865"/>
              <wp:effectExtent l="0" t="0" r="18415" b="12065"/>
              <wp:wrapSquare wrapText="bothSides"/>
              <wp:docPr id="8" name="Text Box 8"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2554A02D" w14:textId="3A91963F"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0D5F0B5C" id="_x0000_t202" coordsize="21600,21600" o:spt="202" path="m,l,21600r21600,l21600,xe">
              <v:stroke joinstyle="miter"/>
              <v:path gradientshapeok="t" o:connecttype="rect"/>
            </v:shapetype>
            <v:shape id="Text Box 8" o:spid="_x0000_s1031" type="#_x0000_t202" alt="OFFICIAL" style="position:absolute;margin-left:0;margin-top:.05pt;width:34.95pt;height:34.95pt;z-index:251661312;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KRbu9kFAgAAFwQAAA4AAAAAAAAAAAAA&#10;AAAALgIAAGRycy9lMm9Eb2MueG1sUEsBAi0AFAAGAAgAAAAhAISw0yjWAAAAAwEAAA8AAAAAAAAA&#10;AAAAAAAAXwQAAGRycy9kb3ducmV2LnhtbFBLBQYAAAAABAAEAPMAAABiBQAAAAA=&#10;" filled="f" stroked="f">
              <v:textbox style="mso-fit-shape-to-text:t" inset="0,0,0,0">
                <w:txbxContent>
                  <w:p w14:paraId="2554A02D" w14:textId="3A91963F"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v:textbox>
              <w10:wrap type="squar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ABE216" w14:textId="0981BE1D" w:rsidR="002C4B7E" w:rsidRDefault="002C4B7E">
    <w:pPr>
      <w:pStyle w:val="Header"/>
    </w:pPr>
    <w:r>
      <w:rPr>
        <w:noProof/>
      </w:rPr>
      <mc:AlternateContent>
        <mc:Choice Requires="wps">
          <w:drawing>
            <wp:anchor distT="0" distB="0" distL="0" distR="0" simplePos="0" relativeHeight="251662336" behindDoc="0" locked="0" layoutInCell="1" allowOverlap="1" wp14:anchorId="51672079" wp14:editId="541AFE29">
              <wp:simplePos x="635" y="635"/>
              <wp:positionH relativeFrom="column">
                <wp:align>center</wp:align>
              </wp:positionH>
              <wp:positionV relativeFrom="paragraph">
                <wp:posOffset>635</wp:posOffset>
              </wp:positionV>
              <wp:extent cx="443865" cy="443865"/>
              <wp:effectExtent l="0" t="0" r="18415" b="12065"/>
              <wp:wrapSquare wrapText="bothSides"/>
              <wp:docPr id="9" name="Text Box 9"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6C4464F1" w14:textId="16E1562F"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51672079" id="_x0000_t202" coordsize="21600,21600" o:spt="202" path="m,l,21600r21600,l21600,xe">
              <v:stroke joinstyle="miter"/>
              <v:path gradientshapeok="t" o:connecttype="rect"/>
            </v:shapetype>
            <v:shape id="Text Box 9" o:spid="_x0000_s1032" type="#_x0000_t202" alt="OFFICIAL" style="position:absolute;margin-left:0;margin-top:.05pt;width:34.95pt;height:34.95pt;z-index:251662336;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MtEpUsFAgAAFwQAAA4AAAAAAAAAAAAA&#10;AAAALgIAAGRycy9lMm9Eb2MueG1sUEsBAi0AFAAGAAgAAAAhAISw0yjWAAAAAwEAAA8AAAAAAAAA&#10;AAAAAAAAXwQAAGRycy9kb3ducmV2LnhtbFBLBQYAAAAABAAEAPMAAABiBQAAAAA=&#10;" filled="f" stroked="f">
              <v:textbox style="mso-fit-shape-to-text:t" inset="0,0,0,0">
                <w:txbxContent>
                  <w:p w14:paraId="6C4464F1" w14:textId="16E1562F"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v:textbox>
              <w10:wrap type="squar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8D5E7F" w14:textId="2CB17212" w:rsidR="002C4B7E" w:rsidRDefault="002C4B7E">
    <w:pPr>
      <w:pStyle w:val="Header"/>
    </w:pPr>
    <w:r>
      <w:rPr>
        <w:noProof/>
      </w:rPr>
      <mc:AlternateContent>
        <mc:Choice Requires="wps">
          <w:drawing>
            <wp:anchor distT="0" distB="0" distL="0" distR="0" simplePos="0" relativeHeight="251660288" behindDoc="0" locked="0" layoutInCell="1" allowOverlap="1" wp14:anchorId="2E71EEF6" wp14:editId="609E3C4A">
              <wp:simplePos x="635" y="635"/>
              <wp:positionH relativeFrom="column">
                <wp:align>center</wp:align>
              </wp:positionH>
              <wp:positionV relativeFrom="paragraph">
                <wp:posOffset>635</wp:posOffset>
              </wp:positionV>
              <wp:extent cx="443865" cy="443865"/>
              <wp:effectExtent l="0" t="0" r="18415" b="12065"/>
              <wp:wrapSquare wrapText="bothSides"/>
              <wp:docPr id="7" name="Text Box 7" descr="OFFICIAL">
                <a:extLst xmlns:a="http://schemas.openxmlformats.org/drawingml/2006/main">
                  <a:ext uri="{5AE41FA2-C0FF-4470-9BD4-5FADCA87CBE2}">
                    <aclsh:classification xmlns:aclsh="http://schemas.microsoft.com/office/drawing/2020/classificationShape" classificationOutcomeType="hd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E52CF6C" w14:textId="69EC315C"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wps:txbx>
                    <wps:bodyPr rot="0" spcFirstLastPara="0" vertOverflow="overflow" horzOverflow="overflow" vert="horz" wrap="none" lIns="0" tIns="0" rIns="0" bIns="0" numCol="1" spcCol="0" rtlCol="0" fromWordArt="0" anchor="t" anchorCtr="0" forceAA="0" compatLnSpc="1">
                      <a:prstTxWarp prst="textNoShape">
                        <a:avLst/>
                      </a:prstTxWarp>
                      <a:spAutoFit/>
                    </wps:bodyPr>
                  </wps:wsp>
                </a:graphicData>
              </a:graphic>
            </wp:anchor>
          </w:drawing>
        </mc:Choice>
        <mc:Fallback>
          <w:pict>
            <v:shapetype w14:anchorId="2E71EEF6" id="_x0000_t202" coordsize="21600,21600" o:spt="202" path="m,l,21600r21600,l21600,xe">
              <v:stroke joinstyle="miter"/>
              <v:path gradientshapeok="t" o:connecttype="rect"/>
            </v:shapetype>
            <v:shape id="Text Box 7" o:spid="_x0000_s1033" type="#_x0000_t202" alt="OFFICIAL" style="position:absolute;margin-left:0;margin-top:.05pt;width:34.95pt;height:34.95pt;z-index:251660288;visibility:visible;mso-wrap-style:none;mso-wrap-distance-left:0;mso-wrap-distance-top:0;mso-wrap-distance-right:0;mso-wrap-distance-bottom:0;mso-position-horizontal:center;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" filled="f" stroked="f">
              <v:textbox style="mso-fit-shape-to-text:t" inset="0,0,0,0">
                <w:txbxContent>
                  <w:p w14:paraId="1E52CF6C" w14:textId="69EC315C" w:rsidR="002C4B7E" w:rsidRPr="002C4B7E" w:rsidRDefault="002C4B7E">
                    <w:pPr>
                      <w:rPr>
                        <w:rFonts w:eastAsia="Arial" w:cs="Arial"/>
                        <w:noProof/>
                        <w:color w:val="A80000"/>
                        <w:sz w:val="24"/>
                        <w:szCs w:val="24"/>
                      </w:rPr>
                    </w:pPr>
                    <w:r w:rsidRPr="002C4B7E">
                      <w:rPr>
                        <w:rFonts w:eastAsia="Arial" w:cs="Arial"/>
                        <w:noProof/>
                        <w:color w:val="A80000"/>
                        <w:sz w:val="24"/>
                        <w:szCs w:val="24"/>
                      </w:rPr>
                      <w:t>OFFICIAL</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430F74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D898DB0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6E2E1E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602A26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02C0DA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92E3FE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4C2566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D96F02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69A5CF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AC6617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812B94"/>
    <w:multiLevelType w:val="multilevel"/>
    <w:tmpl w:val="149E33EE"/>
    <w:lvl w:ilvl="0">
      <w:numFmt w:val="decimal"/>
      <w:lvlText w:val="%1"/>
      <w:lvlJc w:val="left"/>
      <w:pPr>
        <w:ind w:left="555" w:hanging="555"/>
      </w:pPr>
      <w:rPr>
        <w:rFonts w:hint="default"/>
      </w:rPr>
    </w:lvl>
    <w:lvl w:ilvl="1">
      <w:start w:val="1"/>
      <w:numFmt w:val="decimalZero"/>
      <w:lvlText w:val="%1.%2"/>
      <w:lvlJc w:val="left"/>
      <w:pPr>
        <w:ind w:left="555" w:hanging="55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11715AC9"/>
    <w:multiLevelType w:val="hybridMultilevel"/>
    <w:tmpl w:val="23F26D22"/>
    <w:lvl w:ilvl="0" w:tplc="93C8DA4C">
      <w:start w:val="1"/>
      <w:numFmt w:val="bullet"/>
      <w:pStyle w:val="BulletPoints"/>
      <w:lvlText w:val=""/>
      <w:lvlJc w:val="left"/>
      <w:pPr>
        <w:ind w:left="360" w:hanging="360"/>
      </w:pPr>
      <w:rPr>
        <w:rFonts w:ascii="Symbol" w:hAnsi="Symbol" w:hint="default"/>
        <w:color w:val="69BE28"/>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1AEB688A"/>
    <w:multiLevelType w:val="hybridMultilevel"/>
    <w:tmpl w:val="A15492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1BC92837"/>
    <w:multiLevelType w:val="hybridMultilevel"/>
    <w:tmpl w:val="63F4181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1D5277BD"/>
    <w:multiLevelType w:val="hybridMultilevel"/>
    <w:tmpl w:val="BF9EA37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15:restartNumberingAfterBreak="0">
    <w:nsid w:val="295615F5"/>
    <w:multiLevelType w:val="multilevel"/>
    <w:tmpl w:val="1A1E631E"/>
    <w:lvl w:ilvl="0">
      <w:numFmt w:val="decimal"/>
      <w:lvlText w:val="%1"/>
      <w:lvlJc w:val="left"/>
      <w:pPr>
        <w:ind w:left="450" w:hanging="450"/>
      </w:pPr>
      <w:rPr>
        <w:rFonts w:hint="default"/>
      </w:rPr>
    </w:lvl>
    <w:lvl w:ilvl="1">
      <w:start w:val="1"/>
      <w:numFmt w:val="decimalZero"/>
      <w:lvlText w:val="%1.%2"/>
      <w:lvlJc w:val="left"/>
      <w:pPr>
        <w:ind w:left="450" w:hanging="45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8ED0843"/>
    <w:multiLevelType w:val="hybridMultilevel"/>
    <w:tmpl w:val="43D016F8"/>
    <w:lvl w:ilvl="0" w:tplc="0C090001">
      <w:start w:val="1"/>
      <w:numFmt w:val="bullet"/>
      <w:lvlText w:val=""/>
      <w:lvlJc w:val="left"/>
      <w:pPr>
        <w:ind w:left="360" w:hanging="360"/>
      </w:pPr>
      <w:rPr>
        <w:rFonts w:ascii="Symbol" w:hAnsi="Symbol" w:hint="default"/>
      </w:rPr>
    </w:lvl>
    <w:lvl w:ilvl="1" w:tplc="0C090003" w:tentative="1">
      <w:start w:val="1"/>
      <w:numFmt w:val="bullet"/>
      <w:lvlText w:val="o"/>
      <w:lvlJc w:val="left"/>
      <w:pPr>
        <w:ind w:left="1080" w:hanging="360"/>
      </w:pPr>
      <w:rPr>
        <w:rFonts w:ascii="Courier New" w:hAnsi="Courier New" w:cs="Courier New" w:hint="default"/>
      </w:rPr>
    </w:lvl>
    <w:lvl w:ilvl="2" w:tplc="0C090005" w:tentative="1">
      <w:start w:val="1"/>
      <w:numFmt w:val="bullet"/>
      <w:lvlText w:val=""/>
      <w:lvlJc w:val="left"/>
      <w:pPr>
        <w:ind w:left="1800" w:hanging="360"/>
      </w:pPr>
      <w:rPr>
        <w:rFonts w:ascii="Wingdings" w:hAnsi="Wingdings" w:hint="default"/>
      </w:rPr>
    </w:lvl>
    <w:lvl w:ilvl="3" w:tplc="0C090001" w:tentative="1">
      <w:start w:val="1"/>
      <w:numFmt w:val="bullet"/>
      <w:lvlText w:val=""/>
      <w:lvlJc w:val="left"/>
      <w:pPr>
        <w:ind w:left="2520" w:hanging="360"/>
      </w:pPr>
      <w:rPr>
        <w:rFonts w:ascii="Symbol" w:hAnsi="Symbol" w:hint="default"/>
      </w:rPr>
    </w:lvl>
    <w:lvl w:ilvl="4" w:tplc="0C090003" w:tentative="1">
      <w:start w:val="1"/>
      <w:numFmt w:val="bullet"/>
      <w:lvlText w:val="o"/>
      <w:lvlJc w:val="left"/>
      <w:pPr>
        <w:ind w:left="3240" w:hanging="360"/>
      </w:pPr>
      <w:rPr>
        <w:rFonts w:ascii="Courier New" w:hAnsi="Courier New" w:cs="Courier New" w:hint="default"/>
      </w:rPr>
    </w:lvl>
    <w:lvl w:ilvl="5" w:tplc="0C090005" w:tentative="1">
      <w:start w:val="1"/>
      <w:numFmt w:val="bullet"/>
      <w:lvlText w:val=""/>
      <w:lvlJc w:val="left"/>
      <w:pPr>
        <w:ind w:left="3960" w:hanging="360"/>
      </w:pPr>
      <w:rPr>
        <w:rFonts w:ascii="Wingdings" w:hAnsi="Wingdings" w:hint="default"/>
      </w:rPr>
    </w:lvl>
    <w:lvl w:ilvl="6" w:tplc="0C090001" w:tentative="1">
      <w:start w:val="1"/>
      <w:numFmt w:val="bullet"/>
      <w:lvlText w:val=""/>
      <w:lvlJc w:val="left"/>
      <w:pPr>
        <w:ind w:left="4680" w:hanging="360"/>
      </w:pPr>
      <w:rPr>
        <w:rFonts w:ascii="Symbol" w:hAnsi="Symbol" w:hint="default"/>
      </w:rPr>
    </w:lvl>
    <w:lvl w:ilvl="7" w:tplc="0C090003" w:tentative="1">
      <w:start w:val="1"/>
      <w:numFmt w:val="bullet"/>
      <w:lvlText w:val="o"/>
      <w:lvlJc w:val="left"/>
      <w:pPr>
        <w:ind w:left="5400" w:hanging="360"/>
      </w:pPr>
      <w:rPr>
        <w:rFonts w:ascii="Courier New" w:hAnsi="Courier New" w:cs="Courier New" w:hint="default"/>
      </w:rPr>
    </w:lvl>
    <w:lvl w:ilvl="8" w:tplc="0C090005" w:tentative="1">
      <w:start w:val="1"/>
      <w:numFmt w:val="bullet"/>
      <w:lvlText w:val=""/>
      <w:lvlJc w:val="left"/>
      <w:pPr>
        <w:ind w:left="6120" w:hanging="360"/>
      </w:pPr>
      <w:rPr>
        <w:rFonts w:ascii="Wingdings" w:hAnsi="Wingdings" w:hint="default"/>
      </w:rPr>
    </w:lvl>
  </w:abstractNum>
  <w:abstractNum w:abstractNumId="17" w15:restartNumberingAfterBreak="0">
    <w:nsid w:val="4CCE4CA4"/>
    <w:multiLevelType w:val="hybridMultilevel"/>
    <w:tmpl w:val="CB4805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15:restartNumberingAfterBreak="0">
    <w:nsid w:val="4F1D4CBB"/>
    <w:multiLevelType w:val="hybridMultilevel"/>
    <w:tmpl w:val="9D90389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54BA1E5A"/>
    <w:multiLevelType w:val="multilevel"/>
    <w:tmpl w:val="82C2F15C"/>
    <w:styleLink w:val="ZZBullets"/>
    <w:lvl w:ilvl="0">
      <w:start w:val="1"/>
      <w:numFmt w:val="bullet"/>
      <w:pStyle w:val="DHHSbullet1"/>
      <w:lvlText w:val="•"/>
      <w:lvlJc w:val="left"/>
      <w:pPr>
        <w:ind w:left="284" w:hanging="284"/>
      </w:pPr>
      <w:rPr>
        <w:rFonts w:ascii="Calibri" w:hAnsi="Calibri" w:cs="Times New Roman" w:hint="default"/>
      </w:rPr>
    </w:lvl>
    <w:lvl w:ilvl="1">
      <w:start w:val="1"/>
      <w:numFmt w:val="bullet"/>
      <w:lvlRestart w:val="0"/>
      <w:pStyle w:val="DHHSbullet1lastline"/>
      <w:lvlText w:val="•"/>
      <w:lvlJc w:val="left"/>
      <w:pPr>
        <w:ind w:left="284" w:hanging="284"/>
      </w:pPr>
      <w:rPr>
        <w:rFonts w:ascii="Calibri" w:hAnsi="Calibri" w:cs="Times New Roman" w:hint="default"/>
      </w:rPr>
    </w:lvl>
    <w:lvl w:ilvl="2">
      <w:start w:val="1"/>
      <w:numFmt w:val="bullet"/>
      <w:lvlRestart w:val="0"/>
      <w:pStyle w:val="DHHSbullet2"/>
      <w:lvlText w:val="–"/>
      <w:lvlJc w:val="left"/>
      <w:pPr>
        <w:ind w:left="567" w:hanging="283"/>
      </w:pPr>
      <w:rPr>
        <w:rFonts w:ascii="Arial" w:hAnsi="Arial" w:cs="Times New Roman" w:hint="default"/>
      </w:rPr>
    </w:lvl>
    <w:lvl w:ilvl="3">
      <w:start w:val="1"/>
      <w:numFmt w:val="bullet"/>
      <w:lvlRestart w:val="0"/>
      <w:pStyle w:val="DHHSbullet2lastline"/>
      <w:lvlText w:val="–"/>
      <w:lvlJc w:val="left"/>
      <w:pPr>
        <w:ind w:left="567" w:hanging="283"/>
      </w:pPr>
      <w:rPr>
        <w:rFonts w:ascii="Arial" w:hAnsi="Arial" w:cs="Times New Roman" w:hint="default"/>
      </w:rPr>
    </w:lvl>
    <w:lvl w:ilvl="4">
      <w:start w:val="1"/>
      <w:numFmt w:val="bullet"/>
      <w:lvlRestart w:val="0"/>
      <w:pStyle w:val="DHHSbulletindent"/>
      <w:lvlText w:val="•"/>
      <w:lvlJc w:val="left"/>
      <w:pPr>
        <w:ind w:left="680" w:hanging="283"/>
      </w:pPr>
      <w:rPr>
        <w:rFonts w:ascii="Calibri" w:hAnsi="Calibri" w:cs="Times New Roman" w:hint="default"/>
      </w:rPr>
    </w:lvl>
    <w:lvl w:ilvl="5">
      <w:start w:val="1"/>
      <w:numFmt w:val="bullet"/>
      <w:lvlRestart w:val="0"/>
      <w:pStyle w:val="DHHSbulletindentlastline"/>
      <w:lvlText w:val="•"/>
      <w:lvlJc w:val="left"/>
      <w:pPr>
        <w:ind w:left="680" w:hanging="283"/>
      </w:pPr>
      <w:rPr>
        <w:rFonts w:ascii="Calibri" w:hAnsi="Calibri" w:cs="Times New Roman" w:hint="default"/>
      </w:rPr>
    </w:lvl>
    <w:lvl w:ilvl="6">
      <w:start w:val="1"/>
      <w:numFmt w:val="bullet"/>
      <w:lvlRestart w:val="0"/>
      <w:pStyle w:val="DHHStablebullet"/>
      <w:lvlText w:val="•"/>
      <w:lvlJc w:val="left"/>
      <w:pPr>
        <w:ind w:left="227" w:hanging="227"/>
      </w:pPr>
      <w:rPr>
        <w:rFonts w:ascii="Calibri" w:hAnsi="Calibri" w:cs="Times New Roman" w:hint="default"/>
      </w:rPr>
    </w:lvl>
    <w:lvl w:ilvl="7">
      <w:start w:val="1"/>
      <w:numFmt w:val="none"/>
      <w:lvlRestart w:val="0"/>
      <w:lvlText w:val=""/>
      <w:lvlJc w:val="left"/>
      <w:pPr>
        <w:ind w:left="0" w:firstLine="0"/>
      </w:pPr>
    </w:lvl>
    <w:lvl w:ilvl="8">
      <w:start w:val="1"/>
      <w:numFmt w:val="none"/>
      <w:lvlRestart w:val="0"/>
      <w:lvlText w:val=""/>
      <w:lvlJc w:val="left"/>
      <w:pPr>
        <w:ind w:left="0" w:firstLine="0"/>
      </w:pPr>
    </w:lvl>
  </w:abstractNum>
  <w:abstractNum w:abstractNumId="20" w15:restartNumberingAfterBreak="0">
    <w:nsid w:val="583B0958"/>
    <w:multiLevelType w:val="multilevel"/>
    <w:tmpl w:val="42A4DE40"/>
    <w:lvl w:ilvl="0">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15:restartNumberingAfterBreak="0">
    <w:nsid w:val="5BAE7756"/>
    <w:multiLevelType w:val="hybridMultilevel"/>
    <w:tmpl w:val="DD4676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2" w15:restartNumberingAfterBreak="0">
    <w:nsid w:val="5C5037C6"/>
    <w:multiLevelType w:val="hybridMultilevel"/>
    <w:tmpl w:val="AEA47B8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3" w15:restartNumberingAfterBreak="0">
    <w:nsid w:val="72101115"/>
    <w:multiLevelType w:val="hybridMultilevel"/>
    <w:tmpl w:val="065C414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727F40F8"/>
    <w:multiLevelType w:val="hybridMultilevel"/>
    <w:tmpl w:val="4D04EA9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7AF30FFF"/>
    <w:multiLevelType w:val="hybridMultilevel"/>
    <w:tmpl w:val="C270DDB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6" w15:restartNumberingAfterBreak="0">
    <w:nsid w:val="7ED50957"/>
    <w:multiLevelType w:val="hybridMultilevel"/>
    <w:tmpl w:val="99247B06"/>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7" w15:restartNumberingAfterBreak="0">
    <w:nsid w:val="7FFD6A3A"/>
    <w:multiLevelType w:val="hybridMultilevel"/>
    <w:tmpl w:val="CB480554"/>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16cid:durableId="1973097781">
    <w:abstractNumId w:val="9"/>
  </w:num>
  <w:num w:numId="2" w16cid:durableId="1698702841">
    <w:abstractNumId w:val="7"/>
  </w:num>
  <w:num w:numId="3" w16cid:durableId="717702687">
    <w:abstractNumId w:val="6"/>
  </w:num>
  <w:num w:numId="4" w16cid:durableId="941306925">
    <w:abstractNumId w:val="5"/>
  </w:num>
  <w:num w:numId="5" w16cid:durableId="72899232">
    <w:abstractNumId w:val="4"/>
  </w:num>
  <w:num w:numId="6" w16cid:durableId="882596535">
    <w:abstractNumId w:val="8"/>
  </w:num>
  <w:num w:numId="7" w16cid:durableId="600065667">
    <w:abstractNumId w:val="3"/>
  </w:num>
  <w:num w:numId="8" w16cid:durableId="354306328">
    <w:abstractNumId w:val="2"/>
  </w:num>
  <w:num w:numId="9" w16cid:durableId="1632201894">
    <w:abstractNumId w:val="1"/>
  </w:num>
  <w:num w:numId="10" w16cid:durableId="1414161610">
    <w:abstractNumId w:val="0"/>
  </w:num>
  <w:num w:numId="11" w16cid:durableId="2100327434">
    <w:abstractNumId w:val="11"/>
  </w:num>
  <w:num w:numId="12" w16cid:durableId="515123582">
    <w:abstractNumId w:val="11"/>
  </w:num>
  <w:num w:numId="13" w16cid:durableId="2020278751">
    <w:abstractNumId w:val="11"/>
  </w:num>
  <w:num w:numId="14" w16cid:durableId="153188218">
    <w:abstractNumId w:val="25"/>
  </w:num>
  <w:num w:numId="15" w16cid:durableId="1252011192">
    <w:abstractNumId w:val="16"/>
  </w:num>
  <w:num w:numId="16" w16cid:durableId="1628856156">
    <w:abstractNumId w:val="24"/>
  </w:num>
  <w:num w:numId="17" w16cid:durableId="1871602388">
    <w:abstractNumId w:val="12"/>
  </w:num>
  <w:num w:numId="18" w16cid:durableId="1205410020">
    <w:abstractNumId w:val="14"/>
  </w:num>
  <w:num w:numId="19" w16cid:durableId="1246262535">
    <w:abstractNumId w:val="20"/>
  </w:num>
  <w:num w:numId="20" w16cid:durableId="1944992040">
    <w:abstractNumId w:val="15"/>
  </w:num>
  <w:num w:numId="21" w16cid:durableId="1383483095">
    <w:abstractNumId w:val="10"/>
  </w:num>
  <w:num w:numId="22" w16cid:durableId="1562058983">
    <w:abstractNumId w:val="26"/>
  </w:num>
  <w:num w:numId="23" w16cid:durableId="318310782">
    <w:abstractNumId w:val="22"/>
  </w:num>
  <w:num w:numId="24" w16cid:durableId="1972437477">
    <w:abstractNumId w:val="23"/>
  </w:num>
  <w:num w:numId="25" w16cid:durableId="648247039">
    <w:abstractNumId w:val="18"/>
  </w:num>
  <w:num w:numId="26" w16cid:durableId="1002391897">
    <w:abstractNumId w:val="27"/>
  </w:num>
  <w:num w:numId="27" w16cid:durableId="243533300">
    <w:abstractNumId w:val="21"/>
  </w:num>
  <w:num w:numId="28" w16cid:durableId="94598502">
    <w:abstractNumId w:val="17"/>
  </w:num>
  <w:num w:numId="29" w16cid:durableId="101846991">
    <w:abstractNumId w:val="19"/>
  </w:num>
  <w:num w:numId="30" w16cid:durableId="832330428">
    <w:abstractNumId w:val="19"/>
    <w:lvlOverride w:ilvl="0"/>
    <w:lvlOverride w:ilvl="1"/>
    <w:lvlOverride w:ilvl="2"/>
    <w:lvlOverride w:ilvl="3"/>
    <w:lvlOverride w:ilvl="4"/>
    <w:lvlOverride w:ilvl="5"/>
    <w:lvlOverride w:ilvl="6"/>
    <w:lvlOverride w:ilvl="7">
      <w:startOverride w:val="1"/>
    </w:lvlOverride>
    <w:lvlOverride w:ilvl="8">
      <w:startOverride w:val="1"/>
    </w:lvlOverride>
  </w:num>
  <w:num w:numId="31" w16cid:durableId="11452026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stylePaneFormatFilter w:val="5724" w:allStyles="0" w:customStyles="0" w:latentStyles="1" w:stylesInUse="0" w:headingStyles="1" w:numberingStyles="0" w:tableStyles="0" w:directFormattingOnRuns="1" w:directFormattingOnParagraphs="1" w:directFormattingOnNumbering="1" w:directFormattingOnTables="0" w:clearFormatting="1" w:top3HeadingStyles="0" w:visibleStyles="1"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NzQwt7QwMjU1sDA1MDdW0lEKTi0uzszPAykwrAUAMUUDtCwAAAA="/>
  </w:docVars>
  <w:rsids>
    <w:rsidRoot w:val="000F4067"/>
    <w:rsid w:val="00004E04"/>
    <w:rsid w:val="000135AD"/>
    <w:rsid w:val="00027622"/>
    <w:rsid w:val="000346F5"/>
    <w:rsid w:val="00035185"/>
    <w:rsid w:val="00062D06"/>
    <w:rsid w:val="000915D8"/>
    <w:rsid w:val="00096176"/>
    <w:rsid w:val="000A52E9"/>
    <w:rsid w:val="000B0242"/>
    <w:rsid w:val="000C6C38"/>
    <w:rsid w:val="000D0DE2"/>
    <w:rsid w:val="000E5870"/>
    <w:rsid w:val="000F4067"/>
    <w:rsid w:val="000F5292"/>
    <w:rsid w:val="00142163"/>
    <w:rsid w:val="00146493"/>
    <w:rsid w:val="0016396D"/>
    <w:rsid w:val="00167969"/>
    <w:rsid w:val="00181D82"/>
    <w:rsid w:val="001870FF"/>
    <w:rsid w:val="00192ECA"/>
    <w:rsid w:val="001A1E0F"/>
    <w:rsid w:val="001A5D48"/>
    <w:rsid w:val="001B40AE"/>
    <w:rsid w:val="001B6B91"/>
    <w:rsid w:val="001B7694"/>
    <w:rsid w:val="001C6CC6"/>
    <w:rsid w:val="001D6B62"/>
    <w:rsid w:val="00200B67"/>
    <w:rsid w:val="0021078B"/>
    <w:rsid w:val="00210AC9"/>
    <w:rsid w:val="00217E51"/>
    <w:rsid w:val="00220B48"/>
    <w:rsid w:val="002263FB"/>
    <w:rsid w:val="0023162D"/>
    <w:rsid w:val="00232CB1"/>
    <w:rsid w:val="00236025"/>
    <w:rsid w:val="00246D36"/>
    <w:rsid w:val="00270C52"/>
    <w:rsid w:val="00272B75"/>
    <w:rsid w:val="002A7F2A"/>
    <w:rsid w:val="002B3F52"/>
    <w:rsid w:val="002B46DE"/>
    <w:rsid w:val="002C4B7E"/>
    <w:rsid w:val="002F1A16"/>
    <w:rsid w:val="00315408"/>
    <w:rsid w:val="00316A98"/>
    <w:rsid w:val="00321BE0"/>
    <w:rsid w:val="0034180B"/>
    <w:rsid w:val="00346621"/>
    <w:rsid w:val="00347A90"/>
    <w:rsid w:val="00354051"/>
    <w:rsid w:val="00357D6B"/>
    <w:rsid w:val="00361137"/>
    <w:rsid w:val="00374E40"/>
    <w:rsid w:val="00376AF5"/>
    <w:rsid w:val="003A21A6"/>
    <w:rsid w:val="003A590F"/>
    <w:rsid w:val="003C1FF9"/>
    <w:rsid w:val="003C5D00"/>
    <w:rsid w:val="003C68BE"/>
    <w:rsid w:val="003E4B30"/>
    <w:rsid w:val="003E613C"/>
    <w:rsid w:val="00405A1C"/>
    <w:rsid w:val="00405F1B"/>
    <w:rsid w:val="0042628C"/>
    <w:rsid w:val="00431487"/>
    <w:rsid w:val="004427A2"/>
    <w:rsid w:val="00454F6C"/>
    <w:rsid w:val="00465E71"/>
    <w:rsid w:val="004805A1"/>
    <w:rsid w:val="0048633C"/>
    <w:rsid w:val="00491C85"/>
    <w:rsid w:val="00494F92"/>
    <w:rsid w:val="004A4F65"/>
    <w:rsid w:val="004D562E"/>
    <w:rsid w:val="004E5598"/>
    <w:rsid w:val="004F7742"/>
    <w:rsid w:val="00502A35"/>
    <w:rsid w:val="0051168B"/>
    <w:rsid w:val="00516235"/>
    <w:rsid w:val="005218E5"/>
    <w:rsid w:val="00576CDA"/>
    <w:rsid w:val="005822AC"/>
    <w:rsid w:val="005F069E"/>
    <w:rsid w:val="005F4D30"/>
    <w:rsid w:val="005F6CF1"/>
    <w:rsid w:val="00612799"/>
    <w:rsid w:val="00612A93"/>
    <w:rsid w:val="00625CC0"/>
    <w:rsid w:val="00637C8A"/>
    <w:rsid w:val="00647140"/>
    <w:rsid w:val="0066068D"/>
    <w:rsid w:val="00666CA6"/>
    <w:rsid w:val="0068772B"/>
    <w:rsid w:val="006920E6"/>
    <w:rsid w:val="00692E89"/>
    <w:rsid w:val="00697D60"/>
    <w:rsid w:val="006A0696"/>
    <w:rsid w:val="006A620C"/>
    <w:rsid w:val="006A71A4"/>
    <w:rsid w:val="006C45FC"/>
    <w:rsid w:val="006E0A85"/>
    <w:rsid w:val="006F7C6F"/>
    <w:rsid w:val="0071020F"/>
    <w:rsid w:val="00730AFC"/>
    <w:rsid w:val="00754FBA"/>
    <w:rsid w:val="00773F9A"/>
    <w:rsid w:val="00780EA5"/>
    <w:rsid w:val="00784E5C"/>
    <w:rsid w:val="007A3132"/>
    <w:rsid w:val="007B2597"/>
    <w:rsid w:val="007D7594"/>
    <w:rsid w:val="007E088B"/>
    <w:rsid w:val="007E465A"/>
    <w:rsid w:val="008004BF"/>
    <w:rsid w:val="00813585"/>
    <w:rsid w:val="0083747A"/>
    <w:rsid w:val="00843CDF"/>
    <w:rsid w:val="008475A9"/>
    <w:rsid w:val="008517F2"/>
    <w:rsid w:val="0088731A"/>
    <w:rsid w:val="00897D2A"/>
    <w:rsid w:val="008A7E42"/>
    <w:rsid w:val="008B2DDC"/>
    <w:rsid w:val="008C1E97"/>
    <w:rsid w:val="008D4B69"/>
    <w:rsid w:val="008E30CE"/>
    <w:rsid w:val="00900618"/>
    <w:rsid w:val="00902227"/>
    <w:rsid w:val="00916558"/>
    <w:rsid w:val="00923843"/>
    <w:rsid w:val="00930107"/>
    <w:rsid w:val="00933DD7"/>
    <w:rsid w:val="009439F4"/>
    <w:rsid w:val="009735DD"/>
    <w:rsid w:val="00973D8F"/>
    <w:rsid w:val="00997BCD"/>
    <w:rsid w:val="009A2732"/>
    <w:rsid w:val="009A2FA9"/>
    <w:rsid w:val="009A381D"/>
    <w:rsid w:val="009C56F1"/>
    <w:rsid w:val="009C6E70"/>
    <w:rsid w:val="009D371F"/>
    <w:rsid w:val="009D4464"/>
    <w:rsid w:val="009D5EE8"/>
    <w:rsid w:val="009D7163"/>
    <w:rsid w:val="009E7077"/>
    <w:rsid w:val="009F653D"/>
    <w:rsid w:val="00A02519"/>
    <w:rsid w:val="00A134ED"/>
    <w:rsid w:val="00A22402"/>
    <w:rsid w:val="00A31A41"/>
    <w:rsid w:val="00A3441A"/>
    <w:rsid w:val="00A41304"/>
    <w:rsid w:val="00A60BA8"/>
    <w:rsid w:val="00A710C4"/>
    <w:rsid w:val="00A739C0"/>
    <w:rsid w:val="00A8542F"/>
    <w:rsid w:val="00A87F23"/>
    <w:rsid w:val="00AA7AD1"/>
    <w:rsid w:val="00AB0E94"/>
    <w:rsid w:val="00AB225E"/>
    <w:rsid w:val="00AB28F4"/>
    <w:rsid w:val="00AB6EB7"/>
    <w:rsid w:val="00AD1B50"/>
    <w:rsid w:val="00AD29FF"/>
    <w:rsid w:val="00AE4BA7"/>
    <w:rsid w:val="00AF7291"/>
    <w:rsid w:val="00B1495A"/>
    <w:rsid w:val="00B2341F"/>
    <w:rsid w:val="00B353BD"/>
    <w:rsid w:val="00B36CE5"/>
    <w:rsid w:val="00B530DE"/>
    <w:rsid w:val="00B61F99"/>
    <w:rsid w:val="00B6252B"/>
    <w:rsid w:val="00B70B6D"/>
    <w:rsid w:val="00B71FE4"/>
    <w:rsid w:val="00B766C7"/>
    <w:rsid w:val="00BA0DB6"/>
    <w:rsid w:val="00BB1157"/>
    <w:rsid w:val="00BB237C"/>
    <w:rsid w:val="00BC50D2"/>
    <w:rsid w:val="00BD6E65"/>
    <w:rsid w:val="00BE2074"/>
    <w:rsid w:val="00BE7C3F"/>
    <w:rsid w:val="00BF4B2B"/>
    <w:rsid w:val="00C01250"/>
    <w:rsid w:val="00C0549F"/>
    <w:rsid w:val="00C0770E"/>
    <w:rsid w:val="00C1261A"/>
    <w:rsid w:val="00C205BC"/>
    <w:rsid w:val="00C24AA8"/>
    <w:rsid w:val="00C2747D"/>
    <w:rsid w:val="00C400A9"/>
    <w:rsid w:val="00C57D4D"/>
    <w:rsid w:val="00C71FC9"/>
    <w:rsid w:val="00C81B95"/>
    <w:rsid w:val="00C946A1"/>
    <w:rsid w:val="00CD0EA2"/>
    <w:rsid w:val="00CD4F93"/>
    <w:rsid w:val="00CD59B4"/>
    <w:rsid w:val="00D202CE"/>
    <w:rsid w:val="00D21089"/>
    <w:rsid w:val="00D34C4E"/>
    <w:rsid w:val="00D45E6C"/>
    <w:rsid w:val="00D63FAE"/>
    <w:rsid w:val="00D7732B"/>
    <w:rsid w:val="00DA009A"/>
    <w:rsid w:val="00DC308B"/>
    <w:rsid w:val="00DC6BA0"/>
    <w:rsid w:val="00DE0EE9"/>
    <w:rsid w:val="00DE495B"/>
    <w:rsid w:val="00DF5356"/>
    <w:rsid w:val="00DF5EB6"/>
    <w:rsid w:val="00E03672"/>
    <w:rsid w:val="00E34323"/>
    <w:rsid w:val="00E4007D"/>
    <w:rsid w:val="00E528C0"/>
    <w:rsid w:val="00E723A3"/>
    <w:rsid w:val="00E861E5"/>
    <w:rsid w:val="00E974DA"/>
    <w:rsid w:val="00EC2795"/>
    <w:rsid w:val="00EC46EF"/>
    <w:rsid w:val="00EF139E"/>
    <w:rsid w:val="00F046A5"/>
    <w:rsid w:val="00F1311E"/>
    <w:rsid w:val="00F21400"/>
    <w:rsid w:val="00F23B32"/>
    <w:rsid w:val="00F31FAB"/>
    <w:rsid w:val="00F3271D"/>
    <w:rsid w:val="00F52E4F"/>
    <w:rsid w:val="00F64D7D"/>
    <w:rsid w:val="00F663B4"/>
    <w:rsid w:val="00F7484D"/>
    <w:rsid w:val="00F87350"/>
    <w:rsid w:val="00F8750B"/>
    <w:rsid w:val="00F91E88"/>
    <w:rsid w:val="00FA0423"/>
    <w:rsid w:val="00FC519A"/>
    <w:rsid w:val="00FF09EF"/>
    <w:rsid w:val="01063D52"/>
    <w:rsid w:val="02FE254C"/>
    <w:rsid w:val="04D9231C"/>
    <w:rsid w:val="0500E080"/>
    <w:rsid w:val="06065810"/>
    <w:rsid w:val="07C9BEAD"/>
    <w:rsid w:val="08732686"/>
    <w:rsid w:val="0A31B059"/>
    <w:rsid w:val="0B4FEC84"/>
    <w:rsid w:val="0B847638"/>
    <w:rsid w:val="0C0AB627"/>
    <w:rsid w:val="0C6F0911"/>
    <w:rsid w:val="0D32AC12"/>
    <w:rsid w:val="0E305511"/>
    <w:rsid w:val="0F971B45"/>
    <w:rsid w:val="106A0C9F"/>
    <w:rsid w:val="11C571DD"/>
    <w:rsid w:val="13651603"/>
    <w:rsid w:val="141BD027"/>
    <w:rsid w:val="14CEF81F"/>
    <w:rsid w:val="15272550"/>
    <w:rsid w:val="1812A8C1"/>
    <w:rsid w:val="18AB511A"/>
    <w:rsid w:val="1A6CFB1E"/>
    <w:rsid w:val="1B8E3354"/>
    <w:rsid w:val="22AFEC68"/>
    <w:rsid w:val="236BD00F"/>
    <w:rsid w:val="2437083C"/>
    <w:rsid w:val="251DBCA5"/>
    <w:rsid w:val="257E8163"/>
    <w:rsid w:val="285F7699"/>
    <w:rsid w:val="299C0E91"/>
    <w:rsid w:val="29BA7453"/>
    <w:rsid w:val="2A874A84"/>
    <w:rsid w:val="2BC79B04"/>
    <w:rsid w:val="2E071F51"/>
    <w:rsid w:val="31B7A6AC"/>
    <w:rsid w:val="32FB5F04"/>
    <w:rsid w:val="34128245"/>
    <w:rsid w:val="361E30F2"/>
    <w:rsid w:val="3C0BD437"/>
    <w:rsid w:val="3CB24C82"/>
    <w:rsid w:val="3D75F828"/>
    <w:rsid w:val="3DC9C81D"/>
    <w:rsid w:val="4025B525"/>
    <w:rsid w:val="4069B981"/>
    <w:rsid w:val="43585C6A"/>
    <w:rsid w:val="4380B595"/>
    <w:rsid w:val="4ADBF672"/>
    <w:rsid w:val="4B91EE98"/>
    <w:rsid w:val="4F016EBF"/>
    <w:rsid w:val="4FAFC002"/>
    <w:rsid w:val="50271BCF"/>
    <w:rsid w:val="5087817F"/>
    <w:rsid w:val="516D6F94"/>
    <w:rsid w:val="51FF5F1C"/>
    <w:rsid w:val="526D3040"/>
    <w:rsid w:val="553400B2"/>
    <w:rsid w:val="556DD421"/>
    <w:rsid w:val="559162B8"/>
    <w:rsid w:val="57D2EB0B"/>
    <w:rsid w:val="5B5384D5"/>
    <w:rsid w:val="5EE9B59F"/>
    <w:rsid w:val="5F381A91"/>
    <w:rsid w:val="610B3AD0"/>
    <w:rsid w:val="622E32AE"/>
    <w:rsid w:val="64EC1440"/>
    <w:rsid w:val="66298F3E"/>
    <w:rsid w:val="663F1DAA"/>
    <w:rsid w:val="67871BB3"/>
    <w:rsid w:val="67D87011"/>
    <w:rsid w:val="681CAB36"/>
    <w:rsid w:val="6A112AF4"/>
    <w:rsid w:val="6D6BF68E"/>
    <w:rsid w:val="6DA12790"/>
    <w:rsid w:val="6E32D023"/>
    <w:rsid w:val="731214C1"/>
    <w:rsid w:val="752A5E27"/>
    <w:rsid w:val="766F9CF6"/>
    <w:rsid w:val="76981A75"/>
    <w:rsid w:val="7C014259"/>
    <w:rsid w:val="7FF58FF7"/>
  </w:rsids>
  <m:mathPr>
    <m:mathFont m:val="Cambria Math"/>
    <m:brkBin m:val="before"/>
    <m:brkBinSub m:val="--"/>
    <m:smallFrac m:val="0"/>
    <m:dispDef/>
    <m:lMargin m:val="0"/>
    <m:rMargin m:val="0"/>
    <m:defJc m:val="centerGroup"/>
    <m:wrapIndent m:val="1440"/>
    <m:intLim m:val="subSup"/>
    <m:naryLim m:val="undOvr"/>
  </m:mathPr>
  <w:themeFontLang w:val="en-AU"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FB88A28"/>
  <w15:docId w15:val="{3DF42C86-DCDA-4D8D-AC21-49B9288DC3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12A93"/>
    <w:pPr>
      <w:spacing w:after="151" w:line="280" w:lineRule="atLeast"/>
    </w:pPr>
    <w:rPr>
      <w:rFonts w:ascii="Arial" w:hAnsi="Arial"/>
      <w:szCs w:val="22"/>
      <w:lang w:eastAsia="en-US"/>
    </w:rPr>
  </w:style>
  <w:style w:type="paragraph" w:styleId="Heading1">
    <w:name w:val="heading 1"/>
    <w:basedOn w:val="Normal"/>
    <w:next w:val="Normal"/>
    <w:link w:val="Heading1Char"/>
    <w:uiPriority w:val="9"/>
    <w:qFormat/>
    <w:rsid w:val="009E7077"/>
    <w:pPr>
      <w:keepNext/>
      <w:keepLines/>
      <w:spacing w:before="302" w:after="113" w:line="340" w:lineRule="atLeast"/>
      <w:outlineLvl w:val="0"/>
    </w:pPr>
    <w:rPr>
      <w:rFonts w:eastAsia="Times New Roman"/>
      <w:bCs/>
      <w:color w:val="69BE28"/>
      <w:sz w:val="28"/>
      <w:szCs w:val="28"/>
    </w:rPr>
  </w:style>
  <w:style w:type="paragraph" w:styleId="Heading2">
    <w:name w:val="heading 2"/>
    <w:basedOn w:val="Normal"/>
    <w:next w:val="Normal"/>
    <w:link w:val="Heading2Char"/>
    <w:uiPriority w:val="9"/>
    <w:qFormat/>
    <w:rsid w:val="00316A98"/>
    <w:pPr>
      <w:keepNext/>
      <w:keepLines/>
      <w:spacing w:before="189" w:after="113"/>
      <w:outlineLvl w:val="1"/>
    </w:pPr>
    <w:rPr>
      <w:rFonts w:eastAsia="Times New Roman"/>
      <w:b/>
      <w:bCs/>
      <w:color w:val="ACA095"/>
      <w:sz w:val="23"/>
      <w:szCs w:val="26"/>
    </w:rPr>
  </w:style>
  <w:style w:type="paragraph" w:styleId="Heading3">
    <w:name w:val="heading 3"/>
    <w:basedOn w:val="Normal"/>
    <w:next w:val="Normal"/>
    <w:link w:val="Heading3Char"/>
    <w:uiPriority w:val="9"/>
    <w:qFormat/>
    <w:rsid w:val="002F1A16"/>
    <w:pPr>
      <w:keepNext/>
      <w:keepLines/>
      <w:spacing w:before="189" w:after="113"/>
      <w:outlineLvl w:val="2"/>
    </w:pPr>
    <w:rPr>
      <w:rFonts w:ascii="Arial Bold" w:eastAsia="Times New Roman" w:hAnsi="Arial Bold"/>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FrontPageSubhead">
    <w:name w:val="Front Page Subhead"/>
    <w:basedOn w:val="Normal"/>
    <w:next w:val="Normal"/>
    <w:uiPriority w:val="1"/>
    <w:rsid w:val="009A381D"/>
    <w:pPr>
      <w:spacing w:line="320" w:lineRule="atLeast"/>
      <w:jc w:val="right"/>
    </w:pPr>
    <w:rPr>
      <w:color w:val="7A7A7A"/>
      <w:sz w:val="28"/>
    </w:rPr>
  </w:style>
  <w:style w:type="paragraph" w:styleId="BodyText">
    <w:name w:val="Body Text"/>
    <w:basedOn w:val="Normal"/>
    <w:link w:val="BodyTextChar"/>
    <w:uiPriority w:val="99"/>
    <w:semiHidden/>
    <w:unhideWhenUsed/>
    <w:rsid w:val="00BC50D2"/>
  </w:style>
  <w:style w:type="character" w:customStyle="1" w:styleId="BodyTextChar">
    <w:name w:val="Body Text Char"/>
    <w:link w:val="BodyText"/>
    <w:uiPriority w:val="99"/>
    <w:semiHidden/>
    <w:rsid w:val="00BC50D2"/>
    <w:rPr>
      <w:rFonts w:ascii="Arial" w:hAnsi="Arial"/>
      <w:sz w:val="20"/>
    </w:rPr>
  </w:style>
  <w:style w:type="paragraph" w:styleId="Title">
    <w:name w:val="Title"/>
    <w:aliases w:val="Front Page"/>
    <w:basedOn w:val="Normal"/>
    <w:link w:val="TitleChar"/>
    <w:uiPriority w:val="10"/>
    <w:qFormat/>
    <w:rsid w:val="00236025"/>
    <w:pPr>
      <w:spacing w:after="0" w:line="640" w:lineRule="atLeast"/>
      <w:contextualSpacing/>
      <w:jc w:val="right"/>
    </w:pPr>
    <w:rPr>
      <w:rFonts w:eastAsia="Times New Roman"/>
      <w:color w:val="7A7A7A"/>
      <w:spacing w:val="5"/>
      <w:kern w:val="28"/>
      <w:sz w:val="68"/>
      <w:szCs w:val="52"/>
    </w:rPr>
  </w:style>
  <w:style w:type="character" w:customStyle="1" w:styleId="TitleChar">
    <w:name w:val="Title Char"/>
    <w:aliases w:val="Front Page Char"/>
    <w:link w:val="Title"/>
    <w:uiPriority w:val="10"/>
    <w:rsid w:val="00236025"/>
    <w:rPr>
      <w:rFonts w:ascii="Arial" w:eastAsia="Times New Roman" w:hAnsi="Arial" w:cs="Times New Roman"/>
      <w:color w:val="7A7A7A"/>
      <w:spacing w:val="5"/>
      <w:kern w:val="28"/>
      <w:sz w:val="68"/>
      <w:szCs w:val="52"/>
    </w:rPr>
  </w:style>
  <w:style w:type="paragraph" w:customStyle="1" w:styleId="Heading">
    <w:name w:val="Heading"/>
    <w:basedOn w:val="Normal"/>
    <w:next w:val="Normal"/>
    <w:rsid w:val="00EF139E"/>
    <w:pPr>
      <w:spacing w:after="0" w:line="360" w:lineRule="atLeast"/>
    </w:pPr>
    <w:rPr>
      <w:color w:val="7A7A7A"/>
      <w:sz w:val="36"/>
    </w:rPr>
  </w:style>
  <w:style w:type="paragraph" w:customStyle="1" w:styleId="Introduction">
    <w:name w:val="Introduction"/>
    <w:basedOn w:val="Normal"/>
    <w:next w:val="Normal"/>
    <w:qFormat/>
    <w:rsid w:val="009D7163"/>
    <w:pPr>
      <w:spacing w:after="170" w:line="320" w:lineRule="atLeast"/>
    </w:pPr>
    <w:rPr>
      <w:color w:val="4D4D4D"/>
      <w:sz w:val="24"/>
    </w:rPr>
  </w:style>
  <w:style w:type="character" w:customStyle="1" w:styleId="Heading1Char">
    <w:name w:val="Heading 1 Char"/>
    <w:link w:val="Heading1"/>
    <w:uiPriority w:val="9"/>
    <w:rsid w:val="009E7077"/>
    <w:rPr>
      <w:rFonts w:ascii="Arial" w:eastAsia="Times New Roman" w:hAnsi="Arial" w:cs="Times New Roman"/>
      <w:bCs/>
      <w:color w:val="69BE28"/>
      <w:sz w:val="28"/>
      <w:szCs w:val="28"/>
    </w:rPr>
  </w:style>
  <w:style w:type="table" w:customStyle="1" w:styleId="TableGrid11">
    <w:name w:val="Table Grid11"/>
    <w:basedOn w:val="TableNormal"/>
    <w:next w:val="TableGrid"/>
    <w:uiPriority w:val="59"/>
    <w:rsid w:val="00316A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link w:val="Heading2"/>
    <w:uiPriority w:val="9"/>
    <w:rsid w:val="00316A98"/>
    <w:rPr>
      <w:rFonts w:ascii="Arial" w:eastAsia="Times New Roman" w:hAnsi="Arial" w:cs="Times New Roman"/>
      <w:b/>
      <w:bCs/>
      <w:color w:val="ACA095"/>
      <w:sz w:val="23"/>
      <w:szCs w:val="26"/>
    </w:rPr>
  </w:style>
  <w:style w:type="character" w:customStyle="1" w:styleId="Heading3Char">
    <w:name w:val="Heading 3 Char"/>
    <w:link w:val="Heading3"/>
    <w:uiPriority w:val="9"/>
    <w:rsid w:val="002F1A16"/>
    <w:rPr>
      <w:rFonts w:ascii="Arial Bold" w:eastAsia="Times New Roman" w:hAnsi="Arial Bold" w:cs="Times New Roman"/>
      <w:b/>
      <w:bCs/>
      <w:sz w:val="20"/>
    </w:rPr>
  </w:style>
  <w:style w:type="paragraph" w:customStyle="1" w:styleId="Entity">
    <w:name w:val="Entity"/>
    <w:basedOn w:val="Normal"/>
    <w:uiPriority w:val="1"/>
    <w:rsid w:val="00354051"/>
    <w:pPr>
      <w:spacing w:after="0"/>
      <w:jc w:val="right"/>
    </w:pPr>
    <w:rPr>
      <w:color w:val="4D4D4D"/>
      <w:sz w:val="24"/>
    </w:rPr>
  </w:style>
  <w:style w:type="paragraph" w:styleId="Quote">
    <w:name w:val="Quote"/>
    <w:basedOn w:val="Normal"/>
    <w:next w:val="Normal"/>
    <w:link w:val="QuoteChar"/>
    <w:uiPriority w:val="29"/>
    <w:qFormat/>
    <w:rsid w:val="00BC50D2"/>
    <w:pPr>
      <w:spacing w:after="0"/>
    </w:pPr>
    <w:rPr>
      <w:iCs/>
      <w:color w:val="7A7A7A"/>
    </w:rPr>
  </w:style>
  <w:style w:type="character" w:customStyle="1" w:styleId="QuoteChar">
    <w:name w:val="Quote Char"/>
    <w:link w:val="Quote"/>
    <w:uiPriority w:val="29"/>
    <w:rsid w:val="00BC50D2"/>
    <w:rPr>
      <w:rFonts w:ascii="Arial" w:hAnsi="Arial"/>
      <w:iCs/>
      <w:color w:val="7A7A7A"/>
      <w:sz w:val="20"/>
    </w:rPr>
  </w:style>
  <w:style w:type="paragraph" w:customStyle="1" w:styleId="BulletPoints">
    <w:name w:val="Bullet Points"/>
    <w:basedOn w:val="Normal"/>
    <w:uiPriority w:val="1"/>
    <w:qFormat/>
    <w:rsid w:val="009E7077"/>
    <w:pPr>
      <w:numPr>
        <w:numId w:val="11"/>
      </w:numPr>
      <w:spacing w:after="75"/>
    </w:pPr>
  </w:style>
  <w:style w:type="paragraph" w:styleId="Caption">
    <w:name w:val="caption"/>
    <w:basedOn w:val="Normal"/>
    <w:next w:val="Normal"/>
    <w:uiPriority w:val="35"/>
    <w:qFormat/>
    <w:rsid w:val="000915D8"/>
    <w:pPr>
      <w:spacing w:after="75" w:line="180" w:lineRule="atLeast"/>
    </w:pPr>
    <w:rPr>
      <w:b/>
      <w:bCs/>
      <w:sz w:val="14"/>
      <w:szCs w:val="18"/>
    </w:rPr>
  </w:style>
  <w:style w:type="paragraph" w:customStyle="1" w:styleId="TTYMandatoryStatement">
    <w:name w:val="TTY Mandatory Statement"/>
    <w:basedOn w:val="Normal"/>
    <w:uiPriority w:val="1"/>
    <w:rsid w:val="00217E51"/>
    <w:pPr>
      <w:spacing w:line="190" w:lineRule="atLeast"/>
    </w:pPr>
    <w:rPr>
      <w:sz w:val="14"/>
    </w:rPr>
  </w:style>
  <w:style w:type="paragraph" w:customStyle="1" w:styleId="ForMoreInformation">
    <w:name w:val="For More Information"/>
    <w:basedOn w:val="Normal"/>
    <w:uiPriority w:val="1"/>
    <w:rsid w:val="00217E51"/>
    <w:pPr>
      <w:spacing w:after="264" w:line="336" w:lineRule="atLeast"/>
    </w:pPr>
    <w:rPr>
      <w:sz w:val="28"/>
    </w:rPr>
  </w:style>
  <w:style w:type="paragraph" w:customStyle="1" w:styleId="ContactDetails">
    <w:name w:val="Contact Details"/>
    <w:basedOn w:val="Normal"/>
    <w:uiPriority w:val="1"/>
    <w:rsid w:val="00612A93"/>
    <w:pPr>
      <w:spacing w:after="0" w:line="220" w:lineRule="atLeast"/>
      <w:contextualSpacing/>
    </w:pPr>
    <w:rPr>
      <w:b/>
      <w:sz w:val="18"/>
    </w:rPr>
  </w:style>
  <w:style w:type="paragraph" w:customStyle="1" w:styleId="OtherDetails">
    <w:name w:val="Other Details"/>
    <w:basedOn w:val="ContactDetails"/>
    <w:uiPriority w:val="1"/>
    <w:rsid w:val="001C6CC6"/>
    <w:pPr>
      <w:spacing w:after="189" w:line="200" w:lineRule="atLeast"/>
    </w:pPr>
    <w:rPr>
      <w:b w:val="0"/>
      <w:i/>
      <w:sz w:val="16"/>
    </w:rPr>
  </w:style>
  <w:style w:type="paragraph" w:customStyle="1" w:styleId="SAHealthDisclaimer">
    <w:name w:val="SA Health Disclaimer"/>
    <w:basedOn w:val="Normal"/>
    <w:uiPriority w:val="1"/>
    <w:rsid w:val="00612A93"/>
    <w:pPr>
      <w:spacing w:before="189" w:after="0" w:line="120" w:lineRule="atLeast"/>
    </w:pPr>
    <w:rPr>
      <w:sz w:val="10"/>
    </w:rPr>
  </w:style>
  <w:style w:type="character" w:styleId="Hyperlink">
    <w:name w:val="Hyperlink"/>
    <w:uiPriority w:val="99"/>
    <w:unhideWhenUsed/>
    <w:rsid w:val="009E7077"/>
    <w:rPr>
      <w:rFonts w:ascii="Arial" w:hAnsi="Arial"/>
      <w:color w:val="69BE28"/>
      <w:sz w:val="18"/>
      <w:u w:val="single"/>
    </w:rPr>
  </w:style>
  <w:style w:type="character" w:customStyle="1" w:styleId="ReverseStyleusedwithdarkbackgrounds">
    <w:name w:val="Reverse Style used with dark backgrounds"/>
    <w:uiPriority w:val="1"/>
    <w:rsid w:val="0066068D"/>
    <w:rPr>
      <w:color w:val="FFFFFF"/>
    </w:rPr>
  </w:style>
  <w:style w:type="paragraph" w:styleId="Header">
    <w:name w:val="header"/>
    <w:basedOn w:val="Normal"/>
    <w:link w:val="HeaderChar"/>
    <w:uiPriority w:val="99"/>
    <w:unhideWhenUsed/>
    <w:rsid w:val="000B0242"/>
    <w:pPr>
      <w:tabs>
        <w:tab w:val="center" w:pos="4513"/>
        <w:tab w:val="right" w:pos="9026"/>
      </w:tabs>
      <w:spacing w:after="0" w:line="240" w:lineRule="auto"/>
    </w:pPr>
  </w:style>
  <w:style w:type="character" w:customStyle="1" w:styleId="HeaderChar">
    <w:name w:val="Header Char"/>
    <w:link w:val="Header"/>
    <w:uiPriority w:val="99"/>
    <w:rsid w:val="000B0242"/>
    <w:rPr>
      <w:rFonts w:ascii="Arial" w:hAnsi="Arial"/>
      <w:sz w:val="20"/>
    </w:rPr>
  </w:style>
  <w:style w:type="paragraph" w:styleId="Footer">
    <w:name w:val="footer"/>
    <w:basedOn w:val="Normal"/>
    <w:link w:val="FooterChar"/>
    <w:uiPriority w:val="99"/>
    <w:unhideWhenUsed/>
    <w:rsid w:val="000B0242"/>
    <w:pPr>
      <w:tabs>
        <w:tab w:val="center" w:pos="4513"/>
        <w:tab w:val="right" w:pos="9026"/>
      </w:tabs>
      <w:spacing w:after="0" w:line="240" w:lineRule="auto"/>
    </w:pPr>
  </w:style>
  <w:style w:type="character" w:customStyle="1" w:styleId="FooterChar">
    <w:name w:val="Footer Char"/>
    <w:link w:val="Footer"/>
    <w:uiPriority w:val="99"/>
    <w:rsid w:val="000B0242"/>
    <w:rPr>
      <w:rFonts w:ascii="Arial" w:hAnsi="Arial"/>
      <w:sz w:val="20"/>
    </w:rPr>
  </w:style>
  <w:style w:type="paragraph" w:styleId="BalloonText">
    <w:name w:val="Balloon Text"/>
    <w:basedOn w:val="Normal"/>
    <w:link w:val="BalloonTextChar"/>
    <w:uiPriority w:val="99"/>
    <w:semiHidden/>
    <w:unhideWhenUsed/>
    <w:rsid w:val="000B0242"/>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0B0242"/>
    <w:rPr>
      <w:rFonts w:ascii="Tahoma" w:hAnsi="Tahoma" w:cs="Tahoma"/>
      <w:sz w:val="16"/>
      <w:szCs w:val="16"/>
    </w:rPr>
  </w:style>
  <w:style w:type="paragraph" w:customStyle="1" w:styleId="FrontPagesecondarytitle">
    <w:name w:val="Front Page secondary title"/>
    <w:basedOn w:val="Introduction"/>
    <w:rsid w:val="001B6B91"/>
    <w:pPr>
      <w:jc w:val="right"/>
    </w:pPr>
    <w:rPr>
      <w:rFonts w:eastAsia="Times New Roman"/>
      <w:szCs w:val="20"/>
    </w:rPr>
  </w:style>
  <w:style w:type="table" w:customStyle="1" w:styleId="SAHealthTable1">
    <w:name w:val="SA Health Table 1"/>
    <w:basedOn w:val="TableGrid1"/>
    <w:uiPriority w:val="99"/>
    <w:rsid w:val="00B61F99"/>
    <w:pPr>
      <w:jc w:val="center"/>
    </w:pPr>
    <w:rPr>
      <w:rFonts w:ascii="Arial" w:hAnsi="Arial"/>
      <w:lang w:val="en-US" w:eastAsia="ja-JP"/>
    </w:rPr>
    <w:tblPr>
      <w:tblStyleRowBandSize w:val="1"/>
      <w:tblBorders>
        <w:top w:val="single" w:sz="4" w:space="0" w:color="auto"/>
        <w:left w:val="single" w:sz="4" w:space="0" w:color="auto"/>
        <w:bottom w:val="single" w:sz="4" w:space="0" w:color="auto"/>
        <w:right w:val="single" w:sz="4" w:space="0" w:color="auto"/>
        <w:insideH w:val="none" w:sz="0" w:space="0" w:color="auto"/>
        <w:insideV w:val="single" w:sz="4" w:space="0" w:color="auto"/>
      </w:tblBorders>
    </w:tblPr>
    <w:tcPr>
      <w:shd w:val="clear" w:color="auto" w:fill="auto"/>
      <w:vAlign w:val="center"/>
    </w:tcPr>
    <w:tblStylePr w:type="firstRow">
      <w:pPr>
        <w:jc w:val="center"/>
      </w:pPr>
      <w:rPr>
        <w:b/>
      </w:rPr>
      <w:tblPr/>
      <w:tcPr>
        <w:tcBorders>
          <w:top w:val="single" w:sz="4" w:space="0" w:color="auto"/>
          <w:left w:val="single" w:sz="4" w:space="0" w:color="auto"/>
          <w:bottom w:val="single" w:sz="4" w:space="0" w:color="auto"/>
          <w:right w:val="single" w:sz="4" w:space="0" w:color="auto"/>
          <w:insideH w:val="nil"/>
          <w:insideV w:val="nil"/>
          <w:tl2br w:val="nil"/>
          <w:tr2bl w:val="nil"/>
        </w:tcBorders>
        <w:shd w:val="clear" w:color="auto" w:fill="D9D9D9"/>
      </w:tcPr>
    </w:tblStylePr>
    <w:tblStylePr w:type="lastRow">
      <w:rPr>
        <w:b/>
        <w:i w:val="0"/>
        <w:iCs/>
      </w:rPr>
      <w:tblPr/>
      <w:tcPr>
        <w:tcBorders>
          <w:top w:val="single" w:sz="4" w:space="0" w:color="auto"/>
          <w:left w:val="single" w:sz="4" w:space="0" w:color="auto"/>
          <w:bottom w:val="single" w:sz="4" w:space="0" w:color="auto"/>
          <w:right w:val="single" w:sz="4" w:space="0" w:color="auto"/>
          <w:insideH w:val="nil"/>
          <w:insideV w:val="single" w:sz="4" w:space="0" w:color="auto"/>
          <w:tl2br w:val="nil"/>
          <w:tr2bl w:val="nil"/>
        </w:tcBorders>
        <w:shd w:val="clear" w:color="auto" w:fill="auto"/>
      </w:tcPr>
    </w:tblStylePr>
    <w:tblStylePr w:type="firstCol">
      <w:pPr>
        <w:jc w:val="left"/>
      </w:pPr>
    </w:tblStylePr>
    <w:tblStylePr w:type="lastCol">
      <w:pPr>
        <w:jc w:val="center"/>
      </w:pPr>
      <w:rPr>
        <w:i w:val="0"/>
        <w:iCs/>
      </w:rPr>
      <w:tblPr/>
      <w:tcPr>
        <w:tcBorders>
          <w:tl2br w:val="none" w:sz="0" w:space="0" w:color="auto"/>
          <w:tr2bl w:val="none" w:sz="0" w:space="0" w:color="auto"/>
        </w:tcBorders>
      </w:tcPr>
    </w:tblStylePr>
    <w:tblStylePr w:type="nwCell">
      <w:pPr>
        <w:jc w:val="left"/>
      </w:pPr>
    </w:tblStylePr>
    <w:tblStylePr w:type="swCell">
      <w:pPr>
        <w:jc w:val="left"/>
      </w:pPr>
    </w:tblStylePr>
  </w:style>
  <w:style w:type="table" w:styleId="TableGrid1">
    <w:name w:val="Table Grid 1"/>
    <w:basedOn w:val="TableNormal"/>
    <w:uiPriority w:val="99"/>
    <w:semiHidden/>
    <w:unhideWhenUsed/>
    <w:rsid w:val="00B61F99"/>
    <w:pPr>
      <w:spacing w:after="151" w:line="24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customStyle="1" w:styleId="SAHealthTable2">
    <w:name w:val="SA Health Table 2"/>
    <w:basedOn w:val="TableNormal"/>
    <w:uiPriority w:val="99"/>
    <w:rsid w:val="00B61F99"/>
    <w:pPr>
      <w:jc w:val="right"/>
    </w:pPr>
    <w:rPr>
      <w:rFonts w:ascii="Arial" w:hAnsi="Arial"/>
    </w:rPr>
    <w:tblPr/>
    <w:tcPr>
      <w:vAlign w:val="center"/>
    </w:tcPr>
    <w:tblStylePr w:type="firstRow">
      <w:pPr>
        <w:jc w:val="right"/>
      </w:pPr>
      <w:rPr>
        <w:b/>
      </w:rPr>
      <w:tblPr/>
      <w:tcPr>
        <w:tcBorders>
          <w:top w:val="single" w:sz="4" w:space="0" w:color="auto"/>
          <w:left w:val="nil"/>
          <w:bottom w:val="single" w:sz="4" w:space="0" w:color="auto"/>
          <w:right w:val="nil"/>
          <w:insideH w:val="nil"/>
          <w:insideV w:val="nil"/>
          <w:tl2br w:val="nil"/>
          <w:tr2bl w:val="nil"/>
        </w:tcBorders>
      </w:tcPr>
    </w:tblStylePr>
    <w:tblStylePr w:type="lastRow">
      <w:rPr>
        <w:b/>
      </w:rPr>
      <w:tblPr/>
      <w:tcPr>
        <w:tcBorders>
          <w:top w:val="nil"/>
          <w:left w:val="nil"/>
          <w:bottom w:val="single" w:sz="4" w:space="0" w:color="auto"/>
          <w:right w:val="nil"/>
          <w:insideH w:val="nil"/>
          <w:insideV w:val="nil"/>
          <w:tl2br w:val="nil"/>
          <w:tr2bl w:val="nil"/>
        </w:tcBorders>
      </w:tcPr>
    </w:tblStylePr>
    <w:tblStylePr w:type="firstCol">
      <w:pPr>
        <w:jc w:val="left"/>
      </w:pPr>
    </w:tblStylePr>
    <w:tblStylePr w:type="nwCell">
      <w:pPr>
        <w:jc w:val="left"/>
      </w:pPr>
    </w:tblStylePr>
    <w:tblStylePr w:type="swCell">
      <w:pPr>
        <w:jc w:val="left"/>
      </w:pPr>
    </w:tblStylePr>
  </w:style>
  <w:style w:type="table" w:customStyle="1" w:styleId="SAHealthTable3">
    <w:name w:val="SA Health Table 3"/>
    <w:basedOn w:val="TableNormal"/>
    <w:uiPriority w:val="99"/>
    <w:rsid w:val="00B61F99"/>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pPr>
        <w:jc w:val="left"/>
      </w:pPr>
      <w:rPr>
        <w:color w:val="FFFFFF"/>
      </w:rPr>
      <w:tblPr/>
      <w:tcPr>
        <w:tcBorders>
          <w:top w:val="single" w:sz="4" w:space="0" w:color="auto"/>
          <w:left w:val="single" w:sz="4" w:space="0" w:color="auto"/>
          <w:bottom w:val="single" w:sz="4" w:space="0" w:color="auto"/>
          <w:right w:val="single" w:sz="4" w:space="0" w:color="auto"/>
          <w:insideH w:val="single" w:sz="4" w:space="0" w:color="FFFFFF"/>
          <w:insideV w:val="single" w:sz="4" w:space="0" w:color="FFFFFF"/>
        </w:tcBorders>
        <w:shd w:val="clear" w:color="auto" w:fill="0092CF"/>
      </w:tcPr>
    </w:tblStylePr>
  </w:style>
  <w:style w:type="table" w:customStyle="1" w:styleId="SAHealthTable4">
    <w:name w:val="SA Health Table 4"/>
    <w:basedOn w:val="TableNormal"/>
    <w:uiPriority w:val="99"/>
    <w:rsid w:val="00B61F99"/>
    <w:pPr>
      <w:jc w:val="center"/>
    </w:pPr>
    <w:rPr>
      <w:rFonts w:ascii="Arial" w:hAnsi="Arial"/>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blStylePr w:type="firstRow">
      <w:pPr>
        <w:jc w:val="left"/>
      </w:pPr>
      <w:rPr>
        <w:color w:val="FFFFFF"/>
      </w:rPr>
      <w:tblPr/>
      <w:tcPr>
        <w:shd w:val="clear" w:color="auto" w:fill="0092CF"/>
        <w:vAlign w:val="center"/>
      </w:tcPr>
    </w:tblStylePr>
    <w:tblStylePr w:type="firstCol">
      <w:pPr>
        <w:jc w:val="left"/>
      </w:pPr>
    </w:tblStylePr>
    <w:tblStylePr w:type="band1Horz">
      <w:tblPr/>
      <w:tcPr>
        <w:shd w:val="clear" w:color="auto" w:fill="DEEDF8"/>
      </w:tcPr>
    </w:tblStylePr>
  </w:style>
  <w:style w:type="table" w:styleId="TableGrid">
    <w:name w:val="Table Grid"/>
    <w:basedOn w:val="TableNormal"/>
    <w:rsid w:val="00B61F9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 Grid1"/>
    <w:basedOn w:val="TableNormal"/>
    <w:next w:val="TableGrid"/>
    <w:uiPriority w:val="59"/>
    <w:rsid w:val="00AA7AD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E7077"/>
    <w:pPr>
      <w:ind w:left="720"/>
      <w:contextualSpacing/>
    </w:pPr>
  </w:style>
  <w:style w:type="paragraph" w:styleId="NoSpacing">
    <w:name w:val="No Spacing"/>
    <w:uiPriority w:val="1"/>
    <w:rsid w:val="009E7077"/>
    <w:rPr>
      <w:rFonts w:ascii="Arial" w:hAnsi="Arial"/>
      <w:szCs w:val="22"/>
      <w:lang w:eastAsia="en-US"/>
    </w:rPr>
  </w:style>
  <w:style w:type="paragraph" w:customStyle="1" w:styleId="InfoClass">
    <w:name w:val="Info Class"/>
    <w:basedOn w:val="Normal"/>
    <w:qFormat/>
    <w:rsid w:val="00612A93"/>
    <w:pPr>
      <w:spacing w:before="60" w:line="220" w:lineRule="atLeast"/>
    </w:pPr>
    <w:rPr>
      <w:color w:val="000000"/>
      <w:sz w:val="14"/>
    </w:rPr>
  </w:style>
  <w:style w:type="paragraph" w:customStyle="1" w:styleId="Default">
    <w:name w:val="Default"/>
    <w:rsid w:val="00AB0E94"/>
    <w:pPr>
      <w:autoSpaceDE w:val="0"/>
      <w:autoSpaceDN w:val="0"/>
      <w:adjustRightInd w:val="0"/>
    </w:pPr>
    <w:rPr>
      <w:rFonts w:ascii="Helvetica" w:eastAsia="Times New Roman" w:hAnsi="Helvetica" w:cs="Helvetica"/>
      <w:color w:val="000000"/>
      <w:sz w:val="24"/>
      <w:szCs w:val="24"/>
    </w:rPr>
  </w:style>
  <w:style w:type="paragraph" w:customStyle="1" w:styleId="CM74">
    <w:name w:val="CM74"/>
    <w:basedOn w:val="Default"/>
    <w:next w:val="Default"/>
    <w:uiPriority w:val="99"/>
    <w:rsid w:val="00D21089"/>
    <w:rPr>
      <w:color w:val="auto"/>
    </w:rPr>
  </w:style>
  <w:style w:type="paragraph" w:customStyle="1" w:styleId="CM78">
    <w:name w:val="CM78"/>
    <w:basedOn w:val="Default"/>
    <w:next w:val="Default"/>
    <w:uiPriority w:val="99"/>
    <w:rsid w:val="00D21089"/>
    <w:rPr>
      <w:color w:val="auto"/>
    </w:rPr>
  </w:style>
  <w:style w:type="paragraph" w:customStyle="1" w:styleId="CM75">
    <w:name w:val="CM75"/>
    <w:basedOn w:val="Default"/>
    <w:next w:val="Default"/>
    <w:uiPriority w:val="99"/>
    <w:rsid w:val="00D21089"/>
    <w:rPr>
      <w:color w:val="auto"/>
    </w:rPr>
  </w:style>
  <w:style w:type="paragraph" w:styleId="TOCHeading">
    <w:name w:val="TOC Heading"/>
    <w:basedOn w:val="Heading1"/>
    <w:next w:val="Normal"/>
    <w:uiPriority w:val="39"/>
    <w:semiHidden/>
    <w:unhideWhenUsed/>
    <w:qFormat/>
    <w:rsid w:val="00357D6B"/>
    <w:pPr>
      <w:spacing w:before="480" w:after="0" w:line="276" w:lineRule="auto"/>
      <w:outlineLvl w:val="9"/>
    </w:pPr>
    <w:rPr>
      <w:rFonts w:ascii="Cambria" w:eastAsia="MS Gothic" w:hAnsi="Cambria"/>
      <w:b/>
      <w:color w:val="365F91"/>
      <w:lang w:val="en-US" w:eastAsia="ja-JP"/>
    </w:rPr>
  </w:style>
  <w:style w:type="paragraph" w:styleId="TOC1">
    <w:name w:val="toc 1"/>
    <w:basedOn w:val="Normal"/>
    <w:next w:val="Normal"/>
    <w:autoRedefine/>
    <w:uiPriority w:val="39"/>
    <w:unhideWhenUsed/>
    <w:rsid w:val="00357D6B"/>
  </w:style>
  <w:style w:type="paragraph" w:styleId="TOC2">
    <w:name w:val="toc 2"/>
    <w:basedOn w:val="Normal"/>
    <w:next w:val="Normal"/>
    <w:autoRedefine/>
    <w:uiPriority w:val="39"/>
    <w:unhideWhenUsed/>
    <w:rsid w:val="00A3441A"/>
    <w:pPr>
      <w:tabs>
        <w:tab w:val="right" w:leader="dot" w:pos="9016"/>
      </w:tabs>
      <w:ind w:left="200"/>
    </w:pPr>
  </w:style>
  <w:style w:type="paragraph" w:styleId="TOC3">
    <w:name w:val="toc 3"/>
    <w:basedOn w:val="Normal"/>
    <w:next w:val="Normal"/>
    <w:autoRedefine/>
    <w:uiPriority w:val="39"/>
    <w:unhideWhenUsed/>
    <w:rsid w:val="00357D6B"/>
    <w:pPr>
      <w:ind w:left="400"/>
    </w:pPr>
  </w:style>
  <w:style w:type="character" w:styleId="CommentReference">
    <w:name w:val="annotation reference"/>
    <w:basedOn w:val="DefaultParagraphFont"/>
    <w:uiPriority w:val="99"/>
    <w:semiHidden/>
    <w:unhideWhenUsed/>
    <w:rsid w:val="00612799"/>
    <w:rPr>
      <w:sz w:val="16"/>
      <w:szCs w:val="16"/>
    </w:rPr>
  </w:style>
  <w:style w:type="paragraph" w:styleId="CommentText">
    <w:name w:val="annotation text"/>
    <w:basedOn w:val="Normal"/>
    <w:link w:val="CommentTextChar"/>
    <w:uiPriority w:val="99"/>
    <w:semiHidden/>
    <w:unhideWhenUsed/>
    <w:rsid w:val="00612799"/>
    <w:pPr>
      <w:spacing w:line="240" w:lineRule="auto"/>
    </w:pPr>
    <w:rPr>
      <w:szCs w:val="20"/>
    </w:rPr>
  </w:style>
  <w:style w:type="character" w:customStyle="1" w:styleId="CommentTextChar">
    <w:name w:val="Comment Text Char"/>
    <w:basedOn w:val="DefaultParagraphFont"/>
    <w:link w:val="CommentText"/>
    <w:uiPriority w:val="99"/>
    <w:semiHidden/>
    <w:rsid w:val="00612799"/>
    <w:rPr>
      <w:rFonts w:ascii="Arial" w:hAnsi="Arial"/>
      <w:lang w:eastAsia="en-US"/>
    </w:rPr>
  </w:style>
  <w:style w:type="paragraph" w:styleId="CommentSubject">
    <w:name w:val="annotation subject"/>
    <w:basedOn w:val="CommentText"/>
    <w:next w:val="CommentText"/>
    <w:link w:val="CommentSubjectChar"/>
    <w:uiPriority w:val="99"/>
    <w:semiHidden/>
    <w:unhideWhenUsed/>
    <w:rsid w:val="00612799"/>
    <w:rPr>
      <w:b/>
      <w:bCs/>
    </w:rPr>
  </w:style>
  <w:style w:type="character" w:customStyle="1" w:styleId="CommentSubjectChar">
    <w:name w:val="Comment Subject Char"/>
    <w:basedOn w:val="CommentTextChar"/>
    <w:link w:val="CommentSubject"/>
    <w:uiPriority w:val="99"/>
    <w:semiHidden/>
    <w:rsid w:val="00612799"/>
    <w:rPr>
      <w:rFonts w:ascii="Arial" w:hAnsi="Arial"/>
      <w:b/>
      <w:bCs/>
      <w:lang w:eastAsia="en-US"/>
    </w:rPr>
  </w:style>
  <w:style w:type="character" w:styleId="FollowedHyperlink">
    <w:name w:val="FollowedHyperlink"/>
    <w:basedOn w:val="DefaultParagraphFont"/>
    <w:uiPriority w:val="99"/>
    <w:semiHidden/>
    <w:unhideWhenUsed/>
    <w:rsid w:val="00637C8A"/>
    <w:rPr>
      <w:color w:val="800080" w:themeColor="followedHyperlink"/>
      <w:u w:val="single"/>
    </w:rPr>
  </w:style>
  <w:style w:type="paragraph" w:styleId="EndnoteText">
    <w:name w:val="endnote text"/>
    <w:basedOn w:val="Normal"/>
    <w:link w:val="EndnoteTextChar"/>
    <w:uiPriority w:val="99"/>
    <w:semiHidden/>
    <w:unhideWhenUsed/>
    <w:rsid w:val="0034180B"/>
    <w:pPr>
      <w:spacing w:after="0" w:line="240" w:lineRule="auto"/>
    </w:pPr>
    <w:rPr>
      <w:szCs w:val="20"/>
    </w:rPr>
  </w:style>
  <w:style w:type="character" w:customStyle="1" w:styleId="EndnoteTextChar">
    <w:name w:val="Endnote Text Char"/>
    <w:basedOn w:val="DefaultParagraphFont"/>
    <w:link w:val="EndnoteText"/>
    <w:uiPriority w:val="99"/>
    <w:semiHidden/>
    <w:rsid w:val="0034180B"/>
    <w:rPr>
      <w:rFonts w:ascii="Arial" w:hAnsi="Arial"/>
      <w:lang w:eastAsia="en-US"/>
    </w:rPr>
  </w:style>
  <w:style w:type="character" w:styleId="EndnoteReference">
    <w:name w:val="endnote reference"/>
    <w:basedOn w:val="DefaultParagraphFont"/>
    <w:uiPriority w:val="99"/>
    <w:semiHidden/>
    <w:unhideWhenUsed/>
    <w:rsid w:val="0034180B"/>
    <w:rPr>
      <w:vertAlign w:val="superscript"/>
    </w:rPr>
  </w:style>
  <w:style w:type="paragraph" w:styleId="Revision">
    <w:name w:val="Revision"/>
    <w:hidden/>
    <w:uiPriority w:val="99"/>
    <w:semiHidden/>
    <w:rsid w:val="00181D82"/>
    <w:rPr>
      <w:rFonts w:ascii="Arial" w:hAnsi="Arial"/>
      <w:szCs w:val="22"/>
      <w:lang w:eastAsia="en-US"/>
    </w:rPr>
  </w:style>
  <w:style w:type="character" w:customStyle="1" w:styleId="DHHSbodyChar">
    <w:name w:val="DHHS body Char"/>
    <w:link w:val="DHHSbody"/>
    <w:locked/>
    <w:rsid w:val="00192ECA"/>
    <w:rPr>
      <w:rFonts w:ascii="Arial" w:eastAsia="Times" w:hAnsi="Arial" w:cs="Arial"/>
      <w:lang w:eastAsia="en-US"/>
    </w:rPr>
  </w:style>
  <w:style w:type="paragraph" w:customStyle="1" w:styleId="DHHSbody">
    <w:name w:val="DHHS body"/>
    <w:link w:val="DHHSbodyChar"/>
    <w:qFormat/>
    <w:rsid w:val="00192ECA"/>
    <w:pPr>
      <w:spacing w:after="120" w:line="270" w:lineRule="atLeast"/>
    </w:pPr>
    <w:rPr>
      <w:rFonts w:ascii="Arial" w:eastAsia="Times" w:hAnsi="Arial" w:cs="Arial"/>
      <w:lang w:eastAsia="en-US"/>
    </w:rPr>
  </w:style>
  <w:style w:type="paragraph" w:customStyle="1" w:styleId="DHHSbullet1">
    <w:name w:val="DHHS bullet 1"/>
    <w:basedOn w:val="DHHSbody"/>
    <w:qFormat/>
    <w:rsid w:val="00192ECA"/>
    <w:pPr>
      <w:numPr>
        <w:numId w:val="29"/>
      </w:numPr>
      <w:tabs>
        <w:tab w:val="num" w:pos="360"/>
      </w:tabs>
      <w:spacing w:after="40"/>
      <w:ind w:left="0" w:firstLine="0"/>
    </w:pPr>
  </w:style>
  <w:style w:type="paragraph" w:customStyle="1" w:styleId="DHHSbullet2">
    <w:name w:val="DHHS bullet 2"/>
    <w:basedOn w:val="DHHSbody"/>
    <w:uiPriority w:val="2"/>
    <w:qFormat/>
    <w:rsid w:val="00192ECA"/>
    <w:pPr>
      <w:numPr>
        <w:ilvl w:val="2"/>
        <w:numId w:val="29"/>
      </w:numPr>
      <w:tabs>
        <w:tab w:val="num" w:pos="360"/>
      </w:tabs>
      <w:spacing w:after="40"/>
      <w:ind w:left="0" w:firstLine="0"/>
    </w:pPr>
  </w:style>
  <w:style w:type="paragraph" w:customStyle="1" w:styleId="DHHSbullet1lastline">
    <w:name w:val="DHHS bullet 1 last line"/>
    <w:basedOn w:val="DHHSbullet1"/>
    <w:qFormat/>
    <w:rsid w:val="00192ECA"/>
    <w:pPr>
      <w:numPr>
        <w:ilvl w:val="1"/>
      </w:numPr>
      <w:tabs>
        <w:tab w:val="num" w:pos="360"/>
      </w:tabs>
      <w:spacing w:after="120"/>
      <w:ind w:left="360" w:hanging="360"/>
    </w:pPr>
  </w:style>
  <w:style w:type="paragraph" w:customStyle="1" w:styleId="DHHSbullet2lastline">
    <w:name w:val="DHHS bullet 2 last line"/>
    <w:basedOn w:val="DHHSbullet2"/>
    <w:uiPriority w:val="2"/>
    <w:qFormat/>
    <w:rsid w:val="00192ECA"/>
    <w:pPr>
      <w:numPr>
        <w:ilvl w:val="3"/>
      </w:numPr>
      <w:tabs>
        <w:tab w:val="num" w:pos="360"/>
      </w:tabs>
      <w:spacing w:after="120"/>
      <w:ind w:left="360" w:hanging="360"/>
    </w:pPr>
  </w:style>
  <w:style w:type="paragraph" w:customStyle="1" w:styleId="DHHStablebullet">
    <w:name w:val="DHHS table bullet"/>
    <w:basedOn w:val="Normal"/>
    <w:uiPriority w:val="3"/>
    <w:qFormat/>
    <w:rsid w:val="00192ECA"/>
    <w:pPr>
      <w:numPr>
        <w:ilvl w:val="6"/>
        <w:numId w:val="29"/>
      </w:numPr>
      <w:spacing w:before="80" w:after="60" w:line="240" w:lineRule="auto"/>
    </w:pPr>
    <w:rPr>
      <w:rFonts w:eastAsia="Times New Roman"/>
      <w:szCs w:val="20"/>
    </w:rPr>
  </w:style>
  <w:style w:type="paragraph" w:customStyle="1" w:styleId="DHHSbulletindent">
    <w:name w:val="DHHS bullet indent"/>
    <w:basedOn w:val="DHHSbody"/>
    <w:uiPriority w:val="4"/>
    <w:rsid w:val="00192ECA"/>
    <w:pPr>
      <w:numPr>
        <w:ilvl w:val="4"/>
        <w:numId w:val="29"/>
      </w:numPr>
      <w:tabs>
        <w:tab w:val="num" w:pos="360"/>
      </w:tabs>
      <w:spacing w:after="40"/>
      <w:ind w:left="0" w:firstLine="0"/>
    </w:pPr>
  </w:style>
  <w:style w:type="paragraph" w:customStyle="1" w:styleId="DHHSbulletindentlastline">
    <w:name w:val="DHHS bullet indent last line"/>
    <w:basedOn w:val="DHHSbody"/>
    <w:uiPriority w:val="4"/>
    <w:rsid w:val="00192ECA"/>
    <w:pPr>
      <w:numPr>
        <w:ilvl w:val="5"/>
        <w:numId w:val="29"/>
      </w:numPr>
      <w:tabs>
        <w:tab w:val="num" w:pos="360"/>
      </w:tabs>
      <w:ind w:left="0" w:firstLine="0"/>
    </w:pPr>
  </w:style>
  <w:style w:type="numbering" w:customStyle="1" w:styleId="ZZBullets">
    <w:name w:val="ZZ Bullets"/>
    <w:rsid w:val="00192ECA"/>
    <w:pPr>
      <w:numPr>
        <w:numId w:val="29"/>
      </w:numPr>
    </w:pPr>
  </w:style>
  <w:style w:type="character" w:styleId="UnresolvedMention">
    <w:name w:val="Unresolved Mention"/>
    <w:basedOn w:val="DefaultParagraphFont"/>
    <w:uiPriority w:val="99"/>
    <w:semiHidden/>
    <w:unhideWhenUsed/>
    <w:rsid w:val="009165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13488863">
      <w:bodyDiv w:val="1"/>
      <w:marLeft w:val="0"/>
      <w:marRight w:val="0"/>
      <w:marTop w:val="0"/>
      <w:marBottom w:val="0"/>
      <w:divBdr>
        <w:top w:val="none" w:sz="0" w:space="0" w:color="auto"/>
        <w:left w:val="none" w:sz="0" w:space="0" w:color="auto"/>
        <w:bottom w:val="none" w:sz="0" w:space="0" w:color="auto"/>
        <w:right w:val="none" w:sz="0" w:space="0" w:color="auto"/>
      </w:divBdr>
    </w:div>
    <w:div w:id="725646026">
      <w:bodyDiv w:val="1"/>
      <w:marLeft w:val="0"/>
      <w:marRight w:val="0"/>
      <w:marTop w:val="0"/>
      <w:marBottom w:val="0"/>
      <w:divBdr>
        <w:top w:val="none" w:sz="0" w:space="0" w:color="auto"/>
        <w:left w:val="none" w:sz="0" w:space="0" w:color="auto"/>
        <w:bottom w:val="none" w:sz="0" w:space="0" w:color="auto"/>
        <w:right w:val="none" w:sz="0" w:space="0" w:color="auto"/>
      </w:divBdr>
    </w:div>
    <w:div w:id="751051067">
      <w:bodyDiv w:val="1"/>
      <w:marLeft w:val="0"/>
      <w:marRight w:val="0"/>
      <w:marTop w:val="0"/>
      <w:marBottom w:val="0"/>
      <w:divBdr>
        <w:top w:val="none" w:sz="0" w:space="0" w:color="auto"/>
        <w:left w:val="none" w:sz="0" w:space="0" w:color="auto"/>
        <w:bottom w:val="none" w:sz="0" w:space="0" w:color="auto"/>
        <w:right w:val="none" w:sz="0" w:space="0" w:color="auto"/>
      </w:divBdr>
    </w:div>
    <w:div w:id="967129877">
      <w:bodyDiv w:val="1"/>
      <w:marLeft w:val="0"/>
      <w:marRight w:val="0"/>
      <w:marTop w:val="0"/>
      <w:marBottom w:val="0"/>
      <w:divBdr>
        <w:top w:val="none" w:sz="0" w:space="0" w:color="auto"/>
        <w:left w:val="none" w:sz="0" w:space="0" w:color="auto"/>
        <w:bottom w:val="none" w:sz="0" w:space="0" w:color="auto"/>
        <w:right w:val="none" w:sz="0" w:space="0" w:color="auto"/>
      </w:divBdr>
    </w:div>
    <w:div w:id="1274286180">
      <w:bodyDiv w:val="1"/>
      <w:marLeft w:val="0"/>
      <w:marRight w:val="0"/>
      <w:marTop w:val="0"/>
      <w:marBottom w:val="0"/>
      <w:divBdr>
        <w:top w:val="none" w:sz="0" w:space="0" w:color="auto"/>
        <w:left w:val="none" w:sz="0" w:space="0" w:color="auto"/>
        <w:bottom w:val="none" w:sz="0" w:space="0" w:color="auto"/>
        <w:right w:val="none" w:sz="0" w:space="0" w:color="auto"/>
      </w:divBdr>
    </w:div>
    <w:div w:id="2003197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oter" Target="footer2.xml"/><Relationship Id="rId26" Type="http://schemas.openxmlformats.org/officeDocument/2006/relationships/hyperlink" Target="http://www2.epa.gov/vaporintrusion/technical-guide-assessing-and-mitigating-vapor-intrusion-pathwaysubsurface-vapor" TargetMode="External"/><Relationship Id="rId3" Type="http://schemas.openxmlformats.org/officeDocument/2006/relationships/customXml" Target="../customXml/item3.xml"/><Relationship Id="rId21" Type="http://schemas.openxmlformats.org/officeDocument/2006/relationships/hyperlink" Target="https://www.health.gov.au/sites/default/files/documents/2022/07/enhealth-guidance-guidelines-for-assessing-human-health-risks-from-environmental-hazards.pdf" TargetMode="Externa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header" Target="header4.xml"/><Relationship Id="rId25" Type="http://schemas.openxmlformats.org/officeDocument/2006/relationships/hyperlink" Target="https://www.epa.gov/sites/production/files/2015-09/documents/oswer_2010_database_report_03-16-2012_final_witherratum_508.pdf" TargetMode="Externa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hyperlink" Target="https://www.atsdr.cdc.gov/docs/svi_guidance_508.pdf" TargetMode="External"/><Relationship Id="rId29"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24" Type="http://schemas.openxmlformats.org/officeDocument/2006/relationships/hyperlink" Target="https://cfpub.epa.gov/ncea/iris/iris_documents/documents/toxreviews/0199tr/0199tr.pdf" TargetMode="External"/><Relationship Id="rId32"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3.png"/><Relationship Id="rId23" Type="http://schemas.openxmlformats.org/officeDocument/2006/relationships/hyperlink" Target="https://www.epa.sa.gov.au/files/10972_cpmp_summary_rpt.pdf" TargetMode="External"/><Relationship Id="rId28" Type="http://schemas.openxmlformats.org/officeDocument/2006/relationships/header" Target="header7.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hyperlink" Target="https://www.legislation.gov.au/Details/F2013C00288" TargetMode="External"/><Relationship Id="rId27" Type="http://schemas.openxmlformats.org/officeDocument/2006/relationships/header" Target="header6.xml"/><Relationship Id="rId30" Type="http://schemas.openxmlformats.org/officeDocument/2006/relationships/header" Target="header8.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1BEC15B35D26874BB8577D3888FD462B" ma:contentTypeVersion="4" ma:contentTypeDescription="Create a new document." ma:contentTypeScope="" ma:versionID="77abde459cb51b3d4ad001b4ca76157c">
  <xsd:schema xmlns:xsd="http://www.w3.org/2001/XMLSchema" xmlns:xs="http://www.w3.org/2001/XMLSchema" xmlns:p="http://schemas.microsoft.com/office/2006/metadata/properties" xmlns:ns2="828a44e1-8be5-473b-90b0-601b00f8a264" xmlns:ns3="29d98c9e-5442-4026-ad68-5149bef7dc06" targetNamespace="http://schemas.microsoft.com/office/2006/metadata/properties" ma:root="true" ma:fieldsID="02580b3a58acbe988d5bcf622d581b41" ns2:_="" ns3:_="">
    <xsd:import namespace="828a44e1-8be5-473b-90b0-601b00f8a264"/>
    <xsd:import namespace="29d98c9e-5442-4026-ad68-5149bef7dc0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8a44e1-8be5-473b-90b0-601b00f8a26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d98c9e-5442-4026-ad68-5149bef7dc0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E38347-7670-4AF1-9D24-F919851B6E6A}">
  <ds:schemaRefs>
    <ds:schemaRef ds:uri="http://schemas.openxmlformats.org/officeDocument/2006/bibliography"/>
  </ds:schemaRefs>
</ds:datastoreItem>
</file>

<file path=customXml/itemProps2.xml><?xml version="1.0" encoding="utf-8"?>
<ds:datastoreItem xmlns:ds="http://schemas.openxmlformats.org/officeDocument/2006/customXml" ds:itemID="{5852A3D3-B118-42BA-ABFB-0CB809F38EE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8a44e1-8be5-473b-90b0-601b00f8a264"/>
    <ds:schemaRef ds:uri="29d98c9e-5442-4026-ad68-5149bef7dc0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61805D8-C155-41F0-9904-834727D5218F}">
  <ds:schemaRefs>
    <ds:schemaRef ds:uri="http://schemas.microsoft.com/sharepoint/v3/contenttype/forms"/>
  </ds:schemaRefs>
</ds:datastoreItem>
</file>

<file path=customXml/itemProps4.xml><?xml version="1.0" encoding="utf-8"?>
<ds:datastoreItem xmlns:ds="http://schemas.openxmlformats.org/officeDocument/2006/customXml" ds:itemID="{F8F578AD-F02B-4917-B596-E675B5A11C18}">
  <ds:schemaRefs>
    <ds:schemaRef ds:uri="http://schemas.microsoft.com/office/2006/metadata/properties"/>
    <ds:schemaRef ds:uri="http://schemas.microsoft.com/office/infopath/2007/PartnerControls"/>
  </ds:schemaRefs>
</ds:datastoreItem>
</file>

<file path=docMetadata/LabelInfo.xml><?xml version="1.0" encoding="utf-8"?>
<clbl:labelList xmlns:clbl="http://schemas.microsoft.com/office/2020/mipLabelMetadata">
  <clbl:label id="{77274858-3b1d-4431-8679-d878f40e28fd}" enabled="1" method="Privileged" siteId="{bda528f7-fca9-432f-bc98-bd7e90d40906}" contentBits="1" removed="0"/>
</clbl:labelList>
</file>

<file path=docProps/app.xml><?xml version="1.0" encoding="utf-8"?>
<Properties xmlns="http://schemas.openxmlformats.org/officeDocument/2006/extended-properties" xmlns:vt="http://schemas.openxmlformats.org/officeDocument/2006/docPropsVTypes">
  <Template>Normal.dotm</Template>
  <TotalTime>23</TotalTime>
  <Pages>20</Pages>
  <Words>5803</Words>
  <Characters>35458</Characters>
  <Application>Microsoft Office Word</Application>
  <DocSecurity>0</DocSecurity>
  <Lines>723</Lines>
  <Paragraphs>322</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40939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enHealth guidance - The human health risk assessment of volatile chlorinated hydrocarbon vapour intrusion</dc:title>
  <dc:creator>enHealth</dc:creator>
  <cp:lastPrinted>2019-02-12T01:19:00Z</cp:lastPrinted>
  <dcterms:created xsi:type="dcterms:W3CDTF">2023-12-12T22:10:00Z</dcterms:created>
  <dcterms:modified xsi:type="dcterms:W3CDTF">2023-12-20T00:25:00Z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0x0101001BEC15B35D26874BB8577D3888FD462B</vt:lpwstr>
  </property>
  <property fmtid="{D5CDD505-2E9C-101B-9397-08002B2CF9AE}" pid="3" name="MSIP_Label_efdf5488-3066-4b6c-8fea-9472b8a1f34c_Enabled">
    <vt:lpwstr>true</vt:lpwstr>
  </property>
  <property fmtid="{D5CDD505-2E9C-101B-9397-08002B2CF9AE}" pid="4" name="MSIP_Label_efdf5488-3066-4b6c-8fea-9472b8a1f34c_SetDate">
    <vt:lpwstr>2023-02-22T23:17:15Z</vt:lpwstr>
  </property>
  <property fmtid="{D5CDD505-2E9C-101B-9397-08002B2CF9AE}" pid="5" name="MSIP_Label_efdf5488-3066-4b6c-8fea-9472b8a1f34c_Method">
    <vt:lpwstr>Privileged</vt:lpwstr>
  </property>
  <property fmtid="{D5CDD505-2E9C-101B-9397-08002B2CF9AE}" pid="6" name="MSIP_Label_efdf5488-3066-4b6c-8fea-9472b8a1f34c_Name">
    <vt:lpwstr>efdf5488-3066-4b6c-8fea-9472b8a1f34c</vt:lpwstr>
  </property>
  <property fmtid="{D5CDD505-2E9C-101B-9397-08002B2CF9AE}" pid="7" name="MSIP_Label_efdf5488-3066-4b6c-8fea-9472b8a1f34c_SiteId">
    <vt:lpwstr>c0e0601f-0fac-449c-9c88-a104c4eb9f28</vt:lpwstr>
  </property>
  <property fmtid="{D5CDD505-2E9C-101B-9397-08002B2CF9AE}" pid="8" name="MSIP_Label_efdf5488-3066-4b6c-8fea-9472b8a1f34c_ActionId">
    <vt:lpwstr>e45077de-4275-4428-815f-1ff4e468a38c</vt:lpwstr>
  </property>
  <property fmtid="{D5CDD505-2E9C-101B-9397-08002B2CF9AE}" pid="9" name="MSIP_Label_efdf5488-3066-4b6c-8fea-9472b8a1f34c_ContentBits">
    <vt:lpwstr>0</vt:lpwstr>
  </property>
  <property fmtid="{D5CDD505-2E9C-101B-9397-08002B2CF9AE}" pid="10" name="ClassificationContentMarkingHeaderShapeIds">
    <vt:lpwstr>1,2,3,4,5,6,7,8,9</vt:lpwstr>
  </property>
  <property fmtid="{D5CDD505-2E9C-101B-9397-08002B2CF9AE}" pid="11" name="ClassificationContentMarkingHeaderFontProps">
    <vt:lpwstr>#a80000,12,Arial</vt:lpwstr>
  </property>
  <property fmtid="{D5CDD505-2E9C-101B-9397-08002B2CF9AE}" pid="12" name="ClassificationContentMarkingHeaderText">
    <vt:lpwstr>OFFICIAL</vt:lpwstr>
  </property>
</Properties>
</file>